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C18AC" w14:textId="77777777" w:rsidR="0049127A" w:rsidRPr="0000131B" w:rsidRDefault="0049127A" w:rsidP="0049127A">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575712</w:t>
      </w:r>
      <w:bookmarkEnd w:id="1"/>
    </w:p>
    <w:p w14:paraId="759B47D6" w14:textId="77777777" w:rsidR="0049127A" w:rsidRPr="00DB7060" w:rsidRDefault="0049127A" w:rsidP="0049127A">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611FE1C7" w14:textId="77777777" w:rsidR="0049127A" w:rsidRPr="00F67051" w:rsidRDefault="0049127A" w:rsidP="0049127A">
      <w:pPr>
        <w:rPr>
          <w:rFonts w:cs="David"/>
          <w:b/>
          <w:bCs/>
          <w:sz w:val="26"/>
          <w:szCs w:val="26"/>
          <w:rtl/>
        </w:rPr>
      </w:pPr>
    </w:p>
    <w:p w14:paraId="1F256949" w14:textId="77777777" w:rsidR="0049127A" w:rsidRDefault="0049127A" w:rsidP="0049127A">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Pr="00F67051">
        <w:rPr>
          <w:b/>
          <w:bCs/>
        </w:rPr>
        <w:tab/>
      </w:r>
      <w:bookmarkStart w:id="4" w:name="LGS_PM_Names"/>
      <w:r>
        <w:rPr>
          <w:rFonts w:hint="cs"/>
          <w:b/>
          <w:bCs/>
          <w:rtl/>
        </w:rPr>
        <w:t>עיסאווי פריג'</w:t>
      </w:r>
      <w:bookmarkEnd w:id="4"/>
    </w:p>
    <w:p w14:paraId="7944CEC3" w14:textId="77777777" w:rsidR="0049127A" w:rsidRPr="00CF1AA2" w:rsidRDefault="0049127A" w:rsidP="0049127A">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5FBD0659" w14:textId="65212F43" w:rsidR="0049127A" w:rsidRPr="008F0B85" w:rsidRDefault="0049127A" w:rsidP="008F0B85">
      <w:pPr>
        <w:pStyle w:val="David"/>
        <w:spacing w:before="0" w:line="360" w:lineRule="auto"/>
        <w:ind w:left="3544"/>
        <w:rPr>
          <w:rFonts w:hint="cs"/>
          <w:sz w:val="4"/>
          <w:szCs w:val="4"/>
          <w:rtl/>
        </w:rPr>
      </w:pPr>
      <w:r>
        <w:t>______________________________________________</w:t>
      </w:r>
      <w:r w:rsidRPr="008F0B85">
        <w:tab/>
      </w:r>
      <w:r w:rsidRPr="008F0B85">
        <w:rPr>
          <w:rFonts w:hint="cs"/>
          <w:rtl/>
        </w:rPr>
        <w:tab/>
      </w:r>
      <w:r w:rsidRPr="008F0B85">
        <w:rPr>
          <w:rFonts w:hint="cs"/>
          <w:rtl/>
        </w:rPr>
        <w:tab/>
      </w:r>
      <w:r w:rsidRPr="008F0B85">
        <w:rPr>
          <w:rFonts w:hint="cs"/>
          <w:rtl/>
        </w:rPr>
        <w:tab/>
      </w:r>
      <w:r w:rsidR="008F0B85">
        <w:rPr>
          <w:rtl/>
        </w:rPr>
        <w:tab/>
      </w:r>
      <w:r w:rsidR="008F0B85">
        <w:rPr>
          <w:rFonts w:hint="cs"/>
          <w:rtl/>
        </w:rPr>
        <w:t>פ/3047/20</w:t>
      </w:r>
    </w:p>
    <w:p w14:paraId="42623156" w14:textId="3533FEB6" w:rsidR="0049127A" w:rsidRPr="00F62707" w:rsidRDefault="0049127A" w:rsidP="008F0B85">
      <w:pPr>
        <w:pStyle w:val="HeadHatzaotHok"/>
        <w:rPr>
          <w:b w:val="0"/>
          <w:rtl/>
        </w:rPr>
      </w:pPr>
      <w:bookmarkStart w:id="7" w:name="LGS_Subject"/>
      <w:r w:rsidRPr="008F0B85">
        <w:rPr>
          <w:rFonts w:hint="cs"/>
          <w:rtl/>
        </w:rPr>
        <w:t>הצעת חוק הקאדים (תיקון – כשירות מינוי קאדים ובחירתם), התשע"ו–2016</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9127A" w:rsidRPr="00F62707" w14:paraId="59D2E21F" w14:textId="77777777" w:rsidTr="00C91FCB">
        <w:trPr>
          <w:cantSplit/>
          <w:trHeight w:val="60"/>
        </w:trPr>
        <w:tc>
          <w:tcPr>
            <w:tcW w:w="1871" w:type="dxa"/>
          </w:tcPr>
          <w:p w14:paraId="4C0B7CD2" w14:textId="77777777" w:rsidR="0049127A" w:rsidRPr="00D1411B" w:rsidRDefault="0049127A" w:rsidP="00C91FCB">
            <w:pPr>
              <w:pStyle w:val="TableBlock"/>
              <w:rPr>
                <w:rtl/>
              </w:rPr>
            </w:pPr>
            <w:r>
              <w:rPr>
                <w:rFonts w:hint="cs"/>
                <w:rtl/>
              </w:rPr>
              <w:t>תיקון סעיף 2</w:t>
            </w:r>
          </w:p>
        </w:tc>
        <w:tc>
          <w:tcPr>
            <w:tcW w:w="624" w:type="dxa"/>
          </w:tcPr>
          <w:p w14:paraId="6FC05030" w14:textId="77777777" w:rsidR="0049127A" w:rsidRPr="00D1411B" w:rsidRDefault="0049127A" w:rsidP="00C91FCB">
            <w:pPr>
              <w:pStyle w:val="TableText"/>
              <w:rPr>
                <w:rtl/>
              </w:rPr>
            </w:pPr>
            <w:r>
              <w:rPr>
                <w:rFonts w:hint="cs"/>
                <w:rtl/>
              </w:rPr>
              <w:t>1.</w:t>
            </w:r>
          </w:p>
        </w:tc>
        <w:tc>
          <w:tcPr>
            <w:tcW w:w="7146" w:type="dxa"/>
          </w:tcPr>
          <w:p w14:paraId="3FD141B7" w14:textId="3968F992" w:rsidR="0049127A" w:rsidRDefault="0049127A" w:rsidP="008F0B85">
            <w:pPr>
              <w:pStyle w:val="TableBlock"/>
              <w:rPr>
                <w:rtl/>
              </w:rPr>
            </w:pPr>
            <w:r>
              <w:rPr>
                <w:rFonts w:hint="cs"/>
                <w:rtl/>
              </w:rPr>
              <w:t>בחוק הקאדים, התשכ"א</w:t>
            </w:r>
            <w:r>
              <w:rPr>
                <w:rtl/>
              </w:rPr>
              <w:t>–</w:t>
            </w:r>
            <w:r>
              <w:rPr>
                <w:rFonts w:hint="cs"/>
                <w:rtl/>
              </w:rPr>
              <w:t>1961</w:t>
            </w:r>
            <w:r>
              <w:rPr>
                <w:rStyle w:val="a6"/>
                <w:rtl/>
              </w:rPr>
              <w:footnoteReference w:id="2"/>
            </w:r>
            <w:r>
              <w:rPr>
                <w:rFonts w:hint="cs"/>
                <w:rtl/>
              </w:rPr>
              <w:t xml:space="preserve"> (להלן </w:t>
            </w:r>
            <w:r>
              <w:rPr>
                <w:rtl/>
              </w:rPr>
              <w:t>–</w:t>
            </w:r>
            <w:r>
              <w:rPr>
                <w:rFonts w:hint="cs"/>
                <w:rtl/>
              </w:rPr>
              <w:t xml:space="preserve"> החוק העיקרי), בסעיף 2(א)</w:t>
            </w:r>
            <w:r w:rsidR="008F0B85">
              <w:rPr>
                <w:rFonts w:hint="cs"/>
                <w:rtl/>
              </w:rPr>
              <w:t>(1)</w:t>
            </w:r>
            <w:r>
              <w:rPr>
                <w:rFonts w:hint="cs"/>
                <w:rtl/>
              </w:rPr>
              <w:t>, במקום "והשכלה גבוהה בלימודי האיסלאם להנחת דעתה של ועדת המינויים" יבוא "תואר אקדמי מוכר בלימודי האיסלאם מאת מוסד מוכר כמשמעותו בחוק המועצה להשכלה גבוהה, התשי"ח</w:t>
            </w:r>
            <w:r>
              <w:rPr>
                <w:rtl/>
              </w:rPr>
              <w:t>–</w:t>
            </w:r>
            <w:r>
              <w:rPr>
                <w:rFonts w:hint="cs"/>
                <w:rtl/>
              </w:rPr>
              <w:t>1958</w:t>
            </w:r>
            <w:r>
              <w:rPr>
                <w:rStyle w:val="a6"/>
                <w:rtl/>
              </w:rPr>
              <w:footnoteReference w:id="3"/>
            </w:r>
            <w:r>
              <w:rPr>
                <w:rFonts w:hint="cs"/>
                <w:rtl/>
              </w:rPr>
              <w:t xml:space="preserve">, או מאת מוסד להשכלה גבוהה בחוץ לארץ ובלבד שהתואר הוכר על ידי משרד החינוך, ועסק בטיעון שרעי, ברציפות או לסירוגין, לא פחות מחמש שנים". </w:t>
            </w:r>
          </w:p>
        </w:tc>
      </w:tr>
      <w:tr w:rsidR="0049127A" w:rsidRPr="00F62707" w14:paraId="28286CBE" w14:textId="77777777" w:rsidTr="00C91FCB">
        <w:tblPrEx>
          <w:tblLook w:val="0000" w:firstRow="0" w:lastRow="0" w:firstColumn="0" w:lastColumn="0" w:noHBand="0" w:noVBand="0"/>
        </w:tblPrEx>
        <w:trPr>
          <w:cantSplit/>
        </w:trPr>
        <w:tc>
          <w:tcPr>
            <w:tcW w:w="1871" w:type="dxa"/>
            <w:tcBorders>
              <w:top w:val="nil"/>
              <w:left w:val="nil"/>
              <w:bottom w:val="nil"/>
              <w:right w:val="nil"/>
            </w:tcBorders>
          </w:tcPr>
          <w:p w14:paraId="0A399489" w14:textId="77777777" w:rsidR="0049127A" w:rsidRPr="00F62707" w:rsidRDefault="0049127A" w:rsidP="00C91FCB">
            <w:pPr>
              <w:pStyle w:val="TableSideHeading"/>
            </w:pPr>
            <w:r w:rsidRPr="00F62707">
              <w:rPr>
                <w:rtl/>
              </w:rPr>
              <w:t xml:space="preserve">תיקון סעיף </w:t>
            </w:r>
            <w:r w:rsidRPr="00F62707">
              <w:rPr>
                <w:rFonts w:hint="cs"/>
                <w:rtl/>
              </w:rPr>
              <w:t>4</w:t>
            </w:r>
          </w:p>
        </w:tc>
        <w:tc>
          <w:tcPr>
            <w:tcW w:w="624" w:type="dxa"/>
            <w:tcBorders>
              <w:top w:val="nil"/>
              <w:left w:val="nil"/>
              <w:bottom w:val="nil"/>
              <w:right w:val="nil"/>
            </w:tcBorders>
          </w:tcPr>
          <w:p w14:paraId="5E03F401" w14:textId="77777777" w:rsidR="0049127A" w:rsidRPr="00F62707" w:rsidRDefault="0049127A" w:rsidP="00C91FCB">
            <w:pPr>
              <w:pStyle w:val="TableText"/>
              <w:ind w:right="0"/>
              <w:jc w:val="both"/>
            </w:pPr>
            <w:r w:rsidRPr="00F62707">
              <w:rPr>
                <w:rtl/>
              </w:rPr>
              <w:t>2.</w:t>
            </w:r>
          </w:p>
        </w:tc>
        <w:tc>
          <w:tcPr>
            <w:tcW w:w="7146" w:type="dxa"/>
            <w:tcBorders>
              <w:top w:val="nil"/>
              <w:left w:val="nil"/>
              <w:bottom w:val="nil"/>
              <w:right w:val="nil"/>
            </w:tcBorders>
          </w:tcPr>
          <w:p w14:paraId="58B4B8F5" w14:textId="77777777" w:rsidR="0049127A" w:rsidRPr="00F62707" w:rsidRDefault="0049127A" w:rsidP="00C91FCB">
            <w:pPr>
              <w:pStyle w:val="TableBlock"/>
              <w:rPr>
                <w:rtl/>
              </w:rPr>
            </w:pPr>
            <w:r w:rsidRPr="00F62707">
              <w:rPr>
                <w:rtl/>
              </w:rPr>
              <w:t xml:space="preserve">בסעיף </w:t>
            </w:r>
            <w:r>
              <w:rPr>
                <w:rFonts w:hint="cs"/>
                <w:rtl/>
              </w:rPr>
              <w:t>4 לחוק העיקרי</w:t>
            </w:r>
            <w:r w:rsidRPr="00F62707">
              <w:rPr>
                <w:rFonts w:hint="cs"/>
                <w:rtl/>
              </w:rPr>
              <w:t>, אחרי סעיף קטן (</w:t>
            </w:r>
            <w:r>
              <w:rPr>
                <w:rFonts w:hint="cs"/>
                <w:rtl/>
              </w:rPr>
              <w:t>ד</w:t>
            </w:r>
            <w:r w:rsidRPr="00F62707">
              <w:rPr>
                <w:rFonts w:hint="cs"/>
                <w:rtl/>
              </w:rPr>
              <w:t>) יבוא:</w:t>
            </w:r>
          </w:p>
        </w:tc>
      </w:tr>
      <w:tr w:rsidR="008F0B85" w14:paraId="07593C1D" w14:textId="77777777" w:rsidTr="008A78B4">
        <w:trPr>
          <w:cantSplit/>
          <w:trHeight w:val="60"/>
        </w:trPr>
        <w:tc>
          <w:tcPr>
            <w:tcW w:w="1871" w:type="dxa"/>
          </w:tcPr>
          <w:p w14:paraId="31E0716B" w14:textId="77777777" w:rsidR="008F0B85" w:rsidRDefault="008F0B85" w:rsidP="00C91FCB">
            <w:pPr>
              <w:pStyle w:val="TableSideHeading"/>
            </w:pPr>
          </w:p>
        </w:tc>
        <w:tc>
          <w:tcPr>
            <w:tcW w:w="624" w:type="dxa"/>
          </w:tcPr>
          <w:p w14:paraId="0A6BD8C9" w14:textId="77777777" w:rsidR="008F0B85" w:rsidRDefault="008F0B85" w:rsidP="00C91FCB">
            <w:pPr>
              <w:pStyle w:val="TableText"/>
            </w:pPr>
          </w:p>
        </w:tc>
        <w:tc>
          <w:tcPr>
            <w:tcW w:w="7146" w:type="dxa"/>
          </w:tcPr>
          <w:p w14:paraId="4B2C8E3B" w14:textId="5AF43B79" w:rsidR="008F0B85" w:rsidRPr="001046D5" w:rsidRDefault="008F0B85" w:rsidP="008F0B85">
            <w:pPr>
              <w:pStyle w:val="TableBlock"/>
              <w:rPr>
                <w:rtl/>
              </w:rPr>
            </w:pPr>
            <w:r w:rsidRPr="001046D5">
              <w:rPr>
                <w:rtl/>
              </w:rPr>
              <w:t>"(ה)</w:t>
            </w:r>
            <w:r w:rsidRPr="001046D5">
              <w:rPr>
                <w:rtl/>
              </w:rPr>
              <w:tab/>
              <w:t>מבין חברי הו</w:t>
            </w:r>
            <w:r>
              <w:rPr>
                <w:rFonts w:hint="cs"/>
                <w:rtl/>
              </w:rPr>
              <w:t>ו</w:t>
            </w:r>
            <w:r w:rsidRPr="001046D5">
              <w:rPr>
                <w:rtl/>
              </w:rPr>
              <w:t>עדה, שהם חברי הממשלה או חברי הכנסת, לא יכהן יותר מחבר אחד מכל מפלגה רשומה כמשמ</w:t>
            </w:r>
            <w:r>
              <w:rPr>
                <w:rtl/>
              </w:rPr>
              <w:t>עותה בחוק המפלגות, התשנ"ב–</w:t>
            </w:r>
            <w:r>
              <w:rPr>
                <w:rFonts w:hint="cs"/>
                <w:rtl/>
              </w:rPr>
              <w:t>1992</w:t>
            </w:r>
            <w:r>
              <w:rPr>
                <w:rStyle w:val="a6"/>
              </w:rPr>
              <w:footnoteReference w:id="4"/>
            </w:r>
            <w:r>
              <w:rPr>
                <w:rFonts w:hint="cs"/>
                <w:rtl/>
              </w:rPr>
              <w:t>."</w:t>
            </w:r>
          </w:p>
        </w:tc>
      </w:tr>
    </w:tbl>
    <w:p w14:paraId="60CA8F20" w14:textId="77777777" w:rsidR="0049127A" w:rsidRPr="00F62707" w:rsidRDefault="0049127A" w:rsidP="0049127A">
      <w:pPr>
        <w:pStyle w:val="HeadDivreiHesber"/>
        <w:rPr>
          <w:b w:val="0"/>
          <w:rtl/>
        </w:rPr>
      </w:pPr>
      <w:r w:rsidRPr="00F62707">
        <w:rPr>
          <w:rFonts w:hint="cs"/>
          <w:b w:val="0"/>
          <w:rtl/>
        </w:rPr>
        <w:t>דברי הסבר</w:t>
      </w:r>
    </w:p>
    <w:p w14:paraId="55E1A1C1" w14:textId="63536738" w:rsidR="0049127A" w:rsidRPr="00F62707" w:rsidRDefault="008F0B85" w:rsidP="008F0B85">
      <w:pPr>
        <w:pStyle w:val="Hesber"/>
        <w:rPr>
          <w:rtl/>
        </w:rPr>
      </w:pPr>
      <w:r>
        <w:rPr>
          <w:rFonts w:hint="cs"/>
          <w:rtl/>
        </w:rPr>
        <w:t>כיום</w:t>
      </w:r>
      <w:r w:rsidR="0049127A" w:rsidRPr="00F62707">
        <w:rPr>
          <w:rFonts w:hint="cs"/>
          <w:rtl/>
        </w:rPr>
        <w:t xml:space="preserve">, אין </w:t>
      </w:r>
      <w:r>
        <w:rPr>
          <w:rFonts w:hint="cs"/>
          <w:rtl/>
        </w:rPr>
        <w:t>בחוק הגדרה ברורה וחד-</w:t>
      </w:r>
      <w:r w:rsidR="0049127A" w:rsidRPr="00F62707">
        <w:rPr>
          <w:rFonts w:hint="cs"/>
          <w:rtl/>
        </w:rPr>
        <w:t>משמעית מי הוא בעל השכלה דתית גבוהה בדין השרעי והשכלה גבוהה בלימודי האיסלאם.</w:t>
      </w:r>
      <w:r w:rsidR="0049127A">
        <w:rPr>
          <w:rFonts w:hint="cs"/>
          <w:rtl/>
        </w:rPr>
        <w:t xml:space="preserve"> עד כה ועדת המינויים לא נדרשה לעניין זה באופן מפורש ולכן </w:t>
      </w:r>
      <w:r>
        <w:rPr>
          <w:rFonts w:hint="cs"/>
          <w:rtl/>
        </w:rPr>
        <w:t>ב</w:t>
      </w:r>
      <w:r w:rsidR="0049127A">
        <w:rPr>
          <w:rFonts w:hint="cs"/>
          <w:rtl/>
        </w:rPr>
        <w:t>כל פעם שנתקלה בשאלה, היא קיבלה החלטה פרטנית עבור כל מועמד לכהונת קאדי שרעי. ה</w:t>
      </w:r>
      <w:r>
        <w:rPr>
          <w:rFonts w:hint="cs"/>
          <w:rtl/>
        </w:rPr>
        <w:t>י</w:t>
      </w:r>
      <w:r w:rsidR="0049127A">
        <w:rPr>
          <w:rFonts w:hint="cs"/>
          <w:rtl/>
        </w:rPr>
        <w:t>עדר</w:t>
      </w:r>
      <w:r>
        <w:rPr>
          <w:rFonts w:hint="cs"/>
          <w:rtl/>
        </w:rPr>
        <w:t xml:space="preserve"> </w:t>
      </w:r>
      <w:r w:rsidR="0049127A">
        <w:rPr>
          <w:rFonts w:hint="cs"/>
          <w:rtl/>
        </w:rPr>
        <w:t>הגדרה ברורה</w:t>
      </w:r>
      <w:r>
        <w:rPr>
          <w:rFonts w:hint="cs"/>
          <w:rtl/>
        </w:rPr>
        <w:t xml:space="preserve"> גרם לעמימות ולחוסר אחידות, </w:t>
      </w:r>
      <w:r w:rsidR="0049127A">
        <w:rPr>
          <w:rFonts w:hint="cs"/>
          <w:rtl/>
        </w:rPr>
        <w:t>שיחד עם חוסר שקיפות עלול</w:t>
      </w:r>
      <w:r>
        <w:rPr>
          <w:rFonts w:hint="cs"/>
          <w:rtl/>
        </w:rPr>
        <w:t>ים</w:t>
      </w:r>
      <w:r w:rsidR="0049127A">
        <w:rPr>
          <w:rFonts w:hint="cs"/>
          <w:rtl/>
        </w:rPr>
        <w:t xml:space="preserve"> לפגוע בעיקרון השוויון.</w:t>
      </w:r>
    </w:p>
    <w:p w14:paraId="4C074EDE" w14:textId="77777777" w:rsidR="0049127A" w:rsidRDefault="0049127A" w:rsidP="0049127A">
      <w:pPr>
        <w:pStyle w:val="Hesber"/>
        <w:rPr>
          <w:rtl/>
        </w:rPr>
      </w:pPr>
      <w:r>
        <w:rPr>
          <w:rFonts w:hint="cs"/>
          <w:rtl/>
        </w:rPr>
        <w:t>מטרתה הראשונה של הצעת החוק היא לתקן את תנאי הכשירות של מועמד לקאדי שרעי. מוצע לתקן את החוק כך שיוגדר באופן ברור שבעל השכלה דתית גבוהה בדין השרעי והשכלה גבוהה בלימודי האיסלאם, הוא בוגר</w:t>
      </w:r>
      <w:r>
        <w:rPr>
          <w:rtl/>
        </w:rPr>
        <w:t xml:space="preserve"> של תואר ראשון או ת</w:t>
      </w:r>
      <w:r>
        <w:rPr>
          <w:rFonts w:hint="cs"/>
          <w:rtl/>
        </w:rPr>
        <w:t>ואר</w:t>
      </w:r>
      <w:r>
        <w:rPr>
          <w:rtl/>
        </w:rPr>
        <w:t xml:space="preserve"> מתקד</w:t>
      </w:r>
      <w:r>
        <w:rPr>
          <w:rFonts w:hint="cs"/>
          <w:rtl/>
        </w:rPr>
        <w:t>ם</w:t>
      </w:r>
      <w:r w:rsidRPr="005277EB">
        <w:rPr>
          <w:rtl/>
        </w:rPr>
        <w:t xml:space="preserve"> בדין ה</w:t>
      </w:r>
      <w:r>
        <w:rPr>
          <w:rtl/>
        </w:rPr>
        <w:t>שרעי או בלימודי האסלאם, ממוסד</w:t>
      </w:r>
      <w:r>
        <w:rPr>
          <w:rFonts w:hint="cs"/>
          <w:rtl/>
        </w:rPr>
        <w:t xml:space="preserve"> </w:t>
      </w:r>
      <w:r>
        <w:rPr>
          <w:rtl/>
        </w:rPr>
        <w:t xml:space="preserve">להשכלה גבוהה בארץ או </w:t>
      </w:r>
      <w:r>
        <w:rPr>
          <w:rFonts w:hint="cs"/>
          <w:rtl/>
        </w:rPr>
        <w:t>מ</w:t>
      </w:r>
      <w:r>
        <w:rPr>
          <w:rtl/>
        </w:rPr>
        <w:t>מכלל</w:t>
      </w:r>
      <w:r>
        <w:rPr>
          <w:rFonts w:hint="cs"/>
          <w:rtl/>
        </w:rPr>
        <w:t>ה</w:t>
      </w:r>
      <w:r>
        <w:rPr>
          <w:rtl/>
        </w:rPr>
        <w:t xml:space="preserve"> או אוניברס</w:t>
      </w:r>
      <w:r>
        <w:rPr>
          <w:rFonts w:hint="cs"/>
          <w:rtl/>
        </w:rPr>
        <w:t>יטה</w:t>
      </w:r>
      <w:r>
        <w:rPr>
          <w:rtl/>
        </w:rPr>
        <w:t xml:space="preserve"> בחו</w:t>
      </w:r>
      <w:r>
        <w:rPr>
          <w:rFonts w:hint="cs"/>
          <w:rtl/>
        </w:rPr>
        <w:t>ץ לארץ</w:t>
      </w:r>
      <w:r>
        <w:rPr>
          <w:rtl/>
        </w:rPr>
        <w:t xml:space="preserve"> המוכר</w:t>
      </w:r>
      <w:r>
        <w:rPr>
          <w:rFonts w:hint="cs"/>
          <w:rtl/>
        </w:rPr>
        <w:t>ת</w:t>
      </w:r>
      <w:r w:rsidRPr="005277EB">
        <w:rPr>
          <w:rtl/>
        </w:rPr>
        <w:t xml:space="preserve"> על ידי משרד החינוך. בחוק בתי הדין הדתיים הדרוזיים, התשכ"ג–1962, הוגדרה הכשירות</w:t>
      </w:r>
      <w:r>
        <w:rPr>
          <w:rFonts w:hint="cs"/>
          <w:rtl/>
        </w:rPr>
        <w:t xml:space="preserve"> האקדמית הדרושה להתמנות לקאדי-מד'הב </w:t>
      </w:r>
      <w:r>
        <w:rPr>
          <w:rFonts w:hint="cs"/>
          <w:rtl/>
        </w:rPr>
        <w:lastRenderedPageBreak/>
        <w:t xml:space="preserve">באופן דומה. </w:t>
      </w:r>
    </w:p>
    <w:p w14:paraId="4F6967C0" w14:textId="322CC0C8" w:rsidR="0049127A" w:rsidRDefault="0049127A" w:rsidP="008F0B85">
      <w:pPr>
        <w:pStyle w:val="Hesber"/>
        <w:rPr>
          <w:rtl/>
        </w:rPr>
      </w:pPr>
      <w:r>
        <w:rPr>
          <w:rFonts w:hint="cs"/>
          <w:rtl/>
        </w:rPr>
        <w:t>בנוסף, מוצע לקבוע כי מעבר לדרישה להשכלה האקדמית כאמור,</w:t>
      </w:r>
      <w:r w:rsidRPr="00F62707">
        <w:rPr>
          <w:rFonts w:hint="cs"/>
          <w:rtl/>
        </w:rPr>
        <w:t xml:space="preserve"> </w:t>
      </w:r>
      <w:r>
        <w:rPr>
          <w:rFonts w:hint="cs"/>
          <w:rtl/>
        </w:rPr>
        <w:t>ה</w:t>
      </w:r>
      <w:r w:rsidRPr="00F62707">
        <w:rPr>
          <w:rFonts w:hint="cs"/>
          <w:rtl/>
        </w:rPr>
        <w:t>מועמד</w:t>
      </w:r>
      <w:r w:rsidR="008F0B85">
        <w:rPr>
          <w:rFonts w:hint="cs"/>
          <w:rtl/>
        </w:rPr>
        <w:t xml:space="preserve"> להיות קאדי שרעי</w:t>
      </w:r>
      <w:r>
        <w:rPr>
          <w:rFonts w:hint="cs"/>
          <w:rtl/>
        </w:rPr>
        <w:t xml:space="preserve"> </w:t>
      </w:r>
      <w:r w:rsidRPr="00F62707">
        <w:rPr>
          <w:rFonts w:hint="cs"/>
          <w:rtl/>
        </w:rPr>
        <w:t xml:space="preserve">נדרש גם להפגין יכולת אישית ביישום דיני השריעה </w:t>
      </w:r>
      <w:r>
        <w:rPr>
          <w:rFonts w:hint="cs"/>
          <w:rtl/>
        </w:rPr>
        <w:t xml:space="preserve">ולכן נדרש גם לחמש שנות ניסיון לפחות בטיעון שרעי. </w:t>
      </w:r>
      <w:r w:rsidRPr="00F62707">
        <w:rPr>
          <w:rFonts w:hint="cs"/>
          <w:rtl/>
        </w:rPr>
        <w:t>הדבר מתאפשר רק לבעל השכלה גבוהה בדין השרעי או בלימודי א</w:t>
      </w:r>
      <w:r w:rsidR="008F0B85">
        <w:rPr>
          <w:rFonts w:hint="cs"/>
          <w:rtl/>
        </w:rPr>
        <w:t>י</w:t>
      </w:r>
      <w:r w:rsidRPr="00F62707">
        <w:rPr>
          <w:rFonts w:hint="cs"/>
          <w:rtl/>
        </w:rPr>
        <w:t>סלאם אשר קיבל רישיון טוען שרעי ועסק בתחום זה יותר מחמש שנים</w:t>
      </w:r>
      <w:r>
        <w:rPr>
          <w:rFonts w:hint="cs"/>
          <w:rtl/>
        </w:rPr>
        <w:t>.</w:t>
      </w:r>
      <w:r w:rsidRPr="00F62707">
        <w:rPr>
          <w:rFonts w:hint="cs"/>
          <w:rtl/>
        </w:rPr>
        <w:t xml:space="preserve"> בדיוק</w:t>
      </w:r>
      <w:r>
        <w:rPr>
          <w:rFonts w:hint="cs"/>
          <w:rtl/>
        </w:rPr>
        <w:t xml:space="preserve"> כמו הדרישה מעורך דין, שמעבר לדרישה להיות בעל השכלה משפטית, נדרש גם לעסוק בעריכת דין במשך חמש שנים לפחות.</w:t>
      </w:r>
      <w:r w:rsidRPr="00F62707">
        <w:rPr>
          <w:rFonts w:hint="cs"/>
          <w:rtl/>
        </w:rPr>
        <w:t xml:space="preserve"> </w:t>
      </w:r>
      <w:r>
        <w:rPr>
          <w:rFonts w:hint="cs"/>
          <w:rtl/>
        </w:rPr>
        <w:t>מועמד אשר לא עסק בתחום כעורך דין או כטוען שרעי, אין לו ניסיון ממשי בתחום השיפוט השרעי, וחסר</w:t>
      </w:r>
      <w:r w:rsidR="008F0B85">
        <w:rPr>
          <w:rFonts w:hint="cs"/>
          <w:rtl/>
        </w:rPr>
        <w:t>ה</w:t>
      </w:r>
      <w:r>
        <w:rPr>
          <w:rFonts w:hint="cs"/>
          <w:rtl/>
        </w:rPr>
        <w:t xml:space="preserve"> לו היכולת לשפוט בין אנשים. ויתור</w:t>
      </w:r>
      <w:r w:rsidR="008F0B85">
        <w:rPr>
          <w:rFonts w:hint="cs"/>
          <w:rtl/>
        </w:rPr>
        <w:t xml:space="preserve"> על הדרישה של ניסיון ממשי בתחום</w:t>
      </w:r>
      <w:r>
        <w:rPr>
          <w:rFonts w:hint="cs"/>
          <w:rtl/>
        </w:rPr>
        <w:t xml:space="preserve"> עלול להוביל למינוי קאדים ברמה נמוכה.</w:t>
      </w:r>
    </w:p>
    <w:p w14:paraId="19BE0712" w14:textId="3E90EE2D" w:rsidR="0049127A" w:rsidRDefault="0049127A" w:rsidP="008F0B85">
      <w:pPr>
        <w:pStyle w:val="Hesber"/>
        <w:rPr>
          <w:rtl/>
        </w:rPr>
      </w:pPr>
      <w:r w:rsidRPr="008F0B85">
        <w:rPr>
          <w:rFonts w:hint="cs"/>
          <w:rtl/>
        </w:rPr>
        <w:t>מטרתה השנייה של הצעת החוק, היא למנוע שליטה של מפלגה אחת בוועדה למינוי קאדים. ריכוז של חברי ועדה מאותה מפלגה פוגע ביכולתה של הו</w:t>
      </w:r>
      <w:r w:rsidR="008F0B85">
        <w:rPr>
          <w:rFonts w:hint="cs"/>
          <w:rtl/>
        </w:rPr>
        <w:t>ו</w:t>
      </w:r>
      <w:r w:rsidRPr="008F0B85">
        <w:rPr>
          <w:rFonts w:hint="cs"/>
          <w:rtl/>
        </w:rPr>
        <w:t>עדה לבחור מועמדים בעלי השקפות עולם מגוונות ואף עלול לפגוע ביכולתם של מועמדים להתמודד בפני הו</w:t>
      </w:r>
      <w:r w:rsidR="008F0B85">
        <w:rPr>
          <w:rFonts w:hint="cs"/>
          <w:rtl/>
        </w:rPr>
        <w:t>ו</w:t>
      </w:r>
      <w:r w:rsidRPr="008F0B85">
        <w:rPr>
          <w:rFonts w:hint="cs"/>
          <w:rtl/>
        </w:rPr>
        <w:t>עדה. לכן, מוצע לקבוע כי יוכל להתמנות לוועדה רק חבר אחד מכל מפלגה ואין זה משנה אם הוא נציג הממשלה או הכנסת.</w:t>
      </w:r>
    </w:p>
    <w:p w14:paraId="4BC7799A" w14:textId="77777777" w:rsidR="008F0B85" w:rsidRDefault="008F0B85" w:rsidP="008F0B85">
      <w:pPr>
        <w:pStyle w:val="Hesber"/>
        <w:rPr>
          <w:rtl/>
        </w:rPr>
      </w:pPr>
    </w:p>
    <w:p w14:paraId="04FC33E3" w14:textId="77777777" w:rsidR="008F0B85" w:rsidRDefault="008F0B85" w:rsidP="008F0B85">
      <w:pPr>
        <w:pStyle w:val="Hesber"/>
        <w:rPr>
          <w:rtl/>
        </w:rPr>
      </w:pPr>
    </w:p>
    <w:p w14:paraId="414A1D67" w14:textId="77777777" w:rsidR="008F0B85" w:rsidRPr="003C5528" w:rsidRDefault="008F0B85" w:rsidP="003C5528">
      <w:pPr>
        <w:pStyle w:val="Hesber"/>
        <w:rPr>
          <w:rtl/>
        </w:rPr>
      </w:pPr>
      <w:r w:rsidRPr="003C5528">
        <w:rPr>
          <w:rtl/>
        </w:rPr>
        <w:t>---------------------------------</w:t>
      </w:r>
    </w:p>
    <w:p w14:paraId="5356D3D4" w14:textId="77777777" w:rsidR="008F0B85" w:rsidRPr="003C5528" w:rsidRDefault="008F0B85" w:rsidP="003C5528">
      <w:pPr>
        <w:pStyle w:val="Hesber"/>
        <w:rPr>
          <w:rtl/>
        </w:rPr>
      </w:pPr>
      <w:r w:rsidRPr="003C5528">
        <w:rPr>
          <w:rFonts w:hint="cs"/>
          <w:rtl/>
        </w:rPr>
        <w:t>הוגשה</w:t>
      </w:r>
      <w:r w:rsidRPr="003C5528">
        <w:rPr>
          <w:rtl/>
        </w:rPr>
        <w:t xml:space="preserve"> </w:t>
      </w:r>
      <w:r w:rsidRPr="003C5528">
        <w:rPr>
          <w:rFonts w:hint="cs"/>
          <w:rtl/>
        </w:rPr>
        <w:t>ליו</w:t>
      </w:r>
      <w:r w:rsidRPr="003C5528">
        <w:rPr>
          <w:rtl/>
        </w:rPr>
        <w:t>"</w:t>
      </w:r>
      <w:r w:rsidRPr="003C5528">
        <w:rPr>
          <w:rFonts w:hint="cs"/>
          <w:rtl/>
        </w:rPr>
        <w:t>ר</w:t>
      </w:r>
      <w:r w:rsidRPr="003C5528">
        <w:rPr>
          <w:rtl/>
        </w:rPr>
        <w:t xml:space="preserve"> </w:t>
      </w:r>
      <w:r w:rsidRPr="003C5528">
        <w:rPr>
          <w:rFonts w:hint="cs"/>
          <w:rtl/>
        </w:rPr>
        <w:t>הכנסת</w:t>
      </w:r>
      <w:r w:rsidRPr="003C5528">
        <w:rPr>
          <w:rtl/>
        </w:rPr>
        <w:t xml:space="preserve"> </w:t>
      </w:r>
      <w:r w:rsidRPr="003C5528">
        <w:rPr>
          <w:rFonts w:hint="cs"/>
          <w:rtl/>
        </w:rPr>
        <w:t>והסגנים</w:t>
      </w:r>
    </w:p>
    <w:p w14:paraId="45095CEF" w14:textId="77777777" w:rsidR="008F0B85" w:rsidRPr="003C5528" w:rsidRDefault="008F0B85" w:rsidP="003C5528">
      <w:pPr>
        <w:pStyle w:val="Hesber"/>
        <w:rPr>
          <w:rtl/>
        </w:rPr>
      </w:pPr>
      <w:r w:rsidRPr="003C5528">
        <w:rPr>
          <w:rFonts w:hint="cs"/>
          <w:rtl/>
        </w:rPr>
        <w:t>והונחה</w:t>
      </w:r>
      <w:r w:rsidRPr="003C5528">
        <w:rPr>
          <w:rtl/>
        </w:rPr>
        <w:t xml:space="preserve"> </w:t>
      </w:r>
      <w:r w:rsidRPr="003C5528">
        <w:rPr>
          <w:rFonts w:hint="cs"/>
          <w:rtl/>
        </w:rPr>
        <w:t>על</w:t>
      </w:r>
      <w:r w:rsidRPr="003C5528">
        <w:rPr>
          <w:rtl/>
        </w:rPr>
        <w:t xml:space="preserve"> </w:t>
      </w:r>
      <w:r w:rsidRPr="003C5528">
        <w:rPr>
          <w:rFonts w:hint="cs"/>
          <w:rtl/>
        </w:rPr>
        <w:t>שולחן</w:t>
      </w:r>
      <w:r w:rsidRPr="003C5528">
        <w:rPr>
          <w:rtl/>
        </w:rPr>
        <w:t xml:space="preserve"> </w:t>
      </w:r>
      <w:r w:rsidRPr="003C5528">
        <w:rPr>
          <w:rFonts w:hint="cs"/>
          <w:rtl/>
        </w:rPr>
        <w:t>הכנסת</w:t>
      </w:r>
      <w:r w:rsidRPr="003C5528">
        <w:rPr>
          <w:rtl/>
        </w:rPr>
        <w:t xml:space="preserve"> </w:t>
      </w:r>
      <w:r w:rsidRPr="003C5528">
        <w:rPr>
          <w:rFonts w:hint="cs"/>
          <w:rtl/>
        </w:rPr>
        <w:t>ביום</w:t>
      </w:r>
    </w:p>
    <w:p w14:paraId="2268D116" w14:textId="74CB7B25" w:rsidR="008F0B85" w:rsidRPr="008F0B85" w:rsidRDefault="008F0B85" w:rsidP="008F0B85">
      <w:pPr>
        <w:pStyle w:val="Hesber"/>
        <w:rPr>
          <w:rtl/>
        </w:rPr>
      </w:pPr>
      <w:r>
        <w:rPr>
          <w:rFonts w:hint="cs"/>
          <w:rtl/>
        </w:rPr>
        <w:t>כ"ט</w:t>
      </w:r>
      <w:r w:rsidRPr="003C5528">
        <w:rPr>
          <w:rFonts w:hint="cs"/>
          <w:rtl/>
        </w:rPr>
        <w:t xml:space="preserve"> באייר</w:t>
      </w:r>
      <w:r w:rsidRPr="003C5528">
        <w:rPr>
          <w:rtl/>
        </w:rPr>
        <w:t xml:space="preserve"> </w:t>
      </w:r>
      <w:r w:rsidRPr="003C5528">
        <w:rPr>
          <w:rFonts w:hint="cs"/>
          <w:rtl/>
        </w:rPr>
        <w:t>התשע</w:t>
      </w:r>
      <w:r w:rsidRPr="003C5528">
        <w:rPr>
          <w:rtl/>
        </w:rPr>
        <w:t>"</w:t>
      </w:r>
      <w:r w:rsidRPr="003C5528">
        <w:rPr>
          <w:rFonts w:hint="cs"/>
          <w:rtl/>
        </w:rPr>
        <w:t>ו</w:t>
      </w:r>
      <w:r w:rsidRPr="003C5528">
        <w:rPr>
          <w:rtl/>
        </w:rPr>
        <w:t xml:space="preserve"> – </w:t>
      </w:r>
      <w:r>
        <w:rPr>
          <w:rFonts w:hint="cs"/>
          <w:rtl/>
        </w:rPr>
        <w:t>6</w:t>
      </w:r>
      <w:r w:rsidRPr="003C5528">
        <w:rPr>
          <w:rFonts w:hint="cs"/>
          <w:rtl/>
        </w:rPr>
        <w:t>.</w:t>
      </w:r>
      <w:r>
        <w:rPr>
          <w:rFonts w:hint="cs"/>
          <w:rtl/>
        </w:rPr>
        <w:t>6</w:t>
      </w:r>
      <w:r w:rsidRPr="003C5528">
        <w:rPr>
          <w:rFonts w:hint="cs"/>
          <w:rtl/>
        </w:rPr>
        <w:t>.16</w:t>
      </w:r>
    </w:p>
    <w:p w14:paraId="2A21FA9B" w14:textId="77777777" w:rsidR="0049127A" w:rsidRPr="00F62707" w:rsidRDefault="0049127A" w:rsidP="0049127A">
      <w:pPr>
        <w:pStyle w:val="Hesber"/>
        <w:ind w:firstLine="0"/>
        <w:rPr>
          <w:rtl/>
        </w:rPr>
      </w:pPr>
    </w:p>
    <w:p w14:paraId="63B13A98" w14:textId="010A8B3B" w:rsidR="000A076F" w:rsidRPr="0049127A" w:rsidRDefault="000A076F" w:rsidP="0049127A">
      <w:pPr>
        <w:rPr>
          <w:rtl/>
        </w:rPr>
      </w:pPr>
    </w:p>
    <w:sectPr w:rsidR="000A076F" w:rsidRPr="0049127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D4ABD">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497E792" w14:textId="77777777" w:rsidR="0049127A" w:rsidRDefault="0049127A" w:rsidP="0049127A">
      <w:pPr>
        <w:pStyle w:val="a4"/>
        <w:rPr>
          <w:rtl/>
        </w:rPr>
      </w:pPr>
      <w:r>
        <w:rPr>
          <w:rStyle w:val="a6"/>
        </w:rPr>
        <w:footnoteRef/>
      </w:r>
      <w:r>
        <w:rPr>
          <w:rtl/>
        </w:rPr>
        <w:t xml:space="preserve"> </w:t>
      </w:r>
      <w:r>
        <w:rPr>
          <w:rFonts w:hint="cs"/>
          <w:rtl/>
        </w:rPr>
        <w:t>ס"ח התשכ"א, עמ' 118.</w:t>
      </w:r>
    </w:p>
  </w:footnote>
  <w:footnote w:id="3">
    <w:p w14:paraId="029BAF06" w14:textId="77777777" w:rsidR="0049127A" w:rsidRDefault="0049127A" w:rsidP="0049127A">
      <w:pPr>
        <w:pStyle w:val="a4"/>
        <w:rPr>
          <w:rtl/>
        </w:rPr>
      </w:pPr>
      <w:r>
        <w:rPr>
          <w:rStyle w:val="a6"/>
        </w:rPr>
        <w:footnoteRef/>
      </w:r>
      <w:r>
        <w:rPr>
          <w:rtl/>
        </w:rPr>
        <w:t xml:space="preserve"> </w:t>
      </w:r>
      <w:r>
        <w:rPr>
          <w:rFonts w:hint="cs"/>
          <w:rtl/>
        </w:rPr>
        <w:t xml:space="preserve">ס"ח התשכ"א, עמ' 31. </w:t>
      </w:r>
    </w:p>
  </w:footnote>
  <w:footnote w:id="4">
    <w:p w14:paraId="29962AB6" w14:textId="77777777" w:rsidR="008F0B85" w:rsidRDefault="008F0B85" w:rsidP="0049127A">
      <w:pPr>
        <w:pStyle w:val="a4"/>
        <w:rPr>
          <w:rtl/>
        </w:rPr>
      </w:pPr>
      <w:r>
        <w:rPr>
          <w:rStyle w:val="a6"/>
        </w:rPr>
        <w:footnoteRef/>
      </w:r>
      <w:r>
        <w:rPr>
          <w:rtl/>
        </w:rPr>
        <w:t xml:space="preserve"> </w:t>
      </w:r>
      <w:r w:rsidRPr="001046D5">
        <w:rPr>
          <w:rtl/>
        </w:rPr>
        <w:t>ס"ח התשנ"ב,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169A6"/>
    <w:rsid w:val="00063A3E"/>
    <w:rsid w:val="00072CAC"/>
    <w:rsid w:val="0007681A"/>
    <w:rsid w:val="0008254A"/>
    <w:rsid w:val="00086446"/>
    <w:rsid w:val="000A076F"/>
    <w:rsid w:val="000A542E"/>
    <w:rsid w:val="000C5601"/>
    <w:rsid w:val="00102B6B"/>
    <w:rsid w:val="001052D4"/>
    <w:rsid w:val="0010644B"/>
    <w:rsid w:val="001207F8"/>
    <w:rsid w:val="00121924"/>
    <w:rsid w:val="001279A8"/>
    <w:rsid w:val="00134F13"/>
    <w:rsid w:val="0013679F"/>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D4ABD"/>
    <w:rsid w:val="002F1D80"/>
    <w:rsid w:val="003232A2"/>
    <w:rsid w:val="00325C14"/>
    <w:rsid w:val="00363E3E"/>
    <w:rsid w:val="0036422C"/>
    <w:rsid w:val="003710F6"/>
    <w:rsid w:val="00386E88"/>
    <w:rsid w:val="00396585"/>
    <w:rsid w:val="003D6E38"/>
    <w:rsid w:val="003D74A0"/>
    <w:rsid w:val="004033D8"/>
    <w:rsid w:val="004073F0"/>
    <w:rsid w:val="00412A7D"/>
    <w:rsid w:val="00416B4D"/>
    <w:rsid w:val="00417CFC"/>
    <w:rsid w:val="0048097D"/>
    <w:rsid w:val="0049127A"/>
    <w:rsid w:val="004A06DC"/>
    <w:rsid w:val="004B24ED"/>
    <w:rsid w:val="004B6625"/>
    <w:rsid w:val="004D2D82"/>
    <w:rsid w:val="004D3876"/>
    <w:rsid w:val="004E4552"/>
    <w:rsid w:val="004E6CDF"/>
    <w:rsid w:val="00520AAC"/>
    <w:rsid w:val="00553C9D"/>
    <w:rsid w:val="00562A66"/>
    <w:rsid w:val="005B064E"/>
    <w:rsid w:val="005B0A18"/>
    <w:rsid w:val="005D51AE"/>
    <w:rsid w:val="0062674B"/>
    <w:rsid w:val="00631821"/>
    <w:rsid w:val="006363B2"/>
    <w:rsid w:val="00644940"/>
    <w:rsid w:val="00656883"/>
    <w:rsid w:val="00680B89"/>
    <w:rsid w:val="006818A9"/>
    <w:rsid w:val="006A2D81"/>
    <w:rsid w:val="006C1D0D"/>
    <w:rsid w:val="0070601E"/>
    <w:rsid w:val="00712C72"/>
    <w:rsid w:val="00730B13"/>
    <w:rsid w:val="0073546D"/>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63EA"/>
    <w:rsid w:val="00897879"/>
    <w:rsid w:val="008A6870"/>
    <w:rsid w:val="008C2DDC"/>
    <w:rsid w:val="008C7516"/>
    <w:rsid w:val="008E6EC7"/>
    <w:rsid w:val="008F0B85"/>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A5E14"/>
    <w:rsid w:val="00AC32FE"/>
    <w:rsid w:val="00AC36F7"/>
    <w:rsid w:val="00AC63A4"/>
    <w:rsid w:val="00AD239E"/>
    <w:rsid w:val="00B10265"/>
    <w:rsid w:val="00B16A99"/>
    <w:rsid w:val="00B21211"/>
    <w:rsid w:val="00B35784"/>
    <w:rsid w:val="00B733A7"/>
    <w:rsid w:val="00B75C91"/>
    <w:rsid w:val="00B95B7F"/>
    <w:rsid w:val="00B975AD"/>
    <w:rsid w:val="00BC45FB"/>
    <w:rsid w:val="00BF148D"/>
    <w:rsid w:val="00BF251C"/>
    <w:rsid w:val="00C23B1A"/>
    <w:rsid w:val="00C310EB"/>
    <w:rsid w:val="00C82F25"/>
    <w:rsid w:val="00C9176A"/>
    <w:rsid w:val="00CF1AA2"/>
    <w:rsid w:val="00D17774"/>
    <w:rsid w:val="00D63620"/>
    <w:rsid w:val="00D8410D"/>
    <w:rsid w:val="00D867D7"/>
    <w:rsid w:val="00DA3AF1"/>
    <w:rsid w:val="00DB7060"/>
    <w:rsid w:val="00DE3153"/>
    <w:rsid w:val="00DE72FE"/>
    <w:rsid w:val="00E06736"/>
    <w:rsid w:val="00E13C27"/>
    <w:rsid w:val="00E33BBD"/>
    <w:rsid w:val="00E374F2"/>
    <w:rsid w:val="00E45103"/>
    <w:rsid w:val="00E55A60"/>
    <w:rsid w:val="00E62778"/>
    <w:rsid w:val="00E63D38"/>
    <w:rsid w:val="00E665B9"/>
    <w:rsid w:val="00EA01E6"/>
    <w:rsid w:val="00EA3DE8"/>
    <w:rsid w:val="00EA758F"/>
    <w:rsid w:val="00EC7F26"/>
    <w:rsid w:val="00ED4A6F"/>
    <w:rsid w:val="00EE4851"/>
    <w:rsid w:val="00EF3A3A"/>
    <w:rsid w:val="00F5272C"/>
    <w:rsid w:val="00F62707"/>
    <w:rsid w:val="00F628D6"/>
    <w:rsid w:val="00F67051"/>
    <w:rsid w:val="00F86A1E"/>
    <w:rsid w:val="00F9449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2EA4D1E-3CE8-419C-B07D-69A8B40F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8963E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90A1B07-7A40-43F8-899A-168350DD1107}"/>
</file>

<file path=customXml/itemProps4.xml><?xml version="1.0" encoding="utf-8"?>
<ds:datastoreItem xmlns:ds="http://schemas.openxmlformats.org/officeDocument/2006/customXml" ds:itemID="{823E498C-01EC-4440-BEBD-5653C0761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432</Words>
  <Characters>2160</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15</cp:revision>
  <cp:lastPrinted>2016-06-02T09:08:00Z</cp:lastPrinted>
  <dcterms:created xsi:type="dcterms:W3CDTF">2015-04-20T09:58:00Z</dcterms:created>
  <dcterms:modified xsi:type="dcterms:W3CDTF">2016-06-02T09:08:00Z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2007526</vt:r8>
  </property>
</Properties>
</file>