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3DAD12" w14:textId="4C2E5DA0" w:rsidR="007D3C24" w:rsidRPr="007D3C24" w:rsidRDefault="007D3C24" w:rsidP="007D3C24">
      <w:pPr>
        <w:spacing w:before="0"/>
        <w:jc w:val="center"/>
        <w:rPr>
          <w:rFonts w:cs="David"/>
          <w:b/>
          <w:bCs/>
          <w:sz w:val="28"/>
          <w:szCs w:val="28"/>
          <w:u w:val="single"/>
          <w:rtl/>
        </w:rPr>
      </w:pPr>
      <w:bookmarkStart w:id="0" w:name="_GoBack"/>
      <w:bookmarkEnd w:id="0"/>
      <w:r w:rsidRPr="007D3C24">
        <w:rPr>
          <w:rFonts w:cs="David" w:hint="cs"/>
          <w:b/>
          <w:bCs/>
          <w:sz w:val="28"/>
          <w:szCs w:val="28"/>
          <w:u w:val="single"/>
          <w:rtl/>
        </w:rPr>
        <w:t xml:space="preserve">נוסח מוצע לדיון </w:t>
      </w:r>
    </w:p>
    <w:p w14:paraId="4DE458C5" w14:textId="77777777" w:rsidR="007D3C24" w:rsidRDefault="007D3C24" w:rsidP="007D3C24">
      <w:pPr>
        <w:spacing w:before="0"/>
        <w:jc w:val="center"/>
        <w:rPr>
          <w:rFonts w:cs="David"/>
          <w:sz w:val="28"/>
          <w:szCs w:val="28"/>
          <w:rtl/>
        </w:rPr>
      </w:pPr>
    </w:p>
    <w:p w14:paraId="29CA97B9" w14:textId="77777777" w:rsidR="007D3C24" w:rsidRPr="007D3C24" w:rsidRDefault="007D3C24" w:rsidP="007D3C24">
      <w:pPr>
        <w:spacing w:before="0"/>
        <w:jc w:val="center"/>
        <w:rPr>
          <w:rFonts w:cs="David"/>
          <w:sz w:val="28"/>
          <w:szCs w:val="28"/>
          <w:rtl/>
        </w:rPr>
      </w:pPr>
    </w:p>
    <w:p w14:paraId="6A256C58" w14:textId="77777777" w:rsidR="007D3C24" w:rsidRDefault="007D3C24" w:rsidP="007D3C24">
      <w:pPr>
        <w:spacing w:before="0"/>
        <w:jc w:val="center"/>
        <w:rPr>
          <w:rtl/>
        </w:rPr>
      </w:pPr>
    </w:p>
    <w:p w14:paraId="74DF926F" w14:textId="09AE6AA1" w:rsidR="00D90EA3" w:rsidRDefault="00B344AA" w:rsidP="0068208E">
      <w:pPr>
        <w:pStyle w:val="HeadHatzaotHok"/>
        <w:spacing w:before="0"/>
        <w:rPr>
          <w:rtl/>
        </w:rPr>
      </w:pPr>
      <w:bookmarkStart w:id="1" w:name="LGSName"/>
      <w:r>
        <w:rPr>
          <w:rFonts w:hint="cs"/>
          <w:rtl/>
        </w:rPr>
        <w:t xml:space="preserve">חוק שירותי הדת היהודיים (תיקון מס' </w:t>
      </w:r>
      <w:r w:rsidR="0068208E">
        <w:rPr>
          <w:rFonts w:hint="cs"/>
          <w:rtl/>
        </w:rPr>
        <w:t>...)</w:t>
      </w:r>
      <w:r>
        <w:rPr>
          <w:rFonts w:hint="cs"/>
          <w:rtl/>
        </w:rPr>
        <w:t>, התשע"</w:t>
      </w:r>
      <w:r w:rsidR="0068208E">
        <w:rPr>
          <w:rFonts w:hint="cs"/>
          <w:rtl/>
        </w:rPr>
        <w:t>ז–</w:t>
      </w:r>
      <w:r>
        <w:rPr>
          <w:rFonts w:hint="cs"/>
          <w:rtl/>
        </w:rPr>
        <w:t>2016</w:t>
      </w:r>
      <w:bookmarkEnd w:id="1"/>
    </w:p>
    <w:p w14:paraId="74DF9270" w14:textId="77777777" w:rsidR="00D90EA3" w:rsidRDefault="00D90EA3" w:rsidP="00D90EA3">
      <w:pPr>
        <w:pStyle w:val="Noparagraphstyle"/>
        <w:ind w:right="-28"/>
        <w:rPr>
          <w:rt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
      <w:tr w:rsidR="0068208E" w14:paraId="3E622510" w14:textId="77777777" w:rsidTr="00523E59">
        <w:trPr>
          <w:cantSplit/>
        </w:trPr>
        <w:tc>
          <w:tcPr>
            <w:tcW w:w="1871" w:type="dxa"/>
            <w:tcMar>
              <w:top w:w="91" w:type="dxa"/>
              <w:left w:w="0" w:type="dxa"/>
              <w:bottom w:w="91" w:type="dxa"/>
              <w:right w:w="0" w:type="dxa"/>
            </w:tcMar>
          </w:tcPr>
          <w:p w14:paraId="0BAA8761" w14:textId="77777777" w:rsidR="0068208E" w:rsidRDefault="0068208E" w:rsidP="00523E59">
            <w:pPr>
              <w:pStyle w:val="TableSideHeading"/>
              <w:rPr>
                <w:rtl/>
              </w:rPr>
            </w:pPr>
            <w:r>
              <w:rPr>
                <w:rtl/>
              </w:rPr>
              <w:t>הוספת</w:t>
            </w:r>
            <w:r>
              <w:rPr>
                <w:rtl/>
              </w:rPr>
              <w:br/>
              <w:t>סעיף 14א10</w:t>
            </w:r>
          </w:p>
        </w:tc>
        <w:tc>
          <w:tcPr>
            <w:tcW w:w="624" w:type="dxa"/>
            <w:tcMar>
              <w:top w:w="91" w:type="dxa"/>
              <w:left w:w="0" w:type="dxa"/>
              <w:bottom w:w="91" w:type="dxa"/>
              <w:right w:w="0" w:type="dxa"/>
            </w:tcMar>
          </w:tcPr>
          <w:p w14:paraId="281853B4" w14:textId="77777777" w:rsidR="0068208E" w:rsidRDefault="0068208E" w:rsidP="00523E59">
            <w:pPr>
              <w:pStyle w:val="TableText"/>
              <w:rPr>
                <w:rtl/>
              </w:rPr>
            </w:pPr>
            <w:r>
              <w:rPr>
                <w:rtl/>
              </w:rPr>
              <w:t>1.</w:t>
            </w:r>
          </w:p>
        </w:tc>
        <w:tc>
          <w:tcPr>
            <w:tcW w:w="7144" w:type="dxa"/>
            <w:gridSpan w:val="6"/>
            <w:tcMar>
              <w:top w:w="91" w:type="dxa"/>
              <w:left w:w="0" w:type="dxa"/>
              <w:bottom w:w="91" w:type="dxa"/>
              <w:right w:w="0" w:type="dxa"/>
            </w:tcMar>
          </w:tcPr>
          <w:p w14:paraId="484FF476" w14:textId="77777777" w:rsidR="0068208E" w:rsidRDefault="0068208E" w:rsidP="00523E59">
            <w:pPr>
              <w:pStyle w:val="TableBlock"/>
              <w:rPr>
                <w:rtl/>
              </w:rPr>
            </w:pPr>
            <w:r>
              <w:rPr>
                <w:rtl/>
              </w:rPr>
              <w:t>בחוק שירותי הדת היהודיים [נוסח משולב], התשל"א–1971‏</w:t>
            </w:r>
            <w:r>
              <w:rPr>
                <w:rStyle w:val="ab"/>
                <w:rFonts w:cs="Hadasa Roso SL"/>
                <w:rtl/>
              </w:rPr>
              <w:footnoteReference w:id="1"/>
            </w:r>
            <w:r>
              <w:rPr>
                <w:rtl/>
              </w:rPr>
              <w:t>‏, אחרי סעיף 14א9 יבוא:</w:t>
            </w:r>
          </w:p>
        </w:tc>
      </w:tr>
      <w:tr w:rsidR="0068208E" w14:paraId="7380E62A" w14:textId="77777777" w:rsidTr="00523E59">
        <w:trPr>
          <w:cantSplit/>
        </w:trPr>
        <w:tc>
          <w:tcPr>
            <w:tcW w:w="1871" w:type="dxa"/>
          </w:tcPr>
          <w:p w14:paraId="5634BA9E" w14:textId="77777777" w:rsidR="0068208E" w:rsidRPr="005D46A5" w:rsidRDefault="0068208E" w:rsidP="00523E59">
            <w:pPr>
              <w:pStyle w:val="TableSideHeading"/>
              <w:ind w:right="0"/>
              <w:rPr>
                <w:rtl/>
              </w:rPr>
            </w:pPr>
          </w:p>
        </w:tc>
        <w:tc>
          <w:tcPr>
            <w:tcW w:w="624" w:type="dxa"/>
            <w:tcMar>
              <w:top w:w="91" w:type="dxa"/>
              <w:left w:w="0" w:type="dxa"/>
              <w:bottom w:w="91" w:type="dxa"/>
              <w:right w:w="0" w:type="dxa"/>
            </w:tcMar>
          </w:tcPr>
          <w:p w14:paraId="3FE81724" w14:textId="77777777" w:rsidR="0068208E" w:rsidRDefault="0068208E" w:rsidP="00523E59">
            <w:pPr>
              <w:pStyle w:val="TableText"/>
              <w:rPr>
                <w:rtl/>
              </w:rPr>
            </w:pPr>
          </w:p>
        </w:tc>
        <w:tc>
          <w:tcPr>
            <w:tcW w:w="1872" w:type="dxa"/>
            <w:gridSpan w:val="3"/>
            <w:tcMar>
              <w:top w:w="91" w:type="dxa"/>
              <w:left w:w="0" w:type="dxa"/>
              <w:bottom w:w="91" w:type="dxa"/>
              <w:right w:w="0" w:type="dxa"/>
            </w:tcMar>
          </w:tcPr>
          <w:p w14:paraId="45CC8E74" w14:textId="77777777" w:rsidR="0068208E" w:rsidRDefault="0068208E" w:rsidP="00523E59">
            <w:pPr>
              <w:pStyle w:val="TableInnerSideHeading"/>
              <w:rPr>
                <w:rtl/>
              </w:rPr>
            </w:pPr>
            <w:r>
              <w:rPr>
                <w:rtl/>
              </w:rPr>
              <w:t>"שירותי העברת נפטרים</w:t>
            </w:r>
          </w:p>
        </w:tc>
        <w:tc>
          <w:tcPr>
            <w:tcW w:w="624" w:type="dxa"/>
            <w:tcMar>
              <w:top w:w="91" w:type="dxa"/>
              <w:left w:w="0" w:type="dxa"/>
              <w:bottom w:w="91" w:type="dxa"/>
              <w:right w:w="0" w:type="dxa"/>
            </w:tcMar>
          </w:tcPr>
          <w:p w14:paraId="5381D1D4" w14:textId="77777777" w:rsidR="0068208E" w:rsidRPr="005D46A5" w:rsidRDefault="0068208E" w:rsidP="00523E59">
            <w:pPr>
              <w:pStyle w:val="TableText"/>
              <w:ind w:right="0"/>
              <w:rPr>
                <w:w w:val="90"/>
                <w:rtl/>
              </w:rPr>
            </w:pPr>
            <w:r w:rsidRPr="005D46A5">
              <w:rPr>
                <w:w w:val="90"/>
                <w:rtl/>
              </w:rPr>
              <w:t>14א10.</w:t>
            </w:r>
          </w:p>
        </w:tc>
        <w:tc>
          <w:tcPr>
            <w:tcW w:w="4648" w:type="dxa"/>
            <w:gridSpan w:val="2"/>
            <w:tcMar>
              <w:top w:w="91" w:type="dxa"/>
              <w:left w:w="0" w:type="dxa"/>
              <w:bottom w:w="91" w:type="dxa"/>
              <w:right w:w="0" w:type="dxa"/>
            </w:tcMar>
          </w:tcPr>
          <w:p w14:paraId="365B9C1D" w14:textId="0239DE5B" w:rsidR="0068208E" w:rsidRDefault="0068208E" w:rsidP="00523E59">
            <w:pPr>
              <w:pStyle w:val="TableBlock"/>
              <w:rPr>
                <w:rtl/>
              </w:rPr>
            </w:pPr>
            <w:r>
              <w:rPr>
                <w:rtl/>
              </w:rPr>
              <w:t>(א)</w:t>
            </w:r>
            <w:r>
              <w:rPr>
                <w:rtl/>
              </w:rPr>
              <w:tab/>
            </w:r>
            <w:r w:rsidR="004C10B2">
              <w:rPr>
                <w:rFonts w:ascii="Times New Roman" w:eastAsia="Times New Roman" w:hAnsi="Times New Roman"/>
                <w:sz w:val="26"/>
                <w:rtl/>
              </w:rPr>
              <w:t>מי שהעביר נפטר, לרבות בעל רישיון לעסוק בקבורה, לא ימכור ולא יציע למכירה או ישווק בדרך אחרת בעת העברת הנפטר או בעת ההתקשרות בהסכם להעברת הנפטר, מוצר או שירות הקשורים בפטירה, ובכלל זה לוויה וסידוריה, קבורה והקמת המצבה</w:t>
            </w:r>
            <w:r w:rsidR="004C10B2">
              <w:rPr>
                <w:sz w:val="26"/>
                <w:rtl/>
              </w:rPr>
              <w:t>.</w:t>
            </w:r>
          </w:p>
        </w:tc>
      </w:tr>
      <w:tr w:rsidR="0068208E" w14:paraId="18FE7A16" w14:textId="77777777" w:rsidTr="00523E59">
        <w:trPr>
          <w:cantSplit/>
        </w:trPr>
        <w:tc>
          <w:tcPr>
            <w:tcW w:w="1871" w:type="dxa"/>
            <w:tcMar>
              <w:top w:w="91" w:type="dxa"/>
              <w:left w:w="0" w:type="dxa"/>
              <w:bottom w:w="91" w:type="dxa"/>
              <w:right w:w="0" w:type="dxa"/>
            </w:tcMar>
          </w:tcPr>
          <w:p w14:paraId="330ACD19" w14:textId="77777777" w:rsidR="0068208E" w:rsidRDefault="0068208E" w:rsidP="00523E59">
            <w:pPr>
              <w:pStyle w:val="TableSideHeading"/>
              <w:rPr>
                <w:rtl/>
              </w:rPr>
            </w:pPr>
          </w:p>
        </w:tc>
        <w:tc>
          <w:tcPr>
            <w:tcW w:w="624" w:type="dxa"/>
            <w:tcMar>
              <w:top w:w="91" w:type="dxa"/>
              <w:left w:w="0" w:type="dxa"/>
              <w:bottom w:w="91" w:type="dxa"/>
              <w:right w:w="0" w:type="dxa"/>
            </w:tcMar>
          </w:tcPr>
          <w:p w14:paraId="406B0B07" w14:textId="77777777" w:rsidR="0068208E" w:rsidRDefault="0068208E" w:rsidP="00523E59">
            <w:pPr>
              <w:pStyle w:val="TableText"/>
              <w:rPr>
                <w:rtl/>
              </w:rPr>
            </w:pPr>
          </w:p>
        </w:tc>
        <w:tc>
          <w:tcPr>
            <w:tcW w:w="624" w:type="dxa"/>
            <w:tcMar>
              <w:top w:w="91" w:type="dxa"/>
              <w:left w:w="0" w:type="dxa"/>
              <w:bottom w:w="91" w:type="dxa"/>
              <w:right w:w="0" w:type="dxa"/>
            </w:tcMar>
          </w:tcPr>
          <w:p w14:paraId="6592E84D" w14:textId="77777777" w:rsidR="0068208E" w:rsidRDefault="0068208E" w:rsidP="00523E59">
            <w:pPr>
              <w:pStyle w:val="TableText"/>
              <w:rPr>
                <w:rtl/>
              </w:rPr>
            </w:pPr>
          </w:p>
        </w:tc>
        <w:tc>
          <w:tcPr>
            <w:tcW w:w="624" w:type="dxa"/>
            <w:tcMar>
              <w:top w:w="91" w:type="dxa"/>
              <w:left w:w="0" w:type="dxa"/>
              <w:bottom w:w="91" w:type="dxa"/>
              <w:right w:w="0" w:type="dxa"/>
            </w:tcMar>
          </w:tcPr>
          <w:p w14:paraId="4FE6CD3B" w14:textId="77777777" w:rsidR="0068208E" w:rsidRDefault="0068208E" w:rsidP="00523E59">
            <w:pPr>
              <w:pStyle w:val="TableText"/>
              <w:rPr>
                <w:rtl/>
              </w:rPr>
            </w:pPr>
          </w:p>
        </w:tc>
        <w:tc>
          <w:tcPr>
            <w:tcW w:w="624" w:type="dxa"/>
            <w:tcMar>
              <w:top w:w="91" w:type="dxa"/>
              <w:left w:w="0" w:type="dxa"/>
              <w:bottom w:w="91" w:type="dxa"/>
              <w:right w:w="0" w:type="dxa"/>
            </w:tcMar>
          </w:tcPr>
          <w:p w14:paraId="645C228E" w14:textId="77777777" w:rsidR="0068208E" w:rsidRDefault="0068208E" w:rsidP="00523E59">
            <w:pPr>
              <w:pStyle w:val="TableText"/>
              <w:rPr>
                <w:rtl/>
              </w:rPr>
            </w:pPr>
          </w:p>
        </w:tc>
        <w:tc>
          <w:tcPr>
            <w:tcW w:w="624" w:type="dxa"/>
            <w:tcMar>
              <w:top w:w="91" w:type="dxa"/>
              <w:left w:w="0" w:type="dxa"/>
              <w:bottom w:w="91" w:type="dxa"/>
              <w:right w:w="0" w:type="dxa"/>
            </w:tcMar>
          </w:tcPr>
          <w:p w14:paraId="3DA67E6C" w14:textId="77777777" w:rsidR="0068208E" w:rsidRDefault="0068208E" w:rsidP="00523E59">
            <w:pPr>
              <w:pStyle w:val="TableText"/>
              <w:rPr>
                <w:rtl/>
              </w:rPr>
            </w:pPr>
          </w:p>
        </w:tc>
        <w:tc>
          <w:tcPr>
            <w:tcW w:w="4648" w:type="dxa"/>
            <w:gridSpan w:val="2"/>
            <w:tcMar>
              <w:top w:w="91" w:type="dxa"/>
              <w:left w:w="0" w:type="dxa"/>
              <w:bottom w:w="91" w:type="dxa"/>
              <w:right w:w="0" w:type="dxa"/>
            </w:tcMar>
          </w:tcPr>
          <w:p w14:paraId="374CD119" w14:textId="519D6914" w:rsidR="0068208E" w:rsidRPr="00D11151" w:rsidRDefault="0068208E" w:rsidP="003C4FC3">
            <w:pPr>
              <w:pStyle w:val="TableBlock"/>
              <w:rPr>
                <w:rtl/>
              </w:rPr>
            </w:pPr>
            <w:r>
              <w:rPr>
                <w:rtl/>
              </w:rPr>
              <w:t>(ב)</w:t>
            </w:r>
            <w:r>
              <w:rPr>
                <w:rtl/>
              </w:rPr>
              <w:tab/>
            </w:r>
            <w:r w:rsidR="00D11151">
              <w:rPr>
                <w:rFonts w:ascii="Times New Roman" w:eastAsia="Times New Roman" w:hAnsi="Times New Roman"/>
                <w:sz w:val="26"/>
                <w:rtl/>
              </w:rPr>
              <w:t xml:space="preserve">הוראות סעיף קטן (א) לא יחולו על מכירה או מתן שירות על ידי </w:t>
            </w:r>
            <w:r w:rsidR="003C4FC3">
              <w:rPr>
                <w:rFonts w:ascii="Times New Roman" w:eastAsia="Times New Roman" w:hAnsi="Times New Roman" w:hint="cs"/>
                <w:sz w:val="26"/>
                <w:rtl/>
              </w:rPr>
              <w:t>בעל</w:t>
            </w:r>
            <w:r w:rsidR="00D11151">
              <w:rPr>
                <w:rFonts w:ascii="Times New Roman" w:eastAsia="Times New Roman" w:hAnsi="Times New Roman"/>
                <w:sz w:val="26"/>
                <w:rtl/>
              </w:rPr>
              <w:t xml:space="preserve"> רישיון על פי דין לעסוק בקבורה, המותר</w:t>
            </w:r>
            <w:r w:rsidR="003C4FC3">
              <w:rPr>
                <w:rFonts w:ascii="Times New Roman" w:eastAsia="Times New Roman" w:hAnsi="Times New Roman" w:hint="cs"/>
                <w:sz w:val="26"/>
                <w:rtl/>
              </w:rPr>
              <w:t>ים</w:t>
            </w:r>
            <w:r w:rsidR="00D11151">
              <w:rPr>
                <w:rFonts w:ascii="Times New Roman" w:eastAsia="Times New Roman" w:hAnsi="Times New Roman"/>
                <w:sz w:val="26"/>
                <w:rtl/>
              </w:rPr>
              <w:t xml:space="preserve"> </w:t>
            </w:r>
            <w:r w:rsidR="007D3C24">
              <w:rPr>
                <w:rFonts w:ascii="Times New Roman" w:eastAsia="Times New Roman" w:hAnsi="Times New Roman" w:hint="cs"/>
                <w:sz w:val="26"/>
                <w:rtl/>
              </w:rPr>
              <w:t xml:space="preserve">לו </w:t>
            </w:r>
            <w:r w:rsidR="00D11151">
              <w:rPr>
                <w:rFonts w:ascii="Times New Roman" w:eastAsia="Times New Roman" w:hAnsi="Times New Roman"/>
                <w:sz w:val="26"/>
                <w:rtl/>
              </w:rPr>
              <w:t>על פי תנאי הרישיון</w:t>
            </w:r>
            <w:r w:rsidR="00D11151">
              <w:rPr>
                <w:rFonts w:hint="cs"/>
                <w:rtl/>
              </w:rPr>
              <w:t>.</w:t>
            </w:r>
          </w:p>
        </w:tc>
      </w:tr>
      <w:tr w:rsidR="00D11151" w14:paraId="7F27795E" w14:textId="77777777" w:rsidTr="00523E59">
        <w:trPr>
          <w:cantSplit/>
        </w:trPr>
        <w:tc>
          <w:tcPr>
            <w:tcW w:w="1871" w:type="dxa"/>
            <w:tcMar>
              <w:top w:w="91" w:type="dxa"/>
              <w:left w:w="0" w:type="dxa"/>
              <w:bottom w:w="91" w:type="dxa"/>
              <w:right w:w="0" w:type="dxa"/>
            </w:tcMar>
          </w:tcPr>
          <w:p w14:paraId="6B7B3E7A" w14:textId="77777777" w:rsidR="00D11151" w:rsidRDefault="00D11151" w:rsidP="00523E59">
            <w:pPr>
              <w:pStyle w:val="TableSideHeading"/>
              <w:rPr>
                <w:rtl/>
              </w:rPr>
            </w:pPr>
          </w:p>
        </w:tc>
        <w:tc>
          <w:tcPr>
            <w:tcW w:w="624" w:type="dxa"/>
            <w:tcMar>
              <w:top w:w="91" w:type="dxa"/>
              <w:left w:w="0" w:type="dxa"/>
              <w:bottom w:w="91" w:type="dxa"/>
              <w:right w:w="0" w:type="dxa"/>
            </w:tcMar>
          </w:tcPr>
          <w:p w14:paraId="7218B3C5" w14:textId="77777777" w:rsidR="00D11151" w:rsidRDefault="00D11151" w:rsidP="00D11151">
            <w:pPr>
              <w:pStyle w:val="TableText"/>
              <w:rPr>
                <w:rtl/>
              </w:rPr>
            </w:pPr>
          </w:p>
        </w:tc>
        <w:tc>
          <w:tcPr>
            <w:tcW w:w="624" w:type="dxa"/>
            <w:tcMar>
              <w:top w:w="91" w:type="dxa"/>
              <w:left w:w="0" w:type="dxa"/>
              <w:bottom w:w="91" w:type="dxa"/>
              <w:right w:w="0" w:type="dxa"/>
            </w:tcMar>
          </w:tcPr>
          <w:p w14:paraId="38B58AAC" w14:textId="77777777" w:rsidR="00D11151" w:rsidRDefault="00D11151" w:rsidP="00523E59">
            <w:pPr>
              <w:pStyle w:val="TableText"/>
              <w:rPr>
                <w:rtl/>
              </w:rPr>
            </w:pPr>
          </w:p>
        </w:tc>
        <w:tc>
          <w:tcPr>
            <w:tcW w:w="624" w:type="dxa"/>
            <w:tcMar>
              <w:top w:w="91" w:type="dxa"/>
              <w:left w:w="0" w:type="dxa"/>
              <w:bottom w:w="91" w:type="dxa"/>
              <w:right w:w="0" w:type="dxa"/>
            </w:tcMar>
          </w:tcPr>
          <w:p w14:paraId="2795B6F0" w14:textId="77777777" w:rsidR="00D11151" w:rsidRDefault="00D11151" w:rsidP="00523E59">
            <w:pPr>
              <w:pStyle w:val="TableText"/>
              <w:rPr>
                <w:rtl/>
              </w:rPr>
            </w:pPr>
          </w:p>
        </w:tc>
        <w:tc>
          <w:tcPr>
            <w:tcW w:w="624" w:type="dxa"/>
            <w:tcMar>
              <w:top w:w="91" w:type="dxa"/>
              <w:left w:w="0" w:type="dxa"/>
              <w:bottom w:w="91" w:type="dxa"/>
              <w:right w:w="0" w:type="dxa"/>
            </w:tcMar>
          </w:tcPr>
          <w:p w14:paraId="3597CF7C" w14:textId="77777777" w:rsidR="00D11151" w:rsidRDefault="00D11151" w:rsidP="00523E59">
            <w:pPr>
              <w:pStyle w:val="TableText"/>
              <w:rPr>
                <w:rtl/>
              </w:rPr>
            </w:pPr>
          </w:p>
        </w:tc>
        <w:tc>
          <w:tcPr>
            <w:tcW w:w="624" w:type="dxa"/>
            <w:tcMar>
              <w:top w:w="91" w:type="dxa"/>
              <w:left w:w="0" w:type="dxa"/>
              <w:bottom w:w="91" w:type="dxa"/>
              <w:right w:w="0" w:type="dxa"/>
            </w:tcMar>
          </w:tcPr>
          <w:p w14:paraId="1BFF87AA" w14:textId="77777777" w:rsidR="00D11151" w:rsidRDefault="00D11151" w:rsidP="00523E59">
            <w:pPr>
              <w:pStyle w:val="TableText"/>
              <w:rPr>
                <w:rtl/>
              </w:rPr>
            </w:pPr>
          </w:p>
        </w:tc>
        <w:tc>
          <w:tcPr>
            <w:tcW w:w="4648" w:type="dxa"/>
            <w:gridSpan w:val="2"/>
            <w:tcMar>
              <w:top w:w="91" w:type="dxa"/>
              <w:left w:w="0" w:type="dxa"/>
              <w:bottom w:w="91" w:type="dxa"/>
              <w:right w:w="0" w:type="dxa"/>
            </w:tcMar>
          </w:tcPr>
          <w:p w14:paraId="35044067" w14:textId="72ECB194" w:rsidR="00D11151" w:rsidRDefault="00D11151" w:rsidP="00523E59">
            <w:pPr>
              <w:pStyle w:val="TableBlock"/>
              <w:rPr>
                <w:rtl/>
              </w:rPr>
            </w:pPr>
            <w:r>
              <w:rPr>
                <w:rFonts w:hint="cs"/>
                <w:rtl/>
              </w:rPr>
              <w:t>(ג)</w:t>
            </w:r>
            <w:r>
              <w:rPr>
                <w:rtl/>
              </w:rPr>
              <w:tab/>
              <w:t>עוסק בהעברת נפטרים המתקשר בהסכם עם אדם לשם העברת נפטר לקבורה והוא אינו בעל רישיון לעסוק בקבורה, יודיע לאותו אדם בטרם ההתקשרות עמו כי הוא זכאי לקבל את שירות העברת הנפטר ללא עלות מגוף שהוא בעל רישיון לעסוק בקבורה הנמצא במקום המגורים של הנפטר או במקום פטירתו.</w:t>
            </w:r>
          </w:p>
        </w:tc>
      </w:tr>
      <w:tr w:rsidR="00D11151" w14:paraId="4025DDFC" w14:textId="77777777" w:rsidTr="00523E59">
        <w:trPr>
          <w:cantSplit/>
        </w:trPr>
        <w:tc>
          <w:tcPr>
            <w:tcW w:w="1871" w:type="dxa"/>
            <w:tcMar>
              <w:top w:w="91" w:type="dxa"/>
              <w:left w:w="0" w:type="dxa"/>
              <w:bottom w:w="91" w:type="dxa"/>
              <w:right w:w="0" w:type="dxa"/>
            </w:tcMar>
          </w:tcPr>
          <w:p w14:paraId="20473AF2" w14:textId="77777777" w:rsidR="00D11151" w:rsidRDefault="00D11151" w:rsidP="00523E59">
            <w:pPr>
              <w:pStyle w:val="TableSideHeading"/>
              <w:rPr>
                <w:rtl/>
              </w:rPr>
            </w:pPr>
          </w:p>
        </w:tc>
        <w:tc>
          <w:tcPr>
            <w:tcW w:w="624" w:type="dxa"/>
            <w:tcMar>
              <w:top w:w="91" w:type="dxa"/>
              <w:left w:w="0" w:type="dxa"/>
              <w:bottom w:w="91" w:type="dxa"/>
              <w:right w:w="0" w:type="dxa"/>
            </w:tcMar>
          </w:tcPr>
          <w:p w14:paraId="67AD09EA" w14:textId="77777777" w:rsidR="00D11151" w:rsidRDefault="00D11151" w:rsidP="00D11151">
            <w:pPr>
              <w:pStyle w:val="TableText"/>
              <w:rPr>
                <w:rtl/>
              </w:rPr>
            </w:pPr>
          </w:p>
        </w:tc>
        <w:tc>
          <w:tcPr>
            <w:tcW w:w="624" w:type="dxa"/>
            <w:tcMar>
              <w:top w:w="91" w:type="dxa"/>
              <w:left w:w="0" w:type="dxa"/>
              <w:bottom w:w="91" w:type="dxa"/>
              <w:right w:w="0" w:type="dxa"/>
            </w:tcMar>
          </w:tcPr>
          <w:p w14:paraId="74623218" w14:textId="77777777" w:rsidR="00D11151" w:rsidRDefault="00D11151" w:rsidP="00523E59">
            <w:pPr>
              <w:pStyle w:val="TableText"/>
              <w:rPr>
                <w:rtl/>
              </w:rPr>
            </w:pPr>
          </w:p>
        </w:tc>
        <w:tc>
          <w:tcPr>
            <w:tcW w:w="624" w:type="dxa"/>
            <w:tcMar>
              <w:top w:w="91" w:type="dxa"/>
              <w:left w:w="0" w:type="dxa"/>
              <w:bottom w:w="91" w:type="dxa"/>
              <w:right w:w="0" w:type="dxa"/>
            </w:tcMar>
          </w:tcPr>
          <w:p w14:paraId="7628A59F" w14:textId="77777777" w:rsidR="00D11151" w:rsidRDefault="00D11151" w:rsidP="00523E59">
            <w:pPr>
              <w:pStyle w:val="TableText"/>
              <w:rPr>
                <w:rtl/>
              </w:rPr>
            </w:pPr>
          </w:p>
        </w:tc>
        <w:tc>
          <w:tcPr>
            <w:tcW w:w="624" w:type="dxa"/>
            <w:tcMar>
              <w:top w:w="91" w:type="dxa"/>
              <w:left w:w="0" w:type="dxa"/>
              <w:bottom w:w="91" w:type="dxa"/>
              <w:right w:w="0" w:type="dxa"/>
            </w:tcMar>
          </w:tcPr>
          <w:p w14:paraId="1066BBFA" w14:textId="77777777" w:rsidR="00D11151" w:rsidRDefault="00D11151" w:rsidP="00523E59">
            <w:pPr>
              <w:pStyle w:val="TableText"/>
              <w:rPr>
                <w:rtl/>
              </w:rPr>
            </w:pPr>
          </w:p>
        </w:tc>
        <w:tc>
          <w:tcPr>
            <w:tcW w:w="624" w:type="dxa"/>
            <w:tcMar>
              <w:top w:w="91" w:type="dxa"/>
              <w:left w:w="0" w:type="dxa"/>
              <w:bottom w:w="91" w:type="dxa"/>
              <w:right w:w="0" w:type="dxa"/>
            </w:tcMar>
          </w:tcPr>
          <w:p w14:paraId="504618FF" w14:textId="77777777" w:rsidR="00D11151" w:rsidRDefault="00D11151" w:rsidP="00523E59">
            <w:pPr>
              <w:pStyle w:val="TableText"/>
              <w:rPr>
                <w:rtl/>
              </w:rPr>
            </w:pPr>
          </w:p>
        </w:tc>
        <w:tc>
          <w:tcPr>
            <w:tcW w:w="4648" w:type="dxa"/>
            <w:gridSpan w:val="2"/>
            <w:tcMar>
              <w:top w:w="91" w:type="dxa"/>
              <w:left w:w="0" w:type="dxa"/>
              <w:bottom w:w="91" w:type="dxa"/>
              <w:right w:w="0" w:type="dxa"/>
            </w:tcMar>
          </w:tcPr>
          <w:p w14:paraId="2C39CACD" w14:textId="4ACF5442" w:rsidR="00D11151" w:rsidRDefault="00D11151" w:rsidP="00523E59">
            <w:pPr>
              <w:pStyle w:val="TableBlock"/>
              <w:rPr>
                <w:rtl/>
              </w:rPr>
            </w:pPr>
            <w:r>
              <w:rPr>
                <w:rFonts w:hint="cs"/>
                <w:rtl/>
              </w:rPr>
              <w:t>(ד)</w:t>
            </w:r>
            <w:r>
              <w:rPr>
                <w:rtl/>
              </w:rPr>
              <w:tab/>
              <w:t>נטל ההוכחה לעניין העברת ההודעה כאמור בסעיף קטן (ג) הוא על נותן השירות, למעט לעניין סעיף קטן (ה)(2).</w:t>
            </w:r>
          </w:p>
        </w:tc>
      </w:tr>
      <w:tr w:rsidR="0068208E" w14:paraId="49388CB2" w14:textId="77777777" w:rsidTr="00523E59">
        <w:trPr>
          <w:cantSplit/>
        </w:trPr>
        <w:tc>
          <w:tcPr>
            <w:tcW w:w="1871" w:type="dxa"/>
            <w:tcMar>
              <w:top w:w="91" w:type="dxa"/>
              <w:left w:w="0" w:type="dxa"/>
              <w:bottom w:w="91" w:type="dxa"/>
              <w:right w:w="0" w:type="dxa"/>
            </w:tcMar>
          </w:tcPr>
          <w:p w14:paraId="759E54D6" w14:textId="77777777" w:rsidR="0068208E" w:rsidRDefault="0068208E" w:rsidP="00523E59">
            <w:pPr>
              <w:pStyle w:val="TableSideHeading"/>
              <w:rPr>
                <w:rtl/>
              </w:rPr>
            </w:pPr>
          </w:p>
        </w:tc>
        <w:tc>
          <w:tcPr>
            <w:tcW w:w="624" w:type="dxa"/>
            <w:tcMar>
              <w:top w:w="91" w:type="dxa"/>
              <w:left w:w="0" w:type="dxa"/>
              <w:bottom w:w="91" w:type="dxa"/>
              <w:right w:w="0" w:type="dxa"/>
            </w:tcMar>
          </w:tcPr>
          <w:p w14:paraId="56299472" w14:textId="77777777" w:rsidR="0068208E" w:rsidRDefault="0068208E" w:rsidP="00523E59">
            <w:pPr>
              <w:pStyle w:val="TableText"/>
              <w:rPr>
                <w:rtl/>
              </w:rPr>
            </w:pPr>
          </w:p>
        </w:tc>
        <w:tc>
          <w:tcPr>
            <w:tcW w:w="624" w:type="dxa"/>
            <w:tcMar>
              <w:top w:w="91" w:type="dxa"/>
              <w:left w:w="0" w:type="dxa"/>
              <w:bottom w:w="91" w:type="dxa"/>
              <w:right w:w="0" w:type="dxa"/>
            </w:tcMar>
          </w:tcPr>
          <w:p w14:paraId="1430B940" w14:textId="77777777" w:rsidR="0068208E" w:rsidRDefault="0068208E" w:rsidP="00523E59">
            <w:pPr>
              <w:pStyle w:val="TableText"/>
              <w:rPr>
                <w:rtl/>
              </w:rPr>
            </w:pPr>
          </w:p>
        </w:tc>
        <w:tc>
          <w:tcPr>
            <w:tcW w:w="624" w:type="dxa"/>
            <w:tcMar>
              <w:top w:w="91" w:type="dxa"/>
              <w:left w:w="0" w:type="dxa"/>
              <w:bottom w:w="91" w:type="dxa"/>
              <w:right w:w="0" w:type="dxa"/>
            </w:tcMar>
          </w:tcPr>
          <w:p w14:paraId="2C3F8BF1" w14:textId="77777777" w:rsidR="0068208E" w:rsidRDefault="0068208E" w:rsidP="00523E59">
            <w:pPr>
              <w:pStyle w:val="TableText"/>
              <w:rPr>
                <w:rtl/>
              </w:rPr>
            </w:pPr>
          </w:p>
        </w:tc>
        <w:tc>
          <w:tcPr>
            <w:tcW w:w="624" w:type="dxa"/>
            <w:tcMar>
              <w:top w:w="91" w:type="dxa"/>
              <w:left w:w="0" w:type="dxa"/>
              <w:bottom w:w="91" w:type="dxa"/>
              <w:right w:w="0" w:type="dxa"/>
            </w:tcMar>
          </w:tcPr>
          <w:p w14:paraId="1CE85F2A" w14:textId="77777777" w:rsidR="0068208E" w:rsidRDefault="0068208E" w:rsidP="00523E59">
            <w:pPr>
              <w:pStyle w:val="TableText"/>
              <w:rPr>
                <w:rtl/>
              </w:rPr>
            </w:pPr>
          </w:p>
        </w:tc>
        <w:tc>
          <w:tcPr>
            <w:tcW w:w="624" w:type="dxa"/>
            <w:tcMar>
              <w:top w:w="91" w:type="dxa"/>
              <w:left w:w="0" w:type="dxa"/>
              <w:bottom w:w="91" w:type="dxa"/>
              <w:right w:w="0" w:type="dxa"/>
            </w:tcMar>
          </w:tcPr>
          <w:p w14:paraId="19979418" w14:textId="77777777" w:rsidR="0068208E" w:rsidRDefault="0068208E" w:rsidP="00523E59">
            <w:pPr>
              <w:pStyle w:val="TableText"/>
              <w:rPr>
                <w:rtl/>
              </w:rPr>
            </w:pPr>
          </w:p>
        </w:tc>
        <w:tc>
          <w:tcPr>
            <w:tcW w:w="4648" w:type="dxa"/>
            <w:gridSpan w:val="2"/>
            <w:tcMar>
              <w:top w:w="91" w:type="dxa"/>
              <w:left w:w="0" w:type="dxa"/>
              <w:bottom w:w="91" w:type="dxa"/>
              <w:right w:w="0" w:type="dxa"/>
            </w:tcMar>
          </w:tcPr>
          <w:p w14:paraId="67191B48" w14:textId="42CC1B11" w:rsidR="0068208E" w:rsidRDefault="0068208E" w:rsidP="00D11151">
            <w:pPr>
              <w:pStyle w:val="TableBlock"/>
              <w:rPr>
                <w:rtl/>
              </w:rPr>
            </w:pPr>
            <w:r>
              <w:rPr>
                <w:w w:val="101"/>
                <w:rtl/>
              </w:rPr>
              <w:t>(</w:t>
            </w:r>
            <w:r w:rsidR="00D11151">
              <w:rPr>
                <w:rFonts w:hint="cs"/>
                <w:w w:val="101"/>
                <w:rtl/>
              </w:rPr>
              <w:t>ה</w:t>
            </w:r>
            <w:r>
              <w:rPr>
                <w:w w:val="101"/>
                <w:rtl/>
              </w:rPr>
              <w:t>)</w:t>
            </w:r>
            <w:r>
              <w:rPr>
                <w:w w:val="101"/>
                <w:rtl/>
              </w:rPr>
              <w:tab/>
            </w:r>
            <w:r w:rsidR="00D11151">
              <w:rPr>
                <w:rFonts w:hint="cs"/>
                <w:w w:val="101"/>
                <w:rtl/>
              </w:rPr>
              <w:t>העושה אחד מאלה</w:t>
            </w:r>
            <w:r>
              <w:rPr>
                <w:w w:val="101"/>
                <w:rtl/>
              </w:rPr>
              <w:t>, דינו – קנס כאמור בסעיף 61(א)(1) לחוק העונשין, התשל"ז–1977‏</w:t>
            </w:r>
            <w:r>
              <w:rPr>
                <w:rStyle w:val="ab"/>
                <w:rFonts w:cs="Hadasa Roso SL"/>
                <w:rtl/>
              </w:rPr>
              <w:footnoteReference w:id="2"/>
            </w:r>
            <w:r w:rsidR="00D11151">
              <w:rPr>
                <w:rFonts w:hint="cs"/>
                <w:w w:val="101"/>
                <w:rtl/>
              </w:rPr>
              <w:t>:</w:t>
            </w:r>
          </w:p>
        </w:tc>
      </w:tr>
      <w:tr w:rsidR="00D11151" w14:paraId="4FC1245B" w14:textId="77777777">
        <w:tblPrEx>
          <w:tblLook w:val="01E0" w:firstRow="1" w:lastRow="1" w:firstColumn="1" w:lastColumn="1" w:noHBand="0" w:noVBand="0"/>
        </w:tblPrEx>
        <w:trPr>
          <w:cantSplit/>
          <w:trHeight w:val="60"/>
        </w:trPr>
        <w:tc>
          <w:tcPr>
            <w:tcW w:w="1871" w:type="dxa"/>
          </w:tcPr>
          <w:p w14:paraId="0F9B162E" w14:textId="77777777" w:rsidR="00D11151" w:rsidRDefault="00D11151">
            <w:pPr>
              <w:pStyle w:val="TableSideHeading"/>
            </w:pPr>
          </w:p>
        </w:tc>
        <w:tc>
          <w:tcPr>
            <w:tcW w:w="624" w:type="dxa"/>
          </w:tcPr>
          <w:p w14:paraId="4BAE8AB9" w14:textId="77777777" w:rsidR="00D11151" w:rsidRDefault="00D11151">
            <w:pPr>
              <w:pStyle w:val="TableText"/>
            </w:pPr>
          </w:p>
        </w:tc>
        <w:tc>
          <w:tcPr>
            <w:tcW w:w="624" w:type="dxa"/>
          </w:tcPr>
          <w:p w14:paraId="020CB4E6" w14:textId="77777777" w:rsidR="00D11151" w:rsidRDefault="00D11151">
            <w:pPr>
              <w:pStyle w:val="TableText"/>
            </w:pPr>
          </w:p>
        </w:tc>
        <w:tc>
          <w:tcPr>
            <w:tcW w:w="624" w:type="dxa"/>
          </w:tcPr>
          <w:p w14:paraId="3C849F4A" w14:textId="77777777" w:rsidR="00D11151" w:rsidRDefault="00D11151">
            <w:pPr>
              <w:pStyle w:val="TableText"/>
            </w:pPr>
          </w:p>
        </w:tc>
        <w:tc>
          <w:tcPr>
            <w:tcW w:w="624" w:type="dxa"/>
          </w:tcPr>
          <w:p w14:paraId="46DFBB84" w14:textId="77777777" w:rsidR="00D11151" w:rsidRDefault="00D11151">
            <w:pPr>
              <w:pStyle w:val="TableText"/>
            </w:pPr>
          </w:p>
        </w:tc>
        <w:tc>
          <w:tcPr>
            <w:tcW w:w="624" w:type="dxa"/>
          </w:tcPr>
          <w:p w14:paraId="10299B6F" w14:textId="77777777" w:rsidR="00D11151" w:rsidRDefault="00D11151">
            <w:pPr>
              <w:pStyle w:val="TableText"/>
            </w:pPr>
          </w:p>
        </w:tc>
        <w:tc>
          <w:tcPr>
            <w:tcW w:w="624" w:type="dxa"/>
          </w:tcPr>
          <w:p w14:paraId="273CBB0E" w14:textId="77777777" w:rsidR="00D11151" w:rsidRDefault="00D11151">
            <w:pPr>
              <w:pStyle w:val="TableText"/>
            </w:pPr>
          </w:p>
        </w:tc>
        <w:tc>
          <w:tcPr>
            <w:tcW w:w="4026" w:type="dxa"/>
          </w:tcPr>
          <w:p w14:paraId="5FE0D7BC" w14:textId="2B2AE61E" w:rsidR="00D11151" w:rsidRDefault="00D11151">
            <w:pPr>
              <w:pStyle w:val="TableBlock"/>
            </w:pPr>
            <w:r>
              <w:rPr>
                <w:rtl/>
              </w:rPr>
              <w:t>(1) מעביר נפטר ובעת העברתו או בעת ההתקשרות בהסכם להעברתו מוכר, מציע למכירה או משווק בדרך אחרת מוצר או שירות הקשורים בפטירה בניגוד להוראות סעיף 14א10(א);</w:t>
            </w:r>
          </w:p>
        </w:tc>
      </w:tr>
      <w:tr w:rsidR="00D11151" w14:paraId="48200F99" w14:textId="77777777">
        <w:tblPrEx>
          <w:tblLook w:val="01E0" w:firstRow="1" w:lastRow="1" w:firstColumn="1" w:lastColumn="1" w:noHBand="0" w:noVBand="0"/>
        </w:tblPrEx>
        <w:trPr>
          <w:cantSplit/>
          <w:trHeight w:val="60"/>
        </w:trPr>
        <w:tc>
          <w:tcPr>
            <w:tcW w:w="1871" w:type="dxa"/>
          </w:tcPr>
          <w:p w14:paraId="4DEB19FB" w14:textId="77777777" w:rsidR="00D11151" w:rsidRDefault="00D11151">
            <w:pPr>
              <w:pStyle w:val="TableSideHeading"/>
            </w:pPr>
          </w:p>
        </w:tc>
        <w:tc>
          <w:tcPr>
            <w:tcW w:w="624" w:type="dxa"/>
          </w:tcPr>
          <w:p w14:paraId="4F509ED4" w14:textId="77777777" w:rsidR="00D11151" w:rsidRDefault="00D11151" w:rsidP="00D11151">
            <w:pPr>
              <w:pStyle w:val="TableText"/>
            </w:pPr>
          </w:p>
        </w:tc>
        <w:tc>
          <w:tcPr>
            <w:tcW w:w="624" w:type="dxa"/>
          </w:tcPr>
          <w:p w14:paraId="62EA1364" w14:textId="77777777" w:rsidR="00D11151" w:rsidRDefault="00D11151">
            <w:pPr>
              <w:pStyle w:val="TableText"/>
            </w:pPr>
          </w:p>
        </w:tc>
        <w:tc>
          <w:tcPr>
            <w:tcW w:w="624" w:type="dxa"/>
          </w:tcPr>
          <w:p w14:paraId="48F6BE24" w14:textId="77777777" w:rsidR="00D11151" w:rsidRDefault="00D11151">
            <w:pPr>
              <w:pStyle w:val="TableText"/>
            </w:pPr>
          </w:p>
        </w:tc>
        <w:tc>
          <w:tcPr>
            <w:tcW w:w="624" w:type="dxa"/>
          </w:tcPr>
          <w:p w14:paraId="3CE94A9D" w14:textId="77777777" w:rsidR="00D11151" w:rsidRDefault="00D11151">
            <w:pPr>
              <w:pStyle w:val="TableText"/>
            </w:pPr>
          </w:p>
        </w:tc>
        <w:tc>
          <w:tcPr>
            <w:tcW w:w="624" w:type="dxa"/>
          </w:tcPr>
          <w:p w14:paraId="5CE03336" w14:textId="77777777" w:rsidR="00D11151" w:rsidRDefault="00D11151">
            <w:pPr>
              <w:pStyle w:val="TableText"/>
            </w:pPr>
          </w:p>
        </w:tc>
        <w:tc>
          <w:tcPr>
            <w:tcW w:w="624" w:type="dxa"/>
          </w:tcPr>
          <w:p w14:paraId="20199814" w14:textId="77777777" w:rsidR="00D11151" w:rsidRDefault="00D11151">
            <w:pPr>
              <w:pStyle w:val="TableText"/>
            </w:pPr>
          </w:p>
        </w:tc>
        <w:tc>
          <w:tcPr>
            <w:tcW w:w="4026" w:type="dxa"/>
          </w:tcPr>
          <w:p w14:paraId="10EBFB9A" w14:textId="282DAE6E" w:rsidR="00D11151" w:rsidRDefault="00D11151">
            <w:pPr>
              <w:pStyle w:val="TableBlock"/>
              <w:rPr>
                <w:rtl/>
              </w:rPr>
            </w:pPr>
            <w:r>
              <w:rPr>
                <w:rtl/>
              </w:rPr>
              <w:t>(2) עוסק בהעברת נפטרים, שאינו בעל רישיון, המתקשר בהסכם עם אדם לשם העברת נפטר לקבורה, ולא מודיע לאדם עמו הוא מתקשר כי הוא זכאי לקבל שירות זה ללא עלות מגוף שהוא בעל רישיון לעסוק בקבורה בניגוד להוראות סעיף 14א10(ג).</w:t>
            </w:r>
          </w:p>
        </w:tc>
      </w:tr>
      <w:tr w:rsidR="00D11151" w14:paraId="3474B7E0" w14:textId="77777777">
        <w:tblPrEx>
          <w:tblLook w:val="01E0" w:firstRow="1" w:lastRow="1" w:firstColumn="1" w:lastColumn="1" w:noHBand="0" w:noVBand="0"/>
        </w:tblPrEx>
        <w:trPr>
          <w:cantSplit/>
          <w:trHeight w:val="60"/>
        </w:trPr>
        <w:tc>
          <w:tcPr>
            <w:tcW w:w="1871" w:type="dxa"/>
          </w:tcPr>
          <w:p w14:paraId="7B897A6A" w14:textId="77777777" w:rsidR="00D11151" w:rsidRDefault="00D11151">
            <w:pPr>
              <w:pStyle w:val="TableSideHeading"/>
            </w:pPr>
          </w:p>
        </w:tc>
        <w:tc>
          <w:tcPr>
            <w:tcW w:w="624" w:type="dxa"/>
          </w:tcPr>
          <w:p w14:paraId="642A2725" w14:textId="77777777" w:rsidR="00D11151" w:rsidRDefault="00D11151">
            <w:pPr>
              <w:pStyle w:val="TableText"/>
            </w:pPr>
          </w:p>
        </w:tc>
        <w:tc>
          <w:tcPr>
            <w:tcW w:w="624" w:type="dxa"/>
          </w:tcPr>
          <w:p w14:paraId="402CB359" w14:textId="77777777" w:rsidR="00D11151" w:rsidRDefault="00D11151">
            <w:pPr>
              <w:pStyle w:val="TableText"/>
            </w:pPr>
          </w:p>
        </w:tc>
        <w:tc>
          <w:tcPr>
            <w:tcW w:w="624" w:type="dxa"/>
          </w:tcPr>
          <w:p w14:paraId="0DE92F4F" w14:textId="77777777" w:rsidR="00D11151" w:rsidRDefault="00D11151">
            <w:pPr>
              <w:pStyle w:val="TableText"/>
            </w:pPr>
          </w:p>
        </w:tc>
        <w:tc>
          <w:tcPr>
            <w:tcW w:w="624" w:type="dxa"/>
          </w:tcPr>
          <w:p w14:paraId="45C8923C" w14:textId="77777777" w:rsidR="00D11151" w:rsidRDefault="00D11151">
            <w:pPr>
              <w:pStyle w:val="TableText"/>
            </w:pPr>
          </w:p>
        </w:tc>
        <w:tc>
          <w:tcPr>
            <w:tcW w:w="624" w:type="dxa"/>
          </w:tcPr>
          <w:p w14:paraId="3A9EEBE7" w14:textId="77777777" w:rsidR="00D11151" w:rsidRDefault="00D11151">
            <w:pPr>
              <w:pStyle w:val="TableText"/>
            </w:pPr>
          </w:p>
        </w:tc>
        <w:tc>
          <w:tcPr>
            <w:tcW w:w="4650" w:type="dxa"/>
            <w:gridSpan w:val="2"/>
          </w:tcPr>
          <w:p w14:paraId="7DCCCA2A" w14:textId="0E340C8D" w:rsidR="00D11151" w:rsidRDefault="00D11151">
            <w:pPr>
              <w:pStyle w:val="TableBlock"/>
            </w:pPr>
            <w:r>
              <w:rPr>
                <w:rFonts w:hint="cs"/>
                <w:rtl/>
              </w:rPr>
              <w:t>(ו)</w:t>
            </w:r>
            <w:r>
              <w:rPr>
                <w:rtl/>
              </w:rPr>
              <w:tab/>
              <w:t xml:space="preserve">בלי לגרוע מהוראות חוק הגנת הצרכן, התשמ"א-1981, מי שעוסק בהעברת נפטרים לא יתקשר בהסכם עם קרוב של נפטר לשם העברת הנפטר תוך הפעלת לחץ, הטרדה או תוך ניצול מצוקה של קרוב הנפטר </w:t>
            </w:r>
            <w:r w:rsidRPr="00D11151">
              <w:rPr>
                <w:rtl/>
              </w:rPr>
              <w:t>הקשורים בפטירתו.</w:t>
            </w:r>
          </w:p>
        </w:tc>
      </w:tr>
      <w:tr w:rsidR="00D11151" w14:paraId="39C09532" w14:textId="77777777">
        <w:tblPrEx>
          <w:tblLook w:val="01E0" w:firstRow="1" w:lastRow="1" w:firstColumn="1" w:lastColumn="1" w:noHBand="0" w:noVBand="0"/>
        </w:tblPrEx>
        <w:trPr>
          <w:cantSplit/>
          <w:trHeight w:val="60"/>
        </w:trPr>
        <w:tc>
          <w:tcPr>
            <w:tcW w:w="1871" w:type="dxa"/>
          </w:tcPr>
          <w:p w14:paraId="5EA0A474" w14:textId="77777777" w:rsidR="00D11151" w:rsidRDefault="00D11151">
            <w:pPr>
              <w:pStyle w:val="TableSideHeading"/>
            </w:pPr>
          </w:p>
        </w:tc>
        <w:tc>
          <w:tcPr>
            <w:tcW w:w="624" w:type="dxa"/>
          </w:tcPr>
          <w:p w14:paraId="53D1D67F" w14:textId="77777777" w:rsidR="00D11151" w:rsidRDefault="00D11151" w:rsidP="00D11151">
            <w:pPr>
              <w:pStyle w:val="TableText"/>
            </w:pPr>
          </w:p>
        </w:tc>
        <w:tc>
          <w:tcPr>
            <w:tcW w:w="624" w:type="dxa"/>
          </w:tcPr>
          <w:p w14:paraId="341EB69B" w14:textId="77777777" w:rsidR="00D11151" w:rsidRDefault="00D11151">
            <w:pPr>
              <w:pStyle w:val="TableText"/>
            </w:pPr>
          </w:p>
        </w:tc>
        <w:tc>
          <w:tcPr>
            <w:tcW w:w="624" w:type="dxa"/>
          </w:tcPr>
          <w:p w14:paraId="19502470" w14:textId="77777777" w:rsidR="00D11151" w:rsidRDefault="00D11151">
            <w:pPr>
              <w:pStyle w:val="TableText"/>
            </w:pPr>
          </w:p>
        </w:tc>
        <w:tc>
          <w:tcPr>
            <w:tcW w:w="624" w:type="dxa"/>
          </w:tcPr>
          <w:p w14:paraId="3292A525" w14:textId="77777777" w:rsidR="00D11151" w:rsidRDefault="00D11151">
            <w:pPr>
              <w:pStyle w:val="TableText"/>
            </w:pPr>
          </w:p>
        </w:tc>
        <w:tc>
          <w:tcPr>
            <w:tcW w:w="624" w:type="dxa"/>
          </w:tcPr>
          <w:p w14:paraId="3ED648B8" w14:textId="77777777" w:rsidR="00D11151" w:rsidRDefault="00D11151">
            <w:pPr>
              <w:pStyle w:val="TableText"/>
            </w:pPr>
          </w:p>
        </w:tc>
        <w:tc>
          <w:tcPr>
            <w:tcW w:w="4650" w:type="dxa"/>
            <w:gridSpan w:val="2"/>
          </w:tcPr>
          <w:p w14:paraId="3DB0913D" w14:textId="70785B06" w:rsidR="00D11151" w:rsidRDefault="00D11151">
            <w:pPr>
              <w:pStyle w:val="TableBlock"/>
              <w:rPr>
                <w:rtl/>
              </w:rPr>
            </w:pPr>
            <w:r>
              <w:rPr>
                <w:rFonts w:hint="cs"/>
                <w:rtl/>
              </w:rPr>
              <w:t>(ז)</w:t>
            </w:r>
            <w:r>
              <w:rPr>
                <w:rtl/>
              </w:rPr>
              <w:tab/>
              <w:t>התקשר מי שעוסק בהעברת נפטרים עם קרוב של נפטר בהסכם לשם העברת נפטר רשאי בית המשפט לפסוק פיצויים שאינם תלויים בנזק, בסכום שלא יעלה על 5,000 שקלים חדשים אם מצא כי הפר מי שעוסק בקבורת נפטרים ביודעין את ההוראה הקבועה בסעיף קטן (ו).</w:t>
            </w:r>
          </w:p>
        </w:tc>
      </w:tr>
      <w:tr w:rsidR="00D11151" w14:paraId="2CC2F084" w14:textId="77777777">
        <w:tblPrEx>
          <w:tblLook w:val="01E0" w:firstRow="1" w:lastRow="1" w:firstColumn="1" w:lastColumn="1" w:noHBand="0" w:noVBand="0"/>
        </w:tblPrEx>
        <w:trPr>
          <w:cantSplit/>
          <w:trHeight w:val="60"/>
        </w:trPr>
        <w:tc>
          <w:tcPr>
            <w:tcW w:w="1871" w:type="dxa"/>
          </w:tcPr>
          <w:p w14:paraId="6F808335" w14:textId="77777777" w:rsidR="00D11151" w:rsidRDefault="00D11151">
            <w:pPr>
              <w:pStyle w:val="TableSideHeading"/>
            </w:pPr>
          </w:p>
        </w:tc>
        <w:tc>
          <w:tcPr>
            <w:tcW w:w="624" w:type="dxa"/>
          </w:tcPr>
          <w:p w14:paraId="30366BC3" w14:textId="77777777" w:rsidR="00D11151" w:rsidRDefault="00D11151" w:rsidP="00D11151">
            <w:pPr>
              <w:pStyle w:val="TableText"/>
            </w:pPr>
          </w:p>
        </w:tc>
        <w:tc>
          <w:tcPr>
            <w:tcW w:w="624" w:type="dxa"/>
          </w:tcPr>
          <w:p w14:paraId="32D0D3B5" w14:textId="77777777" w:rsidR="00D11151" w:rsidRDefault="00D11151">
            <w:pPr>
              <w:pStyle w:val="TableText"/>
            </w:pPr>
          </w:p>
        </w:tc>
        <w:tc>
          <w:tcPr>
            <w:tcW w:w="624" w:type="dxa"/>
          </w:tcPr>
          <w:p w14:paraId="1056A59E" w14:textId="77777777" w:rsidR="00D11151" w:rsidRDefault="00D11151">
            <w:pPr>
              <w:pStyle w:val="TableText"/>
            </w:pPr>
          </w:p>
        </w:tc>
        <w:tc>
          <w:tcPr>
            <w:tcW w:w="624" w:type="dxa"/>
          </w:tcPr>
          <w:p w14:paraId="671C5039" w14:textId="77777777" w:rsidR="00D11151" w:rsidRDefault="00D11151">
            <w:pPr>
              <w:pStyle w:val="TableText"/>
            </w:pPr>
          </w:p>
        </w:tc>
        <w:tc>
          <w:tcPr>
            <w:tcW w:w="624" w:type="dxa"/>
          </w:tcPr>
          <w:p w14:paraId="443E92E4" w14:textId="77777777" w:rsidR="00D11151" w:rsidRDefault="00D11151">
            <w:pPr>
              <w:pStyle w:val="TableText"/>
            </w:pPr>
          </w:p>
        </w:tc>
        <w:tc>
          <w:tcPr>
            <w:tcW w:w="4650" w:type="dxa"/>
            <w:gridSpan w:val="2"/>
          </w:tcPr>
          <w:p w14:paraId="2F961C28" w14:textId="3CC31BB1" w:rsidR="00D11151" w:rsidRDefault="00D11151">
            <w:pPr>
              <w:pStyle w:val="TableBlock"/>
              <w:rPr>
                <w:rtl/>
              </w:rPr>
            </w:pPr>
            <w:r>
              <w:rPr>
                <w:rFonts w:hint="cs"/>
                <w:rtl/>
              </w:rPr>
              <w:t>(ח)</w:t>
            </w:r>
            <w:r>
              <w:rPr>
                <w:rtl/>
              </w:rPr>
              <w:tab/>
              <w:t>אין בהוראות סעיף קטן (ז) כדי לגרוע מזכותו של אדם לפיצויים או לכל סעד אחר לפי כל דין, בשל אותה הפרה.</w:t>
            </w:r>
          </w:p>
        </w:tc>
      </w:tr>
    </w:tbl>
    <w:p w14:paraId="74DF927D" w14:textId="77777777" w:rsidR="00D90EA3" w:rsidRPr="0068208E" w:rsidRDefault="00D90EA3" w:rsidP="00D90EA3">
      <w:pPr>
        <w:ind w:right="-28"/>
        <w:jc w:val="center"/>
        <w:rPr>
          <w:sz w:val="26"/>
          <w:szCs w:val="26"/>
          <w:rtl/>
        </w:rPr>
      </w:pPr>
    </w:p>
    <w:p w14:paraId="74DF927F" w14:textId="0E07330A" w:rsidR="00D90EA3" w:rsidRDefault="00D90EA3" w:rsidP="00D90EA3">
      <w:pPr>
        <w:spacing w:before="0" w:line="360" w:lineRule="auto"/>
        <w:ind w:right="-28" w:firstLine="0"/>
        <w:jc w:val="center"/>
        <w:rPr>
          <w:rFonts w:cs="David"/>
          <w:b/>
          <w:bCs/>
          <w:sz w:val="28"/>
          <w:szCs w:val="28"/>
          <w:rtl/>
        </w:rPr>
      </w:pPr>
    </w:p>
    <w:sectPr w:rsid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94F50F" w14:textId="77777777" w:rsidR="00D00E82" w:rsidRDefault="00D00E82">
      <w:r>
        <w:separator/>
      </w:r>
    </w:p>
  </w:endnote>
  <w:endnote w:type="continuationSeparator" w:id="0">
    <w:p w14:paraId="4721E368" w14:textId="77777777" w:rsidR="00D00E82" w:rsidRDefault="00D00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F30D90" w14:textId="77777777" w:rsidR="00D00E82" w:rsidRDefault="00D00E82">
      <w:r>
        <w:separator/>
      </w:r>
    </w:p>
  </w:footnote>
  <w:footnote w:type="continuationSeparator" w:id="0">
    <w:p w14:paraId="6D51409B" w14:textId="77777777" w:rsidR="00D00E82" w:rsidRDefault="00D00E82">
      <w:r>
        <w:continuationSeparator/>
      </w:r>
    </w:p>
  </w:footnote>
  <w:footnote w:id="1">
    <w:p w14:paraId="197A65F4" w14:textId="77777777" w:rsidR="0068208E" w:rsidRDefault="0068208E" w:rsidP="0068208E">
      <w:pPr>
        <w:pStyle w:val="a9"/>
      </w:pPr>
      <w:r>
        <w:rPr>
          <w:rStyle w:val="ab"/>
          <w:rFonts w:cs="Hadasa Roso SL"/>
        </w:rPr>
        <w:footnoteRef/>
      </w:r>
      <w:r>
        <w:rPr>
          <w:rtl/>
        </w:rPr>
        <w:t xml:space="preserve"> ס"ח התשל"א, עמ' 130; התשע"ה, עמ' 26.</w:t>
      </w:r>
    </w:p>
  </w:footnote>
  <w:footnote w:id="2">
    <w:p w14:paraId="07A5FA97" w14:textId="77777777" w:rsidR="0068208E" w:rsidRDefault="0068208E" w:rsidP="0068208E">
      <w:pPr>
        <w:pStyle w:val="a9"/>
      </w:pPr>
      <w:r>
        <w:rPr>
          <w:rStyle w:val="ab"/>
          <w:rFonts w:cs="Hadasa Roso SL"/>
        </w:rPr>
        <w:footnoteRef/>
      </w:r>
      <w:r>
        <w:rPr>
          <w:rtl/>
        </w:rPr>
        <w:t xml:space="preserve"> ס"ח התשל"ז, עמ' 226.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AC" w14:textId="77777777"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14:paraId="74DF92AD" w14:textId="77777777"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AE" w14:textId="77777777"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122143">
      <w:rPr>
        <w:rStyle w:val="a4"/>
        <w:rFonts w:cs="David"/>
        <w:noProof/>
        <w:sz w:val="24"/>
        <w:szCs w:val="24"/>
        <w:rtl/>
      </w:rPr>
      <w:t>- 1 -</w:t>
    </w:r>
    <w:r w:rsidRPr="00AE54D2">
      <w:rPr>
        <w:rStyle w:val="a4"/>
        <w:rFonts w:cs="David"/>
        <w:sz w:val="24"/>
        <w:szCs w:val="24"/>
        <w:rtl/>
      </w:rPr>
      <w:fldChar w:fldCharType="end"/>
    </w:r>
  </w:p>
  <w:p w14:paraId="74DF92AF" w14:textId="77777777"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B0" w14:textId="77777777"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14:paraId="74DF92B1" w14:textId="77777777"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534CE"/>
    <w:rsid w:val="00085AF5"/>
    <w:rsid w:val="00122143"/>
    <w:rsid w:val="001523A1"/>
    <w:rsid w:val="001F41E9"/>
    <w:rsid w:val="00231DA2"/>
    <w:rsid w:val="002E2917"/>
    <w:rsid w:val="003144B0"/>
    <w:rsid w:val="003321D9"/>
    <w:rsid w:val="0039467E"/>
    <w:rsid w:val="003A4748"/>
    <w:rsid w:val="003C4FC3"/>
    <w:rsid w:val="003C5EEF"/>
    <w:rsid w:val="003E078D"/>
    <w:rsid w:val="004848F1"/>
    <w:rsid w:val="004B02E1"/>
    <w:rsid w:val="004C10B2"/>
    <w:rsid w:val="004D76BA"/>
    <w:rsid w:val="004E4D0F"/>
    <w:rsid w:val="004E6C52"/>
    <w:rsid w:val="0052387E"/>
    <w:rsid w:val="00542FB2"/>
    <w:rsid w:val="00575B55"/>
    <w:rsid w:val="00576A29"/>
    <w:rsid w:val="005859E8"/>
    <w:rsid w:val="005D78CF"/>
    <w:rsid w:val="00622BB8"/>
    <w:rsid w:val="00624FFD"/>
    <w:rsid w:val="00651409"/>
    <w:rsid w:val="00652AD2"/>
    <w:rsid w:val="00673B72"/>
    <w:rsid w:val="0068208E"/>
    <w:rsid w:val="006F480B"/>
    <w:rsid w:val="00726A93"/>
    <w:rsid w:val="0073794D"/>
    <w:rsid w:val="00751A68"/>
    <w:rsid w:val="00781A61"/>
    <w:rsid w:val="00793E44"/>
    <w:rsid w:val="007D3C24"/>
    <w:rsid w:val="007E514D"/>
    <w:rsid w:val="00805563"/>
    <w:rsid w:val="00836F86"/>
    <w:rsid w:val="008845C3"/>
    <w:rsid w:val="008C0276"/>
    <w:rsid w:val="008C6844"/>
    <w:rsid w:val="008D4758"/>
    <w:rsid w:val="008F08AB"/>
    <w:rsid w:val="008F6C05"/>
    <w:rsid w:val="00975C62"/>
    <w:rsid w:val="009B1D40"/>
    <w:rsid w:val="009F4428"/>
    <w:rsid w:val="00A21F1D"/>
    <w:rsid w:val="00A65F80"/>
    <w:rsid w:val="00AE4246"/>
    <w:rsid w:val="00AE54D2"/>
    <w:rsid w:val="00B01A75"/>
    <w:rsid w:val="00B04C18"/>
    <w:rsid w:val="00B12E9C"/>
    <w:rsid w:val="00B20166"/>
    <w:rsid w:val="00B344AA"/>
    <w:rsid w:val="00BB1BDF"/>
    <w:rsid w:val="00BC1A12"/>
    <w:rsid w:val="00BE4C3C"/>
    <w:rsid w:val="00C006D1"/>
    <w:rsid w:val="00C54B62"/>
    <w:rsid w:val="00C6516A"/>
    <w:rsid w:val="00D00E82"/>
    <w:rsid w:val="00D049CE"/>
    <w:rsid w:val="00D11151"/>
    <w:rsid w:val="00D82422"/>
    <w:rsid w:val="00D90EA3"/>
    <w:rsid w:val="00DA0981"/>
    <w:rsid w:val="00DA50B3"/>
    <w:rsid w:val="00DF07CB"/>
    <w:rsid w:val="00E052FA"/>
    <w:rsid w:val="00E42816"/>
    <w:rsid w:val="00E91DD8"/>
    <w:rsid w:val="00EE37FF"/>
    <w:rsid w:val="00F12A90"/>
    <w:rsid w:val="00F2792D"/>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9AC42143-D200-43CF-9607-1CC528165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rsid w:val="0068208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68208E"/>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6820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676693">
      <w:bodyDiv w:val="1"/>
      <w:marLeft w:val="0"/>
      <w:marRight w:val="0"/>
      <w:marTop w:val="0"/>
      <w:marBottom w:val="0"/>
      <w:divBdr>
        <w:top w:val="none" w:sz="0" w:space="0" w:color="auto"/>
        <w:left w:val="none" w:sz="0" w:space="0" w:color="auto"/>
        <w:bottom w:val="none" w:sz="0" w:space="0" w:color="auto"/>
        <w:right w:val="none" w:sz="0" w:space="0" w:color="auto"/>
      </w:divBdr>
    </w:div>
    <w:div w:id="924849746">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E2C0BD-3292-4569-A9F5-7C9D0FF246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74A133-416F-4D7F-803D-DB96F0E6A477}"/>
</file>

<file path=customXml/itemProps3.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4.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5.xml><?xml version="1.0" encoding="utf-8"?>
<ds:datastoreItem xmlns:ds="http://schemas.openxmlformats.org/officeDocument/2006/customXml" ds:itemID="{832E31AF-0DDF-403F-B525-7410238DEA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1631</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שי גרשון מאיר</cp:lastModifiedBy>
  <cp:revision>2</cp:revision>
  <cp:lastPrinted>2012-10-31T12:25:00Z</cp:lastPrinted>
  <dcterms:created xsi:type="dcterms:W3CDTF">2016-11-21T08:53:00Z</dcterms:created>
  <dcterms:modified xsi:type="dcterms:W3CDTF">2016-11-21T08:53:00Z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a695813f-0149-4b28-ae12-f469d8fd5cac</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2009131</vt:r8>
  </property>
</Properties>
</file>