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9D4" w:rsidRPr="001F49D4" w:rsidRDefault="001F49D4" w:rsidP="005201CF">
      <w:pPr>
        <w:pStyle w:val="1"/>
        <w:numPr>
          <w:ilvl w:val="0"/>
          <w:numId w:val="0"/>
        </w:numPr>
        <w:spacing w:before="0" w:after="120"/>
        <w:jc w:val="center"/>
        <w:rPr>
          <w:rFonts w:ascii="Arial" w:hAnsi="Arial" w:cs="Arial"/>
          <w:rtl/>
        </w:rPr>
      </w:pPr>
      <w:bookmarkStart w:id="0" w:name="_GoBack"/>
      <w:bookmarkEnd w:id="0"/>
      <w:r w:rsidRPr="001F49D4">
        <w:rPr>
          <w:rFonts w:ascii="Arial" w:hAnsi="Arial" w:cs="Arial" w:hint="cs"/>
          <w:rtl/>
        </w:rPr>
        <w:t>חשיבותם של ניתוחי השמה מגדרית בישראל</w:t>
      </w:r>
    </w:p>
    <w:p w:rsidR="0099558B" w:rsidRPr="0099558B" w:rsidRDefault="001F49D4" w:rsidP="001F49D4">
      <w:pPr>
        <w:rPr>
          <w:i/>
          <w:iCs/>
          <w:sz w:val="20"/>
          <w:szCs w:val="20"/>
          <w:rtl/>
        </w:rPr>
      </w:pPr>
      <w:r>
        <w:rPr>
          <w:rFonts w:hint="cs"/>
          <w:i/>
          <w:iCs/>
          <w:sz w:val="20"/>
          <w:szCs w:val="20"/>
          <w:rtl/>
        </w:rPr>
        <w:t xml:space="preserve">מאת </w:t>
      </w:r>
      <w:r w:rsidR="006B1D6D" w:rsidRPr="001F49D4">
        <w:rPr>
          <w:rFonts w:hint="cs"/>
          <w:i/>
          <w:iCs/>
          <w:sz w:val="20"/>
          <w:szCs w:val="20"/>
          <w:rtl/>
        </w:rPr>
        <w:t>נינה הלוי, נציגת הציבור בוועדה הארצית לניתוחי השמה מגדרית, משרד הבריאות</w:t>
      </w:r>
      <w:r>
        <w:rPr>
          <w:rFonts w:hint="cs"/>
          <w:i/>
          <w:iCs/>
          <w:sz w:val="20"/>
          <w:szCs w:val="20"/>
          <w:rtl/>
        </w:rPr>
        <w:t>,</w:t>
      </w:r>
      <w:r>
        <w:rPr>
          <w:i/>
          <w:iCs/>
          <w:sz w:val="20"/>
          <w:szCs w:val="20"/>
          <w:rtl/>
        </w:rPr>
        <w:br/>
      </w:r>
      <w:r w:rsidR="0099558B" w:rsidRPr="0099558B">
        <w:rPr>
          <w:rFonts w:hint="cs"/>
          <w:i/>
          <w:iCs/>
          <w:sz w:val="20"/>
          <w:szCs w:val="20"/>
          <w:rtl/>
        </w:rPr>
        <w:t xml:space="preserve">מסמך זה יוצג בישיבת הוועדה </w:t>
      </w:r>
      <w:r w:rsidR="006B1D6D">
        <w:rPr>
          <w:rFonts w:hint="cs"/>
          <w:i/>
          <w:iCs/>
          <w:sz w:val="20"/>
          <w:szCs w:val="20"/>
          <w:rtl/>
        </w:rPr>
        <w:t>לביקורת המדינה של הכנסת</w:t>
      </w:r>
      <w:r w:rsidR="0099558B" w:rsidRPr="0099558B">
        <w:rPr>
          <w:rFonts w:hint="cs"/>
          <w:i/>
          <w:iCs/>
          <w:sz w:val="20"/>
          <w:szCs w:val="20"/>
          <w:rtl/>
        </w:rPr>
        <w:t xml:space="preserve"> בתאריך </w:t>
      </w:r>
      <w:r w:rsidR="006B1D6D">
        <w:rPr>
          <w:rFonts w:hint="cs"/>
          <w:i/>
          <w:iCs/>
          <w:sz w:val="20"/>
          <w:szCs w:val="20"/>
          <w:rtl/>
        </w:rPr>
        <w:t>22</w:t>
      </w:r>
      <w:r w:rsidR="0099558B" w:rsidRPr="0099558B">
        <w:rPr>
          <w:rFonts w:hint="cs"/>
          <w:i/>
          <w:iCs/>
          <w:sz w:val="20"/>
          <w:szCs w:val="20"/>
          <w:rtl/>
        </w:rPr>
        <w:t>-11-2016</w:t>
      </w:r>
      <w:r w:rsidR="0077447F">
        <w:rPr>
          <w:rFonts w:hint="cs"/>
          <w:i/>
          <w:iCs/>
          <w:sz w:val="20"/>
          <w:szCs w:val="20"/>
          <w:rtl/>
        </w:rPr>
        <w:t>.</w:t>
      </w:r>
    </w:p>
    <w:p w:rsidR="00692033" w:rsidRDefault="00AE7561" w:rsidP="001E5372">
      <w:pPr>
        <w:rPr>
          <w:rtl/>
        </w:rPr>
      </w:pPr>
      <w:r>
        <w:rPr>
          <w:rFonts w:hint="cs"/>
          <w:rtl/>
        </w:rPr>
        <w:t>א</w:t>
      </w:r>
      <w:r w:rsidR="00D9779D">
        <w:rPr>
          <w:rFonts w:hint="cs"/>
          <w:rtl/>
        </w:rPr>
        <w:t>נו הטרנסג'נדרים</w:t>
      </w:r>
      <w:r>
        <w:rPr>
          <w:rFonts w:hint="cs"/>
          <w:rtl/>
        </w:rPr>
        <w:t xml:space="preserve"> </w:t>
      </w:r>
      <w:r w:rsidR="00AC3B65">
        <w:rPr>
          <w:rFonts w:hint="cs"/>
          <w:rtl/>
        </w:rPr>
        <w:t>חשופים תכופות ל</w:t>
      </w:r>
      <w:r w:rsidR="00AC3B65" w:rsidRPr="00AC3B65">
        <w:rPr>
          <w:rtl/>
        </w:rPr>
        <w:t>אפליה, הדרה</w:t>
      </w:r>
      <w:r w:rsidR="00AC3B65">
        <w:rPr>
          <w:rFonts w:hint="cs"/>
          <w:rtl/>
        </w:rPr>
        <w:t>, תוקפנות</w:t>
      </w:r>
      <w:r w:rsidR="00AC3B65" w:rsidRPr="00AC3B65">
        <w:rPr>
          <w:rtl/>
        </w:rPr>
        <w:t xml:space="preserve"> ואלימות</w:t>
      </w:r>
      <w:r w:rsidR="00AC3B65">
        <w:rPr>
          <w:rFonts w:hint="cs"/>
          <w:rtl/>
        </w:rPr>
        <w:t xml:space="preserve">, </w:t>
      </w:r>
      <w:r w:rsidR="00D9779D">
        <w:rPr>
          <w:rFonts w:hint="cs"/>
          <w:rtl/>
        </w:rPr>
        <w:t xml:space="preserve">ומנועים מגישה לדיור, השכלה, </w:t>
      </w:r>
      <w:r w:rsidR="00AC3B65">
        <w:rPr>
          <w:rFonts w:hint="cs"/>
          <w:rtl/>
        </w:rPr>
        <w:t>תעסוקה</w:t>
      </w:r>
      <w:r w:rsidR="00416B8E">
        <w:rPr>
          <w:rFonts w:hint="cs"/>
          <w:rtl/>
        </w:rPr>
        <w:t xml:space="preserve"> ומעני בריאות</w:t>
      </w:r>
      <w:r w:rsidR="001E5372">
        <w:rPr>
          <w:rFonts w:hint="cs"/>
          <w:rtl/>
        </w:rPr>
        <w:t xml:space="preserve"> ורווחה</w:t>
      </w:r>
      <w:r w:rsidR="00AC3B65">
        <w:rPr>
          <w:rFonts w:hint="cs"/>
          <w:rtl/>
        </w:rPr>
        <w:t xml:space="preserve">. </w:t>
      </w:r>
      <w:r w:rsidR="00D9779D">
        <w:rPr>
          <w:rFonts w:hint="cs"/>
          <w:rtl/>
        </w:rPr>
        <w:t xml:space="preserve">מראה שונה, קול שונה או מסמכי זיהוי שאינם תואמים לזהות </w:t>
      </w:r>
      <w:r w:rsidR="00224983">
        <w:rPr>
          <w:rFonts w:hint="cs"/>
          <w:rtl/>
        </w:rPr>
        <w:t>בה אנו חיים</w:t>
      </w:r>
      <w:r w:rsidR="00D9779D">
        <w:rPr>
          <w:rFonts w:hint="cs"/>
          <w:rtl/>
        </w:rPr>
        <w:t xml:space="preserve"> מסמנים אותנו </w:t>
      </w:r>
      <w:r w:rsidR="00224983">
        <w:rPr>
          <w:rFonts w:hint="cs"/>
          <w:rtl/>
        </w:rPr>
        <w:t xml:space="preserve">כמטרות </w:t>
      </w:r>
      <w:r w:rsidR="00D9779D">
        <w:rPr>
          <w:rFonts w:hint="cs"/>
          <w:rtl/>
        </w:rPr>
        <w:t>קל</w:t>
      </w:r>
      <w:r w:rsidR="00224983">
        <w:rPr>
          <w:rFonts w:hint="cs"/>
          <w:rtl/>
        </w:rPr>
        <w:t>ות</w:t>
      </w:r>
      <w:r w:rsidR="00D9779D">
        <w:rPr>
          <w:rFonts w:hint="cs"/>
          <w:rtl/>
        </w:rPr>
        <w:t xml:space="preserve"> להתנכלות והתעללות. </w:t>
      </w:r>
      <w:r w:rsidR="00DB63CA">
        <w:rPr>
          <w:rFonts w:hint="cs"/>
          <w:rtl/>
        </w:rPr>
        <w:t>המראה של</w:t>
      </w:r>
      <w:r w:rsidR="001E5372">
        <w:rPr>
          <w:rFonts w:hint="cs"/>
          <w:rtl/>
        </w:rPr>
        <w:t>נו, החיים בגוף שלנו,</w:t>
      </w:r>
      <w:r w:rsidR="00DB63CA">
        <w:rPr>
          <w:rFonts w:hint="cs"/>
          <w:rtl/>
        </w:rPr>
        <w:t xml:space="preserve"> חוש</w:t>
      </w:r>
      <w:r w:rsidR="001E5372">
        <w:rPr>
          <w:rFonts w:hint="cs"/>
          <w:rtl/>
        </w:rPr>
        <w:t>פים</w:t>
      </w:r>
      <w:r w:rsidR="00DB63CA">
        <w:rPr>
          <w:rFonts w:hint="cs"/>
          <w:rtl/>
        </w:rPr>
        <w:t xml:space="preserve"> אותנו לא רק ל</w:t>
      </w:r>
      <w:r w:rsidR="00416B8E">
        <w:rPr>
          <w:rFonts w:hint="cs"/>
          <w:rtl/>
        </w:rPr>
        <w:t>איומים</w:t>
      </w:r>
      <w:r w:rsidR="00DB63CA">
        <w:rPr>
          <w:rFonts w:hint="cs"/>
          <w:rtl/>
        </w:rPr>
        <w:t xml:space="preserve"> מבחוץ, אלא מהוו</w:t>
      </w:r>
      <w:r w:rsidR="001E5372">
        <w:rPr>
          <w:rFonts w:hint="cs"/>
          <w:rtl/>
        </w:rPr>
        <w:t>ים</w:t>
      </w:r>
      <w:r w:rsidR="00DB63CA">
        <w:rPr>
          <w:rFonts w:hint="cs"/>
          <w:rtl/>
        </w:rPr>
        <w:t xml:space="preserve"> במקרים רבי</w:t>
      </w:r>
      <w:r w:rsidR="00224983">
        <w:rPr>
          <w:rFonts w:hint="cs"/>
          <w:rtl/>
        </w:rPr>
        <w:t>ם מקור למצוקה פנימית קשה ועמוקה</w:t>
      </w:r>
      <w:r w:rsidR="00DB63CA">
        <w:rPr>
          <w:rFonts w:hint="cs"/>
          <w:rtl/>
        </w:rPr>
        <w:t xml:space="preserve">. </w:t>
      </w:r>
      <w:r w:rsidR="00692033">
        <w:rPr>
          <w:rFonts w:hint="cs"/>
          <w:rtl/>
        </w:rPr>
        <w:t>בשל הבידוד החברתי שאנו חווים והדרה גורפת בכל תחומי החיים, נשים טרנסג'נדריות רבות נדחקות לטראומה המתמשכת של עולם הזנות וגברים חווים שיעורים גבוהים של דיכאון</w:t>
      </w:r>
      <w:r w:rsidR="00416B8E">
        <w:rPr>
          <w:rFonts w:hint="cs"/>
          <w:rtl/>
        </w:rPr>
        <w:t>, ניתוק, חוסר תפקוד</w:t>
      </w:r>
      <w:r w:rsidR="00692033">
        <w:rPr>
          <w:rFonts w:hint="cs"/>
          <w:rtl/>
        </w:rPr>
        <w:t xml:space="preserve"> ואובדנות.</w:t>
      </w:r>
      <w:r w:rsidR="00DB63CA">
        <w:rPr>
          <w:rFonts w:hint="cs"/>
          <w:rtl/>
        </w:rPr>
        <w:t xml:space="preserve"> </w:t>
      </w:r>
    </w:p>
    <w:p w:rsidR="00062362" w:rsidRDefault="00692033" w:rsidP="00416B8E">
      <w:pPr>
        <w:rPr>
          <w:rtl/>
        </w:rPr>
      </w:pPr>
      <w:r>
        <w:rPr>
          <w:rFonts w:hint="cs"/>
          <w:rtl/>
        </w:rPr>
        <w:t xml:space="preserve">עבור </w:t>
      </w:r>
      <w:r w:rsidR="00416B8E">
        <w:rPr>
          <w:rFonts w:hint="cs"/>
          <w:rtl/>
        </w:rPr>
        <w:t>חברי</w:t>
      </w:r>
      <w:r>
        <w:rPr>
          <w:rFonts w:hint="cs"/>
          <w:rtl/>
        </w:rPr>
        <w:t xml:space="preserve"> הקהילה שלנו, </w:t>
      </w:r>
      <w:r w:rsidR="00DB63CA">
        <w:rPr>
          <w:rFonts w:hint="cs"/>
          <w:rtl/>
        </w:rPr>
        <w:t>השינוי הרפואי של הגוף הוא חבל הצלה ומקור להעצמה אישית וחברתית.</w:t>
      </w:r>
      <w:r w:rsidR="00F56765">
        <w:rPr>
          <w:rFonts w:hint="cs"/>
          <w:rtl/>
        </w:rPr>
        <w:t xml:space="preserve"> לא בכדי הניתוחים שלנו נחשבים לניתוחים מצילי חיים.</w:t>
      </w:r>
      <w:r w:rsidR="00DB63CA">
        <w:rPr>
          <w:rFonts w:hint="cs"/>
          <w:rtl/>
        </w:rPr>
        <w:t xml:space="preserve"> למעשה, </w:t>
      </w:r>
      <w:r w:rsidR="00576C63">
        <w:rPr>
          <w:rFonts w:hint="cs"/>
          <w:rtl/>
        </w:rPr>
        <w:t xml:space="preserve">עבור רבים מאתנו, </w:t>
      </w:r>
      <w:r w:rsidR="00576C63" w:rsidRPr="00416B8E">
        <w:rPr>
          <w:rFonts w:hint="cs"/>
          <w:u w:val="single"/>
          <w:rtl/>
        </w:rPr>
        <w:t xml:space="preserve">החיים אינם יכולים בכלל להתחיל לפני הניתוחים </w:t>
      </w:r>
      <w:r w:rsidRPr="00416B8E">
        <w:rPr>
          <w:rFonts w:hint="cs"/>
          <w:u w:val="single"/>
          <w:rtl/>
        </w:rPr>
        <w:t xml:space="preserve">המספקים לנו את התנאים ההכרחיים לקבלה עצמית, לריפוי הטראומות שלנו, לשיקום </w:t>
      </w:r>
      <w:r w:rsidR="00CE610A" w:rsidRPr="00416B8E">
        <w:rPr>
          <w:rFonts w:hint="cs"/>
          <w:u w:val="single"/>
          <w:rtl/>
        </w:rPr>
        <w:t>ולהשתלבות בחברה</w:t>
      </w:r>
      <w:r>
        <w:rPr>
          <w:rFonts w:hint="cs"/>
          <w:rtl/>
        </w:rPr>
        <w:t>.</w:t>
      </w:r>
    </w:p>
    <w:p w:rsidR="00FF4F73" w:rsidRDefault="00E24EBA" w:rsidP="00F56765">
      <w:pPr>
        <w:rPr>
          <w:rtl/>
        </w:rPr>
      </w:pPr>
      <w:r>
        <w:rPr>
          <w:rFonts w:hint="cs"/>
          <w:rtl/>
        </w:rPr>
        <w:t>מזה שנתיים וחצי אני נלחמת בכל הכוח לקידום ניתוחי השמה מגדרית בארץ. ברור לי לגמרי שעקב ה</w:t>
      </w:r>
      <w:r w:rsidR="00227248">
        <w:rPr>
          <w:rFonts w:hint="cs"/>
          <w:rtl/>
        </w:rPr>
        <w:t>נוהל המסורבל, ה</w:t>
      </w:r>
      <w:r>
        <w:rPr>
          <w:rFonts w:hint="cs"/>
          <w:rtl/>
        </w:rPr>
        <w:t>התנהלות הקלוקלת וקצב הניתוחים האיטי</w:t>
      </w:r>
      <w:r w:rsidR="00227248">
        <w:rPr>
          <w:rFonts w:hint="cs"/>
          <w:rtl/>
        </w:rPr>
        <w:t xml:space="preserve">, השירות שהוועדה שלנו מציעה אינו רלוונטי </w:t>
      </w:r>
      <w:r w:rsidR="00F56765">
        <w:rPr>
          <w:rFonts w:hint="cs"/>
          <w:rtl/>
        </w:rPr>
        <w:t>ל</w:t>
      </w:r>
      <w:r w:rsidR="00227248">
        <w:rPr>
          <w:rFonts w:hint="cs"/>
          <w:rtl/>
        </w:rPr>
        <w:t xml:space="preserve">מרבית הטרנסג'נדרים </w:t>
      </w:r>
      <w:r w:rsidR="00227248">
        <w:rPr>
          <w:rtl/>
        </w:rPr>
        <w:t>–</w:t>
      </w:r>
      <w:r w:rsidR="00227248">
        <w:rPr>
          <w:rFonts w:hint="cs"/>
          <w:rtl/>
        </w:rPr>
        <w:t xml:space="preserve"> גם רבים מאלה הנרשמים למסלול הוועדה פונים בסופו של דבר למענים פרטיים בארץ ובחו"ל, שבורים ומותשים מהתורים הארוכים וממאבקים אינסופיים מול קופות החולים. מאידך, גם ברור לי לגמרי שהרפואה הפרטית אינה בהישג ידם של רבים בקהילה</w:t>
      </w:r>
      <w:r w:rsidR="00F56765">
        <w:rPr>
          <w:rFonts w:hint="cs"/>
          <w:rtl/>
        </w:rPr>
        <w:t xml:space="preserve"> והשירות שלנו הוא הסיכוי האחד והיחיד שלהם לבנות לעצמם חיים.</w:t>
      </w:r>
      <w:r w:rsidR="00227248">
        <w:rPr>
          <w:rFonts w:hint="cs"/>
          <w:rtl/>
        </w:rPr>
        <w:t xml:space="preserve"> אני מאמינה שמענה שיהיה נגיש לחלשים ביותר </w:t>
      </w:r>
      <w:r w:rsidR="00D45E1D">
        <w:rPr>
          <w:rFonts w:hint="cs"/>
          <w:rtl/>
        </w:rPr>
        <w:t xml:space="preserve">מאתנו </w:t>
      </w:r>
      <w:r w:rsidR="00227248">
        <w:rPr>
          <w:rFonts w:hint="cs"/>
          <w:rtl/>
        </w:rPr>
        <w:t xml:space="preserve">יהיה שם בשביל כולם. </w:t>
      </w:r>
    </w:p>
    <w:p w:rsidR="00AE7561" w:rsidRDefault="00CC2F92" w:rsidP="00DA7A10">
      <w:pPr>
        <w:spacing w:after="0"/>
        <w:rPr>
          <w:rtl/>
        </w:rPr>
      </w:pPr>
      <w:r w:rsidRPr="00FF4F73">
        <w:rPr>
          <w:rtl/>
        </w:rPr>
        <w:t xml:space="preserve">קיומה של הוועדה </w:t>
      </w:r>
      <w:r>
        <w:rPr>
          <w:rFonts w:hint="cs"/>
          <w:rtl/>
        </w:rPr>
        <w:t>שלנו</w:t>
      </w:r>
      <w:r w:rsidRPr="00FF4F73">
        <w:rPr>
          <w:rtl/>
        </w:rPr>
        <w:t xml:space="preserve"> מוצדק רק במידה </w:t>
      </w:r>
      <w:r>
        <w:rPr>
          <w:rFonts w:hint="cs"/>
          <w:rtl/>
        </w:rPr>
        <w:t>ש</w:t>
      </w:r>
      <w:r w:rsidRPr="00FF4F73">
        <w:rPr>
          <w:rtl/>
        </w:rPr>
        <w:t>תשמש כגו</w:t>
      </w:r>
      <w:r>
        <w:rPr>
          <w:rFonts w:hint="cs"/>
          <w:rtl/>
        </w:rPr>
        <w:t xml:space="preserve">רם שמכיר היטב את הצרכים ונלחם לקידום המענים. </w:t>
      </w:r>
      <w:r w:rsidR="00227248">
        <w:rPr>
          <w:rFonts w:hint="cs"/>
          <w:rtl/>
        </w:rPr>
        <w:t>אם נדחוף את ה</w:t>
      </w:r>
      <w:r>
        <w:rPr>
          <w:rFonts w:hint="cs"/>
          <w:rtl/>
        </w:rPr>
        <w:t>עגלה</w:t>
      </w:r>
      <w:r w:rsidR="00227248">
        <w:rPr>
          <w:rFonts w:hint="cs"/>
          <w:rtl/>
        </w:rPr>
        <w:t xml:space="preserve"> </w:t>
      </w:r>
      <w:r>
        <w:rPr>
          <w:rFonts w:hint="cs"/>
          <w:rtl/>
        </w:rPr>
        <w:t xml:space="preserve">הזאת </w:t>
      </w:r>
      <w:r w:rsidR="00227248">
        <w:rPr>
          <w:rFonts w:hint="cs"/>
          <w:rtl/>
        </w:rPr>
        <w:t xml:space="preserve">בכל הכוח, נוכל להרים </w:t>
      </w:r>
      <w:r>
        <w:rPr>
          <w:rFonts w:hint="cs"/>
          <w:rtl/>
        </w:rPr>
        <w:t>כאן שירות שישנה את חייהם של</w:t>
      </w:r>
      <w:r w:rsidR="00227248">
        <w:rPr>
          <w:rFonts w:hint="cs"/>
          <w:rtl/>
        </w:rPr>
        <w:t xml:space="preserve"> אלפי </w:t>
      </w:r>
      <w:r>
        <w:rPr>
          <w:rFonts w:hint="cs"/>
          <w:rtl/>
        </w:rPr>
        <w:t>אנשים</w:t>
      </w:r>
      <w:r w:rsidR="00227248">
        <w:rPr>
          <w:rFonts w:hint="cs"/>
          <w:rtl/>
        </w:rPr>
        <w:t xml:space="preserve">. </w:t>
      </w:r>
      <w:r w:rsidR="00F56765">
        <w:rPr>
          <w:rFonts w:hint="cs"/>
          <w:rtl/>
        </w:rPr>
        <w:t xml:space="preserve">מקצועיות רפואית וטיפול נאות לא יספיקו כאן </w:t>
      </w:r>
      <w:r w:rsidR="00F56765">
        <w:rPr>
          <w:rtl/>
        </w:rPr>
        <w:t>–</w:t>
      </w:r>
      <w:r w:rsidR="00F56765">
        <w:rPr>
          <w:rFonts w:hint="cs"/>
          <w:rtl/>
        </w:rPr>
        <w:t xml:space="preserve"> אם לא נילחם </w:t>
      </w:r>
      <w:r w:rsidR="00D45E1D">
        <w:rPr>
          <w:rFonts w:hint="cs"/>
          <w:rtl/>
        </w:rPr>
        <w:t xml:space="preserve">כולנו </w:t>
      </w:r>
      <w:r w:rsidR="00F56765">
        <w:rPr>
          <w:rFonts w:hint="cs"/>
          <w:rtl/>
        </w:rPr>
        <w:t>בכל הכוח</w:t>
      </w:r>
      <w:r w:rsidR="0008327B">
        <w:rPr>
          <w:rFonts w:hint="cs"/>
          <w:rtl/>
        </w:rPr>
        <w:t xml:space="preserve"> בתוך מערכת הבריאות ומחוצה לה, ממוקדים במטרה ונקיים משיקולים זרים, זה </w:t>
      </w:r>
      <w:r w:rsidR="002839F6">
        <w:rPr>
          <w:rFonts w:hint="cs"/>
          <w:rtl/>
        </w:rPr>
        <w:t xml:space="preserve">פשוט </w:t>
      </w:r>
      <w:r w:rsidR="0008327B">
        <w:rPr>
          <w:rFonts w:hint="cs"/>
          <w:rtl/>
        </w:rPr>
        <w:t>לא יקרה.</w:t>
      </w:r>
    </w:p>
    <w:p w:rsidR="003668B4" w:rsidRPr="00B417FB" w:rsidRDefault="003668B4" w:rsidP="00DA7A10">
      <w:pPr>
        <w:pStyle w:val="11"/>
        <w:numPr>
          <w:ilvl w:val="0"/>
          <w:numId w:val="0"/>
        </w:numPr>
        <w:spacing w:before="120"/>
        <w:jc w:val="center"/>
        <w:rPr>
          <w:rtl/>
        </w:rPr>
      </w:pPr>
      <w:r w:rsidRPr="00B417FB">
        <w:rPr>
          <w:rtl/>
        </w:rPr>
        <w:t>דרישות מקצועיות לביצוע ניתוחי שינוי אברי המין</w:t>
      </w:r>
      <w:r w:rsidR="00106D9B">
        <w:rPr>
          <w:rFonts w:hint="cs"/>
          <w:rtl/>
        </w:rPr>
        <w:t xml:space="preserve"> </w:t>
      </w:r>
      <w:r w:rsidR="00052668">
        <w:rPr>
          <w:rtl/>
        </w:rPr>
        <w:t>–</w:t>
      </w:r>
      <w:r w:rsidR="00106D9B">
        <w:rPr>
          <w:rFonts w:hint="cs"/>
          <w:rtl/>
        </w:rPr>
        <w:t xml:space="preserve"> </w:t>
      </w:r>
      <w:r w:rsidR="00106D9B">
        <w:rPr>
          <w:rtl/>
        </w:rPr>
        <w:t>ד"ר רויטל ארבל</w:t>
      </w:r>
    </w:p>
    <w:p w:rsidR="005201CF" w:rsidRPr="005201CF" w:rsidRDefault="005201CF" w:rsidP="001F49D4">
      <w:pPr>
        <w:rPr>
          <w:i/>
          <w:iCs/>
          <w:sz w:val="20"/>
          <w:szCs w:val="20"/>
          <w:rtl/>
        </w:rPr>
      </w:pPr>
      <w:r w:rsidRPr="005201CF">
        <w:rPr>
          <w:rFonts w:hint="cs"/>
          <w:i/>
          <w:iCs/>
          <w:sz w:val="20"/>
          <w:szCs w:val="20"/>
          <w:rtl/>
        </w:rPr>
        <w:t>ד"ר ארבל היא אורו-גניקולוגית, חברה בוועדה הארצית לניתוחי השמה מגדרית ובצוות המנתחים המבצע ניתוחים אלה בישראל</w:t>
      </w:r>
    </w:p>
    <w:p w:rsidR="002839F6" w:rsidRDefault="003668B4" w:rsidP="001F49D4">
      <w:pPr>
        <w:rPr>
          <w:rtl/>
        </w:rPr>
      </w:pPr>
      <w:r w:rsidRPr="00C156C2">
        <w:rPr>
          <w:rFonts w:hint="cs"/>
          <w:rtl/>
        </w:rPr>
        <w:t>לשם קידום ניתוחי השמה מגדרית בישראל נדרשת מחוייבות כירורגית ומערכתית גבוהה. לשיטתי אין אפשרות להפריד בין מחוייבות כירורגית לספק ניתוחים ברמה המקצועית הגבוהה ביותר (פירוט להלן), לבין מחוייבות מערכתית לגייס ולאמן את אנשי המקצוע הטובים ביותר, ולהקצות את כל המשאבים  הדרושים של חדרי ניתוח, צוות רפואי ומנהלתי ומיטות אישפוז. בהינתן הקצב הנמוך של הניתוחים המבוצעים היום, אי</w:t>
      </w:r>
      <w:r>
        <w:rPr>
          <w:rFonts w:hint="cs"/>
          <w:rtl/>
        </w:rPr>
        <w:t>נני יכולה</w:t>
      </w:r>
      <w:r w:rsidRPr="00C156C2">
        <w:rPr>
          <w:rFonts w:hint="cs"/>
          <w:rtl/>
        </w:rPr>
        <w:t xml:space="preserve"> לומר כיום כי אנו מספקים את השירות הזה לציבור המטופלים באופן התואם לדרישה, וכן אין לומר כי קיימים התנאים המתאימים לפיתוח הרמה המקצועית שאנו דורשים מעצמנו</w:t>
      </w:r>
      <w:r>
        <w:rPr>
          <w:rFonts w:hint="cs"/>
          <w:rtl/>
        </w:rPr>
        <w:t xml:space="preserve"> ומסוגלים לספק</w:t>
      </w:r>
      <w:r w:rsidRPr="00C156C2">
        <w:rPr>
          <w:rFonts w:hint="cs"/>
          <w:rtl/>
        </w:rPr>
        <w:t>. לשם כך נדרשים לא פחות משני ניתוחים בחודש, כאשר בשנים 2015-16 ביצענו בממוצע רק 0.66 ניתוחים בחודש.</w:t>
      </w:r>
      <w:r w:rsidR="00667870">
        <w:rPr>
          <w:rFonts w:hint="cs"/>
          <w:rtl/>
        </w:rPr>
        <w:t xml:space="preserve"> </w:t>
      </w:r>
    </w:p>
    <w:p w:rsidR="00667870" w:rsidRPr="00C156C2" w:rsidRDefault="001D3407" w:rsidP="00FB04DF">
      <w:pPr>
        <w:rPr>
          <w:rtl/>
        </w:rPr>
      </w:pPr>
      <w:r>
        <w:rPr>
          <w:rFonts w:hint="cs"/>
          <w:rtl/>
        </w:rPr>
        <w:t>כוועדה ארצית של משרד הבריאות</w:t>
      </w:r>
      <w:r w:rsidR="00E76383">
        <w:rPr>
          <w:rFonts w:hint="cs"/>
          <w:rtl/>
        </w:rPr>
        <w:t xml:space="preserve">, </w:t>
      </w:r>
      <w:r>
        <w:rPr>
          <w:rFonts w:hint="cs"/>
          <w:rtl/>
        </w:rPr>
        <w:t xml:space="preserve">הגוף היחיד המוקדש </w:t>
      </w:r>
      <w:r w:rsidR="00FB04DF">
        <w:rPr>
          <w:rFonts w:hint="cs"/>
          <w:rtl/>
        </w:rPr>
        <w:t xml:space="preserve">בלעדית </w:t>
      </w:r>
      <w:r>
        <w:rPr>
          <w:rFonts w:hint="cs"/>
          <w:rtl/>
        </w:rPr>
        <w:t xml:space="preserve">לרפואת טרנסג'נדרים, אחריותנו היא לראות רחב ורחוק </w:t>
      </w:r>
      <w:r>
        <w:rPr>
          <w:rtl/>
        </w:rPr>
        <w:t>–</w:t>
      </w:r>
      <w:r>
        <w:rPr>
          <w:rFonts w:hint="cs"/>
          <w:rtl/>
        </w:rPr>
        <w:t xml:space="preserve"> לא רק את עשרות המטופלים שעומדים אצלנו בתור לניתוחים, אלא גם את מספר הפונים ההולך וגדל משנה לשנה, </w:t>
      </w:r>
      <w:r w:rsidR="00542839">
        <w:rPr>
          <w:rFonts w:hint="cs"/>
          <w:rtl/>
        </w:rPr>
        <w:t xml:space="preserve">את העובדה שכבר עכשיו אנו רחוקים מאד מלעמוד בביקוש, </w:t>
      </w:r>
      <w:r>
        <w:rPr>
          <w:rFonts w:hint="cs"/>
          <w:rtl/>
        </w:rPr>
        <w:t xml:space="preserve">ואת הצורך </w:t>
      </w:r>
      <w:r w:rsidR="00542839">
        <w:rPr>
          <w:rFonts w:hint="cs"/>
          <w:rtl/>
        </w:rPr>
        <w:t xml:space="preserve">הנובע מכך </w:t>
      </w:r>
      <w:r>
        <w:rPr>
          <w:rFonts w:hint="cs"/>
          <w:rtl/>
        </w:rPr>
        <w:t>להרחיב את השירות. אין ל</w:t>
      </w:r>
      <w:r w:rsidR="00542839">
        <w:rPr>
          <w:rFonts w:hint="cs"/>
          <w:rtl/>
        </w:rPr>
        <w:t>ראות</w:t>
      </w:r>
      <w:r>
        <w:rPr>
          <w:rFonts w:hint="cs"/>
          <w:rtl/>
        </w:rPr>
        <w:t xml:space="preserve"> </w:t>
      </w:r>
      <w:r w:rsidR="00542839">
        <w:rPr>
          <w:rFonts w:hint="cs"/>
          <w:rtl/>
        </w:rPr>
        <w:t>ב</w:t>
      </w:r>
      <w:r>
        <w:rPr>
          <w:rFonts w:hint="cs"/>
          <w:rtl/>
        </w:rPr>
        <w:t xml:space="preserve">מכסת הניתוחים הנמוכה ששיבא מקצה לנו </w:t>
      </w:r>
      <w:r w:rsidR="00542839">
        <w:rPr>
          <w:rFonts w:hint="cs"/>
          <w:rtl/>
        </w:rPr>
        <w:t>גזירת גורל, אלא בעיה שיש לפתור</w:t>
      </w:r>
      <w:r w:rsidR="00FB04DF">
        <w:rPr>
          <w:rFonts w:hint="cs"/>
          <w:rtl/>
        </w:rPr>
        <w:t xml:space="preserve"> ואתגר העשוי להניב צמיחה</w:t>
      </w:r>
      <w:r>
        <w:rPr>
          <w:rFonts w:hint="cs"/>
          <w:rtl/>
        </w:rPr>
        <w:t>. אם אין חדרי ניתוח בשיבא, צריך ל</w:t>
      </w:r>
      <w:r w:rsidR="00542839">
        <w:rPr>
          <w:rFonts w:hint="cs"/>
          <w:rtl/>
        </w:rPr>
        <w:t>חפש במקומות נוספים.</w:t>
      </w:r>
      <w:r>
        <w:rPr>
          <w:rFonts w:hint="cs"/>
          <w:rtl/>
        </w:rPr>
        <w:t xml:space="preserve"> יש</w:t>
      </w:r>
      <w:r w:rsidR="00542839">
        <w:rPr>
          <w:rFonts w:hint="cs"/>
          <w:rtl/>
        </w:rPr>
        <w:t xml:space="preserve"> </w:t>
      </w:r>
      <w:r w:rsidR="00FB04DF">
        <w:rPr>
          <w:rFonts w:hint="cs"/>
          <w:rtl/>
        </w:rPr>
        <w:t xml:space="preserve">לנו </w:t>
      </w:r>
      <w:r w:rsidR="00542839">
        <w:rPr>
          <w:rFonts w:hint="cs"/>
          <w:rtl/>
        </w:rPr>
        <w:t xml:space="preserve">צוות </w:t>
      </w:r>
      <w:r>
        <w:rPr>
          <w:rFonts w:hint="cs"/>
          <w:rtl/>
        </w:rPr>
        <w:t>מנתחים שרוצ</w:t>
      </w:r>
      <w:r w:rsidR="00542839">
        <w:rPr>
          <w:rFonts w:hint="cs"/>
          <w:rtl/>
        </w:rPr>
        <w:t>ה</w:t>
      </w:r>
      <w:r>
        <w:rPr>
          <w:rFonts w:hint="cs"/>
          <w:rtl/>
        </w:rPr>
        <w:t xml:space="preserve"> לעשות את העבודה</w:t>
      </w:r>
      <w:r w:rsidR="00542839">
        <w:rPr>
          <w:rFonts w:hint="cs"/>
          <w:rtl/>
        </w:rPr>
        <w:t xml:space="preserve"> ולרוץ קדימה</w:t>
      </w:r>
      <w:r>
        <w:rPr>
          <w:rFonts w:hint="cs"/>
          <w:rtl/>
        </w:rPr>
        <w:t xml:space="preserve">, </w:t>
      </w:r>
      <w:r w:rsidR="00527EBA">
        <w:rPr>
          <w:rFonts w:hint="cs"/>
          <w:rtl/>
        </w:rPr>
        <w:t xml:space="preserve">אותו </w:t>
      </w:r>
      <w:r w:rsidR="00542839">
        <w:rPr>
          <w:rFonts w:hint="cs"/>
          <w:rtl/>
        </w:rPr>
        <w:t xml:space="preserve">צוות יכול לנתח </w:t>
      </w:r>
      <w:r w:rsidR="00FB04DF">
        <w:rPr>
          <w:rFonts w:hint="cs"/>
          <w:rtl/>
        </w:rPr>
        <w:t>במקביל גם</w:t>
      </w:r>
      <w:r w:rsidR="00542839">
        <w:rPr>
          <w:rFonts w:hint="cs"/>
          <w:rtl/>
        </w:rPr>
        <w:t xml:space="preserve"> באיכילוב, באסף הרופא או בשערי צדק, ועל הדרך לה</w:t>
      </w:r>
      <w:r w:rsidR="00527EBA">
        <w:rPr>
          <w:rFonts w:hint="cs"/>
          <w:rtl/>
        </w:rPr>
        <w:t>רחיב את מעגל העשייה</w:t>
      </w:r>
      <w:r w:rsidR="00E76383">
        <w:rPr>
          <w:rFonts w:hint="cs"/>
          <w:rtl/>
        </w:rPr>
        <w:t xml:space="preserve"> כפי שנדרש ממילא</w:t>
      </w:r>
      <w:r w:rsidR="00542839">
        <w:rPr>
          <w:rFonts w:hint="cs"/>
          <w:rtl/>
        </w:rPr>
        <w:t>. לפי מחקרים אחרונים, שכיחות הטרנסג'נדרים באוכלוסיה היא 0.6%</w:t>
      </w:r>
      <w:r w:rsidR="00527EBA">
        <w:rPr>
          <w:rFonts w:hint="cs"/>
          <w:rtl/>
        </w:rPr>
        <w:t xml:space="preserve"> - </w:t>
      </w:r>
      <w:r w:rsidR="00542839">
        <w:rPr>
          <w:rFonts w:hint="cs"/>
          <w:rtl/>
        </w:rPr>
        <w:t xml:space="preserve">במונחי מדינת ישראל, </w:t>
      </w:r>
      <w:r w:rsidR="00527EBA">
        <w:rPr>
          <w:rFonts w:hint="cs"/>
          <w:rtl/>
        </w:rPr>
        <w:t>מדובר ב</w:t>
      </w:r>
      <w:r w:rsidR="00542839">
        <w:rPr>
          <w:rFonts w:hint="cs"/>
          <w:rtl/>
        </w:rPr>
        <w:t>כ-50,000 נפש</w:t>
      </w:r>
      <w:r w:rsidR="00527EBA">
        <w:rPr>
          <w:rFonts w:hint="cs"/>
          <w:rtl/>
        </w:rPr>
        <w:t xml:space="preserve">, </w:t>
      </w:r>
      <w:r w:rsidR="00FB04DF">
        <w:rPr>
          <w:rFonts w:hint="cs"/>
          <w:rtl/>
        </w:rPr>
        <w:t>העשויים להניב</w:t>
      </w:r>
      <w:r w:rsidR="00527EBA">
        <w:rPr>
          <w:rFonts w:hint="cs"/>
          <w:rtl/>
        </w:rPr>
        <w:t xml:space="preserve"> מחזור פונים שנתי ממוצע של כ-300 איש או יותר</w:t>
      </w:r>
      <w:r w:rsidR="00FB04DF">
        <w:rPr>
          <w:rFonts w:hint="cs"/>
          <w:rtl/>
        </w:rPr>
        <w:t xml:space="preserve"> לטיפולי השמה מגדרית</w:t>
      </w:r>
      <w:r w:rsidR="00527EBA">
        <w:rPr>
          <w:rFonts w:hint="cs"/>
          <w:rtl/>
        </w:rPr>
        <w:t xml:space="preserve">. טובת המטופלים דורשת שנבנה קשרים ונשתף בידע, שנגייס בתי חולים נוספים, בצפון, בירושלים ובדרום, תחילה </w:t>
      </w:r>
      <w:r w:rsidR="00FB04DF">
        <w:rPr>
          <w:rFonts w:hint="cs"/>
          <w:rtl/>
        </w:rPr>
        <w:t>בהפניה ל</w:t>
      </w:r>
      <w:r w:rsidR="00527EBA">
        <w:rPr>
          <w:rFonts w:hint="cs"/>
          <w:rtl/>
        </w:rPr>
        <w:t>ניתוחים נלווים ולמעקב הורמונלי, ובבוא הזמן גם לניתוחי אברי המין</w:t>
      </w:r>
      <w:r w:rsidR="00FB04DF">
        <w:rPr>
          <w:rFonts w:hint="cs"/>
          <w:rtl/>
        </w:rPr>
        <w:t xml:space="preserve"> כמרכזים עצמאיים</w:t>
      </w:r>
      <w:r w:rsidR="00527EBA">
        <w:rPr>
          <w:rFonts w:hint="cs"/>
          <w:rtl/>
        </w:rPr>
        <w:t>.</w:t>
      </w:r>
    </w:p>
    <w:sectPr w:rsidR="00667870" w:rsidRPr="00C156C2" w:rsidSect="00DA7A10">
      <w:pgSz w:w="11906" w:h="16838"/>
      <w:pgMar w:top="1134" w:right="1418" w:bottom="1418"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5A5" w:rsidRDefault="005F15A5" w:rsidP="00DA070F">
      <w:pPr>
        <w:spacing w:after="0" w:line="240" w:lineRule="auto"/>
      </w:pPr>
      <w:r>
        <w:separator/>
      </w:r>
    </w:p>
  </w:endnote>
  <w:endnote w:type="continuationSeparator" w:id="0">
    <w:p w:rsidR="005F15A5" w:rsidRDefault="005F15A5" w:rsidP="00DA0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5A5" w:rsidRDefault="005F15A5" w:rsidP="00DA070F">
      <w:pPr>
        <w:spacing w:after="0" w:line="240" w:lineRule="auto"/>
      </w:pPr>
      <w:r>
        <w:separator/>
      </w:r>
    </w:p>
  </w:footnote>
  <w:footnote w:type="continuationSeparator" w:id="0">
    <w:p w:rsidR="005F15A5" w:rsidRDefault="005F15A5" w:rsidP="00DA07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02A05"/>
    <w:multiLevelType w:val="hybridMultilevel"/>
    <w:tmpl w:val="8B4A41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486AA9"/>
    <w:multiLevelType w:val="hybridMultilevel"/>
    <w:tmpl w:val="3C3C23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05770B0"/>
    <w:multiLevelType w:val="hybridMultilevel"/>
    <w:tmpl w:val="E0AE11A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572E4036"/>
    <w:multiLevelType w:val="multilevel"/>
    <w:tmpl w:val="F6FCDA92"/>
    <w:lvl w:ilvl="0">
      <w:start w:val="1"/>
      <w:numFmt w:val="decimal"/>
      <w:pStyle w:val="1"/>
      <w:lvlText w:val="%1"/>
      <w:lvlJc w:val="left"/>
      <w:pPr>
        <w:ind w:left="432" w:hanging="432"/>
      </w:pPr>
    </w:lvl>
    <w:lvl w:ilvl="1">
      <w:start w:val="1"/>
      <w:numFmt w:val="decimal"/>
      <w:pStyle w:val="2"/>
      <w:lvlText w:val="%1.%2"/>
      <w:lvlJc w:val="left"/>
      <w:pPr>
        <w:ind w:left="1285"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610A15D9"/>
    <w:multiLevelType w:val="hybridMultilevel"/>
    <w:tmpl w:val="99D4C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AE5191"/>
    <w:multiLevelType w:val="multilevel"/>
    <w:tmpl w:val="FE5E1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3"/>
  </w:num>
  <w:num w:numId="5">
    <w:abstractNumId w:val="3"/>
  </w:num>
  <w:num w:numId="6">
    <w:abstractNumId w:val="3"/>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4"/>
  </w:num>
  <w:num w:numId="13">
    <w:abstractNumId w:val="3"/>
  </w:num>
  <w:num w:numId="14">
    <w:abstractNumId w:val="3"/>
  </w:num>
  <w:num w:numId="15">
    <w:abstractNumId w:val="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668B4"/>
    <w:rsid w:val="0000777E"/>
    <w:rsid w:val="00041799"/>
    <w:rsid w:val="00052668"/>
    <w:rsid w:val="00053A67"/>
    <w:rsid w:val="00062362"/>
    <w:rsid w:val="00064CD2"/>
    <w:rsid w:val="0008327B"/>
    <w:rsid w:val="000D0FD7"/>
    <w:rsid w:val="000E7428"/>
    <w:rsid w:val="00106D9B"/>
    <w:rsid w:val="00176BAA"/>
    <w:rsid w:val="001C764B"/>
    <w:rsid w:val="001D3407"/>
    <w:rsid w:val="001E5372"/>
    <w:rsid w:val="001F49D4"/>
    <w:rsid w:val="0021281D"/>
    <w:rsid w:val="00224983"/>
    <w:rsid w:val="00227248"/>
    <w:rsid w:val="002521E8"/>
    <w:rsid w:val="002656BA"/>
    <w:rsid w:val="002713BD"/>
    <w:rsid w:val="002839F6"/>
    <w:rsid w:val="002B6264"/>
    <w:rsid w:val="00317758"/>
    <w:rsid w:val="00331E06"/>
    <w:rsid w:val="00362776"/>
    <w:rsid w:val="00363192"/>
    <w:rsid w:val="003668B4"/>
    <w:rsid w:val="00395EF5"/>
    <w:rsid w:val="003A087C"/>
    <w:rsid w:val="003E0C1B"/>
    <w:rsid w:val="003E2167"/>
    <w:rsid w:val="00400136"/>
    <w:rsid w:val="00414E1E"/>
    <w:rsid w:val="00416B8E"/>
    <w:rsid w:val="00467724"/>
    <w:rsid w:val="004D755E"/>
    <w:rsid w:val="004E3E9F"/>
    <w:rsid w:val="004E73BA"/>
    <w:rsid w:val="00501CD0"/>
    <w:rsid w:val="005201CF"/>
    <w:rsid w:val="00527EBA"/>
    <w:rsid w:val="00542839"/>
    <w:rsid w:val="00543548"/>
    <w:rsid w:val="00545F16"/>
    <w:rsid w:val="00576C63"/>
    <w:rsid w:val="00577765"/>
    <w:rsid w:val="00582523"/>
    <w:rsid w:val="005A59E1"/>
    <w:rsid w:val="005C3BA2"/>
    <w:rsid w:val="005C4D2B"/>
    <w:rsid w:val="005D2FCC"/>
    <w:rsid w:val="005F15A5"/>
    <w:rsid w:val="005F1A91"/>
    <w:rsid w:val="00604BBD"/>
    <w:rsid w:val="006323B8"/>
    <w:rsid w:val="00667870"/>
    <w:rsid w:val="00673DD1"/>
    <w:rsid w:val="00692033"/>
    <w:rsid w:val="006B0BE8"/>
    <w:rsid w:val="006B1D6D"/>
    <w:rsid w:val="00704F72"/>
    <w:rsid w:val="0077447F"/>
    <w:rsid w:val="007F04F2"/>
    <w:rsid w:val="008079E1"/>
    <w:rsid w:val="0082141D"/>
    <w:rsid w:val="008549BB"/>
    <w:rsid w:val="00875F1D"/>
    <w:rsid w:val="008C6F60"/>
    <w:rsid w:val="00906082"/>
    <w:rsid w:val="00935CFF"/>
    <w:rsid w:val="009551B1"/>
    <w:rsid w:val="009815DE"/>
    <w:rsid w:val="0099558B"/>
    <w:rsid w:val="009C76F6"/>
    <w:rsid w:val="009D612E"/>
    <w:rsid w:val="00A40BAB"/>
    <w:rsid w:val="00A61434"/>
    <w:rsid w:val="00A87753"/>
    <w:rsid w:val="00AA5759"/>
    <w:rsid w:val="00AC3B65"/>
    <w:rsid w:val="00AD448E"/>
    <w:rsid w:val="00AE3441"/>
    <w:rsid w:val="00AE7561"/>
    <w:rsid w:val="00B02F2F"/>
    <w:rsid w:val="00B03573"/>
    <w:rsid w:val="00B417FB"/>
    <w:rsid w:val="00C327F9"/>
    <w:rsid w:val="00C6367D"/>
    <w:rsid w:val="00C916F2"/>
    <w:rsid w:val="00C925CD"/>
    <w:rsid w:val="00CC2F92"/>
    <w:rsid w:val="00CD2824"/>
    <w:rsid w:val="00CE610A"/>
    <w:rsid w:val="00D45E1D"/>
    <w:rsid w:val="00D5626B"/>
    <w:rsid w:val="00D90C29"/>
    <w:rsid w:val="00D9779D"/>
    <w:rsid w:val="00DA070F"/>
    <w:rsid w:val="00DA7A10"/>
    <w:rsid w:val="00DB63CA"/>
    <w:rsid w:val="00DB6DB4"/>
    <w:rsid w:val="00E035EF"/>
    <w:rsid w:val="00E24EBA"/>
    <w:rsid w:val="00E42004"/>
    <w:rsid w:val="00E76383"/>
    <w:rsid w:val="00E92958"/>
    <w:rsid w:val="00EB719F"/>
    <w:rsid w:val="00F31FBE"/>
    <w:rsid w:val="00F56765"/>
    <w:rsid w:val="00FB04DF"/>
    <w:rsid w:val="00FC5F17"/>
    <w:rsid w:val="00FE3CC0"/>
    <w:rsid w:val="00FF4F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778A8-E148-4AEE-B389-86D536814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8B4"/>
    <w:pPr>
      <w:bidi/>
    </w:pPr>
  </w:style>
  <w:style w:type="paragraph" w:styleId="1">
    <w:name w:val="heading 1"/>
    <w:basedOn w:val="a"/>
    <w:next w:val="a"/>
    <w:link w:val="10"/>
    <w:uiPriority w:val="9"/>
    <w:qFormat/>
    <w:rsid w:val="00B02F2F"/>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02F2F"/>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02F2F"/>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02F2F"/>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02F2F"/>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B02F2F"/>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B02F2F"/>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02F2F"/>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B02F2F"/>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68B4"/>
    <w:pPr>
      <w:ind w:left="720"/>
      <w:contextualSpacing/>
    </w:pPr>
  </w:style>
  <w:style w:type="character" w:customStyle="1" w:styleId="10">
    <w:name w:val="כותרת 1 תו"/>
    <w:basedOn w:val="a0"/>
    <w:link w:val="1"/>
    <w:uiPriority w:val="9"/>
    <w:rsid w:val="00B02F2F"/>
    <w:rPr>
      <w:rFonts w:asciiTheme="majorHAnsi" w:eastAsiaTheme="majorEastAsia" w:hAnsiTheme="majorHAnsi" w:cstheme="majorBidi"/>
      <w:b/>
      <w:bCs/>
      <w:color w:val="365F91" w:themeColor="accent1" w:themeShade="BF"/>
      <w:sz w:val="28"/>
      <w:szCs w:val="28"/>
    </w:rPr>
  </w:style>
  <w:style w:type="character" w:customStyle="1" w:styleId="20">
    <w:name w:val="כותרת 2 תו"/>
    <w:basedOn w:val="a0"/>
    <w:link w:val="2"/>
    <w:uiPriority w:val="9"/>
    <w:rsid w:val="00B02F2F"/>
    <w:rPr>
      <w:rFonts w:asciiTheme="majorHAnsi" w:eastAsiaTheme="majorEastAsia" w:hAnsiTheme="majorHAnsi" w:cstheme="majorBidi"/>
      <w:b/>
      <w:bCs/>
      <w:color w:val="4F81BD" w:themeColor="accent1"/>
      <w:sz w:val="26"/>
      <w:szCs w:val="26"/>
    </w:rPr>
  </w:style>
  <w:style w:type="character" w:customStyle="1" w:styleId="30">
    <w:name w:val="כותרת 3 תו"/>
    <w:basedOn w:val="a0"/>
    <w:link w:val="3"/>
    <w:uiPriority w:val="9"/>
    <w:rsid w:val="00B02F2F"/>
    <w:rPr>
      <w:rFonts w:asciiTheme="majorHAnsi" w:eastAsiaTheme="majorEastAsia" w:hAnsiTheme="majorHAnsi" w:cstheme="majorBidi"/>
      <w:b/>
      <w:bCs/>
      <w:color w:val="4F81BD" w:themeColor="accent1"/>
    </w:rPr>
  </w:style>
  <w:style w:type="character" w:customStyle="1" w:styleId="40">
    <w:name w:val="כותרת 4 תו"/>
    <w:basedOn w:val="a0"/>
    <w:link w:val="4"/>
    <w:uiPriority w:val="9"/>
    <w:semiHidden/>
    <w:rsid w:val="00B02F2F"/>
    <w:rPr>
      <w:rFonts w:asciiTheme="majorHAnsi" w:eastAsiaTheme="majorEastAsia" w:hAnsiTheme="majorHAnsi" w:cstheme="majorBidi"/>
      <w:b/>
      <w:bCs/>
      <w:i/>
      <w:iCs/>
      <w:color w:val="4F81BD" w:themeColor="accent1"/>
    </w:rPr>
  </w:style>
  <w:style w:type="character" w:customStyle="1" w:styleId="50">
    <w:name w:val="כותרת 5 תו"/>
    <w:basedOn w:val="a0"/>
    <w:link w:val="5"/>
    <w:uiPriority w:val="9"/>
    <w:semiHidden/>
    <w:rsid w:val="00B02F2F"/>
    <w:rPr>
      <w:rFonts w:asciiTheme="majorHAnsi" w:eastAsiaTheme="majorEastAsia" w:hAnsiTheme="majorHAnsi" w:cstheme="majorBidi"/>
      <w:color w:val="243F60" w:themeColor="accent1" w:themeShade="7F"/>
    </w:rPr>
  </w:style>
  <w:style w:type="character" w:customStyle="1" w:styleId="60">
    <w:name w:val="כותרת 6 תו"/>
    <w:basedOn w:val="a0"/>
    <w:link w:val="6"/>
    <w:uiPriority w:val="9"/>
    <w:semiHidden/>
    <w:rsid w:val="00B02F2F"/>
    <w:rPr>
      <w:rFonts w:asciiTheme="majorHAnsi" w:eastAsiaTheme="majorEastAsia" w:hAnsiTheme="majorHAnsi" w:cstheme="majorBidi"/>
      <w:i/>
      <w:iCs/>
      <w:color w:val="243F60" w:themeColor="accent1" w:themeShade="7F"/>
    </w:rPr>
  </w:style>
  <w:style w:type="character" w:customStyle="1" w:styleId="70">
    <w:name w:val="כותרת 7 תו"/>
    <w:basedOn w:val="a0"/>
    <w:link w:val="7"/>
    <w:uiPriority w:val="9"/>
    <w:semiHidden/>
    <w:rsid w:val="00B02F2F"/>
    <w:rPr>
      <w:rFonts w:asciiTheme="majorHAnsi" w:eastAsiaTheme="majorEastAsia" w:hAnsiTheme="majorHAnsi" w:cstheme="majorBidi"/>
      <w:i/>
      <w:iCs/>
      <w:color w:val="404040" w:themeColor="text1" w:themeTint="BF"/>
    </w:rPr>
  </w:style>
  <w:style w:type="character" w:customStyle="1" w:styleId="80">
    <w:name w:val="כותרת 8 תו"/>
    <w:basedOn w:val="a0"/>
    <w:link w:val="8"/>
    <w:uiPriority w:val="9"/>
    <w:semiHidden/>
    <w:rsid w:val="00B02F2F"/>
    <w:rPr>
      <w:rFonts w:asciiTheme="majorHAnsi" w:eastAsiaTheme="majorEastAsia" w:hAnsiTheme="majorHAnsi" w:cstheme="majorBidi"/>
      <w:color w:val="404040" w:themeColor="text1" w:themeTint="BF"/>
      <w:sz w:val="20"/>
      <w:szCs w:val="20"/>
    </w:rPr>
  </w:style>
  <w:style w:type="character" w:customStyle="1" w:styleId="90">
    <w:name w:val="כותרת 9 תו"/>
    <w:basedOn w:val="a0"/>
    <w:link w:val="9"/>
    <w:uiPriority w:val="9"/>
    <w:semiHidden/>
    <w:rsid w:val="00B02F2F"/>
    <w:rPr>
      <w:rFonts w:asciiTheme="majorHAnsi" w:eastAsiaTheme="majorEastAsia" w:hAnsiTheme="majorHAnsi" w:cstheme="majorBidi"/>
      <w:i/>
      <w:iCs/>
      <w:color w:val="404040" w:themeColor="text1" w:themeTint="BF"/>
      <w:sz w:val="20"/>
      <w:szCs w:val="20"/>
    </w:rPr>
  </w:style>
  <w:style w:type="paragraph" w:customStyle="1" w:styleId="11">
    <w:name w:val="עמדה ממוספר 1"/>
    <w:basedOn w:val="1"/>
    <w:link w:val="12"/>
    <w:qFormat/>
    <w:rsid w:val="00B417FB"/>
    <w:rPr>
      <w:rFonts w:ascii="Arial" w:hAnsi="Arial" w:cs="Arial"/>
      <w:sz w:val="24"/>
      <w:szCs w:val="24"/>
    </w:rPr>
  </w:style>
  <w:style w:type="paragraph" w:customStyle="1" w:styleId="21">
    <w:name w:val="עמדה 2"/>
    <w:basedOn w:val="2"/>
    <w:link w:val="22"/>
    <w:qFormat/>
    <w:rsid w:val="00E035EF"/>
    <w:pPr>
      <w:ind w:left="576"/>
    </w:pPr>
    <w:rPr>
      <w:rFonts w:ascii="Arial" w:hAnsi="Arial" w:cs="Arial"/>
      <w:sz w:val="24"/>
      <w:szCs w:val="24"/>
    </w:rPr>
  </w:style>
  <w:style w:type="character" w:customStyle="1" w:styleId="12">
    <w:name w:val="עמדה ממוספר 1 תו"/>
    <w:basedOn w:val="10"/>
    <w:link w:val="11"/>
    <w:rsid w:val="00B417FB"/>
    <w:rPr>
      <w:rFonts w:ascii="Arial" w:eastAsiaTheme="majorEastAsia" w:hAnsi="Arial" w:cs="Arial"/>
      <w:b/>
      <w:bCs/>
      <w:color w:val="365F91" w:themeColor="accent1" w:themeShade="BF"/>
      <w:sz w:val="24"/>
      <w:szCs w:val="24"/>
    </w:rPr>
  </w:style>
  <w:style w:type="character" w:styleId="Hyperlink">
    <w:name w:val="Hyperlink"/>
    <w:basedOn w:val="a0"/>
    <w:uiPriority w:val="99"/>
    <w:unhideWhenUsed/>
    <w:rsid w:val="00DA070F"/>
    <w:rPr>
      <w:color w:val="0000FF" w:themeColor="hyperlink"/>
      <w:u w:val="single"/>
    </w:rPr>
  </w:style>
  <w:style w:type="character" w:customStyle="1" w:styleId="22">
    <w:name w:val="עמדה 2 תו"/>
    <w:basedOn w:val="20"/>
    <w:link w:val="21"/>
    <w:rsid w:val="00E035EF"/>
    <w:rPr>
      <w:rFonts w:ascii="Arial" w:eastAsiaTheme="majorEastAsia" w:hAnsi="Arial" w:cs="Arial"/>
      <w:b/>
      <w:bCs/>
      <w:color w:val="4F81BD" w:themeColor="accent1"/>
      <w:sz w:val="24"/>
      <w:szCs w:val="24"/>
    </w:rPr>
  </w:style>
  <w:style w:type="paragraph" w:styleId="a4">
    <w:name w:val="endnote text"/>
    <w:basedOn w:val="a"/>
    <w:link w:val="a5"/>
    <w:uiPriority w:val="99"/>
    <w:semiHidden/>
    <w:unhideWhenUsed/>
    <w:rsid w:val="00DA070F"/>
    <w:pPr>
      <w:spacing w:after="0" w:line="240" w:lineRule="auto"/>
    </w:pPr>
    <w:rPr>
      <w:sz w:val="20"/>
      <w:szCs w:val="20"/>
    </w:rPr>
  </w:style>
  <w:style w:type="character" w:customStyle="1" w:styleId="a5">
    <w:name w:val="טקסט הערת סיום תו"/>
    <w:basedOn w:val="a0"/>
    <w:link w:val="a4"/>
    <w:uiPriority w:val="99"/>
    <w:semiHidden/>
    <w:rsid w:val="00DA070F"/>
    <w:rPr>
      <w:sz w:val="20"/>
      <w:szCs w:val="20"/>
    </w:rPr>
  </w:style>
  <w:style w:type="character" w:styleId="a6">
    <w:name w:val="endnote reference"/>
    <w:basedOn w:val="a0"/>
    <w:uiPriority w:val="99"/>
    <w:semiHidden/>
    <w:unhideWhenUsed/>
    <w:rsid w:val="00DA070F"/>
    <w:rPr>
      <w:vertAlign w:val="superscript"/>
    </w:rPr>
  </w:style>
  <w:style w:type="paragraph" w:customStyle="1" w:styleId="TextBody">
    <w:name w:val="Text Body"/>
    <w:basedOn w:val="a"/>
    <w:rsid w:val="00FF4F73"/>
    <w:pPr>
      <w:suppressAutoHyphens/>
      <w:spacing w:after="140" w:line="288" w:lineRule="auto"/>
    </w:pPr>
    <w:rPr>
      <w:rFonts w:ascii="Calibri" w:eastAsia="Droid Sans Fallback" w:hAnsi="Calibri" w:cs="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96524-7417-4CCF-9935-8333F839FAE3}"/>
</file>

<file path=customXml/itemProps2.xml><?xml version="1.0" encoding="utf-8"?>
<ds:datastoreItem xmlns:ds="http://schemas.openxmlformats.org/officeDocument/2006/customXml" ds:itemID="{AC2EEB93-92D2-4905-B1A5-72D278437CE7}"/>
</file>

<file path=customXml/itemProps3.xml><?xml version="1.0" encoding="utf-8"?>
<ds:datastoreItem xmlns:ds="http://schemas.openxmlformats.org/officeDocument/2006/customXml" ds:itemID="{9052B7C6-A519-4089-9112-AC48D9F429DF}"/>
</file>

<file path=docProps/app.xml><?xml version="1.0" encoding="utf-8"?>
<Properties xmlns="http://schemas.openxmlformats.org/officeDocument/2006/extended-properties" xmlns:vt="http://schemas.openxmlformats.org/officeDocument/2006/docPropsVTypes">
  <Template>Normal</Template>
  <TotalTime>0</TotalTime>
  <Pages>1</Pages>
  <Words>613</Words>
  <Characters>3067</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חנה יוסף</cp:lastModifiedBy>
  <cp:revision>2</cp:revision>
  <dcterms:created xsi:type="dcterms:W3CDTF">2016-11-21T14:42:00Z</dcterms:created>
  <dcterms:modified xsi:type="dcterms:W3CDTF">2016-11-21T14:42:00Z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2008625</vt:r8>
  </property>
</Properties>
</file>