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3E2E" w:rsidRDefault="00ED3E2E" w:rsidP="00ED3E2E">
      <w:pPr>
        <w:spacing w:line="240" w:lineRule="auto"/>
        <w:jc w:val="right"/>
        <w:rPr>
          <w:rFonts w:ascii="Tahoma" w:hAnsi="Tahoma" w:hint="cs"/>
          <w:rtl/>
        </w:rPr>
      </w:pPr>
      <w:bookmarkStart w:id="0" w:name="_GoBack"/>
      <w:bookmarkEnd w:id="0"/>
    </w:p>
    <w:p w:rsidR="00ED3E2E" w:rsidRPr="00313B21" w:rsidRDefault="0009484A" w:rsidP="0009484A">
      <w:pPr>
        <w:spacing w:before="0"/>
        <w:jc w:val="right"/>
        <w:rPr>
          <w:rFonts w:ascii="Tahoma" w:hAnsi="Tahoma"/>
          <w:rtl/>
        </w:rPr>
      </w:pPr>
      <w:r>
        <w:rPr>
          <w:rFonts w:ascii="Tahoma" w:hAnsi="Tahoma" w:hint="cs"/>
          <w:rtl/>
        </w:rPr>
        <w:t>22 בנובמבר 2016</w:t>
      </w:r>
      <w:r w:rsidR="00ED3E2E">
        <w:rPr>
          <w:rFonts w:ascii="Tahoma" w:hAnsi="Tahoma" w:hint="cs"/>
          <w:rtl/>
        </w:rPr>
        <w:tab/>
      </w:r>
    </w:p>
    <w:p w:rsidR="00ED3E2E" w:rsidRDefault="00ED3E2E" w:rsidP="00ED3E2E">
      <w:pPr>
        <w:rPr>
          <w:rFonts w:ascii="Tahoma" w:hAnsi="Tahoma"/>
          <w:rtl/>
        </w:rPr>
      </w:pPr>
      <w:r>
        <w:rPr>
          <w:rFonts w:ascii="Tahoma" w:hAnsi="Tahoma" w:hint="cs"/>
          <w:rtl/>
        </w:rPr>
        <w:t>לכבוד</w:t>
      </w:r>
    </w:p>
    <w:p w:rsidR="00ED3E2E" w:rsidRDefault="00ED3E2E" w:rsidP="003164D4">
      <w:pPr>
        <w:rPr>
          <w:rFonts w:ascii="Tahoma" w:hAnsi="Tahoma"/>
          <w:rtl/>
        </w:rPr>
      </w:pPr>
      <w:r>
        <w:rPr>
          <w:rFonts w:ascii="Tahoma" w:hAnsi="Tahoma" w:hint="cs"/>
          <w:rtl/>
        </w:rPr>
        <w:t xml:space="preserve">חברי </w:t>
      </w:r>
      <w:r w:rsidR="003164D4">
        <w:rPr>
          <w:rFonts w:ascii="Tahoma" w:hAnsi="Tahoma" w:hint="cs"/>
          <w:rtl/>
        </w:rPr>
        <w:t>הוועדה המשותפת לו</w:t>
      </w:r>
      <w:r>
        <w:rPr>
          <w:rFonts w:ascii="Tahoma" w:hAnsi="Tahoma" w:hint="cs"/>
          <w:rtl/>
        </w:rPr>
        <w:t>ועדת חוקה, חוק ומשפט</w:t>
      </w:r>
      <w:r w:rsidR="003164D4">
        <w:rPr>
          <w:rFonts w:ascii="Tahoma" w:hAnsi="Tahoma" w:hint="cs"/>
          <w:rtl/>
        </w:rPr>
        <w:t xml:space="preserve"> ולו</w:t>
      </w:r>
      <w:r>
        <w:rPr>
          <w:rFonts w:ascii="Tahoma" w:hAnsi="Tahoma" w:hint="cs"/>
          <w:rtl/>
        </w:rPr>
        <w:t>ועדת החוץ והביטחון</w:t>
      </w:r>
    </w:p>
    <w:p w:rsidR="00A51539" w:rsidRDefault="00A51539" w:rsidP="00ED3E2E">
      <w:pPr>
        <w:rPr>
          <w:rFonts w:ascii="Tahoma" w:hAnsi="Tahoma"/>
          <w:rtl/>
        </w:rPr>
      </w:pPr>
    </w:p>
    <w:p w:rsidR="00ED3E2E" w:rsidRDefault="00ED3E2E" w:rsidP="00ED3E2E">
      <w:pPr>
        <w:rPr>
          <w:rFonts w:ascii="Tahoma" w:hAnsi="Tahoma"/>
          <w:rtl/>
        </w:rPr>
      </w:pPr>
      <w:r>
        <w:rPr>
          <w:rFonts w:ascii="Tahoma" w:hAnsi="Tahoma"/>
          <w:rtl/>
        </w:rPr>
        <w:t>שלום רב,</w:t>
      </w:r>
    </w:p>
    <w:p w:rsidR="003164D4" w:rsidRDefault="003164D4" w:rsidP="00ED3E2E">
      <w:pPr>
        <w:rPr>
          <w:rFonts w:ascii="Tahoma" w:hAnsi="Tahoma"/>
          <w:rtl/>
        </w:rPr>
      </w:pPr>
    </w:p>
    <w:p w:rsidR="00ED3E2E" w:rsidRPr="00802C12" w:rsidRDefault="00ED3E2E" w:rsidP="003164D4">
      <w:pPr>
        <w:jc w:val="center"/>
        <w:rPr>
          <w:rFonts w:ascii="Tahoma" w:hAnsi="Tahoma"/>
          <w:b/>
          <w:bCs/>
          <w:u w:val="single"/>
          <w:rtl/>
        </w:rPr>
      </w:pPr>
      <w:r>
        <w:rPr>
          <w:rFonts w:ascii="Tahoma" w:hAnsi="Tahoma"/>
          <w:rtl/>
        </w:rPr>
        <w:t xml:space="preserve">הנדון: </w:t>
      </w:r>
      <w:r>
        <w:rPr>
          <w:rFonts w:ascii="Tahoma" w:hAnsi="Tahoma" w:hint="cs"/>
          <w:b/>
          <w:bCs/>
          <w:u w:val="single"/>
          <w:rtl/>
        </w:rPr>
        <w:t xml:space="preserve">התייחסות </w:t>
      </w:r>
      <w:proofErr w:type="spellStart"/>
      <w:r>
        <w:rPr>
          <w:rFonts w:ascii="Tahoma" w:hAnsi="Tahoma" w:hint="cs"/>
          <w:b/>
          <w:bCs/>
          <w:u w:val="single"/>
          <w:rtl/>
        </w:rPr>
        <w:t>להצ</w:t>
      </w:r>
      <w:r w:rsidR="003164D4">
        <w:rPr>
          <w:rFonts w:ascii="Tahoma" w:hAnsi="Tahoma" w:hint="cs"/>
          <w:b/>
          <w:bCs/>
          <w:u w:val="single"/>
          <w:rtl/>
        </w:rPr>
        <w:t>"</w:t>
      </w:r>
      <w:r>
        <w:rPr>
          <w:rFonts w:ascii="Tahoma" w:hAnsi="Tahoma" w:hint="cs"/>
          <w:b/>
          <w:bCs/>
          <w:u w:val="single"/>
          <w:rtl/>
        </w:rPr>
        <w:t>ח</w:t>
      </w:r>
      <w:proofErr w:type="spellEnd"/>
      <w:r>
        <w:rPr>
          <w:rFonts w:ascii="Tahoma" w:hAnsi="Tahoma" w:hint="cs"/>
          <w:b/>
          <w:bCs/>
          <w:u w:val="single"/>
          <w:rtl/>
        </w:rPr>
        <w:t xml:space="preserve"> להסדרת בניה ישראלית לא-מורשית</w:t>
      </w:r>
      <w:r w:rsidR="003164D4">
        <w:rPr>
          <w:rFonts w:ascii="Tahoma" w:hAnsi="Tahoma" w:hint="cs"/>
          <w:b/>
          <w:bCs/>
          <w:u w:val="single"/>
          <w:rtl/>
        </w:rPr>
        <w:t xml:space="preserve"> בגדה</w:t>
      </w:r>
      <w:r>
        <w:rPr>
          <w:rFonts w:ascii="Tahoma" w:hAnsi="Tahoma" w:hint="cs"/>
          <w:b/>
          <w:bCs/>
          <w:u w:val="single"/>
          <w:rtl/>
        </w:rPr>
        <w:t xml:space="preserve"> על קרקע פלסטינית פרטית</w:t>
      </w:r>
    </w:p>
    <w:p w:rsidR="00ED3E2E" w:rsidRDefault="00ED3E2E" w:rsidP="00ED3E2E">
      <w:pPr>
        <w:rPr>
          <w:rFonts w:ascii="Tahoma" w:hAnsi="Tahoma"/>
          <w:rtl/>
        </w:rPr>
      </w:pPr>
    </w:p>
    <w:p w:rsidR="00ED3E2E" w:rsidRDefault="00ED3E2E" w:rsidP="003164D4">
      <w:pPr>
        <w:spacing w:before="0" w:after="120"/>
        <w:rPr>
          <w:sz w:val="24"/>
          <w:rtl/>
        </w:rPr>
      </w:pPr>
      <w:r>
        <w:rPr>
          <w:rFonts w:ascii="Arial" w:hAnsi="Arial" w:hint="cs"/>
          <w:rtl/>
        </w:rPr>
        <w:t>תכלית</w:t>
      </w:r>
      <w:r w:rsidR="003164D4">
        <w:rPr>
          <w:rFonts w:ascii="Arial" w:hAnsi="Arial" w:hint="cs"/>
          <w:rtl/>
        </w:rPr>
        <w:t>ן</w:t>
      </w:r>
      <w:r>
        <w:rPr>
          <w:rFonts w:ascii="Arial" w:hAnsi="Arial" w:hint="cs"/>
          <w:rtl/>
        </w:rPr>
        <w:t xml:space="preserve"> של </w:t>
      </w:r>
      <w:r w:rsidRPr="00431408">
        <w:rPr>
          <w:rFonts w:ascii="Arial" w:hAnsi="Arial" w:hint="cs"/>
          <w:rtl/>
        </w:rPr>
        <w:t>הצע</w:t>
      </w:r>
      <w:r w:rsidR="003164D4">
        <w:rPr>
          <w:rFonts w:ascii="Arial" w:hAnsi="Arial" w:hint="cs"/>
          <w:rtl/>
        </w:rPr>
        <w:t>ו</w:t>
      </w:r>
      <w:r>
        <w:rPr>
          <w:rFonts w:ascii="Arial" w:hAnsi="Arial" w:hint="cs"/>
          <w:rtl/>
        </w:rPr>
        <w:t>ת החוק זו, המכונ</w:t>
      </w:r>
      <w:r w:rsidR="003164D4">
        <w:rPr>
          <w:rFonts w:ascii="Arial" w:hAnsi="Arial" w:hint="cs"/>
          <w:rtl/>
        </w:rPr>
        <w:t>ות</w:t>
      </w:r>
      <w:r>
        <w:rPr>
          <w:rFonts w:ascii="Arial" w:hAnsi="Arial" w:hint="cs"/>
          <w:rtl/>
        </w:rPr>
        <w:t xml:space="preserve"> "חוק ההסדרה", היא </w:t>
      </w:r>
      <w:r w:rsidRPr="00431408">
        <w:rPr>
          <w:rFonts w:ascii="Arial" w:hAnsi="Arial" w:hint="cs"/>
          <w:rtl/>
        </w:rPr>
        <w:t xml:space="preserve"> </w:t>
      </w:r>
      <w:r>
        <w:rPr>
          <w:rFonts w:ascii="Arial" w:hAnsi="Arial" w:hint="cs"/>
          <w:rtl/>
        </w:rPr>
        <w:t xml:space="preserve">להכשיר בדיעבד בנייה בלתי מורשית על קרקע פרטית בשטחי הגדה המערבית, תוך הפקעת הקרקע מבעליה הפלסטינים החוקיים. </w:t>
      </w:r>
      <w:r>
        <w:rPr>
          <w:rFonts w:hint="cs"/>
          <w:sz w:val="24"/>
          <w:rtl/>
        </w:rPr>
        <w:t xml:space="preserve">הצעות החוק </w:t>
      </w:r>
      <w:r>
        <w:rPr>
          <w:rFonts w:ascii="Arial" w:hAnsi="Arial" w:hint="cs"/>
          <w:rtl/>
        </w:rPr>
        <w:t>מהוו</w:t>
      </w:r>
      <w:r w:rsidR="003164D4">
        <w:rPr>
          <w:rFonts w:ascii="Arial" w:hAnsi="Arial" w:hint="cs"/>
          <w:rtl/>
        </w:rPr>
        <w:t>ת</w:t>
      </w:r>
      <w:r>
        <w:rPr>
          <w:rFonts w:ascii="Arial" w:hAnsi="Arial" w:hint="cs"/>
          <w:rtl/>
        </w:rPr>
        <w:t xml:space="preserve"> עליית מדרגה מבחינת רמיסת זכויות הפרט הפלסטיני וביזוי שלטון החוק בשטחים. </w:t>
      </w:r>
      <w:r>
        <w:rPr>
          <w:rFonts w:hint="cs"/>
          <w:sz w:val="24"/>
          <w:rtl/>
        </w:rPr>
        <w:t>משמעות</w:t>
      </w:r>
      <w:r w:rsidR="003164D4">
        <w:rPr>
          <w:rFonts w:hint="cs"/>
          <w:sz w:val="24"/>
          <w:rtl/>
        </w:rPr>
        <w:t>ן</w:t>
      </w:r>
      <w:r>
        <w:rPr>
          <w:rFonts w:hint="cs"/>
          <w:sz w:val="24"/>
          <w:rtl/>
        </w:rPr>
        <w:t xml:space="preserve"> של הצע</w:t>
      </w:r>
      <w:r w:rsidR="003164D4">
        <w:rPr>
          <w:rFonts w:hint="cs"/>
          <w:sz w:val="24"/>
          <w:rtl/>
        </w:rPr>
        <w:t>ו</w:t>
      </w:r>
      <w:r>
        <w:rPr>
          <w:rFonts w:hint="cs"/>
          <w:sz w:val="24"/>
          <w:rtl/>
        </w:rPr>
        <w:t>ת החוק היא עידוד מצד הכנסת לפלישה ו</w:t>
      </w:r>
      <w:r w:rsidR="003164D4">
        <w:rPr>
          <w:rFonts w:hint="cs"/>
          <w:sz w:val="24"/>
          <w:rtl/>
        </w:rPr>
        <w:t>ל</w:t>
      </w:r>
      <w:r>
        <w:rPr>
          <w:rFonts w:hint="cs"/>
          <w:sz w:val="24"/>
          <w:rtl/>
        </w:rPr>
        <w:t xml:space="preserve">גזל של רכוש הזולת </w:t>
      </w:r>
      <w:r>
        <w:rPr>
          <w:sz w:val="24"/>
          <w:rtl/>
        </w:rPr>
        <w:t>–</w:t>
      </w:r>
      <w:r>
        <w:rPr>
          <w:rFonts w:hint="cs"/>
          <w:sz w:val="24"/>
          <w:rtl/>
        </w:rPr>
        <w:t xml:space="preserve"> כל עוד מדובר ברכוש של פלסטינים תושבי השטחים. </w:t>
      </w:r>
    </w:p>
    <w:p w:rsidR="00ED3E2E" w:rsidRPr="00A51539" w:rsidRDefault="00ED3E2E" w:rsidP="00610774">
      <w:pPr>
        <w:spacing w:before="0" w:after="120"/>
        <w:rPr>
          <w:rFonts w:ascii="Arial" w:hAnsi="Arial"/>
          <w:rtl/>
        </w:rPr>
      </w:pPr>
      <w:r>
        <w:rPr>
          <w:rFonts w:ascii="Arial" w:hAnsi="Arial" w:hint="cs"/>
          <w:rtl/>
        </w:rPr>
        <w:t xml:space="preserve">הפגיעה הקשה שהצעת החוק באה לקדם איננה מתקיימת בחלל ריק: משטר הכיבוש שישראל מקיימת בשטחים מוביל </w:t>
      </w:r>
      <w:r w:rsidR="00A51539">
        <w:rPr>
          <w:rFonts w:ascii="Arial" w:hAnsi="Arial" w:hint="cs"/>
          <w:rtl/>
        </w:rPr>
        <w:t>ל</w:t>
      </w:r>
      <w:r w:rsidRPr="00F35A78">
        <w:rPr>
          <w:rFonts w:ascii="Arial" w:hAnsi="Arial"/>
          <w:rtl/>
        </w:rPr>
        <w:t xml:space="preserve">פגיעה אנושה </w:t>
      </w:r>
      <w:r>
        <w:rPr>
          <w:rFonts w:ascii="Arial" w:hAnsi="Arial" w:hint="cs"/>
          <w:rtl/>
        </w:rPr>
        <w:t xml:space="preserve">ומתמשכת </w:t>
      </w:r>
      <w:r w:rsidRPr="00F35A78">
        <w:rPr>
          <w:rFonts w:ascii="Arial" w:hAnsi="Arial"/>
          <w:rtl/>
        </w:rPr>
        <w:t xml:space="preserve">בזכויותיהם </w:t>
      </w:r>
      <w:r>
        <w:rPr>
          <w:rFonts w:ascii="Arial" w:hAnsi="Arial" w:hint="cs"/>
          <w:rtl/>
        </w:rPr>
        <w:t xml:space="preserve">האישיות והקולקטיביות </w:t>
      </w:r>
      <w:r w:rsidRPr="00F35A78">
        <w:rPr>
          <w:rFonts w:ascii="Arial" w:hAnsi="Arial"/>
          <w:rtl/>
        </w:rPr>
        <w:t>של הפלסטינים</w:t>
      </w:r>
      <w:r>
        <w:rPr>
          <w:rFonts w:ascii="Arial" w:hAnsi="Arial" w:hint="cs"/>
          <w:rtl/>
        </w:rPr>
        <w:t xml:space="preserve">, על אף שהם נחשבים </w:t>
      </w:r>
      <w:proofErr w:type="spellStart"/>
      <w:r>
        <w:rPr>
          <w:rFonts w:ascii="Arial" w:hAnsi="Arial" w:hint="cs"/>
          <w:rtl/>
        </w:rPr>
        <w:t>לאוכלוסיה</w:t>
      </w:r>
      <w:proofErr w:type="spellEnd"/>
      <w:r>
        <w:rPr>
          <w:rFonts w:ascii="Arial" w:hAnsi="Arial" w:hint="cs"/>
          <w:rtl/>
        </w:rPr>
        <w:t xml:space="preserve"> מוגנת על פי המשפט הבינלאומי. אלא שאפילו במסגרת המשטר הפוגעני שנוצר בשטחים שמרו הרשויות הישראליות, לפחות באופן רשמי, על האיסור להשתלט על קרקעות פרטיות לצורך הקמת התנחלויות. אימוץ הצע</w:t>
      </w:r>
      <w:r w:rsidR="00610774">
        <w:rPr>
          <w:rFonts w:ascii="Arial" w:hAnsi="Arial" w:hint="cs"/>
          <w:rtl/>
        </w:rPr>
        <w:t>ו</w:t>
      </w:r>
      <w:r>
        <w:rPr>
          <w:rFonts w:ascii="Arial" w:hAnsi="Arial" w:hint="cs"/>
          <w:rtl/>
        </w:rPr>
        <w:t xml:space="preserve">ת החוק יהפוך  את </w:t>
      </w:r>
      <w:r w:rsidR="00610774">
        <w:rPr>
          <w:rFonts w:ascii="Arial" w:hAnsi="Arial" w:hint="cs"/>
          <w:rtl/>
        </w:rPr>
        <w:t>ה</w:t>
      </w:r>
      <w:r>
        <w:rPr>
          <w:rFonts w:ascii="Arial" w:hAnsi="Arial" w:hint="cs"/>
          <w:rtl/>
        </w:rPr>
        <w:t>כנסת לשותפה ו</w:t>
      </w:r>
      <w:r w:rsidR="00610774">
        <w:rPr>
          <w:rFonts w:ascii="Arial" w:hAnsi="Arial" w:hint="cs"/>
          <w:rtl/>
        </w:rPr>
        <w:t>ל</w:t>
      </w:r>
      <w:r>
        <w:rPr>
          <w:rFonts w:ascii="Arial" w:hAnsi="Arial" w:hint="cs"/>
          <w:rtl/>
        </w:rPr>
        <w:t>אחראית ישירה למעשה הגזל של קרקעות פרטיות, מעשה המנוגד למשפט הבינלאומי ולמשפט הישראלי. זאת, כאשר הפלישה והגזל מתרחשים בשטחים בהם הכנסת כלל איננה הריבון החוקי</w:t>
      </w:r>
      <w:r w:rsidR="00610774">
        <w:rPr>
          <w:rFonts w:ascii="Arial" w:hAnsi="Arial" w:hint="cs"/>
          <w:rtl/>
        </w:rPr>
        <w:t>,</w:t>
      </w:r>
      <w:r>
        <w:rPr>
          <w:rFonts w:ascii="Arial" w:hAnsi="Arial" w:hint="cs"/>
          <w:rtl/>
        </w:rPr>
        <w:t xml:space="preserve"> ובשל כך איננה מוסמכת לחוקק חוקים</w:t>
      </w:r>
      <w:r w:rsidR="00610774">
        <w:rPr>
          <w:rFonts w:ascii="Arial" w:hAnsi="Arial" w:hint="cs"/>
          <w:rtl/>
        </w:rPr>
        <w:t xml:space="preserve"> המתייחסים לשטח זה</w:t>
      </w:r>
      <w:r>
        <w:rPr>
          <w:rFonts w:ascii="Arial" w:hAnsi="Arial" w:hint="cs"/>
          <w:rtl/>
        </w:rPr>
        <w:t>. בכך מבקשים חברי הכנסת להמשיך ולטשטש את ההבדל בין השטחים הכבושים לבין מדינת ישראל הריבונית, וזאת בדלת האחורית וללא החלטה רשמית על סיפוח השטחים.</w:t>
      </w:r>
    </w:p>
    <w:p w:rsidR="00ED3E2E" w:rsidRPr="00490F2B" w:rsidRDefault="00ED3E2E" w:rsidP="00ED3E2E">
      <w:pPr>
        <w:spacing w:before="0" w:after="120"/>
        <w:rPr>
          <w:rFonts w:ascii="Arial" w:hAnsi="Arial"/>
          <w:rtl/>
        </w:rPr>
      </w:pPr>
    </w:p>
    <w:p w:rsidR="00ED3E2E" w:rsidRPr="00E361E5" w:rsidRDefault="00ED3E2E" w:rsidP="00ED3E2E">
      <w:pPr>
        <w:spacing w:before="0" w:after="120"/>
        <w:rPr>
          <w:rFonts w:ascii="Arial" w:hAnsi="Arial"/>
          <w:b/>
          <w:bCs/>
          <w:u w:val="single"/>
          <w:rtl/>
        </w:rPr>
      </w:pPr>
      <w:proofErr w:type="spellStart"/>
      <w:r>
        <w:rPr>
          <w:rFonts w:ascii="Arial" w:hAnsi="Arial" w:hint="cs"/>
          <w:b/>
          <w:bCs/>
          <w:u w:val="single"/>
          <w:rtl/>
        </w:rPr>
        <w:t>פסלותה</w:t>
      </w:r>
      <w:proofErr w:type="spellEnd"/>
      <w:r>
        <w:rPr>
          <w:rFonts w:ascii="Arial" w:hAnsi="Arial" w:hint="cs"/>
          <w:b/>
          <w:bCs/>
          <w:u w:val="single"/>
          <w:rtl/>
        </w:rPr>
        <w:t xml:space="preserve"> </w:t>
      </w:r>
      <w:r w:rsidRPr="00E361E5">
        <w:rPr>
          <w:rFonts w:ascii="Arial" w:hAnsi="Arial" w:hint="cs"/>
          <w:b/>
          <w:bCs/>
          <w:u w:val="single"/>
          <w:rtl/>
        </w:rPr>
        <w:t>של הצעת החוק על פי המשפט הישראלי ועל פי המשפט הבינלאומי</w:t>
      </w:r>
    </w:p>
    <w:p w:rsidR="00ED3E2E" w:rsidRDefault="00ED3E2E" w:rsidP="00610774">
      <w:pPr>
        <w:spacing w:before="0" w:after="120"/>
        <w:rPr>
          <w:sz w:val="24"/>
          <w:rtl/>
        </w:rPr>
      </w:pPr>
      <w:r>
        <w:rPr>
          <w:rFonts w:ascii="Arial" w:hAnsi="Arial" w:hint="cs"/>
          <w:rtl/>
        </w:rPr>
        <w:t xml:space="preserve">כידוע, הקמתן של התנחלויות של אזרחי מדינת ישראל בשטחים המוחזקים על-ידה באמצעות משטר של כיבוש צבאי (או "תפיסה </w:t>
      </w:r>
      <w:proofErr w:type="spellStart"/>
      <w:r>
        <w:rPr>
          <w:rFonts w:ascii="Arial" w:hAnsi="Arial" w:hint="cs"/>
          <w:rtl/>
        </w:rPr>
        <w:t>לוחמתית</w:t>
      </w:r>
      <w:proofErr w:type="spellEnd"/>
      <w:r>
        <w:rPr>
          <w:rFonts w:ascii="Arial" w:hAnsi="Arial" w:hint="cs"/>
          <w:rtl/>
        </w:rPr>
        <w:t xml:space="preserve">") הינה אסורה על-פי המשפט הבינלאומי. מעשה שכזה מהווה הפרה ברורה של הוראות </w:t>
      </w:r>
      <w:r>
        <w:rPr>
          <w:rFonts w:hint="cs"/>
          <w:sz w:val="24"/>
          <w:rtl/>
        </w:rPr>
        <w:t>באמנת ג'נבה בדבר הגנת אזרחים בימי מלחמה, שישראל היא צד לה מ</w:t>
      </w:r>
      <w:r w:rsidR="00610774">
        <w:rPr>
          <w:rFonts w:hint="cs"/>
          <w:sz w:val="24"/>
          <w:rtl/>
        </w:rPr>
        <w:t xml:space="preserve">אז </w:t>
      </w:r>
      <w:r>
        <w:rPr>
          <w:rFonts w:hint="cs"/>
          <w:sz w:val="24"/>
          <w:rtl/>
        </w:rPr>
        <w:t xml:space="preserve">שנת 1951 ("אמנת ג'נבה הרביעית"). כפי שהבהיר היועץ המשפטי של משרד החוץ כבר בחודש ספטמבר 1967: "האיסור הוא </w:t>
      </w:r>
      <w:proofErr w:type="spellStart"/>
      <w:r>
        <w:rPr>
          <w:rFonts w:hint="cs"/>
          <w:sz w:val="24"/>
          <w:rtl/>
        </w:rPr>
        <w:t>איפוא</w:t>
      </w:r>
      <w:proofErr w:type="spellEnd"/>
      <w:r>
        <w:rPr>
          <w:rFonts w:hint="cs"/>
          <w:sz w:val="24"/>
          <w:rtl/>
        </w:rPr>
        <w:t xml:space="preserve"> קטיגורי ואיננו מותנה במניעי ההעברה או מטרותיה והוא נועד </w:t>
      </w:r>
      <w:r>
        <w:rPr>
          <w:rFonts w:hint="cs"/>
          <w:sz w:val="24"/>
          <w:rtl/>
        </w:rPr>
        <w:lastRenderedPageBreak/>
        <w:t xml:space="preserve">למנוע התיישבות בשטח כבוש של </w:t>
      </w:r>
      <w:smartTag w:uri="urn:schemas-microsoft-com:office:smarttags" w:element="PersonName">
        <w:smartTagPr>
          <w:attr w:name="ProductID" w:val="בני המדינה"/>
        </w:smartTagPr>
        <w:r>
          <w:rPr>
            <w:rFonts w:hint="cs"/>
            <w:sz w:val="24"/>
            <w:rtl/>
          </w:rPr>
          <w:t>בני המדינה</w:t>
        </w:r>
      </w:smartTag>
      <w:r>
        <w:rPr>
          <w:rFonts w:hint="cs"/>
          <w:sz w:val="24"/>
          <w:rtl/>
        </w:rPr>
        <w:t xml:space="preserve"> הכובשת."</w:t>
      </w:r>
      <w:r>
        <w:rPr>
          <w:rStyle w:val="a9"/>
          <w:sz w:val="24"/>
          <w:rtl/>
        </w:rPr>
        <w:footnoteReference w:id="1"/>
      </w:r>
      <w:r>
        <w:rPr>
          <w:rFonts w:hint="cs"/>
          <w:sz w:val="24"/>
          <w:rtl/>
        </w:rPr>
        <w:t xml:space="preserve"> מאחר שמדובר בהצע</w:t>
      </w:r>
      <w:r w:rsidR="00610774">
        <w:rPr>
          <w:rFonts w:hint="cs"/>
          <w:sz w:val="24"/>
          <w:rtl/>
        </w:rPr>
        <w:t>ו</w:t>
      </w:r>
      <w:r>
        <w:rPr>
          <w:rFonts w:hint="cs"/>
          <w:sz w:val="24"/>
          <w:rtl/>
        </w:rPr>
        <w:t>ת חוק העוסק</w:t>
      </w:r>
      <w:r w:rsidR="00610774">
        <w:rPr>
          <w:rFonts w:hint="cs"/>
          <w:sz w:val="24"/>
          <w:rtl/>
        </w:rPr>
        <w:t>ו</w:t>
      </w:r>
      <w:r>
        <w:rPr>
          <w:rFonts w:hint="cs"/>
          <w:sz w:val="24"/>
          <w:rtl/>
        </w:rPr>
        <w:t>ת בהכשרתם של יישובים של אזרחי המדינה הכובשת בשטחים, ה</w:t>
      </w:r>
      <w:r w:rsidR="00610774">
        <w:rPr>
          <w:rFonts w:hint="cs"/>
          <w:sz w:val="24"/>
          <w:rtl/>
        </w:rPr>
        <w:t>ן</w:t>
      </w:r>
      <w:r>
        <w:rPr>
          <w:rFonts w:hint="cs"/>
          <w:sz w:val="24"/>
          <w:rtl/>
        </w:rPr>
        <w:t xml:space="preserve"> מהוו</w:t>
      </w:r>
      <w:r w:rsidR="00610774">
        <w:rPr>
          <w:rFonts w:hint="cs"/>
          <w:sz w:val="24"/>
          <w:rtl/>
        </w:rPr>
        <w:t>ת</w:t>
      </w:r>
      <w:r>
        <w:rPr>
          <w:rFonts w:hint="cs"/>
          <w:sz w:val="24"/>
          <w:rtl/>
        </w:rPr>
        <w:t xml:space="preserve"> ביטוי ברור להפרה של האיסור האמור. </w:t>
      </w:r>
    </w:p>
    <w:p w:rsidR="00ED3E2E" w:rsidRDefault="00ED3E2E" w:rsidP="00610774">
      <w:pPr>
        <w:spacing w:before="0" w:after="120"/>
        <w:rPr>
          <w:rFonts w:ascii="Arial" w:hAnsi="Arial"/>
        </w:rPr>
      </w:pPr>
      <w:r>
        <w:rPr>
          <w:rFonts w:hint="cs"/>
          <w:sz w:val="24"/>
          <w:rtl/>
        </w:rPr>
        <w:t xml:space="preserve">ואולם, לא רק בכך טמונה חומרתה המיוחדת של הצעת החוק הזו. שכן אי-חוקיות זו איננה נוגעת אך להכשרתם של מאחזים בלתי-מורשים, אלא למפעל ההתנחלות כולו בשטחי הגדה המערבית - מפעל לו היו שותפות </w:t>
      </w:r>
      <w:r>
        <w:rPr>
          <w:rFonts w:ascii="Arial" w:hAnsi="Arial" w:hint="cs"/>
          <w:rtl/>
        </w:rPr>
        <w:t xml:space="preserve">ממשלות ישראל לדורותיהן (זאת למרות שאף ממשלה לא חלקה על מעמדם של שטחים אלה כשטחים המוחזקים תחת "תפיסה </w:t>
      </w:r>
      <w:proofErr w:type="spellStart"/>
      <w:r>
        <w:rPr>
          <w:rFonts w:ascii="Arial" w:hAnsi="Arial" w:hint="cs"/>
          <w:rtl/>
        </w:rPr>
        <w:t>לוחמתית</w:t>
      </w:r>
      <w:proofErr w:type="spellEnd"/>
      <w:r>
        <w:rPr>
          <w:rFonts w:ascii="Arial" w:hAnsi="Arial" w:hint="cs"/>
          <w:rtl/>
        </w:rPr>
        <w:t xml:space="preserve">" ובאמצעות משטר צבאי, ולא פעלה לשנותו). </w:t>
      </w:r>
    </w:p>
    <w:p w:rsidR="00ED3E2E" w:rsidRDefault="00ED3E2E" w:rsidP="00234972">
      <w:pPr>
        <w:spacing w:before="0" w:after="120"/>
        <w:rPr>
          <w:sz w:val="24"/>
          <w:rtl/>
        </w:rPr>
      </w:pPr>
      <w:r w:rsidRPr="002F67A5">
        <w:rPr>
          <w:rFonts w:hint="cs"/>
          <w:b/>
          <w:bCs/>
          <w:sz w:val="24"/>
          <w:rtl/>
        </w:rPr>
        <w:t>הצע</w:t>
      </w:r>
      <w:r w:rsidR="00610774">
        <w:rPr>
          <w:rFonts w:hint="cs"/>
          <w:b/>
          <w:bCs/>
          <w:sz w:val="24"/>
          <w:rtl/>
        </w:rPr>
        <w:t>ו</w:t>
      </w:r>
      <w:r w:rsidRPr="002F67A5">
        <w:rPr>
          <w:rFonts w:hint="cs"/>
          <w:b/>
          <w:bCs/>
          <w:sz w:val="24"/>
          <w:rtl/>
        </w:rPr>
        <w:t>ת החוק הולכ</w:t>
      </w:r>
      <w:r w:rsidR="00610774">
        <w:rPr>
          <w:rFonts w:hint="cs"/>
          <w:b/>
          <w:bCs/>
          <w:sz w:val="24"/>
          <w:rtl/>
        </w:rPr>
        <w:t>ו</w:t>
      </w:r>
      <w:r w:rsidRPr="002F67A5">
        <w:rPr>
          <w:rFonts w:hint="cs"/>
          <w:b/>
          <w:bCs/>
          <w:sz w:val="24"/>
          <w:rtl/>
        </w:rPr>
        <w:t xml:space="preserve">ת צעד חמור אחד נוסף </w:t>
      </w:r>
      <w:r>
        <w:rPr>
          <w:b/>
          <w:bCs/>
          <w:sz w:val="24"/>
          <w:rtl/>
        </w:rPr>
        <w:t>–</w:t>
      </w:r>
      <w:r w:rsidRPr="002F67A5">
        <w:rPr>
          <w:rFonts w:hint="cs"/>
          <w:b/>
          <w:bCs/>
          <w:sz w:val="24"/>
          <w:rtl/>
        </w:rPr>
        <w:t xml:space="preserve"> </w:t>
      </w:r>
      <w:r>
        <w:rPr>
          <w:rFonts w:hint="cs"/>
          <w:b/>
          <w:bCs/>
          <w:sz w:val="24"/>
          <w:rtl/>
        </w:rPr>
        <w:t>ה</w:t>
      </w:r>
      <w:r w:rsidR="00610774">
        <w:rPr>
          <w:rFonts w:hint="cs"/>
          <w:b/>
          <w:bCs/>
          <w:sz w:val="24"/>
          <w:rtl/>
        </w:rPr>
        <w:t>ן</w:t>
      </w:r>
      <w:r>
        <w:rPr>
          <w:rFonts w:hint="cs"/>
          <w:b/>
          <w:bCs/>
          <w:sz w:val="24"/>
          <w:rtl/>
        </w:rPr>
        <w:t xml:space="preserve"> מור</w:t>
      </w:r>
      <w:r w:rsidR="00610774">
        <w:rPr>
          <w:rFonts w:hint="cs"/>
          <w:b/>
          <w:bCs/>
          <w:sz w:val="24"/>
          <w:rtl/>
        </w:rPr>
        <w:t>ות</w:t>
      </w:r>
      <w:r>
        <w:rPr>
          <w:rFonts w:hint="cs"/>
          <w:b/>
          <w:bCs/>
          <w:sz w:val="24"/>
          <w:rtl/>
        </w:rPr>
        <w:t xml:space="preserve"> על הפקעתו של רכוש הפרט שלא לצורכי ביטחון ומעניקה הכשר לפלישה לקרקע פרטית ולגזל שלה לצורך הקמת יישובים אלה. </w:t>
      </w:r>
      <w:r>
        <w:rPr>
          <w:rFonts w:hint="cs"/>
          <w:sz w:val="24"/>
          <w:rtl/>
        </w:rPr>
        <w:t>בכך עומד</w:t>
      </w:r>
      <w:r w:rsidR="00610774">
        <w:rPr>
          <w:rFonts w:hint="cs"/>
          <w:sz w:val="24"/>
          <w:rtl/>
        </w:rPr>
        <w:t>ו</w:t>
      </w:r>
      <w:r>
        <w:rPr>
          <w:rFonts w:hint="cs"/>
          <w:sz w:val="24"/>
          <w:rtl/>
        </w:rPr>
        <w:t>ת הצע</w:t>
      </w:r>
      <w:r w:rsidR="00610774">
        <w:rPr>
          <w:rFonts w:hint="cs"/>
          <w:sz w:val="24"/>
          <w:rtl/>
        </w:rPr>
        <w:t>ו</w:t>
      </w:r>
      <w:r>
        <w:rPr>
          <w:rFonts w:hint="cs"/>
          <w:sz w:val="24"/>
          <w:rtl/>
        </w:rPr>
        <w:t>ת החוק  בסתירה לאחד ה</w:t>
      </w:r>
      <w:r w:rsidRPr="004767EA">
        <w:rPr>
          <w:rFonts w:hint="cs"/>
          <w:sz w:val="24"/>
          <w:rtl/>
        </w:rPr>
        <w:t>איסורים הברורים ביותר במשפט הבינלאומי - האיסור על הפקעתו של רכוש הפרט.</w:t>
      </w:r>
      <w:r>
        <w:rPr>
          <w:rFonts w:hint="cs"/>
          <w:sz w:val="24"/>
          <w:rtl/>
        </w:rPr>
        <w:t xml:space="preserve"> תקנה 46 לתקנות הנספחות לאמנת האג, שאין מחלוקת ש</w:t>
      </w:r>
      <w:r w:rsidR="00234972">
        <w:rPr>
          <w:rFonts w:hint="cs"/>
          <w:sz w:val="24"/>
          <w:rtl/>
        </w:rPr>
        <w:t xml:space="preserve">היא </w:t>
      </w:r>
      <w:r>
        <w:rPr>
          <w:rFonts w:hint="cs"/>
          <w:sz w:val="24"/>
          <w:rtl/>
        </w:rPr>
        <w:t>משקפת משפט בינלאומי מנהגי המחייב את כל המדינות, קובעת ביחס לשטח כבוש כי "יש לכבד... רכוש פרטי, ... אין להחרים רכוש פרטי". הסתירה בין הוראות הצע</w:t>
      </w:r>
      <w:r w:rsidR="00234972">
        <w:rPr>
          <w:rFonts w:hint="cs"/>
          <w:sz w:val="24"/>
          <w:rtl/>
        </w:rPr>
        <w:t>ו</w:t>
      </w:r>
      <w:r>
        <w:rPr>
          <w:rFonts w:hint="cs"/>
          <w:sz w:val="24"/>
          <w:rtl/>
        </w:rPr>
        <w:t>ת החוק לבין המשפט הבינלאומי הינה חזיתית ואיננה ניתנת ליישוב. מדובר באיסור אשר על תוקפו ותחולתו על מעשיה של ישראל ב</w:t>
      </w:r>
      <w:r w:rsidR="00234972">
        <w:rPr>
          <w:rFonts w:hint="cs"/>
          <w:sz w:val="24"/>
          <w:rtl/>
        </w:rPr>
        <w:t>גדה</w:t>
      </w:r>
      <w:r>
        <w:rPr>
          <w:rFonts w:hint="cs"/>
          <w:sz w:val="24"/>
          <w:rtl/>
        </w:rPr>
        <w:t xml:space="preserve"> על-ידה אין עוררין. ואכן, מאז ניתן פסק-הדין ב</w:t>
      </w:r>
      <w:r w:rsidRPr="00FD38EF">
        <w:rPr>
          <w:sz w:val="24"/>
          <w:rtl/>
        </w:rPr>
        <w:t>בג"</w:t>
      </w:r>
      <w:r w:rsidR="00610774">
        <w:rPr>
          <w:rFonts w:hint="cs"/>
          <w:sz w:val="24"/>
          <w:rtl/>
        </w:rPr>
        <w:t>ץ</w:t>
      </w:r>
      <w:r>
        <w:rPr>
          <w:rFonts w:hint="cs"/>
          <w:sz w:val="24"/>
          <w:rtl/>
        </w:rPr>
        <w:t xml:space="preserve"> 390/79 </w:t>
      </w:r>
      <w:proofErr w:type="spellStart"/>
      <w:r w:rsidRPr="00FD38EF">
        <w:rPr>
          <w:sz w:val="24"/>
          <w:u w:val="single"/>
          <w:rtl/>
        </w:rPr>
        <w:t>דויקאת</w:t>
      </w:r>
      <w:proofErr w:type="spellEnd"/>
      <w:r w:rsidRPr="00FD38EF">
        <w:rPr>
          <w:sz w:val="24"/>
          <w:u w:val="single"/>
          <w:rtl/>
        </w:rPr>
        <w:t xml:space="preserve"> נ' ממשלת ישראל</w:t>
      </w:r>
      <w:r>
        <w:rPr>
          <w:rStyle w:val="a9"/>
          <w:sz w:val="24"/>
          <w:rtl/>
        </w:rPr>
        <w:footnoteReference w:id="2"/>
      </w:r>
      <w:r>
        <w:rPr>
          <w:rFonts w:hint="cs"/>
          <w:sz w:val="24"/>
          <w:rtl/>
        </w:rPr>
        <w:t xml:space="preserve"> (פרשת אלון מורה) לא אישרו ממשלות ישראל הקמתן של התנחלויות על קרקע פרטית. </w:t>
      </w:r>
    </w:p>
    <w:p w:rsidR="00ED3E2E" w:rsidRDefault="00ED3E2E" w:rsidP="00234972">
      <w:pPr>
        <w:spacing w:before="0" w:after="120"/>
        <w:rPr>
          <w:sz w:val="24"/>
          <w:rtl/>
        </w:rPr>
      </w:pPr>
      <w:r w:rsidRPr="000F73B9">
        <w:rPr>
          <w:rFonts w:hint="cs"/>
          <w:b/>
          <w:bCs/>
          <w:sz w:val="24"/>
          <w:rtl/>
        </w:rPr>
        <w:t>משמעות הדבר היא, כי הצע</w:t>
      </w:r>
      <w:r w:rsidR="00234972">
        <w:rPr>
          <w:rFonts w:hint="cs"/>
          <w:b/>
          <w:bCs/>
          <w:sz w:val="24"/>
          <w:rtl/>
        </w:rPr>
        <w:t>ו</w:t>
      </w:r>
      <w:r w:rsidRPr="000F73B9">
        <w:rPr>
          <w:rFonts w:hint="cs"/>
          <w:b/>
          <w:bCs/>
          <w:sz w:val="24"/>
          <w:rtl/>
        </w:rPr>
        <w:t>ת החוק האמור</w:t>
      </w:r>
      <w:r w:rsidR="00234972">
        <w:rPr>
          <w:rFonts w:hint="cs"/>
          <w:b/>
          <w:bCs/>
          <w:sz w:val="24"/>
          <w:rtl/>
        </w:rPr>
        <w:t>ות</w:t>
      </w:r>
      <w:r w:rsidRPr="000F73B9">
        <w:rPr>
          <w:rFonts w:hint="cs"/>
          <w:b/>
          <w:bCs/>
          <w:sz w:val="24"/>
          <w:rtl/>
        </w:rPr>
        <w:t xml:space="preserve"> עומד</w:t>
      </w:r>
      <w:r w:rsidR="00234972">
        <w:rPr>
          <w:rFonts w:hint="cs"/>
          <w:b/>
          <w:bCs/>
          <w:sz w:val="24"/>
          <w:rtl/>
        </w:rPr>
        <w:t>ו</w:t>
      </w:r>
      <w:r w:rsidRPr="000F73B9">
        <w:rPr>
          <w:rFonts w:hint="cs"/>
          <w:b/>
          <w:bCs/>
          <w:sz w:val="24"/>
          <w:rtl/>
        </w:rPr>
        <w:t>ת בסתירה למחויבות בינלאומית של ישראל, שישראל מעולם לא כפרה בה</w:t>
      </w:r>
      <w:r>
        <w:rPr>
          <w:rFonts w:hint="cs"/>
          <w:sz w:val="24"/>
          <w:rtl/>
        </w:rPr>
        <w:t>. זאת ועוד, הפקעה של רכוש פרטי בקנה מידה רחב, שאינה נחוצה לצרכים צבאיים, עשויה לעלות כדי הפרה חמורה של אמנת ג'נבה הרביעית. הפרות כאלו מוגדרות על פי אמנת רומא כפשע מלחמה (סעיף 8(2)(</w:t>
      </w:r>
      <w:r>
        <w:rPr>
          <w:sz w:val="24"/>
        </w:rPr>
        <w:t>a</w:t>
      </w:r>
      <w:r>
        <w:rPr>
          <w:rFonts w:hint="cs"/>
          <w:sz w:val="24"/>
          <w:rtl/>
        </w:rPr>
        <w:t>)(</w:t>
      </w:r>
      <w:r>
        <w:rPr>
          <w:sz w:val="24"/>
        </w:rPr>
        <w:t>iv</w:t>
      </w:r>
      <w:r>
        <w:rPr>
          <w:rFonts w:hint="cs"/>
          <w:sz w:val="24"/>
          <w:rtl/>
        </w:rPr>
        <w:t>) לאמנה).</w:t>
      </w:r>
    </w:p>
    <w:p w:rsidR="00ED3E2E" w:rsidRDefault="00ED3E2E" w:rsidP="00234972">
      <w:pPr>
        <w:spacing w:before="0" w:after="120"/>
        <w:rPr>
          <w:sz w:val="24"/>
          <w:rtl/>
        </w:rPr>
      </w:pPr>
      <w:r w:rsidRPr="009073B1">
        <w:rPr>
          <w:rFonts w:hint="cs"/>
          <w:b/>
          <w:bCs/>
          <w:sz w:val="24"/>
          <w:rtl/>
        </w:rPr>
        <w:t>אף מבחינת המשפט הישראלי מדובר בהצעת חוק פסו</w:t>
      </w:r>
      <w:r>
        <w:rPr>
          <w:rFonts w:hint="cs"/>
          <w:b/>
          <w:bCs/>
          <w:sz w:val="24"/>
          <w:rtl/>
        </w:rPr>
        <w:t>לה</w:t>
      </w:r>
      <w:r>
        <w:rPr>
          <w:rFonts w:hint="cs"/>
          <w:sz w:val="24"/>
          <w:rtl/>
        </w:rPr>
        <w:t xml:space="preserve">. </w:t>
      </w:r>
      <w:r w:rsidRPr="009073B1">
        <w:rPr>
          <w:rFonts w:hint="cs"/>
          <w:sz w:val="24"/>
          <w:rtl/>
        </w:rPr>
        <w:t xml:space="preserve">הצעת החוק פוגעת בזכות הקניין, המוגנת בחוק יסוד: כבוד האדם וחירותו, </w:t>
      </w:r>
      <w:r>
        <w:rPr>
          <w:rFonts w:hint="cs"/>
          <w:sz w:val="24"/>
          <w:rtl/>
        </w:rPr>
        <w:t xml:space="preserve">באופן רטרואקטיבי </w:t>
      </w:r>
      <w:r w:rsidR="00234972">
        <w:rPr>
          <w:rFonts w:hint="cs"/>
          <w:sz w:val="24"/>
          <w:rtl/>
        </w:rPr>
        <w:t xml:space="preserve">ובאופן </w:t>
      </w:r>
      <w:r w:rsidRPr="009073B1">
        <w:rPr>
          <w:rFonts w:hint="cs"/>
          <w:sz w:val="24"/>
          <w:rtl/>
        </w:rPr>
        <w:t>שאיננו עומד במבחני חוק היסוד</w:t>
      </w:r>
      <w:r>
        <w:rPr>
          <w:rFonts w:hint="cs"/>
          <w:sz w:val="24"/>
          <w:rtl/>
        </w:rPr>
        <w:t>, והחורג באופן קיצוני מההסדרים המוכרים במשפט הישראלי. אף אם בעיני יוזמי הצע</w:t>
      </w:r>
      <w:r w:rsidR="00234972">
        <w:rPr>
          <w:rFonts w:hint="cs"/>
          <w:sz w:val="24"/>
          <w:rtl/>
        </w:rPr>
        <w:t>ו</w:t>
      </w:r>
      <w:r>
        <w:rPr>
          <w:rFonts w:hint="cs"/>
          <w:sz w:val="24"/>
          <w:rtl/>
        </w:rPr>
        <w:t>ת החוק, תכלית</w:t>
      </w:r>
      <w:r w:rsidR="00234972">
        <w:rPr>
          <w:rFonts w:hint="cs"/>
          <w:sz w:val="24"/>
          <w:rtl/>
        </w:rPr>
        <w:t>ן</w:t>
      </w:r>
      <w:r>
        <w:rPr>
          <w:rFonts w:hint="cs"/>
          <w:sz w:val="24"/>
          <w:rtl/>
        </w:rPr>
        <w:t xml:space="preserve"> של </w:t>
      </w:r>
      <w:r w:rsidR="00234972">
        <w:rPr>
          <w:rFonts w:hint="cs"/>
          <w:sz w:val="24"/>
          <w:rtl/>
        </w:rPr>
        <w:t xml:space="preserve">הצעות </w:t>
      </w:r>
      <w:r>
        <w:rPr>
          <w:rFonts w:hint="cs"/>
          <w:sz w:val="24"/>
          <w:rtl/>
        </w:rPr>
        <w:t>החוק הינה תכלית ראויה שכן הוא יאפשר מניעת פינויים של אנשים מבתיהם, הרי שכידוע המחוקק הישראלי קבע, בהוראות חוק רבות, כי תכלית זו איננה גוברת על זכות הקניין של בעל הנכס. כך קובע החוק, אף כאשר מדובר באנשים שתפסו חזקה בנכס ברשותו של בעל הנכס. על אחת כמה וכמה כאשר תפיסת החזקה נעשתה שלא על דעתו, ותוך הסגת גבול.</w:t>
      </w:r>
    </w:p>
    <w:p w:rsidR="00ED3E2E" w:rsidRDefault="00ED3E2E" w:rsidP="00234972">
      <w:pPr>
        <w:spacing w:before="0" w:after="120"/>
        <w:rPr>
          <w:sz w:val="24"/>
          <w:rtl/>
        </w:rPr>
      </w:pPr>
      <w:r>
        <w:rPr>
          <w:rFonts w:hint="cs"/>
          <w:sz w:val="24"/>
          <w:rtl/>
        </w:rPr>
        <w:t>בנוסף על כל אלו, הרי שהצע</w:t>
      </w:r>
      <w:r w:rsidR="00234972">
        <w:rPr>
          <w:rFonts w:hint="cs"/>
          <w:sz w:val="24"/>
          <w:rtl/>
        </w:rPr>
        <w:t>ו</w:t>
      </w:r>
      <w:r>
        <w:rPr>
          <w:rFonts w:hint="cs"/>
          <w:sz w:val="24"/>
          <w:rtl/>
        </w:rPr>
        <w:t xml:space="preserve">ת חוק </w:t>
      </w:r>
      <w:r w:rsidR="00234972">
        <w:rPr>
          <w:rFonts w:hint="cs"/>
          <w:sz w:val="24"/>
          <w:rtl/>
        </w:rPr>
        <w:t>אלו</w:t>
      </w:r>
      <w:r>
        <w:rPr>
          <w:rFonts w:hint="cs"/>
          <w:sz w:val="24"/>
          <w:rtl/>
        </w:rPr>
        <w:t xml:space="preserve"> ואחרות כדוגמתה מהוות עליית מדרגה גם מבחינת </w:t>
      </w:r>
      <w:r w:rsidRPr="00E54513">
        <w:rPr>
          <w:rFonts w:ascii="Arial" w:hAnsi="Arial" w:hint="cs"/>
          <w:rtl/>
        </w:rPr>
        <w:t xml:space="preserve">מיסוד המשטר המפלה שמדינת ישראל מנהלת בשטחים </w:t>
      </w:r>
      <w:r w:rsidRPr="00E54513">
        <w:rPr>
          <w:rFonts w:ascii="Arial" w:hAnsi="Arial"/>
          <w:rtl/>
        </w:rPr>
        <w:t>–</w:t>
      </w:r>
      <w:r w:rsidRPr="00E54513">
        <w:rPr>
          <w:rFonts w:ascii="Arial" w:hAnsi="Arial" w:hint="cs"/>
          <w:rtl/>
        </w:rPr>
        <w:t xml:space="preserve"> משטר המעניק העדפה מוחלטת בכל תחומי החיים לאינטרסים של האזרחים הישראליים על-פני אלה של ה</w:t>
      </w:r>
      <w:r>
        <w:rPr>
          <w:rFonts w:ascii="Arial" w:hAnsi="Arial" w:hint="cs"/>
          <w:rtl/>
        </w:rPr>
        <w:t>תושבים</w:t>
      </w:r>
      <w:r w:rsidRPr="00E54513">
        <w:rPr>
          <w:rFonts w:ascii="Arial" w:hAnsi="Arial" w:hint="cs"/>
          <w:rtl/>
        </w:rPr>
        <w:t xml:space="preserve"> הפלסטיניים</w:t>
      </w:r>
      <w:r>
        <w:rPr>
          <w:rFonts w:ascii="Arial" w:hAnsi="Arial" w:hint="cs"/>
          <w:rtl/>
        </w:rPr>
        <w:t>,</w:t>
      </w:r>
      <w:r w:rsidRPr="00E54513">
        <w:rPr>
          <w:rFonts w:ascii="Arial" w:hAnsi="Arial" w:hint="cs"/>
          <w:rtl/>
        </w:rPr>
        <w:t xml:space="preserve"> תוך </w:t>
      </w:r>
      <w:r>
        <w:rPr>
          <w:rFonts w:ascii="Arial" w:hAnsi="Arial" w:hint="cs"/>
          <w:rtl/>
        </w:rPr>
        <w:t>מיסוד</w:t>
      </w:r>
      <w:r w:rsidRPr="00E54513">
        <w:rPr>
          <w:rFonts w:ascii="Arial" w:hAnsi="Arial" w:hint="cs"/>
          <w:rtl/>
        </w:rPr>
        <w:t xml:space="preserve"> שתי מערכות חוק </w:t>
      </w:r>
      <w:r>
        <w:rPr>
          <w:rFonts w:ascii="Arial" w:hAnsi="Arial" w:hint="cs"/>
          <w:rtl/>
        </w:rPr>
        <w:t>נפרדות</w:t>
      </w:r>
      <w:r w:rsidRPr="00E54513">
        <w:rPr>
          <w:rFonts w:ascii="Arial" w:hAnsi="Arial" w:hint="cs"/>
          <w:rtl/>
        </w:rPr>
        <w:t xml:space="preserve">. </w:t>
      </w:r>
      <w:r>
        <w:rPr>
          <w:rFonts w:ascii="Arial" w:hAnsi="Arial" w:hint="cs"/>
          <w:rtl/>
        </w:rPr>
        <w:t xml:space="preserve">כך יוצא, כי בעוד שהרשויות הורסות מדי שבוע בתים של פלסטינים בשטחי </w:t>
      </w:r>
      <w:r>
        <w:rPr>
          <w:rFonts w:ascii="Arial" w:hAnsi="Arial" w:hint="cs"/>
        </w:rPr>
        <w:t>C</w:t>
      </w:r>
      <w:r>
        <w:rPr>
          <w:rFonts w:ascii="Arial" w:hAnsi="Arial" w:hint="cs"/>
          <w:rtl/>
        </w:rPr>
        <w:t xml:space="preserve">, בתואנה שמדובר במבנים שנבנו ללא היתר, וזאת גם כאשר הבניה נעשית על קרקע </w:t>
      </w:r>
      <w:r>
        <w:rPr>
          <w:rFonts w:ascii="Arial" w:hAnsi="Arial" w:hint="cs"/>
          <w:rtl/>
        </w:rPr>
        <w:lastRenderedPageBreak/>
        <w:t>בבעלותם של התושבים</w:t>
      </w:r>
      <w:r w:rsidR="00234972">
        <w:rPr>
          <w:rFonts w:ascii="Arial" w:hAnsi="Arial" w:hint="cs"/>
          <w:rtl/>
        </w:rPr>
        <w:t xml:space="preserve"> הפלסטינים המוגנים</w:t>
      </w:r>
      <w:r>
        <w:rPr>
          <w:rFonts w:ascii="Arial" w:hAnsi="Arial" w:hint="cs"/>
          <w:rtl/>
        </w:rPr>
        <w:t xml:space="preserve">, </w:t>
      </w:r>
      <w:r w:rsidR="00234972">
        <w:rPr>
          <w:rFonts w:ascii="Arial" w:hAnsi="Arial" w:hint="cs"/>
          <w:rtl/>
        </w:rPr>
        <w:t>ה</w:t>
      </w:r>
      <w:r>
        <w:rPr>
          <w:rFonts w:ascii="Arial" w:hAnsi="Arial" w:hint="cs"/>
          <w:rtl/>
        </w:rPr>
        <w:t>כנסת פועלת במרץ להכשרת</w:t>
      </w:r>
      <w:r w:rsidR="00234972">
        <w:rPr>
          <w:rFonts w:ascii="Arial" w:hAnsi="Arial" w:hint="cs"/>
          <w:rtl/>
        </w:rPr>
        <w:t>ה</w:t>
      </w:r>
      <w:r>
        <w:rPr>
          <w:rFonts w:ascii="Arial" w:hAnsi="Arial" w:hint="cs"/>
          <w:rtl/>
        </w:rPr>
        <w:t xml:space="preserve"> בדיעבד של בניה של ישראלים, אשר הוקמה ללא היתר תוך פלישה לקרקעות פרטיות ובניגוד לפסיקות בג"ץ. </w:t>
      </w:r>
      <w:r w:rsidRPr="00E54513">
        <w:rPr>
          <w:rFonts w:ascii="Arial" w:hAnsi="Arial"/>
          <w:rtl/>
        </w:rPr>
        <w:t>מצב זה</w:t>
      </w:r>
      <w:r w:rsidRPr="00E54513">
        <w:rPr>
          <w:rFonts w:ascii="Arial" w:hAnsi="Arial" w:hint="cs"/>
          <w:rtl/>
        </w:rPr>
        <w:t xml:space="preserve">, בו מתקיימות באותה יחידת השטח </w:t>
      </w:r>
      <w:r w:rsidRPr="00E54513">
        <w:rPr>
          <w:rFonts w:ascii="Arial" w:hAnsi="Arial"/>
          <w:rtl/>
        </w:rPr>
        <w:t>שתי מערכות נורמטיביות נפרדות ומפלות, האחת לפלסטינים והשנייה ליהודים</w:t>
      </w:r>
      <w:r w:rsidR="00234972">
        <w:rPr>
          <w:rFonts w:ascii="Arial" w:hAnsi="Arial" w:hint="cs"/>
          <w:rtl/>
        </w:rPr>
        <w:t>,</w:t>
      </w:r>
      <w:r>
        <w:rPr>
          <w:rFonts w:ascii="Arial" w:hAnsi="Arial" w:hint="cs"/>
          <w:rtl/>
        </w:rPr>
        <w:t xml:space="preserve"> </w:t>
      </w:r>
      <w:r w:rsidRPr="00E54513">
        <w:rPr>
          <w:rFonts w:ascii="Arial" w:hAnsi="Arial"/>
          <w:rtl/>
        </w:rPr>
        <w:t>מנוגד מעצם טיבו ל</w:t>
      </w:r>
      <w:r>
        <w:rPr>
          <w:rFonts w:ascii="Arial" w:hAnsi="Arial" w:hint="cs"/>
          <w:rtl/>
        </w:rPr>
        <w:t xml:space="preserve">עקרונות ולמוסר העומדים בבסיס </w:t>
      </w:r>
      <w:r w:rsidRPr="00E54513">
        <w:rPr>
          <w:rFonts w:ascii="Arial" w:hAnsi="Arial" w:hint="cs"/>
          <w:rtl/>
        </w:rPr>
        <w:t xml:space="preserve">תפיסת </w:t>
      </w:r>
      <w:r w:rsidRPr="00E54513">
        <w:rPr>
          <w:rFonts w:ascii="Arial" w:hAnsi="Arial"/>
          <w:rtl/>
        </w:rPr>
        <w:t xml:space="preserve">זכויות </w:t>
      </w:r>
      <w:r w:rsidRPr="00E54513">
        <w:rPr>
          <w:rFonts w:ascii="Arial" w:hAnsi="Arial" w:hint="cs"/>
          <w:rtl/>
        </w:rPr>
        <w:t>ה</w:t>
      </w:r>
      <w:r w:rsidRPr="00E54513">
        <w:rPr>
          <w:rFonts w:ascii="Arial" w:hAnsi="Arial"/>
          <w:rtl/>
        </w:rPr>
        <w:t>אדם</w:t>
      </w:r>
      <w:r>
        <w:rPr>
          <w:rFonts w:ascii="Arial" w:hAnsi="Arial" w:hint="cs"/>
          <w:rtl/>
        </w:rPr>
        <w:t xml:space="preserve">. </w:t>
      </w:r>
    </w:p>
    <w:p w:rsidR="00ED3E2E" w:rsidRDefault="00ED3E2E" w:rsidP="00ED3E2E">
      <w:pPr>
        <w:spacing w:before="0" w:after="120"/>
        <w:rPr>
          <w:sz w:val="24"/>
          <w:rtl/>
        </w:rPr>
      </w:pPr>
      <w:r>
        <w:rPr>
          <w:rFonts w:hint="cs"/>
          <w:sz w:val="24"/>
          <w:rtl/>
        </w:rPr>
        <w:t>בטרם סיום נציין, כי על אף אי-החוקיות בה נגועה הקמתם של המאחזים הבלתי מורשים, ועל אף העובדה כי נגרמת בגינם פגיעה קשה בזכויות האדם של תושבי האזור הפלסטינים, לאנשים המתגוררים בהם עומדות זכויות אדם, אשר רשויותיה של מדינת ישראל מחויבות בכיבודן בכל פעולותיהן. כך, מחויבות הן להקפיד על כך שהליך הפינוי של מאחזים ייעשה בהליך הוגן, תוך מזעור הפגיעה במפונים במהלך הפינוי</w:t>
      </w:r>
      <w:r w:rsidR="00A51539">
        <w:rPr>
          <w:rFonts w:hint="cs"/>
          <w:sz w:val="24"/>
          <w:rtl/>
        </w:rPr>
        <w:t>.</w:t>
      </w:r>
    </w:p>
    <w:p w:rsidR="00ED3E2E" w:rsidRDefault="00ED3E2E" w:rsidP="00ED3E2E">
      <w:pPr>
        <w:spacing w:before="0" w:after="120"/>
        <w:rPr>
          <w:sz w:val="24"/>
          <w:rtl/>
        </w:rPr>
      </w:pPr>
    </w:p>
    <w:p w:rsidR="00ED3E2E" w:rsidRDefault="00ED3E2E" w:rsidP="00234972">
      <w:pPr>
        <w:spacing w:before="0" w:after="120"/>
        <w:rPr>
          <w:sz w:val="24"/>
          <w:rtl/>
        </w:rPr>
      </w:pPr>
      <w:r>
        <w:rPr>
          <w:rFonts w:hint="cs"/>
          <w:sz w:val="24"/>
          <w:rtl/>
        </w:rPr>
        <w:t>לסיכום, המדובר בהצע</w:t>
      </w:r>
      <w:r w:rsidR="00234972">
        <w:rPr>
          <w:rFonts w:hint="cs"/>
          <w:sz w:val="24"/>
          <w:rtl/>
        </w:rPr>
        <w:t>ו</w:t>
      </w:r>
      <w:r>
        <w:rPr>
          <w:rFonts w:hint="cs"/>
          <w:sz w:val="24"/>
          <w:rtl/>
        </w:rPr>
        <w:t>ת חוק החותר</w:t>
      </w:r>
      <w:r w:rsidR="00234972">
        <w:rPr>
          <w:rFonts w:hint="cs"/>
          <w:sz w:val="24"/>
          <w:rtl/>
        </w:rPr>
        <w:t>ו</w:t>
      </w:r>
      <w:r>
        <w:rPr>
          <w:rFonts w:hint="cs"/>
          <w:sz w:val="24"/>
          <w:rtl/>
        </w:rPr>
        <w:t>ת תחת עקרונות יסוד של שיטתנו המשפטית ו</w:t>
      </w:r>
      <w:r w:rsidR="00234972">
        <w:rPr>
          <w:rFonts w:hint="cs"/>
          <w:sz w:val="24"/>
          <w:rtl/>
        </w:rPr>
        <w:t>ה</w:t>
      </w:r>
      <w:r w:rsidRPr="00C94590">
        <w:rPr>
          <w:rFonts w:hint="cs"/>
          <w:sz w:val="24"/>
          <w:rtl/>
        </w:rPr>
        <w:t>מנוגד</w:t>
      </w:r>
      <w:r>
        <w:rPr>
          <w:rFonts w:hint="cs"/>
          <w:sz w:val="24"/>
          <w:rtl/>
        </w:rPr>
        <w:t>ו</w:t>
      </w:r>
      <w:r w:rsidRPr="00C94590">
        <w:rPr>
          <w:rFonts w:hint="cs"/>
          <w:sz w:val="24"/>
          <w:rtl/>
        </w:rPr>
        <w:t>ת לחובות שקיבלה על עצמה מדינת ישראל על פי המשפט הבינלאומי</w:t>
      </w:r>
      <w:r>
        <w:rPr>
          <w:rFonts w:hint="cs"/>
          <w:sz w:val="24"/>
          <w:rtl/>
        </w:rPr>
        <w:t xml:space="preserve"> ובהן מעולם לא כפרה</w:t>
      </w:r>
      <w:r w:rsidRPr="00C94590">
        <w:rPr>
          <w:rFonts w:hint="cs"/>
          <w:sz w:val="24"/>
          <w:rtl/>
        </w:rPr>
        <w:t>.</w:t>
      </w:r>
      <w:r w:rsidRPr="00C24B05">
        <w:rPr>
          <w:rFonts w:ascii="Arial" w:hAnsi="Arial" w:hint="cs"/>
          <w:rtl/>
        </w:rPr>
        <w:t xml:space="preserve"> </w:t>
      </w:r>
      <w:r>
        <w:rPr>
          <w:rFonts w:hint="cs"/>
          <w:sz w:val="24"/>
          <w:rtl/>
        </w:rPr>
        <w:t xml:space="preserve">לפיכך, </w:t>
      </w:r>
      <w:r w:rsidRPr="000351BF">
        <w:rPr>
          <w:rFonts w:hint="cs"/>
          <w:sz w:val="24"/>
          <w:rtl/>
        </w:rPr>
        <w:t>אנו קוראים לחברות ו</w:t>
      </w:r>
      <w:r w:rsidR="00234972">
        <w:rPr>
          <w:rFonts w:hint="cs"/>
          <w:sz w:val="24"/>
          <w:rtl/>
        </w:rPr>
        <w:t>ל</w:t>
      </w:r>
      <w:r w:rsidRPr="000351BF">
        <w:rPr>
          <w:rFonts w:hint="cs"/>
          <w:sz w:val="24"/>
          <w:rtl/>
        </w:rPr>
        <w:t>חברי הכנסת להתנגד להצע</w:t>
      </w:r>
      <w:r w:rsidR="00234972">
        <w:rPr>
          <w:rFonts w:hint="cs"/>
          <w:sz w:val="24"/>
          <w:rtl/>
        </w:rPr>
        <w:t>ו</w:t>
      </w:r>
      <w:r w:rsidRPr="000351BF">
        <w:rPr>
          <w:rFonts w:hint="cs"/>
          <w:sz w:val="24"/>
          <w:rtl/>
        </w:rPr>
        <w:t xml:space="preserve">ת </w:t>
      </w:r>
      <w:r>
        <w:rPr>
          <w:rFonts w:hint="cs"/>
          <w:sz w:val="24"/>
          <w:rtl/>
        </w:rPr>
        <w:t>ה</w:t>
      </w:r>
      <w:r w:rsidRPr="000351BF">
        <w:rPr>
          <w:rFonts w:hint="cs"/>
          <w:sz w:val="24"/>
          <w:rtl/>
        </w:rPr>
        <w:t>חוק</w:t>
      </w:r>
      <w:r>
        <w:rPr>
          <w:rFonts w:hint="cs"/>
          <w:sz w:val="24"/>
          <w:rtl/>
        </w:rPr>
        <w:t xml:space="preserve"> </w:t>
      </w:r>
      <w:r w:rsidR="00234972">
        <w:rPr>
          <w:rFonts w:hint="cs"/>
          <w:sz w:val="24"/>
          <w:rtl/>
        </w:rPr>
        <w:t>אלה</w:t>
      </w:r>
      <w:r>
        <w:rPr>
          <w:rFonts w:hint="cs"/>
          <w:sz w:val="24"/>
          <w:rtl/>
        </w:rPr>
        <w:t xml:space="preserve"> ולהסיר אות</w:t>
      </w:r>
      <w:r w:rsidR="00234972">
        <w:rPr>
          <w:rFonts w:hint="cs"/>
          <w:sz w:val="24"/>
          <w:rtl/>
        </w:rPr>
        <w:t>ן</w:t>
      </w:r>
      <w:r>
        <w:rPr>
          <w:rFonts w:hint="cs"/>
          <w:sz w:val="24"/>
          <w:rtl/>
        </w:rPr>
        <w:t xml:space="preserve"> מעל שולחן הדיונים</w:t>
      </w:r>
      <w:r w:rsidRPr="000351BF">
        <w:rPr>
          <w:rFonts w:hint="cs"/>
          <w:sz w:val="24"/>
          <w:rtl/>
        </w:rPr>
        <w:t>.</w:t>
      </w:r>
    </w:p>
    <w:p w:rsidR="00ED3E2E" w:rsidRDefault="00ED3E2E" w:rsidP="00ED3E2E">
      <w:pPr>
        <w:spacing w:before="0" w:after="120"/>
        <w:rPr>
          <w:sz w:val="24"/>
          <w:rtl/>
        </w:rPr>
      </w:pPr>
    </w:p>
    <w:p w:rsidR="00ED3E2E" w:rsidRDefault="00ED3E2E" w:rsidP="00ED3E2E">
      <w:pPr>
        <w:spacing w:before="0" w:after="120"/>
        <w:rPr>
          <w:sz w:val="24"/>
          <w:rtl/>
        </w:rPr>
      </w:pPr>
      <w:r>
        <w:rPr>
          <w:rFonts w:hint="cs"/>
          <w:sz w:val="24"/>
          <w:rtl/>
        </w:rPr>
        <w:tab/>
      </w:r>
      <w:r>
        <w:rPr>
          <w:rFonts w:hint="cs"/>
          <w:sz w:val="24"/>
          <w:rtl/>
        </w:rPr>
        <w:tab/>
      </w:r>
      <w:r>
        <w:rPr>
          <w:rFonts w:hint="cs"/>
          <w:sz w:val="24"/>
          <w:rtl/>
        </w:rPr>
        <w:tab/>
      </w:r>
      <w:r>
        <w:rPr>
          <w:rFonts w:hint="cs"/>
          <w:sz w:val="24"/>
          <w:rtl/>
        </w:rPr>
        <w:tab/>
      </w:r>
      <w:r>
        <w:rPr>
          <w:rFonts w:hint="cs"/>
          <w:sz w:val="24"/>
          <w:rtl/>
        </w:rPr>
        <w:tab/>
      </w:r>
      <w:r>
        <w:rPr>
          <w:rFonts w:hint="cs"/>
          <w:sz w:val="24"/>
          <w:rtl/>
        </w:rPr>
        <w:tab/>
        <w:t>בכבוד רב,</w:t>
      </w:r>
    </w:p>
    <w:p w:rsidR="00ED3E2E" w:rsidRDefault="00ED3E2E" w:rsidP="00ED3E2E">
      <w:pPr>
        <w:spacing w:before="0" w:after="120"/>
        <w:rPr>
          <w:sz w:val="24"/>
          <w:rtl/>
        </w:rPr>
      </w:pPr>
    </w:p>
    <w:p w:rsidR="00ED3E2E" w:rsidRDefault="00ED3E2E" w:rsidP="00ED3E2E">
      <w:pPr>
        <w:spacing w:before="0"/>
        <w:rPr>
          <w:sz w:val="24"/>
          <w:rtl/>
        </w:rPr>
      </w:pPr>
      <w:r>
        <w:rPr>
          <w:rFonts w:hint="cs"/>
          <w:sz w:val="24"/>
          <w:rtl/>
        </w:rPr>
        <w:tab/>
      </w:r>
      <w:r>
        <w:rPr>
          <w:rFonts w:hint="cs"/>
          <w:sz w:val="24"/>
          <w:rtl/>
        </w:rPr>
        <w:tab/>
      </w:r>
      <w:r w:rsidR="0009484A">
        <w:rPr>
          <w:rFonts w:hint="cs"/>
          <w:sz w:val="24"/>
          <w:rtl/>
        </w:rPr>
        <w:tab/>
      </w:r>
      <w:r>
        <w:rPr>
          <w:rFonts w:hint="cs"/>
          <w:sz w:val="24"/>
          <w:rtl/>
        </w:rPr>
        <w:t>דן יקיר, עו"ד</w:t>
      </w:r>
      <w:r>
        <w:rPr>
          <w:rFonts w:hint="cs"/>
          <w:sz w:val="24"/>
          <w:rtl/>
        </w:rPr>
        <w:tab/>
      </w:r>
      <w:r>
        <w:rPr>
          <w:rFonts w:hint="cs"/>
          <w:sz w:val="24"/>
          <w:rtl/>
        </w:rPr>
        <w:tab/>
      </w:r>
      <w:r>
        <w:rPr>
          <w:rFonts w:hint="cs"/>
          <w:sz w:val="24"/>
          <w:rtl/>
        </w:rPr>
        <w:tab/>
      </w:r>
      <w:r>
        <w:rPr>
          <w:rFonts w:hint="cs"/>
          <w:sz w:val="24"/>
          <w:rtl/>
        </w:rPr>
        <w:tab/>
      </w:r>
      <w:r w:rsidR="0009484A">
        <w:rPr>
          <w:rFonts w:hint="cs"/>
          <w:sz w:val="24"/>
          <w:rtl/>
        </w:rPr>
        <w:tab/>
      </w:r>
      <w:r w:rsidR="0009484A">
        <w:rPr>
          <w:rFonts w:hint="cs"/>
          <w:sz w:val="24"/>
          <w:rtl/>
        </w:rPr>
        <w:tab/>
      </w:r>
      <w:r>
        <w:rPr>
          <w:rFonts w:hint="cs"/>
          <w:sz w:val="24"/>
          <w:rtl/>
        </w:rPr>
        <w:t>רוני פלי, עו"ד</w:t>
      </w:r>
    </w:p>
    <w:p w:rsidR="00ED3E2E" w:rsidRDefault="00A51539" w:rsidP="0009484A">
      <w:pPr>
        <w:spacing w:before="0"/>
        <w:ind w:left="567" w:firstLine="567"/>
        <w:rPr>
          <w:sz w:val="24"/>
          <w:rtl/>
        </w:rPr>
      </w:pPr>
      <w:r>
        <w:rPr>
          <w:rFonts w:hint="cs"/>
          <w:sz w:val="24"/>
          <w:rtl/>
        </w:rPr>
        <w:t xml:space="preserve">    </w:t>
      </w:r>
      <w:r w:rsidR="0009484A">
        <w:rPr>
          <w:rFonts w:hint="cs"/>
          <w:sz w:val="24"/>
          <w:rtl/>
        </w:rPr>
        <w:tab/>
      </w:r>
      <w:r w:rsidR="0009484A">
        <w:rPr>
          <w:rFonts w:hint="cs"/>
          <w:sz w:val="24"/>
          <w:rtl/>
        </w:rPr>
        <w:tab/>
      </w:r>
      <w:r w:rsidR="00ED3E2E">
        <w:rPr>
          <w:rFonts w:hint="cs"/>
          <w:sz w:val="24"/>
          <w:rtl/>
        </w:rPr>
        <w:t>היועץ המשפטי</w:t>
      </w:r>
    </w:p>
    <w:p w:rsidR="00ED3E2E" w:rsidRDefault="00ED3E2E" w:rsidP="00ED3E2E">
      <w:pPr>
        <w:spacing w:before="0"/>
        <w:rPr>
          <w:sz w:val="24"/>
          <w:rtl/>
        </w:rPr>
      </w:pPr>
    </w:p>
    <w:p w:rsidR="00ED3E2E" w:rsidRDefault="00ED3E2E" w:rsidP="00ED3E2E">
      <w:pPr>
        <w:spacing w:before="0"/>
        <w:rPr>
          <w:sz w:val="24"/>
          <w:rtl/>
        </w:rPr>
      </w:pPr>
    </w:p>
    <w:p w:rsidR="00ED3E2E" w:rsidRDefault="00ED3E2E" w:rsidP="00ED3E2E">
      <w:pPr>
        <w:spacing w:before="0"/>
        <w:rPr>
          <w:sz w:val="24"/>
          <w:rtl/>
        </w:rPr>
      </w:pPr>
    </w:p>
    <w:p w:rsidR="00ED3E2E" w:rsidRDefault="00ED3E2E" w:rsidP="00ED3E2E">
      <w:pPr>
        <w:spacing w:before="0"/>
        <w:rPr>
          <w:sz w:val="24"/>
          <w:rtl/>
        </w:rPr>
      </w:pPr>
      <w:r>
        <w:rPr>
          <w:rFonts w:hint="cs"/>
          <w:sz w:val="24"/>
          <w:rtl/>
        </w:rPr>
        <w:t>העתקים:</w:t>
      </w:r>
    </w:p>
    <w:p w:rsidR="00ED3E2E" w:rsidRDefault="00610774" w:rsidP="00610774">
      <w:pPr>
        <w:spacing w:before="0"/>
        <w:rPr>
          <w:sz w:val="24"/>
          <w:rtl/>
        </w:rPr>
      </w:pPr>
      <w:r>
        <w:rPr>
          <w:rFonts w:hint="cs"/>
          <w:sz w:val="24"/>
          <w:rtl/>
        </w:rPr>
        <w:t>ד"ר</w:t>
      </w:r>
      <w:r w:rsidR="00ED3E2E">
        <w:rPr>
          <w:rFonts w:hint="cs"/>
          <w:sz w:val="24"/>
          <w:rtl/>
        </w:rPr>
        <w:t xml:space="preserve"> אביחי </w:t>
      </w:r>
      <w:proofErr w:type="spellStart"/>
      <w:r w:rsidR="00ED3E2E">
        <w:rPr>
          <w:rFonts w:hint="cs"/>
          <w:sz w:val="24"/>
          <w:rtl/>
        </w:rPr>
        <w:t>מנדלבליט</w:t>
      </w:r>
      <w:proofErr w:type="spellEnd"/>
      <w:r w:rsidR="00ED3E2E">
        <w:rPr>
          <w:rFonts w:hint="cs"/>
          <w:sz w:val="24"/>
          <w:rtl/>
        </w:rPr>
        <w:t>, היועץ המשפטי לממשלה</w:t>
      </w:r>
    </w:p>
    <w:p w:rsidR="00ED3E2E" w:rsidRPr="003D5313" w:rsidRDefault="00ED3E2E" w:rsidP="00ED3E2E">
      <w:pPr>
        <w:spacing w:before="0"/>
        <w:rPr>
          <w:rtl/>
        </w:rPr>
      </w:pPr>
      <w:r>
        <w:rPr>
          <w:rFonts w:hint="cs"/>
          <w:sz w:val="24"/>
          <w:rtl/>
        </w:rPr>
        <w:t xml:space="preserve">מר </w:t>
      </w:r>
      <w:smartTag w:uri="urn:schemas-microsoft-com:office:smarttags" w:element="PersonName">
        <w:smartTagPr>
          <w:attr w:name="ProductID" w:val="אייל ינון"/>
        </w:smartTagPr>
        <w:r>
          <w:rPr>
            <w:rFonts w:hint="cs"/>
            <w:sz w:val="24"/>
            <w:rtl/>
          </w:rPr>
          <w:t>אייל ינון</w:t>
        </w:r>
      </w:smartTag>
      <w:r>
        <w:rPr>
          <w:rFonts w:hint="cs"/>
          <w:sz w:val="24"/>
          <w:rtl/>
        </w:rPr>
        <w:t xml:space="preserve">, </w:t>
      </w:r>
      <w:r>
        <w:rPr>
          <w:rFonts w:hint="cs"/>
          <w:rtl/>
        </w:rPr>
        <w:t xml:space="preserve"> היועץ המשפטי לכנסת</w:t>
      </w:r>
    </w:p>
    <w:p w:rsidR="00F80CF8" w:rsidRDefault="00F80CF8"/>
    <w:sectPr w:rsidR="00F80CF8">
      <w:headerReference w:type="even" r:id="rId7"/>
      <w:headerReference w:type="default" r:id="rId8"/>
      <w:footerReference w:type="default" r:id="rId9"/>
      <w:headerReference w:type="first" r:id="rId10"/>
      <w:footerReference w:type="first" r:id="rId11"/>
      <w:endnotePr>
        <w:numFmt w:val="lowerLetter"/>
      </w:endnotePr>
      <w:pgSz w:w="11906" w:h="16838"/>
      <w:pgMar w:top="916" w:right="1797" w:bottom="1440" w:left="1530" w:header="36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463C" w:rsidRDefault="0047463C" w:rsidP="00ED3E2E">
      <w:pPr>
        <w:spacing w:before="0" w:line="240" w:lineRule="auto"/>
      </w:pPr>
      <w:r>
        <w:separator/>
      </w:r>
    </w:p>
  </w:endnote>
  <w:endnote w:type="continuationSeparator" w:id="0">
    <w:p w:rsidR="0047463C" w:rsidRDefault="0047463C" w:rsidP="00ED3E2E">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Bitstream Vera Serif">
    <w:altName w:val="Lucida Fax"/>
    <w:charset w:val="00"/>
    <w:family w:val="roman"/>
    <w:pitch w:val="variable"/>
    <w:sig w:usb0="800000AF" w:usb1="1000204A" w:usb2="00000000" w:usb3="00000000" w:csb0="00000001" w:csb1="00000000"/>
  </w:font>
  <w:font w:name="nachlieli">
    <w:charset w:val="B1"/>
    <w:family w:val="auto"/>
    <w:pitch w:val="variable"/>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FD2" w:rsidRDefault="00517D2F" w:rsidP="009C2B02">
    <w:pPr>
      <w:pStyle w:val="a3"/>
      <w:pBdr>
        <w:top w:val="single" w:sz="4" w:space="1" w:color="auto"/>
      </w:pBdr>
      <w:spacing w:line="240" w:lineRule="auto"/>
      <w:jc w:val="center"/>
      <w:rPr>
        <w:bCs/>
        <w:sz w:val="22"/>
        <w:szCs w:val="22"/>
        <w:rtl/>
      </w:rPr>
    </w:pPr>
    <w:r>
      <w:rPr>
        <w:rFonts w:hint="cs"/>
        <w:bCs/>
        <w:sz w:val="22"/>
        <w:szCs w:val="22"/>
        <w:rtl/>
      </w:rPr>
      <w:t>האגודה לזכויות האזרח בישראל, ת"ד 34510, ירושלים 91000, טלפון: 02-6521218, פקס: 02-6521219</w:t>
    </w:r>
  </w:p>
  <w:p w:rsidR="00113FD2" w:rsidRDefault="00517D2F" w:rsidP="009C2B02">
    <w:pPr>
      <w:pStyle w:val="a3"/>
      <w:pBdr>
        <w:top w:val="single" w:sz="4" w:space="1" w:color="auto"/>
      </w:pBdr>
      <w:spacing w:before="0" w:line="240" w:lineRule="auto"/>
      <w:jc w:val="center"/>
      <w:rPr>
        <w:rFonts w:cs="Arabic Transparent"/>
        <w:bCs/>
        <w:rtl/>
        <w:lang w:bidi="ar-SY"/>
      </w:rPr>
    </w:pPr>
    <w:r>
      <w:rPr>
        <w:rFonts w:cs="Arabic Transparent" w:hint="cs"/>
        <w:bCs/>
        <w:rtl/>
        <w:lang w:bidi="ar-SY"/>
      </w:rPr>
      <w:t>جمعية حقوق المواطن في إسرائيل, ص. ب. 34510, القدس 91000, تل: 6521218-02, فاكس: 6521219-02</w:t>
    </w:r>
  </w:p>
  <w:p w:rsidR="00113FD2" w:rsidRDefault="001C66DE" w:rsidP="009C2B02">
    <w:pPr>
      <w:pStyle w:val="a3"/>
      <w:pBdr>
        <w:top w:val="single" w:sz="4" w:space="1" w:color="auto"/>
      </w:pBdr>
      <w:bidi w:val="0"/>
      <w:spacing w:before="0" w:line="240" w:lineRule="auto"/>
      <w:jc w:val="center"/>
      <w:rPr>
        <w:bCs/>
        <w:sz w:val="22"/>
        <w:szCs w:val="22"/>
      </w:rPr>
    </w:pPr>
    <w:hyperlink r:id="rId1" w:history="1">
      <w:r w:rsidR="00517D2F">
        <w:rPr>
          <w:rStyle w:val="Hyperlink"/>
          <w:b/>
          <w:sz w:val="22"/>
          <w:szCs w:val="22"/>
        </w:rPr>
        <w:t>www.acri.org.il</w:t>
      </w:r>
    </w:hyperlink>
    <w:r w:rsidR="00517D2F">
      <w:rPr>
        <w:bCs/>
        <w:sz w:val="22"/>
        <w:szCs w:val="22"/>
      </w:rPr>
      <w:t>, mail@acri.org.il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FD2" w:rsidRDefault="00517D2F" w:rsidP="009C2B02">
    <w:pPr>
      <w:pStyle w:val="a3"/>
      <w:pBdr>
        <w:top w:val="single" w:sz="4" w:space="1" w:color="auto"/>
      </w:pBdr>
      <w:spacing w:line="240" w:lineRule="auto"/>
      <w:jc w:val="center"/>
      <w:rPr>
        <w:bCs/>
        <w:sz w:val="22"/>
        <w:szCs w:val="22"/>
        <w:rtl/>
      </w:rPr>
    </w:pPr>
    <w:r>
      <w:rPr>
        <w:rFonts w:hint="cs"/>
        <w:bCs/>
        <w:sz w:val="22"/>
        <w:szCs w:val="22"/>
        <w:rtl/>
      </w:rPr>
      <w:t>האגודה לזכויות האזרח בישראל, ת"ד 34510, ירושלים 91000, טלפון: 02-6521218, פקס: 02-6521219</w:t>
    </w:r>
  </w:p>
  <w:p w:rsidR="00113FD2" w:rsidRDefault="00517D2F">
    <w:pPr>
      <w:pStyle w:val="a3"/>
      <w:pBdr>
        <w:top w:val="single" w:sz="4" w:space="1" w:color="auto"/>
      </w:pBdr>
      <w:spacing w:before="0" w:line="240" w:lineRule="auto"/>
      <w:jc w:val="center"/>
      <w:rPr>
        <w:rFonts w:cs="Arabic Transparent"/>
        <w:bCs/>
        <w:rtl/>
        <w:lang w:bidi="ar-SY"/>
      </w:rPr>
    </w:pPr>
    <w:r>
      <w:rPr>
        <w:rFonts w:cs="Arabic Transparent" w:hint="cs"/>
        <w:bCs/>
        <w:rtl/>
        <w:lang w:bidi="ar-SY"/>
      </w:rPr>
      <w:t>جمعية حقوق المواطن في إسرائيل, ص. ب. 34510, القدس 91000, تل: 6521218-02, فاكس: 6521219-02</w:t>
    </w:r>
  </w:p>
  <w:p w:rsidR="00113FD2" w:rsidRDefault="001C66DE">
    <w:pPr>
      <w:pStyle w:val="a3"/>
      <w:pBdr>
        <w:top w:val="single" w:sz="4" w:space="1" w:color="auto"/>
      </w:pBdr>
      <w:bidi w:val="0"/>
      <w:spacing w:before="0" w:line="240" w:lineRule="auto"/>
      <w:jc w:val="center"/>
      <w:rPr>
        <w:bCs/>
        <w:sz w:val="22"/>
        <w:szCs w:val="22"/>
      </w:rPr>
    </w:pPr>
    <w:hyperlink r:id="rId1" w:history="1">
      <w:r w:rsidR="00517D2F">
        <w:rPr>
          <w:rStyle w:val="Hyperlink"/>
          <w:b/>
          <w:sz w:val="22"/>
          <w:szCs w:val="22"/>
        </w:rPr>
        <w:t>www.acri.org.il</w:t>
      </w:r>
    </w:hyperlink>
    <w:r w:rsidR="00517D2F">
      <w:rPr>
        <w:bCs/>
        <w:sz w:val="22"/>
        <w:szCs w:val="22"/>
      </w:rPr>
      <w:t>, mail@acri.org.il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463C" w:rsidRDefault="0047463C" w:rsidP="00ED3E2E">
      <w:pPr>
        <w:spacing w:before="0" w:line="240" w:lineRule="auto"/>
      </w:pPr>
      <w:r>
        <w:separator/>
      </w:r>
    </w:p>
  </w:footnote>
  <w:footnote w:type="continuationSeparator" w:id="0">
    <w:p w:rsidR="0047463C" w:rsidRDefault="0047463C" w:rsidP="00ED3E2E">
      <w:pPr>
        <w:spacing w:before="0" w:line="240" w:lineRule="auto"/>
      </w:pPr>
      <w:r>
        <w:continuationSeparator/>
      </w:r>
    </w:p>
  </w:footnote>
  <w:footnote w:id="1">
    <w:p w:rsidR="00ED3E2E" w:rsidRPr="009A3ED7" w:rsidRDefault="00ED3E2E" w:rsidP="00610774">
      <w:pPr>
        <w:pStyle w:val="aa"/>
        <w:widowControl/>
        <w:bidi/>
        <w:ind w:left="284" w:hanging="284"/>
        <w:rPr>
          <w:rFonts w:cs="David"/>
          <w:rtl/>
        </w:rPr>
      </w:pPr>
      <w:r>
        <w:rPr>
          <w:rStyle w:val="a9"/>
        </w:rPr>
        <w:footnoteRef/>
      </w:r>
      <w:r>
        <w:t xml:space="preserve"> </w:t>
      </w:r>
      <w:r>
        <w:rPr>
          <w:rFonts w:hint="cs"/>
          <w:rtl/>
        </w:rPr>
        <w:t xml:space="preserve"> </w:t>
      </w:r>
      <w:r>
        <w:rPr>
          <w:rFonts w:hint="cs"/>
          <w:rtl/>
        </w:rPr>
        <w:tab/>
      </w:r>
      <w:r w:rsidRPr="009A3ED7">
        <w:rPr>
          <w:rFonts w:cs="David" w:hint="cs"/>
          <w:rtl/>
        </w:rPr>
        <w:t>חוות דעתו של ת</w:t>
      </w:r>
      <w:r w:rsidR="00610774">
        <w:rPr>
          <w:rFonts w:cs="David" w:hint="cs"/>
          <w:rtl/>
        </w:rPr>
        <w:t>אודור</w:t>
      </w:r>
      <w:r w:rsidRPr="009A3ED7">
        <w:rPr>
          <w:rFonts w:cs="David" w:hint="cs"/>
          <w:rtl/>
        </w:rPr>
        <w:t xml:space="preserve"> מירון, היועץ המשפטי</w:t>
      </w:r>
      <w:r>
        <w:rPr>
          <w:rFonts w:cs="David" w:hint="cs"/>
          <w:rtl/>
        </w:rPr>
        <w:t xml:space="preserve"> של משרד החוץ מחודש ספטמבר 1967, שהוגשה לשר החוץ, לשר המשפטים ולראש הממשלה דאז. </w:t>
      </w:r>
      <w:r w:rsidRPr="00406339">
        <w:rPr>
          <w:rFonts w:cs="David" w:hint="cs"/>
          <w:rtl/>
        </w:rPr>
        <w:t xml:space="preserve">יוסף, כי הפרת האיסור על העברת </w:t>
      </w:r>
      <w:proofErr w:type="spellStart"/>
      <w:r w:rsidRPr="00406339">
        <w:rPr>
          <w:rFonts w:cs="David" w:hint="cs"/>
          <w:rtl/>
        </w:rPr>
        <w:t>אוכלוסיה</w:t>
      </w:r>
      <w:proofErr w:type="spellEnd"/>
      <w:r w:rsidRPr="00406339">
        <w:rPr>
          <w:rFonts w:cs="David" w:hint="cs"/>
          <w:rtl/>
        </w:rPr>
        <w:t xml:space="preserve"> לשטח הכבוש מוגדר</w:t>
      </w:r>
      <w:r w:rsidR="00610774">
        <w:rPr>
          <w:rFonts w:cs="David" w:hint="cs"/>
          <w:rtl/>
        </w:rPr>
        <w:t>ת</w:t>
      </w:r>
      <w:r w:rsidRPr="00406339">
        <w:rPr>
          <w:rFonts w:cs="David" w:hint="cs"/>
          <w:rtl/>
        </w:rPr>
        <w:t xml:space="preserve"> כפשע מלחמה על פי אמנת רומא, היא חוקת בית הדין הפלילי הבינלאומי (סעיף 8(2)(</w:t>
      </w:r>
      <w:r w:rsidRPr="00406339">
        <w:rPr>
          <w:rFonts w:cs="David"/>
        </w:rPr>
        <w:t>b</w:t>
      </w:r>
      <w:r w:rsidRPr="00406339">
        <w:rPr>
          <w:rFonts w:cs="David" w:hint="cs"/>
          <w:rtl/>
        </w:rPr>
        <w:t>)(</w:t>
      </w:r>
      <w:r w:rsidRPr="00406339">
        <w:rPr>
          <w:rFonts w:cs="David"/>
        </w:rPr>
        <w:t>viii</w:t>
      </w:r>
      <w:r w:rsidRPr="00406339">
        <w:rPr>
          <w:rFonts w:cs="David" w:hint="cs"/>
          <w:rtl/>
        </w:rPr>
        <w:t>)).</w:t>
      </w:r>
    </w:p>
  </w:footnote>
  <w:footnote w:id="2">
    <w:p w:rsidR="00ED3E2E" w:rsidRPr="00FD38EF" w:rsidRDefault="00ED3E2E" w:rsidP="00610774">
      <w:pPr>
        <w:pStyle w:val="aa"/>
        <w:bidi/>
        <w:rPr>
          <w:rFonts w:cs="David"/>
          <w:rtl/>
        </w:rPr>
      </w:pPr>
      <w:r>
        <w:rPr>
          <w:rStyle w:val="a9"/>
        </w:rPr>
        <w:footnoteRef/>
      </w:r>
      <w:r>
        <w:t xml:space="preserve"> </w:t>
      </w:r>
      <w:r>
        <w:rPr>
          <w:rFonts w:hint="cs"/>
          <w:rtl/>
        </w:rPr>
        <w:t xml:space="preserve"> </w:t>
      </w:r>
      <w:r w:rsidRPr="00FD38EF">
        <w:rPr>
          <w:rFonts w:cs="David"/>
          <w:rtl/>
        </w:rPr>
        <w:t>פ"ד לד(1)</w:t>
      </w:r>
      <w:r>
        <w:rPr>
          <w:rFonts w:cs="David" w:hint="cs"/>
          <w:rtl/>
        </w:rPr>
        <w:t xml:space="preserve"> 1</w:t>
      </w:r>
      <w:r w:rsidRPr="00FD38EF">
        <w:rPr>
          <w:rFonts w:cs="David" w:hint="cs"/>
          <w:rtl/>
        </w:rPr>
        <w:t xml:space="preserve"> (1979)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FD2" w:rsidRDefault="00517D2F" w:rsidP="004A4C51">
    <w:pPr>
      <w:pStyle w:val="a5"/>
      <w:framePr w:wrap="around" w:vAnchor="text" w:hAnchor="text" w:xAlign="center" w:y="1"/>
      <w:rPr>
        <w:rStyle w:val="a8"/>
      </w:rPr>
    </w:pPr>
    <w:r>
      <w:rPr>
        <w:rStyle w:val="a8"/>
        <w:rtl/>
      </w:rPr>
      <w:fldChar w:fldCharType="begin"/>
    </w:r>
    <w:r>
      <w:rPr>
        <w:rStyle w:val="a8"/>
      </w:rPr>
      <w:instrText xml:space="preserve">PAGE  </w:instrText>
    </w:r>
    <w:r>
      <w:rPr>
        <w:rStyle w:val="a8"/>
        <w:rtl/>
      </w:rPr>
      <w:fldChar w:fldCharType="end"/>
    </w:r>
  </w:p>
  <w:p w:rsidR="00113FD2" w:rsidRDefault="001C66DE">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FD2" w:rsidRDefault="00517D2F" w:rsidP="004A4C51">
    <w:pPr>
      <w:pStyle w:val="a5"/>
      <w:framePr w:wrap="around" w:vAnchor="text" w:hAnchor="text" w:xAlign="center" w:y="1"/>
      <w:rPr>
        <w:rStyle w:val="a8"/>
      </w:rPr>
    </w:pPr>
    <w:r>
      <w:rPr>
        <w:rStyle w:val="a8"/>
        <w:rtl/>
      </w:rPr>
      <w:fldChar w:fldCharType="begin"/>
    </w:r>
    <w:r>
      <w:rPr>
        <w:rStyle w:val="a8"/>
      </w:rPr>
      <w:instrText xml:space="preserve">PAGE  </w:instrText>
    </w:r>
    <w:r>
      <w:rPr>
        <w:rStyle w:val="a8"/>
        <w:rtl/>
      </w:rPr>
      <w:fldChar w:fldCharType="separate"/>
    </w:r>
    <w:r w:rsidR="001C66DE">
      <w:rPr>
        <w:rStyle w:val="a8"/>
        <w:noProof/>
        <w:rtl/>
      </w:rPr>
      <w:t>3</w:t>
    </w:r>
    <w:r>
      <w:rPr>
        <w:rStyle w:val="a8"/>
        <w:rtl/>
      </w:rPr>
      <w:fldChar w:fldCharType="end"/>
    </w:r>
  </w:p>
  <w:p w:rsidR="00113FD2" w:rsidRDefault="001C66DE">
    <w:pPr>
      <w:jc w:val="center"/>
      <w:rPr>
        <w:rtl/>
      </w:rPr>
    </w:pPr>
  </w:p>
  <w:p w:rsidR="00113FD2" w:rsidRDefault="001C66DE">
    <w:pPr>
      <w:pStyle w:val="a5"/>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FD2" w:rsidRDefault="00ED3E2E">
    <w:pPr>
      <w:pStyle w:val="a5"/>
      <w:jc w:val="center"/>
      <w:rPr>
        <w:color w:val="808080"/>
        <w:rtl/>
      </w:rPr>
    </w:pPr>
    <w:r>
      <w:rPr>
        <w:noProof/>
        <w:color w:val="808080"/>
      </w:rPr>
      <w:drawing>
        <wp:inline distT="0" distB="0" distL="0" distR="0">
          <wp:extent cx="4675505" cy="723265"/>
          <wp:effectExtent l="0" t="0" r="0" b="635"/>
          <wp:docPr id="1" name="תמונה 1" descr="לוג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לוג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75505" cy="72326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numFmt w:val="low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E2E"/>
    <w:rsid w:val="0009484A"/>
    <w:rsid w:val="001C66DE"/>
    <w:rsid w:val="00234972"/>
    <w:rsid w:val="002B46E9"/>
    <w:rsid w:val="003164D4"/>
    <w:rsid w:val="0044737E"/>
    <w:rsid w:val="0047463C"/>
    <w:rsid w:val="00517D2F"/>
    <w:rsid w:val="00610774"/>
    <w:rsid w:val="00A51539"/>
    <w:rsid w:val="00B270DE"/>
    <w:rsid w:val="00DB4F59"/>
    <w:rsid w:val="00DD06CA"/>
    <w:rsid w:val="00EA6434"/>
    <w:rsid w:val="00ED3E2E"/>
    <w:rsid w:val="00F80CF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docId w15:val="{5F32021F-7089-4B99-B2A0-91CB01347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3E2E"/>
    <w:pPr>
      <w:autoSpaceDE w:val="0"/>
      <w:autoSpaceDN w:val="0"/>
      <w:bidi/>
      <w:spacing w:before="120" w:after="0" w:line="360" w:lineRule="auto"/>
      <w:jc w:val="both"/>
    </w:pPr>
    <w:rPr>
      <w:rFonts w:ascii="Times New Roman" w:eastAsia="Times New Roman" w:hAnsi="Times New Roman" w:cs="David"/>
      <w:sz w:val="23"/>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ED3E2E"/>
    <w:pPr>
      <w:tabs>
        <w:tab w:val="center" w:pos="4153"/>
        <w:tab w:val="right" w:pos="8306"/>
      </w:tabs>
    </w:pPr>
    <w:rPr>
      <w:b/>
      <w:sz w:val="20"/>
      <w:szCs w:val="20"/>
    </w:rPr>
  </w:style>
  <w:style w:type="character" w:customStyle="1" w:styleId="a4">
    <w:name w:val="כותרת תחתונה תו"/>
    <w:basedOn w:val="a0"/>
    <w:link w:val="a3"/>
    <w:rsid w:val="00ED3E2E"/>
    <w:rPr>
      <w:rFonts w:ascii="Times New Roman" w:eastAsia="Times New Roman" w:hAnsi="Times New Roman" w:cs="David"/>
      <w:b/>
      <w:sz w:val="20"/>
      <w:szCs w:val="20"/>
    </w:rPr>
  </w:style>
  <w:style w:type="paragraph" w:styleId="a5">
    <w:name w:val="header"/>
    <w:basedOn w:val="a"/>
    <w:link w:val="a6"/>
    <w:rsid w:val="00ED3E2E"/>
    <w:pPr>
      <w:tabs>
        <w:tab w:val="center" w:pos="4153"/>
        <w:tab w:val="right" w:pos="8306"/>
      </w:tabs>
    </w:pPr>
    <w:rPr>
      <w:b/>
      <w:sz w:val="20"/>
      <w:szCs w:val="20"/>
    </w:rPr>
  </w:style>
  <w:style w:type="character" w:customStyle="1" w:styleId="a6">
    <w:name w:val="כותרת עליונה תו"/>
    <w:basedOn w:val="a0"/>
    <w:link w:val="a5"/>
    <w:rsid w:val="00ED3E2E"/>
    <w:rPr>
      <w:rFonts w:ascii="Times New Roman" w:eastAsia="Times New Roman" w:hAnsi="Times New Roman" w:cs="David"/>
      <w:b/>
      <w:sz w:val="20"/>
      <w:szCs w:val="20"/>
    </w:rPr>
  </w:style>
  <w:style w:type="character" w:styleId="a7">
    <w:name w:val="annotation reference"/>
    <w:semiHidden/>
    <w:rsid w:val="00ED3E2E"/>
    <w:rPr>
      <w:rFonts w:cs="David"/>
      <w:sz w:val="16"/>
      <w:szCs w:val="16"/>
    </w:rPr>
  </w:style>
  <w:style w:type="character" w:styleId="Hyperlink">
    <w:name w:val="Hyperlink"/>
    <w:rsid w:val="00ED3E2E"/>
    <w:rPr>
      <w:b/>
      <w:bCs/>
      <w:color w:val="008080"/>
    </w:rPr>
  </w:style>
  <w:style w:type="character" w:styleId="a8">
    <w:name w:val="page number"/>
    <w:rsid w:val="00ED3E2E"/>
    <w:rPr>
      <w:rFonts w:cs="David"/>
    </w:rPr>
  </w:style>
  <w:style w:type="character" w:styleId="a9">
    <w:name w:val="footnote reference"/>
    <w:rsid w:val="00ED3E2E"/>
    <w:rPr>
      <w:vertAlign w:val="superscript"/>
    </w:rPr>
  </w:style>
  <w:style w:type="paragraph" w:styleId="aa">
    <w:name w:val="footnote text"/>
    <w:aliases w:val="Sharp - Footnote Text,Footnote Text - Sharp,Sharp - Footnote Text1 Char,Footnote Text Char Char Char Char Char,Footnote Text Char Char Char Char,Footnote reference,FA Fu"/>
    <w:basedOn w:val="a"/>
    <w:link w:val="ab"/>
    <w:semiHidden/>
    <w:rsid w:val="00ED3E2E"/>
    <w:pPr>
      <w:widowControl w:val="0"/>
      <w:suppressLineNumbers/>
      <w:suppressAutoHyphens/>
      <w:autoSpaceDE/>
      <w:autoSpaceDN/>
      <w:bidi w:val="0"/>
      <w:spacing w:before="0" w:line="240" w:lineRule="auto"/>
      <w:ind w:left="283" w:hanging="283"/>
      <w:jc w:val="left"/>
    </w:pPr>
    <w:rPr>
      <w:rFonts w:ascii="Bitstream Vera Serif" w:eastAsia="nachlieli" w:hAnsi="Bitstream Vera Serif" w:cs="Tahoma"/>
      <w:sz w:val="20"/>
      <w:szCs w:val="20"/>
      <w:lang w:eastAsia="he-IL"/>
    </w:rPr>
  </w:style>
  <w:style w:type="character" w:customStyle="1" w:styleId="ab">
    <w:name w:val="טקסט הערת שוליים תו"/>
    <w:aliases w:val="Sharp - Footnote Text תו,Footnote Text - Sharp תו,Sharp - Footnote Text1 Char תו,Footnote Text Char Char Char Char Char תו,Footnote Text Char Char Char Char תו,Footnote reference תו,FA Fu תו"/>
    <w:basedOn w:val="a0"/>
    <w:link w:val="aa"/>
    <w:semiHidden/>
    <w:rsid w:val="00ED3E2E"/>
    <w:rPr>
      <w:rFonts w:ascii="Bitstream Vera Serif" w:eastAsia="nachlieli" w:hAnsi="Bitstream Vera Serif" w:cs="Tahoma"/>
      <w:sz w:val="20"/>
      <w:szCs w:val="20"/>
      <w:lang w:eastAsia="he-IL"/>
    </w:rPr>
  </w:style>
  <w:style w:type="paragraph" w:styleId="ac">
    <w:name w:val="annotation text"/>
    <w:basedOn w:val="a"/>
    <w:link w:val="ad"/>
    <w:rsid w:val="00ED3E2E"/>
    <w:rPr>
      <w:sz w:val="20"/>
      <w:szCs w:val="20"/>
    </w:rPr>
  </w:style>
  <w:style w:type="character" w:customStyle="1" w:styleId="ad">
    <w:name w:val="טקסט הערה תו"/>
    <w:basedOn w:val="a0"/>
    <w:link w:val="ac"/>
    <w:rsid w:val="00ED3E2E"/>
    <w:rPr>
      <w:rFonts w:ascii="Times New Roman" w:eastAsia="Times New Roman" w:hAnsi="Times New Roman" w:cs="David"/>
      <w:sz w:val="20"/>
      <w:szCs w:val="20"/>
    </w:rPr>
  </w:style>
  <w:style w:type="paragraph" w:styleId="ae">
    <w:name w:val="Balloon Text"/>
    <w:basedOn w:val="a"/>
    <w:link w:val="af"/>
    <w:uiPriority w:val="99"/>
    <w:semiHidden/>
    <w:unhideWhenUsed/>
    <w:rsid w:val="00ED3E2E"/>
    <w:pPr>
      <w:spacing w:before="0" w:line="240" w:lineRule="auto"/>
    </w:pPr>
    <w:rPr>
      <w:rFonts w:ascii="Tahoma" w:hAnsi="Tahoma" w:cs="Tahoma"/>
      <w:sz w:val="16"/>
      <w:szCs w:val="16"/>
    </w:rPr>
  </w:style>
  <w:style w:type="character" w:customStyle="1" w:styleId="af">
    <w:name w:val="טקסט בלונים תו"/>
    <w:basedOn w:val="a0"/>
    <w:link w:val="ae"/>
    <w:uiPriority w:val="99"/>
    <w:semiHidden/>
    <w:rsid w:val="00ED3E2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hyperlink" Target="http://www.acri.org.il"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acri.org.i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36B9F1-6BB0-47D4-A306-E867702752EC}">
  <ds:schemaRefs>
    <ds:schemaRef ds:uri="http://schemas.openxmlformats.org/officeDocument/2006/bibliography"/>
  </ds:schemaRefs>
</ds:datastoreItem>
</file>

<file path=customXml/itemProps2.xml><?xml version="1.0" encoding="utf-8"?>
<ds:datastoreItem xmlns:ds="http://schemas.openxmlformats.org/officeDocument/2006/customXml" ds:itemID="{7F22DFD9-1521-483E-810B-E983E52D0B96}"/>
</file>

<file path=customXml/itemProps3.xml><?xml version="1.0" encoding="utf-8"?>
<ds:datastoreItem xmlns:ds="http://schemas.openxmlformats.org/officeDocument/2006/customXml" ds:itemID="{C24D7DA7-CBC9-4B6C-AAFC-1C5EB0D019B8}"/>
</file>

<file path=customXml/itemProps4.xml><?xml version="1.0" encoding="utf-8"?>
<ds:datastoreItem xmlns:ds="http://schemas.openxmlformats.org/officeDocument/2006/customXml" ds:itemID="{1794B4F8-B079-48F4-8462-2FE5FFA18035}"/>
</file>

<file path=docProps/app.xml><?xml version="1.0" encoding="utf-8"?>
<Properties xmlns="http://schemas.openxmlformats.org/officeDocument/2006/extended-properties" xmlns:vt="http://schemas.openxmlformats.org/officeDocument/2006/docPropsVTypes">
  <Template>Normal</Template>
  <TotalTime>1</TotalTime>
  <Pages>3</Pages>
  <Words>898</Words>
  <Characters>4493</Characters>
  <Application>Microsoft Office Word</Application>
  <DocSecurity>4</DocSecurity>
  <Lines>37</Lines>
  <Paragraphs>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חופית עלפי</cp:lastModifiedBy>
  <cp:revision>2</cp:revision>
  <cp:lastPrinted>2016-11-22T12:26:00Z</cp:lastPrinted>
  <dcterms:created xsi:type="dcterms:W3CDTF">2016-11-22T12:27:00Z</dcterms:created>
  <dcterms:modified xsi:type="dcterms:W3CDTF">2016-11-22T12:27:00Z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2009466</vt:r8>
  </property>
</Properties>
</file>