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35C" w:rsidRPr="00EA0F4E" w:rsidRDefault="006D135C" w:rsidP="006D135C">
      <w:pPr>
        <w:spacing w:line="360" w:lineRule="auto"/>
        <w:rPr>
          <w:rFonts w:asciiTheme="minorHAnsi" w:hAnsiTheme="minorHAnsi"/>
          <w:rtl/>
        </w:rPr>
      </w:pPr>
      <w:r>
        <w:rPr>
          <w:rFonts w:asciiTheme="minorHAnsi" w:hAnsiTheme="minorHAnsi" w:hint="cs"/>
          <w:rtl/>
        </w:rPr>
        <w:tab/>
      </w:r>
      <w:r>
        <w:rPr>
          <w:rFonts w:asciiTheme="minorHAnsi" w:hAnsiTheme="minorHAnsi" w:hint="cs"/>
          <w:rtl/>
        </w:rPr>
        <w:tab/>
      </w:r>
      <w:r>
        <w:rPr>
          <w:rFonts w:asciiTheme="minorHAnsi" w:hAnsiTheme="minorHAnsi" w:hint="cs"/>
          <w:rtl/>
        </w:rPr>
        <w:tab/>
      </w:r>
      <w:r>
        <w:rPr>
          <w:rFonts w:asciiTheme="minorHAnsi" w:hAnsiTheme="minorHAnsi" w:hint="cs"/>
          <w:rtl/>
        </w:rPr>
        <w:tab/>
      </w:r>
      <w:r>
        <w:rPr>
          <w:rFonts w:asciiTheme="minorHAnsi" w:hAnsiTheme="minorHAnsi" w:hint="cs"/>
          <w:rtl/>
        </w:rPr>
        <w:tab/>
      </w:r>
      <w:r>
        <w:rPr>
          <w:rFonts w:asciiTheme="minorHAnsi" w:hAnsiTheme="minorHAnsi" w:hint="cs"/>
          <w:rtl/>
        </w:rPr>
        <w:tab/>
      </w:r>
      <w:r>
        <w:rPr>
          <w:rFonts w:asciiTheme="minorHAnsi" w:hAnsiTheme="minorHAnsi" w:hint="cs"/>
          <w:rtl/>
        </w:rPr>
        <w:tab/>
      </w:r>
      <w:r>
        <w:rPr>
          <w:rFonts w:asciiTheme="minorHAnsi" w:hAnsiTheme="minorHAnsi" w:hint="cs"/>
          <w:rtl/>
        </w:rPr>
        <w:tab/>
        <w:t>4.12.2016</w:t>
      </w:r>
    </w:p>
    <w:p w:rsidR="006D135C" w:rsidRPr="00EA0F4E" w:rsidRDefault="006D135C" w:rsidP="006D135C">
      <w:pPr>
        <w:spacing w:line="360" w:lineRule="auto"/>
        <w:jc w:val="center"/>
        <w:rPr>
          <w:rFonts w:asciiTheme="minorHAnsi" w:hAnsiTheme="minorHAnsi"/>
          <w:rtl/>
        </w:rPr>
      </w:pPr>
      <w:r w:rsidRPr="00EA0F4E">
        <w:rPr>
          <w:rFonts w:asciiTheme="minorHAnsi" w:hAnsiTheme="minorHAnsi"/>
          <w:rtl/>
        </w:rPr>
        <w:t xml:space="preserve">הנדון: </w:t>
      </w:r>
      <w:r w:rsidRPr="00EA0F4E">
        <w:rPr>
          <w:rFonts w:asciiTheme="minorHAnsi" w:hAnsiTheme="minorHAnsi"/>
          <w:b/>
          <w:bCs/>
          <w:u w:val="single"/>
          <w:rtl/>
        </w:rPr>
        <w:t>חוק ההסדרים – התוספת המוצעת לחוק התקנים – "שינוי לאומי מתחייב"</w:t>
      </w:r>
    </w:p>
    <w:p w:rsidR="006D135C" w:rsidRPr="00EA0F4E" w:rsidRDefault="006D135C" w:rsidP="006D135C">
      <w:pPr>
        <w:spacing w:line="360" w:lineRule="auto"/>
        <w:rPr>
          <w:rFonts w:asciiTheme="minorHAnsi" w:hAnsiTheme="minorHAnsi"/>
          <w:rtl/>
        </w:rPr>
      </w:pPr>
    </w:p>
    <w:p w:rsidR="006D135C" w:rsidRPr="00EA0F4E" w:rsidRDefault="006D135C" w:rsidP="006D135C">
      <w:pPr>
        <w:spacing w:line="360" w:lineRule="auto"/>
        <w:rPr>
          <w:rFonts w:asciiTheme="minorHAnsi" w:hAnsiTheme="minorHAnsi"/>
          <w:rtl/>
        </w:rPr>
      </w:pPr>
      <w:r w:rsidRPr="00EA0F4E">
        <w:rPr>
          <w:rFonts w:asciiTheme="minorHAnsi" w:hAnsiTheme="minorHAnsi"/>
          <w:rtl/>
        </w:rPr>
        <w:t>בהמשך לדיונים בנושא זה, להלן סוגי שינויים לאומיים אשר לדעת המכון צריכים להיכלל בתוספת, בצירוף הסברים ודוגמאות:</w:t>
      </w:r>
    </w:p>
    <w:p w:rsidR="006D135C" w:rsidRPr="00EA0F4E" w:rsidRDefault="006D135C" w:rsidP="006D135C">
      <w:pPr>
        <w:spacing w:line="360" w:lineRule="auto"/>
        <w:rPr>
          <w:rFonts w:asciiTheme="minorHAnsi" w:hAnsiTheme="minorHAnsi"/>
          <w:rtl/>
        </w:rPr>
      </w:pPr>
    </w:p>
    <w:p w:rsidR="006D135C" w:rsidRPr="00EA0F4E" w:rsidRDefault="006D135C" w:rsidP="006D135C">
      <w:pPr>
        <w:spacing w:line="360" w:lineRule="auto"/>
        <w:rPr>
          <w:rFonts w:asciiTheme="minorHAnsi" w:hAnsiTheme="minorHAnsi"/>
          <w:b/>
          <w:bCs/>
          <w:rtl/>
        </w:rPr>
      </w:pPr>
      <w:r w:rsidRPr="00EA0F4E">
        <w:rPr>
          <w:rFonts w:asciiTheme="minorHAnsi" w:hAnsiTheme="minorHAnsi"/>
          <w:b/>
          <w:bCs/>
          <w:rtl/>
        </w:rPr>
        <w:t>א – שינוי לאומי המתחייב מתשתיות הנוהגות במדינת ישראל אשר אינן זהות לתשתיות אליהן מתייחס התקן המאומץ</w:t>
      </w:r>
    </w:p>
    <w:p w:rsidR="006D135C" w:rsidRPr="00EA0F4E" w:rsidRDefault="006D135C" w:rsidP="006D135C">
      <w:pPr>
        <w:spacing w:line="360" w:lineRule="auto"/>
        <w:rPr>
          <w:rFonts w:asciiTheme="minorHAnsi" w:hAnsiTheme="minorHAnsi"/>
          <w:rtl/>
        </w:rPr>
      </w:pPr>
    </w:p>
    <w:p w:rsidR="006D135C" w:rsidRPr="00EA0F4E" w:rsidRDefault="006D135C" w:rsidP="006D135C">
      <w:pPr>
        <w:spacing w:line="360" w:lineRule="auto"/>
        <w:rPr>
          <w:rFonts w:asciiTheme="minorHAnsi" w:hAnsiTheme="minorHAnsi"/>
          <w:rtl/>
        </w:rPr>
      </w:pPr>
      <w:r w:rsidRPr="00EA0F4E">
        <w:rPr>
          <w:rFonts w:asciiTheme="minorHAnsi" w:hAnsiTheme="minorHAnsi"/>
          <w:rtl/>
        </w:rPr>
        <w:t>אמנם חלק ניכר מדרישות התשתית מקורן בחיקוקים, כגון חוק החשמל אולם ישנן דרישות תשתית שאינן מוסדרות בחיקוק ואשר בעטיין, חובה להכניס שינויים בתקן המאומץ. על כן, יש לדעת המכון לתת ביטוי לנושא זה בתוספת.</w:t>
      </w:r>
    </w:p>
    <w:p w:rsidR="006D135C" w:rsidRPr="00EA0F4E" w:rsidRDefault="006D135C" w:rsidP="006D135C">
      <w:pPr>
        <w:spacing w:line="360" w:lineRule="auto"/>
        <w:rPr>
          <w:rFonts w:asciiTheme="minorHAnsi" w:hAnsiTheme="minorHAnsi"/>
          <w:rtl/>
        </w:rPr>
      </w:pPr>
    </w:p>
    <w:p w:rsidR="006D135C" w:rsidRPr="00EA0F4E" w:rsidRDefault="006D135C" w:rsidP="006D135C">
      <w:pPr>
        <w:spacing w:line="360" w:lineRule="auto"/>
        <w:rPr>
          <w:rFonts w:asciiTheme="minorHAnsi" w:hAnsiTheme="minorHAnsi"/>
          <w:rtl/>
        </w:rPr>
      </w:pPr>
      <w:r w:rsidRPr="00EA0F4E">
        <w:rPr>
          <w:rFonts w:asciiTheme="minorHAnsi" w:hAnsiTheme="minorHAnsi"/>
          <w:u w:val="single"/>
          <w:rtl/>
        </w:rPr>
        <w:t>דוגמאות</w:t>
      </w:r>
      <w:r w:rsidRPr="00EA0F4E">
        <w:rPr>
          <w:rFonts w:asciiTheme="minorHAnsi" w:hAnsiTheme="minorHAnsi"/>
          <w:rtl/>
        </w:rPr>
        <w:t>:</w:t>
      </w:r>
    </w:p>
    <w:p w:rsidR="006D135C" w:rsidRPr="00EA0F4E" w:rsidRDefault="006D135C" w:rsidP="006D135C">
      <w:pPr>
        <w:pStyle w:val="Heading1"/>
        <w:spacing w:line="360" w:lineRule="auto"/>
        <w:rPr>
          <w:rFonts w:asciiTheme="minorHAnsi" w:hAnsiTheme="minorHAnsi"/>
        </w:rPr>
      </w:pPr>
      <w:r w:rsidRPr="00EA0F4E">
        <w:rPr>
          <w:rFonts w:asciiTheme="minorHAnsi" w:hAnsiTheme="minorHAnsi"/>
          <w:rtl/>
        </w:rPr>
        <w:t>במערכות אלקטרוניות לגילוי אש, התקן הישראלי מאמץ תקינה אמריקאית (</w:t>
      </w:r>
      <w:r w:rsidRPr="00EA0F4E">
        <w:rPr>
          <w:rFonts w:asciiTheme="minorHAnsi" w:hAnsiTheme="minorHAnsi"/>
        </w:rPr>
        <w:t>UL</w:t>
      </w:r>
      <w:r w:rsidRPr="00EA0F4E">
        <w:rPr>
          <w:rFonts w:asciiTheme="minorHAnsi" w:hAnsiTheme="minorHAnsi"/>
          <w:rtl/>
        </w:rPr>
        <w:t>), אולם התקן המאומץ מתייחס למערך הכיבוי בארה"ב וכולל דרישות שאינן ישימות בכל הקשור למערך הכיבוי בארץ, ועל כל התקן הישראלי כולל שינויים לעומת התקן האמריקאי שאומץ, בין היתר, בכל הקשור לזמני תגובה ומערכת העברת הודעות על אירוע שריפה. בעניין זה אתם מוזמנים לפנות לנציבות כבאות ארצית.</w:t>
      </w:r>
    </w:p>
    <w:p w:rsidR="006D135C" w:rsidRPr="00EA0F4E" w:rsidRDefault="006D135C" w:rsidP="006D135C">
      <w:pPr>
        <w:pStyle w:val="Heading1"/>
        <w:spacing w:line="360" w:lineRule="auto"/>
        <w:rPr>
          <w:rFonts w:asciiTheme="minorHAnsi" w:hAnsiTheme="minorHAnsi"/>
        </w:rPr>
      </w:pPr>
      <w:r w:rsidRPr="00EA0F4E">
        <w:rPr>
          <w:rFonts w:asciiTheme="minorHAnsi" w:hAnsiTheme="minorHAnsi"/>
          <w:rtl/>
        </w:rPr>
        <w:t>התקן לדודי מים (ת"י 69) מאמץ תקן גרמני (</w:t>
      </w:r>
      <w:r w:rsidRPr="00EA0F4E">
        <w:rPr>
          <w:rFonts w:asciiTheme="minorHAnsi" w:hAnsiTheme="minorHAnsi" w:cs="Arial"/>
          <w:sz w:val="20"/>
          <w:szCs w:val="20"/>
        </w:rPr>
        <w:t>DIN 4753</w:t>
      </w:r>
      <w:r w:rsidRPr="00EA0F4E">
        <w:rPr>
          <w:rFonts w:asciiTheme="minorHAnsi" w:hAnsiTheme="minorHAnsi"/>
          <w:rtl/>
        </w:rPr>
        <w:t xml:space="preserve">), אולם לחץ המים בישראל גבוה מלחץ המים המקובל באירופה, ועל כן </w:t>
      </w:r>
      <w:proofErr w:type="spellStart"/>
      <w:r w:rsidRPr="00EA0F4E">
        <w:rPr>
          <w:rFonts w:asciiTheme="minorHAnsi" w:hAnsiTheme="minorHAnsi"/>
          <w:rtl/>
        </w:rPr>
        <w:t>היתה</w:t>
      </w:r>
      <w:proofErr w:type="spellEnd"/>
      <w:r w:rsidRPr="00EA0F4E">
        <w:rPr>
          <w:rFonts w:asciiTheme="minorHAnsi" w:hAnsiTheme="minorHAnsi"/>
          <w:rtl/>
        </w:rPr>
        <w:t xml:space="preserve"> חובה לבצע התאמה בדרישות התקן בעת אימוצו. לחץ המים הינו עובדה קיימת שאיננה נובעת מחיקוק. </w:t>
      </w:r>
    </w:p>
    <w:p w:rsidR="006D135C" w:rsidRPr="00EA0F4E" w:rsidRDefault="006D135C" w:rsidP="006D135C">
      <w:pPr>
        <w:pStyle w:val="Heading1"/>
        <w:numPr>
          <w:ilvl w:val="0"/>
          <w:numId w:val="0"/>
        </w:numPr>
        <w:spacing w:line="360" w:lineRule="auto"/>
        <w:ind w:left="567"/>
        <w:rPr>
          <w:rFonts w:asciiTheme="minorHAnsi" w:hAnsiTheme="minorHAnsi"/>
          <w:rtl/>
        </w:rPr>
      </w:pPr>
      <w:r w:rsidRPr="00EA0F4E">
        <w:rPr>
          <w:rFonts w:asciiTheme="minorHAnsi" w:hAnsiTheme="minorHAnsi"/>
          <w:rtl/>
        </w:rPr>
        <w:t xml:space="preserve">כמו כן, איכות המים בישראל שונה מאיכות המים במדינות אירופה, בין היתר, משום שבארץ מקור המים הינו בארות, ובאירופה מדובר במי גשמים. ריכוז </w:t>
      </w:r>
      <w:proofErr w:type="spellStart"/>
      <w:r w:rsidRPr="00EA0F4E">
        <w:rPr>
          <w:rFonts w:asciiTheme="minorHAnsi" w:hAnsiTheme="minorHAnsi"/>
          <w:rtl/>
        </w:rPr>
        <w:t>הכלורידים</w:t>
      </w:r>
      <w:proofErr w:type="spellEnd"/>
      <w:r w:rsidRPr="00EA0F4E">
        <w:rPr>
          <w:rFonts w:asciiTheme="minorHAnsi" w:hAnsiTheme="minorHAnsi"/>
          <w:rtl/>
        </w:rPr>
        <w:t xml:space="preserve"> במים בישראל גורם לכך שהמים בארץ נחשבים ל"קשים" ובאירופה ל"רכים". עובדה זו משליכה על סוגי הפלדות שכולל התקן הישראלי על סמך המפורט בתקן המאומץ (בתקן הגרמני סוגי פלדות רבים יותר, אך לא כולם מתאימים לישראל).</w:t>
      </w:r>
    </w:p>
    <w:p w:rsidR="006D135C" w:rsidRDefault="006D135C" w:rsidP="006D135C">
      <w:pPr>
        <w:pStyle w:val="Heading1"/>
        <w:spacing w:line="360" w:lineRule="auto"/>
        <w:rPr>
          <w:rFonts w:asciiTheme="minorHAnsi" w:hAnsiTheme="minorHAnsi"/>
        </w:rPr>
      </w:pPr>
      <w:r w:rsidRPr="00EA0F4E">
        <w:rPr>
          <w:rFonts w:asciiTheme="minorHAnsi" w:hAnsiTheme="minorHAnsi"/>
          <w:rtl/>
        </w:rPr>
        <w:t>ת"י 1279 חלק 1</w:t>
      </w:r>
      <w:r>
        <w:rPr>
          <w:rFonts w:asciiTheme="minorHAnsi" w:hAnsiTheme="minorHAnsi" w:hint="cs"/>
          <w:rtl/>
        </w:rPr>
        <w:t xml:space="preserve"> </w:t>
      </w:r>
      <w:r w:rsidRPr="00EA0F4E">
        <w:rPr>
          <w:rFonts w:asciiTheme="minorHAnsi" w:hAnsiTheme="minorHAnsi"/>
          <w:rtl/>
        </w:rPr>
        <w:t xml:space="preserve">דן בכיסאות גלגלים המונעים ידנית. </w:t>
      </w:r>
      <w:r>
        <w:rPr>
          <w:rFonts w:asciiTheme="minorHAnsi" w:hAnsiTheme="minorHAnsi" w:hint="cs"/>
          <w:rtl/>
        </w:rPr>
        <w:t>ב</w:t>
      </w:r>
      <w:r w:rsidRPr="00EA0F4E">
        <w:rPr>
          <w:rFonts w:asciiTheme="minorHAnsi" w:hAnsiTheme="minorHAnsi"/>
          <w:rtl/>
        </w:rPr>
        <w:t xml:space="preserve">תקן </w:t>
      </w:r>
      <w:r>
        <w:rPr>
          <w:rFonts w:asciiTheme="minorHAnsi" w:hAnsiTheme="minorHAnsi" w:hint="cs"/>
          <w:rtl/>
        </w:rPr>
        <w:t xml:space="preserve">האירופאי המאומץ </w:t>
      </w:r>
      <w:r w:rsidRPr="00EA0F4E">
        <w:rPr>
          <w:rFonts w:asciiTheme="minorHAnsi" w:hAnsiTheme="minorHAnsi"/>
          <w:rtl/>
        </w:rPr>
        <w:t>קיימת שיטת בדיקה אשר מבוססת על מדרכות בגובה של 5 ס"מ, בעוד שגובה המדרכות בישראל הוא 18 ס"מ, בהתאם להנחיות של משרד התחבורה. על כן, שונתה שיטת הבדיקה בתקן הישראלי</w:t>
      </w:r>
      <w:r>
        <w:rPr>
          <w:rFonts w:asciiTheme="minorHAnsi" w:hAnsiTheme="minorHAnsi" w:hint="cs"/>
          <w:rtl/>
        </w:rPr>
        <w:t xml:space="preserve"> בעת האימוץ.</w:t>
      </w:r>
      <w:r w:rsidRPr="00EA0F4E">
        <w:rPr>
          <w:rFonts w:asciiTheme="minorHAnsi" w:hAnsiTheme="minorHAnsi"/>
          <w:rtl/>
        </w:rPr>
        <w:t xml:space="preserve"> קובץ ההנחיות מצורף למכתבנו זה.  </w:t>
      </w:r>
    </w:p>
    <w:p w:rsidR="006D135C" w:rsidRDefault="006D135C" w:rsidP="006D135C">
      <w:pPr>
        <w:pStyle w:val="Heading1"/>
        <w:spacing w:line="360" w:lineRule="auto"/>
        <w:rPr>
          <w:rFonts w:asciiTheme="minorHAnsi" w:hAnsiTheme="minorHAnsi"/>
        </w:rPr>
      </w:pPr>
      <w:r>
        <w:rPr>
          <w:rFonts w:asciiTheme="minorHAnsi" w:hAnsiTheme="minorHAnsi" w:hint="cs"/>
          <w:rtl/>
        </w:rPr>
        <w:lastRenderedPageBreak/>
        <w:t>ת"י 5568 הדן בנגישות אתרי אינטרנט כולל שינויים לאומיים הנובעים מכך ש</w:t>
      </w:r>
      <w:r w:rsidRPr="00602AB9">
        <w:rPr>
          <w:rtl/>
        </w:rPr>
        <w:t xml:space="preserve">בשפה העברית, בניגוד לשפה האנגלית, אין עדיין טכנולוגיה פתוחה/חינמית המתרגמת דיבור לטקסט ברמה סבירה. </w:t>
      </w:r>
      <w:r>
        <w:rPr>
          <w:rFonts w:asciiTheme="minorHAnsi" w:hAnsiTheme="minorHAnsi" w:hint="cs"/>
          <w:rtl/>
        </w:rPr>
        <w:t xml:space="preserve">על כן, בהנחיה 1.2 (מדיה מבוססת זמן) רמת הנגישות המומלצת בתקן הישראלי היא </w:t>
      </w:r>
      <w:r>
        <w:rPr>
          <w:rFonts w:asciiTheme="minorHAnsi" w:hAnsiTheme="minorHAnsi" w:hint="cs"/>
        </w:rPr>
        <w:t>A</w:t>
      </w:r>
      <w:r>
        <w:rPr>
          <w:rFonts w:asciiTheme="minorHAnsi" w:hAnsiTheme="minorHAnsi" w:hint="cs"/>
          <w:rtl/>
        </w:rPr>
        <w:t xml:space="preserve"> ולא </w:t>
      </w:r>
      <w:r>
        <w:rPr>
          <w:rFonts w:asciiTheme="minorHAnsi" w:hAnsiTheme="minorHAnsi" w:hint="cs"/>
        </w:rPr>
        <w:t>AA</w:t>
      </w:r>
      <w:r>
        <w:rPr>
          <w:rFonts w:asciiTheme="minorHAnsi" w:hAnsiTheme="minorHAnsi" w:hint="cs"/>
          <w:rtl/>
        </w:rPr>
        <w:t xml:space="preserve">. </w:t>
      </w:r>
    </w:p>
    <w:p w:rsidR="006D135C" w:rsidRPr="00EA0F4E" w:rsidRDefault="006D135C" w:rsidP="006D135C">
      <w:pPr>
        <w:spacing w:line="360" w:lineRule="auto"/>
        <w:rPr>
          <w:rFonts w:asciiTheme="minorHAnsi" w:hAnsiTheme="minorHAnsi"/>
          <w:rtl/>
        </w:rPr>
      </w:pPr>
    </w:p>
    <w:p w:rsidR="006D135C" w:rsidRPr="00EA0F4E" w:rsidRDefault="006D135C" w:rsidP="006D135C">
      <w:pPr>
        <w:spacing w:line="360" w:lineRule="auto"/>
        <w:rPr>
          <w:rFonts w:asciiTheme="minorHAnsi" w:hAnsiTheme="minorHAnsi"/>
          <w:b/>
          <w:bCs/>
          <w:rtl/>
        </w:rPr>
      </w:pPr>
      <w:r w:rsidRPr="00EA0F4E">
        <w:rPr>
          <w:rFonts w:asciiTheme="minorHAnsi" w:hAnsiTheme="minorHAnsi"/>
          <w:b/>
          <w:bCs/>
          <w:rtl/>
        </w:rPr>
        <w:t>ב – שינוי לאומי המתחייב מכך שיש לקרוא את התקן המאומץ יחד עם הוראת דין או דירקטיבה של האיחוד האירופי, ועל כן יש לשלב בתקן הישראלי הן את הוראות התקן המאומץ והן את הוראות אותו דין או דירקטיבה</w:t>
      </w:r>
    </w:p>
    <w:p w:rsidR="006D135C" w:rsidRPr="00EA0F4E" w:rsidRDefault="006D135C" w:rsidP="006D135C">
      <w:pPr>
        <w:spacing w:line="360" w:lineRule="auto"/>
        <w:rPr>
          <w:rFonts w:asciiTheme="minorHAnsi" w:hAnsiTheme="minorHAnsi"/>
          <w:rtl/>
        </w:rPr>
      </w:pPr>
    </w:p>
    <w:p w:rsidR="006D135C" w:rsidRPr="00EA0F4E" w:rsidRDefault="006D135C" w:rsidP="006D135C">
      <w:pPr>
        <w:spacing w:line="360" w:lineRule="auto"/>
        <w:rPr>
          <w:rFonts w:asciiTheme="minorHAnsi" w:hAnsiTheme="minorHAnsi"/>
          <w:rtl/>
        </w:rPr>
      </w:pPr>
      <w:r w:rsidRPr="00EA0F4E">
        <w:rPr>
          <w:rFonts w:asciiTheme="minorHAnsi" w:hAnsiTheme="minorHAnsi"/>
          <w:rtl/>
        </w:rPr>
        <w:t>מבנה התקינה באירופה שונה מזה הקיים בארץ. באירופה נהוגות דירקטיבות מחייבות, הכוללות, בין היתר, גם דרישות טכניות, שלעיתים מופיעות גם בתקנים, ולעיתים - לא. כאשר התקנים אינם כוללים את הדרישות הטכניות המתחייבות, יש להשלים אותן מהדירקטיבה, אחרת יוצא שהתקן הישראלי איננו שלם, והדרישות אינן זהות לאלה הקיימות באירופה.</w:t>
      </w:r>
      <w:r>
        <w:rPr>
          <w:rFonts w:asciiTheme="minorHAnsi" w:hAnsiTheme="minorHAnsi" w:hint="cs"/>
          <w:rtl/>
        </w:rPr>
        <w:t xml:space="preserve"> ודוק, התקן לוקח מתוך הדירקטיבה רק דרישות טכניות, כאשר הדירקטיבה בדומה לחקיקה כוללת הוראות באספקטים רבים נוספים.</w:t>
      </w:r>
    </w:p>
    <w:p w:rsidR="006D135C" w:rsidRPr="00EA0F4E" w:rsidRDefault="006D135C" w:rsidP="006D135C">
      <w:pPr>
        <w:spacing w:line="360" w:lineRule="auto"/>
        <w:rPr>
          <w:rFonts w:asciiTheme="minorHAnsi" w:hAnsiTheme="minorHAnsi"/>
          <w:rtl/>
        </w:rPr>
      </w:pPr>
    </w:p>
    <w:p w:rsidR="006D135C" w:rsidRPr="00EA0F4E" w:rsidRDefault="006D135C" w:rsidP="006D135C">
      <w:pPr>
        <w:spacing w:line="360" w:lineRule="auto"/>
        <w:rPr>
          <w:rFonts w:asciiTheme="minorHAnsi" w:hAnsiTheme="minorHAnsi"/>
          <w:rtl/>
        </w:rPr>
      </w:pPr>
      <w:r w:rsidRPr="00EA0F4E">
        <w:rPr>
          <w:rFonts w:asciiTheme="minorHAnsi" w:hAnsiTheme="minorHAnsi"/>
          <w:u w:val="single"/>
          <w:rtl/>
        </w:rPr>
        <w:t>דוגמאות</w:t>
      </w:r>
      <w:r w:rsidRPr="00EA0F4E">
        <w:rPr>
          <w:rFonts w:asciiTheme="minorHAnsi" w:hAnsiTheme="minorHAnsi"/>
          <w:rtl/>
        </w:rPr>
        <w:t>:</w:t>
      </w:r>
    </w:p>
    <w:p w:rsidR="006D135C" w:rsidRPr="0088168D" w:rsidRDefault="006D135C" w:rsidP="006D135C">
      <w:pPr>
        <w:pStyle w:val="Heading1"/>
        <w:numPr>
          <w:ilvl w:val="0"/>
          <w:numId w:val="2"/>
        </w:numPr>
        <w:spacing w:line="360" w:lineRule="auto"/>
        <w:rPr>
          <w:rFonts w:asciiTheme="minorHAnsi" w:hAnsiTheme="minorHAnsi"/>
        </w:rPr>
      </w:pPr>
      <w:r w:rsidRPr="0088168D">
        <w:rPr>
          <w:rFonts w:asciiTheme="minorHAnsi" w:hAnsiTheme="minorHAnsi"/>
          <w:rtl/>
        </w:rPr>
        <w:t>תאימות אלקטרומגנטי</w:t>
      </w:r>
      <w:r w:rsidRPr="0088168D">
        <w:rPr>
          <w:rFonts w:asciiTheme="minorHAnsi" w:hAnsiTheme="minorHAnsi" w:hint="cs"/>
          <w:rtl/>
        </w:rPr>
        <w:t xml:space="preserve">ת </w:t>
      </w:r>
      <w:r w:rsidRPr="0088168D">
        <w:rPr>
          <w:rFonts w:asciiTheme="minorHAnsi" w:hAnsiTheme="minorHAnsi"/>
          <w:rtl/>
        </w:rPr>
        <w:t>–</w:t>
      </w:r>
      <w:r w:rsidRPr="0088168D">
        <w:rPr>
          <w:rFonts w:asciiTheme="minorHAnsi" w:hAnsiTheme="minorHAnsi" w:hint="cs"/>
          <w:rtl/>
        </w:rPr>
        <w:t xml:space="preserve"> </w:t>
      </w:r>
      <w:r w:rsidRPr="0088168D">
        <w:rPr>
          <w:rFonts w:asciiTheme="minorHAnsi" w:hAnsiTheme="minorHAnsi"/>
          <w:rtl/>
        </w:rPr>
        <w:t>באירופה הנושא מוסדר בדירקטיבה (</w:t>
      </w:r>
      <w:r w:rsidRPr="0088168D">
        <w:rPr>
          <w:rFonts w:asciiTheme="minorHAnsi" w:hAnsiTheme="minorHAnsi"/>
        </w:rPr>
        <w:t>E</w:t>
      </w:r>
      <w:r>
        <w:rPr>
          <w:rFonts w:asciiTheme="minorHAnsi" w:hAnsiTheme="minorHAnsi"/>
        </w:rPr>
        <w:t>MC</w:t>
      </w:r>
      <w:r w:rsidRPr="0088168D">
        <w:rPr>
          <w:rFonts w:asciiTheme="minorHAnsi" w:hAnsiTheme="minorHAnsi"/>
          <w:rtl/>
        </w:rPr>
        <w:t>), ובארה"ב ב</w:t>
      </w:r>
      <w:r>
        <w:rPr>
          <w:rFonts w:asciiTheme="minorHAnsi" w:hAnsiTheme="minorHAnsi" w:hint="cs"/>
          <w:rtl/>
        </w:rPr>
        <w:t>רגולציה של ה-</w:t>
      </w:r>
      <w:r>
        <w:rPr>
          <w:rFonts w:asciiTheme="minorHAnsi" w:hAnsiTheme="minorHAnsi" w:hint="cs"/>
        </w:rPr>
        <w:t>FCC</w:t>
      </w:r>
      <w:r w:rsidRPr="0088168D">
        <w:rPr>
          <w:rFonts w:asciiTheme="minorHAnsi" w:hAnsiTheme="minorHAnsi"/>
          <w:rtl/>
        </w:rPr>
        <w:t xml:space="preserve"> לעניין זה, ואילו בארץ אין חקיקה שעוסקת בנושא. על כן, כאשר מאמצים תקן בתחום החשמל למשל, שבו הדרישה הכרחית, התקן הישראלי משלים את דרישת התאימות האלקטרומגנטית מתוך הדירקטיבה.</w:t>
      </w:r>
    </w:p>
    <w:p w:rsidR="006D135C" w:rsidRPr="00EA0F4E" w:rsidRDefault="006D135C" w:rsidP="006D135C">
      <w:pPr>
        <w:pStyle w:val="Heading1"/>
        <w:spacing w:line="360" w:lineRule="auto"/>
        <w:rPr>
          <w:rFonts w:asciiTheme="minorHAnsi" w:hAnsiTheme="minorHAnsi"/>
        </w:rPr>
      </w:pPr>
      <w:r w:rsidRPr="00EA0F4E">
        <w:rPr>
          <w:rFonts w:asciiTheme="minorHAnsi" w:hAnsiTheme="minorHAnsi"/>
          <w:rtl/>
        </w:rPr>
        <w:t>חומרים מסוכנים – באירופה דירקטיבה העוסקת בהגבלת שימוש בחומרים מסוכנים בחשמל ואלקטרוניקה (</w:t>
      </w:r>
      <w:proofErr w:type="spellStart"/>
      <w:r w:rsidRPr="00EA0F4E">
        <w:rPr>
          <w:rFonts w:asciiTheme="minorHAnsi" w:hAnsiTheme="minorHAnsi"/>
        </w:rPr>
        <w:t>RoHS</w:t>
      </w:r>
      <w:proofErr w:type="spellEnd"/>
      <w:r w:rsidRPr="00EA0F4E">
        <w:rPr>
          <w:rFonts w:asciiTheme="minorHAnsi" w:hAnsiTheme="minorHAnsi"/>
          <w:rtl/>
        </w:rPr>
        <w:t>). בארץ אין חקיקה בנושא, ועל כן התקן הישראלי נדרש לאמץ מתוך אותה דירקטיבה את הדרישות, כהשלמה לתקן המאומץ. כך למשך בת"י 1516, חלקים 1 ו-2, כך למשל בת"י 60227, חלק 1, וכך למשל בת"י 60245 חלק 1.</w:t>
      </w:r>
    </w:p>
    <w:p w:rsidR="006D135C" w:rsidRPr="00EA0F4E" w:rsidRDefault="006D135C" w:rsidP="006D135C">
      <w:pPr>
        <w:pStyle w:val="Heading1"/>
        <w:spacing w:line="360" w:lineRule="auto"/>
        <w:rPr>
          <w:rFonts w:asciiTheme="minorHAnsi" w:hAnsiTheme="minorHAnsi"/>
        </w:rPr>
      </w:pPr>
      <w:r w:rsidRPr="00EA0F4E">
        <w:rPr>
          <w:rFonts w:asciiTheme="minorHAnsi" w:hAnsiTheme="minorHAnsi"/>
          <w:rtl/>
        </w:rPr>
        <w:t xml:space="preserve">מחזור סוללות </w:t>
      </w:r>
      <w:r>
        <w:rPr>
          <w:rFonts w:asciiTheme="minorHAnsi" w:hAnsiTheme="minorHAnsi" w:hint="cs"/>
          <w:rtl/>
        </w:rPr>
        <w:t xml:space="preserve">וקביעת תכולת מתכות כבדות </w:t>
      </w:r>
      <w:r w:rsidRPr="00EA0F4E">
        <w:rPr>
          <w:rFonts w:asciiTheme="minorHAnsi" w:hAnsiTheme="minorHAnsi"/>
          <w:rtl/>
        </w:rPr>
        <w:t>– בת"י 900, חלק 1, קיימת הפנייה לדירקטיבה אירופאית בנושא של מחזור סוללות וציון סימן המחזור. בנוסף, קיימת דרישה לרף התכולה של מתכות כבדות בהתאם לקבוע בדירקטיבה.</w:t>
      </w:r>
    </w:p>
    <w:p w:rsidR="006D135C" w:rsidRPr="00DF5FD1" w:rsidRDefault="006D135C" w:rsidP="006D135C">
      <w:pPr>
        <w:pStyle w:val="Heading1"/>
        <w:spacing w:line="360" w:lineRule="auto"/>
        <w:rPr>
          <w:rFonts w:asciiTheme="minorHAnsi" w:hAnsiTheme="minorHAnsi"/>
          <w:rtl/>
        </w:rPr>
      </w:pPr>
      <w:r w:rsidRPr="00DF5FD1">
        <w:rPr>
          <w:rFonts w:asciiTheme="minorHAnsi" w:hAnsiTheme="minorHAnsi" w:hint="cs"/>
          <w:rtl/>
        </w:rPr>
        <w:t>פורמלדהיד</w:t>
      </w:r>
      <w:r w:rsidRPr="00DF5FD1">
        <w:rPr>
          <w:rFonts w:asciiTheme="minorHAnsi" w:hAnsiTheme="minorHAnsi"/>
          <w:rtl/>
        </w:rPr>
        <w:t xml:space="preserve"> – </w:t>
      </w:r>
      <w:r w:rsidRPr="00DF5FD1">
        <w:rPr>
          <w:rFonts w:asciiTheme="minorHAnsi" w:hAnsiTheme="minorHAnsi" w:hint="cs"/>
          <w:rtl/>
        </w:rPr>
        <w:t>פורמלדהיד</w:t>
      </w:r>
      <w:r w:rsidRPr="00DF5FD1">
        <w:rPr>
          <w:rFonts w:asciiTheme="minorHAnsi" w:hAnsiTheme="minorHAnsi"/>
          <w:rtl/>
        </w:rPr>
        <w:t xml:space="preserve"> </w:t>
      </w:r>
      <w:r w:rsidRPr="00DF5FD1">
        <w:rPr>
          <w:rFonts w:asciiTheme="minorHAnsi" w:hAnsiTheme="minorHAnsi" w:hint="cs"/>
          <w:rtl/>
        </w:rPr>
        <w:t>הוא</w:t>
      </w:r>
      <w:r w:rsidRPr="00DF5FD1">
        <w:rPr>
          <w:rFonts w:asciiTheme="minorHAnsi" w:hAnsiTheme="minorHAnsi"/>
          <w:rtl/>
        </w:rPr>
        <w:t xml:space="preserve"> </w:t>
      </w:r>
      <w:r w:rsidRPr="00DF5FD1">
        <w:rPr>
          <w:rFonts w:asciiTheme="minorHAnsi" w:hAnsiTheme="minorHAnsi" w:hint="cs"/>
          <w:rtl/>
        </w:rPr>
        <w:t>חומר</w:t>
      </w:r>
      <w:r w:rsidRPr="00DF5FD1">
        <w:rPr>
          <w:rFonts w:asciiTheme="minorHAnsi" w:hAnsiTheme="minorHAnsi"/>
          <w:rtl/>
        </w:rPr>
        <w:t xml:space="preserve"> </w:t>
      </w:r>
      <w:r w:rsidRPr="00DF5FD1">
        <w:rPr>
          <w:rFonts w:asciiTheme="minorHAnsi" w:hAnsiTheme="minorHAnsi" w:hint="cs"/>
          <w:rtl/>
        </w:rPr>
        <w:t>מסרטן</w:t>
      </w:r>
      <w:r w:rsidRPr="00DF5FD1">
        <w:rPr>
          <w:rFonts w:asciiTheme="minorHAnsi" w:hAnsiTheme="minorHAnsi"/>
          <w:rtl/>
        </w:rPr>
        <w:t xml:space="preserve"> </w:t>
      </w:r>
      <w:r w:rsidRPr="00DF5FD1">
        <w:rPr>
          <w:rFonts w:asciiTheme="minorHAnsi" w:hAnsiTheme="minorHAnsi" w:hint="cs"/>
          <w:rtl/>
        </w:rPr>
        <w:t>המצוי</w:t>
      </w:r>
      <w:r w:rsidRPr="00DF5FD1">
        <w:rPr>
          <w:rFonts w:asciiTheme="minorHAnsi" w:hAnsiTheme="minorHAnsi"/>
          <w:rtl/>
        </w:rPr>
        <w:t xml:space="preserve"> </w:t>
      </w:r>
      <w:r w:rsidRPr="00DF5FD1">
        <w:rPr>
          <w:rFonts w:asciiTheme="minorHAnsi" w:hAnsiTheme="minorHAnsi" w:hint="cs"/>
          <w:rtl/>
        </w:rPr>
        <w:t xml:space="preserve">בדבק </w:t>
      </w:r>
      <w:r>
        <w:rPr>
          <w:rFonts w:asciiTheme="minorHAnsi" w:hAnsiTheme="minorHAnsi" w:hint="cs"/>
          <w:rtl/>
        </w:rPr>
        <w:t>ה</w:t>
      </w:r>
      <w:r w:rsidRPr="00DF5FD1">
        <w:rPr>
          <w:rFonts w:asciiTheme="minorHAnsi" w:hAnsiTheme="minorHAnsi" w:hint="cs"/>
          <w:rtl/>
        </w:rPr>
        <w:t>משמש לייצ</w:t>
      </w:r>
      <w:r>
        <w:rPr>
          <w:rFonts w:asciiTheme="minorHAnsi" w:hAnsiTheme="minorHAnsi" w:hint="cs"/>
          <w:rtl/>
        </w:rPr>
        <w:t>ו</w:t>
      </w:r>
      <w:r w:rsidRPr="00DF5FD1">
        <w:rPr>
          <w:rFonts w:asciiTheme="minorHAnsi" w:hAnsiTheme="minorHAnsi" w:hint="cs"/>
          <w:rtl/>
        </w:rPr>
        <w:t>ר של מוצרי עץ שבהם</w:t>
      </w:r>
      <w:r w:rsidRPr="00DF5FD1">
        <w:rPr>
          <w:rFonts w:asciiTheme="minorHAnsi" w:hAnsiTheme="minorHAnsi"/>
          <w:rtl/>
        </w:rPr>
        <w:t xml:space="preserve"> </w:t>
      </w:r>
      <w:r w:rsidRPr="00DF5FD1">
        <w:rPr>
          <w:rFonts w:asciiTheme="minorHAnsi" w:hAnsiTheme="minorHAnsi" w:hint="cs"/>
          <w:rtl/>
        </w:rPr>
        <w:t>נעשה</w:t>
      </w:r>
      <w:r w:rsidRPr="00DF5FD1">
        <w:rPr>
          <w:rFonts w:asciiTheme="minorHAnsi" w:hAnsiTheme="minorHAnsi"/>
          <w:rtl/>
        </w:rPr>
        <w:t xml:space="preserve"> </w:t>
      </w:r>
      <w:r w:rsidRPr="00DF5FD1">
        <w:rPr>
          <w:rFonts w:asciiTheme="minorHAnsi" w:hAnsiTheme="minorHAnsi" w:hint="cs"/>
          <w:rtl/>
        </w:rPr>
        <w:t>שימוש</w:t>
      </w:r>
      <w:r w:rsidRPr="00DF5FD1">
        <w:rPr>
          <w:rFonts w:asciiTheme="minorHAnsi" w:hAnsiTheme="minorHAnsi"/>
          <w:rtl/>
        </w:rPr>
        <w:t xml:space="preserve"> </w:t>
      </w:r>
      <w:r w:rsidRPr="00DF5FD1">
        <w:rPr>
          <w:rFonts w:asciiTheme="minorHAnsi" w:hAnsiTheme="minorHAnsi" w:hint="cs"/>
          <w:rtl/>
        </w:rPr>
        <w:t>בתעשיית</w:t>
      </w:r>
      <w:r w:rsidRPr="00DF5FD1">
        <w:rPr>
          <w:rFonts w:asciiTheme="minorHAnsi" w:hAnsiTheme="minorHAnsi"/>
          <w:rtl/>
        </w:rPr>
        <w:t xml:space="preserve"> </w:t>
      </w:r>
      <w:r>
        <w:rPr>
          <w:rFonts w:asciiTheme="minorHAnsi" w:hAnsiTheme="minorHAnsi" w:hint="cs"/>
          <w:rtl/>
        </w:rPr>
        <w:t>ה</w:t>
      </w:r>
      <w:r w:rsidRPr="00DF5FD1">
        <w:rPr>
          <w:rFonts w:asciiTheme="minorHAnsi" w:hAnsiTheme="minorHAnsi" w:hint="cs"/>
          <w:rtl/>
        </w:rPr>
        <w:t>רהיטי</w:t>
      </w:r>
      <w:r>
        <w:rPr>
          <w:rFonts w:asciiTheme="minorHAnsi" w:hAnsiTheme="minorHAnsi" w:hint="cs"/>
          <w:rtl/>
        </w:rPr>
        <w:t>ם</w:t>
      </w:r>
      <w:r w:rsidRPr="00DF5FD1">
        <w:rPr>
          <w:rFonts w:asciiTheme="minorHAnsi" w:hAnsiTheme="minorHAnsi"/>
          <w:rtl/>
        </w:rPr>
        <w:t xml:space="preserve">. </w:t>
      </w:r>
      <w:r w:rsidRPr="00DF5FD1">
        <w:rPr>
          <w:rFonts w:asciiTheme="minorHAnsi" w:hAnsiTheme="minorHAnsi" w:hint="cs"/>
          <w:rtl/>
        </w:rPr>
        <w:t>באירופה סיווג הפורמלדהיד כחומר מסרטן מוסדר</w:t>
      </w:r>
      <w:r w:rsidRPr="00DF5FD1">
        <w:rPr>
          <w:rFonts w:asciiTheme="minorHAnsi" w:hAnsiTheme="minorHAnsi"/>
          <w:rtl/>
        </w:rPr>
        <w:t xml:space="preserve"> </w:t>
      </w:r>
      <w:r w:rsidRPr="00DF5FD1">
        <w:rPr>
          <w:rFonts w:asciiTheme="minorHAnsi" w:hAnsiTheme="minorHAnsi" w:hint="cs"/>
          <w:rtl/>
        </w:rPr>
        <w:t>בהוראות</w:t>
      </w:r>
      <w:r w:rsidRPr="00DF5FD1">
        <w:rPr>
          <w:rFonts w:asciiTheme="minorHAnsi" w:hAnsiTheme="minorHAnsi"/>
          <w:rtl/>
        </w:rPr>
        <w:t xml:space="preserve"> </w:t>
      </w:r>
      <w:proofErr w:type="spellStart"/>
      <w:r w:rsidRPr="00DF5FD1">
        <w:rPr>
          <w:rFonts w:asciiTheme="minorHAnsi" w:hAnsiTheme="minorHAnsi" w:hint="cs"/>
          <w:rtl/>
        </w:rPr>
        <w:t>רגולטוריות</w:t>
      </w:r>
      <w:proofErr w:type="spellEnd"/>
      <w:r w:rsidRPr="00DF5FD1">
        <w:rPr>
          <w:rFonts w:asciiTheme="minorHAnsi" w:hAnsiTheme="minorHAnsi"/>
          <w:rtl/>
        </w:rPr>
        <w:t xml:space="preserve"> </w:t>
      </w:r>
      <w:r w:rsidRPr="00DF5FD1">
        <w:rPr>
          <w:rFonts w:asciiTheme="minorHAnsi" w:hAnsiTheme="minorHAnsi" w:hint="cs"/>
          <w:rtl/>
        </w:rPr>
        <w:t>המכונות</w:t>
      </w:r>
      <w:r w:rsidRPr="00DF5FD1">
        <w:rPr>
          <w:rFonts w:asciiTheme="minorHAnsi" w:hAnsiTheme="minorHAnsi"/>
          <w:rtl/>
        </w:rPr>
        <w:t xml:space="preserve"> </w:t>
      </w:r>
      <w:r w:rsidRPr="00DF5FD1">
        <w:rPr>
          <w:rFonts w:asciiTheme="minorHAnsi" w:hAnsiTheme="minorHAnsi"/>
        </w:rPr>
        <w:t>Reach</w:t>
      </w:r>
      <w:r w:rsidRPr="00DF5FD1">
        <w:rPr>
          <w:rFonts w:asciiTheme="minorHAnsi" w:hAnsiTheme="minorHAnsi" w:hint="cs"/>
          <w:rtl/>
        </w:rPr>
        <w:t xml:space="preserve">. רמות הפליטה המותרות בישראל ממוצרי </w:t>
      </w:r>
      <w:r w:rsidRPr="00DF5FD1">
        <w:rPr>
          <w:rFonts w:asciiTheme="minorHAnsi" w:hAnsiTheme="minorHAnsi" w:hint="cs"/>
          <w:rtl/>
        </w:rPr>
        <w:lastRenderedPageBreak/>
        <w:t>עץ מיישרות קו עם רמות הפליטה הנקבעות לפי תק</w:t>
      </w:r>
      <w:r>
        <w:rPr>
          <w:rFonts w:asciiTheme="minorHAnsi" w:hAnsiTheme="minorHAnsi" w:hint="cs"/>
          <w:rtl/>
        </w:rPr>
        <w:t>ן</w:t>
      </w:r>
      <w:r w:rsidRPr="00DF5FD1">
        <w:rPr>
          <w:rFonts w:asciiTheme="minorHAnsi" w:hAnsiTheme="minorHAnsi" w:hint="cs"/>
          <w:rtl/>
        </w:rPr>
        <w:t xml:space="preserve"> אירופי (</w:t>
      </w:r>
      <w:r w:rsidRPr="00DF5FD1">
        <w:rPr>
          <w:rFonts w:asciiTheme="minorHAnsi" w:hAnsiTheme="minorHAnsi" w:hint="cs"/>
        </w:rPr>
        <w:t>EN 13986</w:t>
      </w:r>
      <w:r w:rsidRPr="00DF5FD1">
        <w:rPr>
          <w:rFonts w:asciiTheme="minorHAnsi" w:hAnsiTheme="minorHAnsi" w:hint="cs"/>
          <w:rtl/>
        </w:rPr>
        <w:t>). על</w:t>
      </w:r>
      <w:r w:rsidRPr="00DF5FD1">
        <w:rPr>
          <w:rFonts w:asciiTheme="minorHAnsi" w:hAnsiTheme="minorHAnsi"/>
          <w:rtl/>
        </w:rPr>
        <w:t xml:space="preserve"> </w:t>
      </w:r>
      <w:r w:rsidRPr="00DF5FD1">
        <w:rPr>
          <w:rFonts w:asciiTheme="minorHAnsi" w:hAnsiTheme="minorHAnsi" w:hint="cs"/>
          <w:rtl/>
        </w:rPr>
        <w:t>כן</w:t>
      </w:r>
      <w:r w:rsidRPr="00DF5FD1">
        <w:rPr>
          <w:rFonts w:asciiTheme="minorHAnsi" w:hAnsiTheme="minorHAnsi"/>
          <w:rtl/>
        </w:rPr>
        <w:t xml:space="preserve">, </w:t>
      </w:r>
      <w:r w:rsidRPr="00DF5FD1">
        <w:rPr>
          <w:rFonts w:asciiTheme="minorHAnsi" w:hAnsiTheme="minorHAnsi" w:hint="cs"/>
          <w:rtl/>
        </w:rPr>
        <w:t>ת</w:t>
      </w:r>
      <w:r w:rsidRPr="00DF5FD1">
        <w:rPr>
          <w:rFonts w:asciiTheme="minorHAnsi" w:hAnsiTheme="minorHAnsi"/>
          <w:rtl/>
        </w:rPr>
        <w:t>"</w:t>
      </w:r>
      <w:r w:rsidRPr="00DF5FD1">
        <w:rPr>
          <w:rFonts w:asciiTheme="minorHAnsi" w:hAnsiTheme="minorHAnsi" w:hint="cs"/>
          <w:rtl/>
        </w:rPr>
        <w:t>י</w:t>
      </w:r>
      <w:r w:rsidRPr="00DF5FD1">
        <w:rPr>
          <w:rFonts w:asciiTheme="minorHAnsi" w:hAnsiTheme="minorHAnsi"/>
          <w:rtl/>
        </w:rPr>
        <w:t xml:space="preserve"> 682 </w:t>
      </w:r>
      <w:r w:rsidRPr="00DF5FD1">
        <w:rPr>
          <w:rFonts w:asciiTheme="minorHAnsi" w:hAnsiTheme="minorHAnsi" w:hint="cs"/>
          <w:rtl/>
        </w:rPr>
        <w:t>העוסק</w:t>
      </w:r>
      <w:r w:rsidRPr="00DF5FD1">
        <w:rPr>
          <w:rFonts w:asciiTheme="minorHAnsi" w:hAnsiTheme="minorHAnsi"/>
          <w:rtl/>
        </w:rPr>
        <w:t xml:space="preserve"> </w:t>
      </w:r>
      <w:r w:rsidRPr="00DF5FD1">
        <w:rPr>
          <w:rFonts w:asciiTheme="minorHAnsi" w:hAnsiTheme="minorHAnsi" w:hint="cs"/>
          <w:rtl/>
        </w:rPr>
        <w:t>במיטות</w:t>
      </w:r>
      <w:r w:rsidRPr="00DF5FD1">
        <w:rPr>
          <w:rFonts w:asciiTheme="minorHAnsi" w:hAnsiTheme="minorHAnsi"/>
          <w:rtl/>
        </w:rPr>
        <w:t xml:space="preserve"> </w:t>
      </w:r>
      <w:r w:rsidRPr="00DF5FD1">
        <w:rPr>
          <w:rFonts w:asciiTheme="minorHAnsi" w:hAnsiTheme="minorHAnsi" w:hint="cs"/>
          <w:rtl/>
        </w:rPr>
        <w:t>לתינוק</w:t>
      </w:r>
      <w:r w:rsidRPr="00DF5FD1">
        <w:rPr>
          <w:rFonts w:asciiTheme="minorHAnsi" w:hAnsiTheme="minorHAnsi"/>
          <w:rtl/>
        </w:rPr>
        <w:t xml:space="preserve"> </w:t>
      </w:r>
      <w:r w:rsidRPr="00DF5FD1">
        <w:rPr>
          <w:rFonts w:asciiTheme="minorHAnsi" w:hAnsiTheme="minorHAnsi" w:hint="cs"/>
          <w:rtl/>
        </w:rPr>
        <w:t>משלב</w:t>
      </w:r>
      <w:r w:rsidRPr="00DF5FD1">
        <w:rPr>
          <w:rFonts w:asciiTheme="minorHAnsi" w:hAnsiTheme="minorHAnsi"/>
          <w:rtl/>
        </w:rPr>
        <w:t xml:space="preserve"> </w:t>
      </w:r>
      <w:r w:rsidRPr="00DF5FD1">
        <w:rPr>
          <w:rFonts w:asciiTheme="minorHAnsi" w:hAnsiTheme="minorHAnsi" w:hint="cs"/>
          <w:rtl/>
        </w:rPr>
        <w:t>את</w:t>
      </w:r>
      <w:r w:rsidRPr="00DF5FD1">
        <w:rPr>
          <w:rFonts w:asciiTheme="minorHAnsi" w:hAnsiTheme="minorHAnsi"/>
          <w:rtl/>
        </w:rPr>
        <w:t xml:space="preserve"> </w:t>
      </w:r>
      <w:r w:rsidRPr="00DF5FD1">
        <w:rPr>
          <w:rFonts w:asciiTheme="minorHAnsi" w:hAnsiTheme="minorHAnsi" w:hint="cs"/>
          <w:rtl/>
        </w:rPr>
        <w:t xml:space="preserve">הדרישה לבדיקת </w:t>
      </w:r>
      <w:r>
        <w:rPr>
          <w:rFonts w:asciiTheme="minorHAnsi" w:hAnsiTheme="minorHAnsi" w:hint="cs"/>
          <w:rtl/>
        </w:rPr>
        <w:t>ה</w:t>
      </w:r>
      <w:r w:rsidRPr="00DF5FD1">
        <w:rPr>
          <w:rFonts w:asciiTheme="minorHAnsi" w:hAnsiTheme="minorHAnsi" w:hint="cs"/>
          <w:rtl/>
        </w:rPr>
        <w:t>פליט</w:t>
      </w:r>
      <w:r>
        <w:rPr>
          <w:rFonts w:asciiTheme="minorHAnsi" w:hAnsiTheme="minorHAnsi" w:hint="cs"/>
          <w:rtl/>
        </w:rPr>
        <w:t>ה של</w:t>
      </w:r>
      <w:r w:rsidRPr="00DF5FD1">
        <w:rPr>
          <w:rFonts w:asciiTheme="minorHAnsi" w:hAnsiTheme="minorHAnsi" w:hint="cs"/>
          <w:rtl/>
        </w:rPr>
        <w:t xml:space="preserve"> פורמלדהיד</w:t>
      </w:r>
      <w:r w:rsidRPr="00DF5FD1">
        <w:rPr>
          <w:rFonts w:asciiTheme="minorHAnsi" w:hAnsiTheme="minorHAnsi"/>
          <w:rtl/>
        </w:rPr>
        <w:t xml:space="preserve"> </w:t>
      </w:r>
      <w:r w:rsidRPr="00DF5FD1">
        <w:rPr>
          <w:rFonts w:asciiTheme="minorHAnsi" w:hAnsiTheme="minorHAnsi" w:hint="cs"/>
          <w:rtl/>
        </w:rPr>
        <w:t>על פי הנקבע באירופה. אימוץ</w:t>
      </w:r>
      <w:r w:rsidRPr="00DF5FD1">
        <w:rPr>
          <w:rFonts w:asciiTheme="minorHAnsi" w:hAnsiTheme="minorHAnsi"/>
          <w:rtl/>
        </w:rPr>
        <w:t xml:space="preserve"> </w:t>
      </w:r>
      <w:r w:rsidRPr="00DF5FD1">
        <w:rPr>
          <w:rFonts w:asciiTheme="minorHAnsi" w:hAnsiTheme="minorHAnsi" w:hint="cs"/>
          <w:rtl/>
        </w:rPr>
        <w:t>התקן</w:t>
      </w:r>
      <w:r w:rsidRPr="00DF5FD1">
        <w:rPr>
          <w:rFonts w:asciiTheme="minorHAnsi" w:hAnsiTheme="minorHAnsi"/>
          <w:rtl/>
        </w:rPr>
        <w:t xml:space="preserve"> </w:t>
      </w:r>
      <w:r w:rsidRPr="00DF5FD1">
        <w:rPr>
          <w:rFonts w:asciiTheme="minorHAnsi" w:hAnsiTheme="minorHAnsi" w:hint="cs"/>
          <w:rtl/>
        </w:rPr>
        <w:t>האירופאי למיטות</w:t>
      </w:r>
      <w:r w:rsidRPr="00DF5FD1">
        <w:rPr>
          <w:rFonts w:asciiTheme="minorHAnsi" w:hAnsiTheme="minorHAnsi"/>
          <w:rtl/>
        </w:rPr>
        <w:t xml:space="preserve"> </w:t>
      </w:r>
      <w:r w:rsidRPr="00DF5FD1">
        <w:rPr>
          <w:rFonts w:asciiTheme="minorHAnsi" w:hAnsiTheme="minorHAnsi" w:hint="cs"/>
          <w:rtl/>
        </w:rPr>
        <w:t>לבדו</w:t>
      </w:r>
      <w:r w:rsidRPr="00DF5FD1">
        <w:rPr>
          <w:rFonts w:asciiTheme="minorHAnsi" w:hAnsiTheme="minorHAnsi"/>
          <w:rtl/>
        </w:rPr>
        <w:t xml:space="preserve"> </w:t>
      </w:r>
      <w:r w:rsidRPr="00DF5FD1">
        <w:rPr>
          <w:rFonts w:asciiTheme="minorHAnsi" w:hAnsiTheme="minorHAnsi" w:hint="cs"/>
          <w:rtl/>
        </w:rPr>
        <w:t>היה</w:t>
      </w:r>
      <w:r w:rsidRPr="00DF5FD1">
        <w:rPr>
          <w:rFonts w:asciiTheme="minorHAnsi" w:hAnsiTheme="minorHAnsi"/>
          <w:rtl/>
        </w:rPr>
        <w:t xml:space="preserve"> </w:t>
      </w:r>
      <w:r w:rsidRPr="00DF5FD1">
        <w:rPr>
          <w:rFonts w:asciiTheme="minorHAnsi" w:hAnsiTheme="minorHAnsi" w:hint="cs"/>
          <w:rtl/>
        </w:rPr>
        <w:t>מביא</w:t>
      </w:r>
      <w:r w:rsidRPr="00DF5FD1">
        <w:rPr>
          <w:rFonts w:asciiTheme="minorHAnsi" w:hAnsiTheme="minorHAnsi"/>
          <w:rtl/>
        </w:rPr>
        <w:t xml:space="preserve"> </w:t>
      </w:r>
      <w:r w:rsidRPr="00DF5FD1">
        <w:rPr>
          <w:rFonts w:asciiTheme="minorHAnsi" w:hAnsiTheme="minorHAnsi" w:hint="cs"/>
          <w:rtl/>
        </w:rPr>
        <w:t>לכך</w:t>
      </w:r>
      <w:r w:rsidRPr="00DF5FD1">
        <w:rPr>
          <w:rFonts w:asciiTheme="minorHAnsi" w:hAnsiTheme="minorHAnsi"/>
          <w:rtl/>
        </w:rPr>
        <w:t xml:space="preserve"> </w:t>
      </w:r>
      <w:r w:rsidRPr="00DF5FD1">
        <w:rPr>
          <w:rFonts w:asciiTheme="minorHAnsi" w:hAnsiTheme="minorHAnsi" w:hint="cs"/>
          <w:rtl/>
        </w:rPr>
        <w:t>שדרישה</w:t>
      </w:r>
      <w:r w:rsidRPr="00DF5FD1">
        <w:rPr>
          <w:rFonts w:asciiTheme="minorHAnsi" w:hAnsiTheme="minorHAnsi"/>
          <w:rtl/>
        </w:rPr>
        <w:t xml:space="preserve"> </w:t>
      </w:r>
      <w:r w:rsidRPr="00DF5FD1">
        <w:rPr>
          <w:rFonts w:asciiTheme="minorHAnsi" w:hAnsiTheme="minorHAnsi" w:hint="cs"/>
          <w:rtl/>
        </w:rPr>
        <w:t>זו</w:t>
      </w:r>
      <w:r w:rsidRPr="00DF5FD1">
        <w:rPr>
          <w:rFonts w:asciiTheme="minorHAnsi" w:hAnsiTheme="minorHAnsi"/>
          <w:rtl/>
        </w:rPr>
        <w:t xml:space="preserve"> </w:t>
      </w:r>
      <w:r w:rsidRPr="00DF5FD1">
        <w:rPr>
          <w:rFonts w:asciiTheme="minorHAnsi" w:hAnsiTheme="minorHAnsi" w:hint="cs"/>
          <w:rtl/>
        </w:rPr>
        <w:t>לא</w:t>
      </w:r>
      <w:r w:rsidRPr="00DF5FD1">
        <w:rPr>
          <w:rFonts w:asciiTheme="minorHAnsi" w:hAnsiTheme="minorHAnsi"/>
          <w:rtl/>
        </w:rPr>
        <w:t xml:space="preserve"> </w:t>
      </w:r>
      <w:r w:rsidRPr="00DF5FD1">
        <w:rPr>
          <w:rFonts w:asciiTheme="minorHAnsi" w:hAnsiTheme="minorHAnsi" w:hint="cs"/>
          <w:rtl/>
        </w:rPr>
        <w:t>תיכלל</w:t>
      </w:r>
      <w:r w:rsidRPr="00DF5FD1">
        <w:rPr>
          <w:rFonts w:asciiTheme="minorHAnsi" w:hAnsiTheme="minorHAnsi"/>
          <w:rtl/>
        </w:rPr>
        <w:t xml:space="preserve"> </w:t>
      </w:r>
      <w:r w:rsidRPr="00DF5FD1">
        <w:rPr>
          <w:rFonts w:asciiTheme="minorHAnsi" w:hAnsiTheme="minorHAnsi" w:hint="cs"/>
          <w:rtl/>
        </w:rPr>
        <w:t>בתקן</w:t>
      </w:r>
      <w:r w:rsidRPr="00DF5FD1">
        <w:rPr>
          <w:rFonts w:asciiTheme="minorHAnsi" w:hAnsiTheme="minorHAnsi"/>
          <w:rtl/>
        </w:rPr>
        <w:t xml:space="preserve"> </w:t>
      </w:r>
      <w:r w:rsidRPr="00DF5FD1">
        <w:rPr>
          <w:rFonts w:asciiTheme="minorHAnsi" w:hAnsiTheme="minorHAnsi" w:hint="cs"/>
          <w:rtl/>
        </w:rPr>
        <w:t>הישראלי</w:t>
      </w:r>
      <w:r w:rsidRPr="00DF5FD1">
        <w:rPr>
          <w:rFonts w:asciiTheme="minorHAnsi" w:hAnsiTheme="minorHAnsi"/>
          <w:rtl/>
        </w:rPr>
        <w:t xml:space="preserve">, </w:t>
      </w:r>
      <w:r w:rsidRPr="00DF5FD1">
        <w:rPr>
          <w:rFonts w:asciiTheme="minorHAnsi" w:hAnsiTheme="minorHAnsi" w:hint="cs"/>
          <w:rtl/>
        </w:rPr>
        <w:t>והמשמעות</w:t>
      </w:r>
      <w:r w:rsidRPr="00DF5FD1">
        <w:rPr>
          <w:rFonts w:asciiTheme="minorHAnsi" w:hAnsiTheme="minorHAnsi"/>
          <w:rtl/>
        </w:rPr>
        <w:t xml:space="preserve"> </w:t>
      </w:r>
      <w:r>
        <w:rPr>
          <w:rFonts w:asciiTheme="minorHAnsi" w:hAnsiTheme="minorHAnsi" w:hint="cs"/>
          <w:rtl/>
        </w:rPr>
        <w:t xml:space="preserve">לכך </w:t>
      </w:r>
      <w:r w:rsidRPr="00DF5FD1">
        <w:rPr>
          <w:rFonts w:asciiTheme="minorHAnsi" w:hAnsiTheme="minorHAnsi" w:hint="cs"/>
          <w:rtl/>
        </w:rPr>
        <w:t>ברורה</w:t>
      </w:r>
      <w:r w:rsidRPr="00DF5FD1">
        <w:rPr>
          <w:rFonts w:asciiTheme="minorHAnsi" w:hAnsiTheme="minorHAnsi"/>
          <w:rtl/>
        </w:rPr>
        <w:t>.</w:t>
      </w:r>
    </w:p>
    <w:p w:rsidR="006D135C" w:rsidRPr="00EA0F4E" w:rsidRDefault="006D135C" w:rsidP="006D135C">
      <w:pPr>
        <w:pStyle w:val="Heading1"/>
        <w:spacing w:line="360" w:lineRule="auto"/>
        <w:rPr>
          <w:rFonts w:asciiTheme="minorHAnsi" w:hAnsiTheme="minorHAnsi"/>
          <w:rtl/>
        </w:rPr>
      </w:pPr>
      <w:proofErr w:type="spellStart"/>
      <w:r>
        <w:rPr>
          <w:rFonts w:asciiTheme="minorHAnsi" w:hAnsiTheme="minorHAnsi" w:hint="cs"/>
          <w:rtl/>
        </w:rPr>
        <w:t>פתאלטים</w:t>
      </w:r>
      <w:proofErr w:type="spellEnd"/>
      <w:r>
        <w:rPr>
          <w:rFonts w:asciiTheme="minorHAnsi" w:hAnsiTheme="minorHAnsi" w:hint="cs"/>
          <w:rtl/>
        </w:rPr>
        <w:t xml:space="preserve"> </w:t>
      </w:r>
      <w:r>
        <w:rPr>
          <w:rFonts w:asciiTheme="minorHAnsi" w:hAnsiTheme="minorHAnsi"/>
          <w:rtl/>
        </w:rPr>
        <w:t>–</w:t>
      </w:r>
      <w:r>
        <w:rPr>
          <w:rFonts w:asciiTheme="minorHAnsi" w:hAnsiTheme="minorHAnsi" w:hint="cs"/>
          <w:rtl/>
        </w:rPr>
        <w:t xml:space="preserve"> המדובר בחומר המשמש כתוסף לפלסטיק על מנת להקנות לו גמישות, ועל כן נעשה בו שימוש נרחב בצעצועים לילדים. באירופה נוהגת דירקטיבה המגדירה את הריכוז המותר של </w:t>
      </w:r>
      <w:proofErr w:type="spellStart"/>
      <w:r>
        <w:rPr>
          <w:rFonts w:asciiTheme="minorHAnsi" w:hAnsiTheme="minorHAnsi" w:hint="cs"/>
          <w:rtl/>
        </w:rPr>
        <w:t>פתאלטים</w:t>
      </w:r>
      <w:proofErr w:type="spellEnd"/>
      <w:r>
        <w:rPr>
          <w:rFonts w:asciiTheme="minorHAnsi" w:hAnsiTheme="minorHAnsi" w:hint="cs"/>
          <w:rtl/>
        </w:rPr>
        <w:t xml:space="preserve"> במצרך על מנת להבטיח שהוא לא יגרום לסיכון של ילדים (למשל). ת"י 562 הישראלי העוסק בצעצועים לילדים, מאמץ תקן אירופי אשר איננו כולל דרישות בנושא זה, ולכן התקן משלב בתוכו את הדרישות הרלוונטיות מתוך הדירקטיבה.</w:t>
      </w:r>
    </w:p>
    <w:p w:rsidR="006D135C" w:rsidRPr="00EA0F4E" w:rsidRDefault="006D135C" w:rsidP="006D135C">
      <w:pPr>
        <w:spacing w:line="360" w:lineRule="auto"/>
        <w:rPr>
          <w:rFonts w:asciiTheme="minorHAnsi" w:hAnsiTheme="minorHAnsi"/>
          <w:rtl/>
        </w:rPr>
      </w:pPr>
    </w:p>
    <w:p w:rsidR="006D135C" w:rsidRPr="0088168D" w:rsidRDefault="006D135C" w:rsidP="006D135C">
      <w:pPr>
        <w:spacing w:line="360" w:lineRule="auto"/>
        <w:rPr>
          <w:rFonts w:asciiTheme="minorHAnsi" w:hAnsiTheme="minorHAnsi"/>
          <w:b/>
          <w:bCs/>
          <w:rtl/>
        </w:rPr>
      </w:pPr>
      <w:r w:rsidRPr="0088168D">
        <w:rPr>
          <w:rFonts w:asciiTheme="minorHAnsi" w:hAnsiTheme="minorHAnsi" w:hint="cs"/>
          <w:b/>
          <w:bCs/>
          <w:rtl/>
        </w:rPr>
        <w:t>ג</w:t>
      </w:r>
      <w:r w:rsidRPr="0088168D">
        <w:rPr>
          <w:rFonts w:asciiTheme="minorHAnsi" w:hAnsiTheme="minorHAnsi"/>
          <w:b/>
          <w:bCs/>
          <w:rtl/>
        </w:rPr>
        <w:t xml:space="preserve"> – שינוי לאומי המתחייב מהשוני בין האקלים בישראל לבין האקלים במדינה או במדינות שאת התקן שלהן מאמץ התקן הישראלי</w:t>
      </w:r>
    </w:p>
    <w:p w:rsidR="006D135C" w:rsidRDefault="006D135C" w:rsidP="006D135C">
      <w:pPr>
        <w:spacing w:line="360" w:lineRule="auto"/>
        <w:rPr>
          <w:rFonts w:asciiTheme="minorHAnsi" w:hAnsiTheme="minorHAnsi"/>
          <w:rtl/>
        </w:rPr>
      </w:pPr>
    </w:p>
    <w:p w:rsidR="006D135C" w:rsidRDefault="006D135C" w:rsidP="006D135C">
      <w:pPr>
        <w:spacing w:line="360" w:lineRule="auto"/>
        <w:rPr>
          <w:rFonts w:asciiTheme="minorHAnsi" w:hAnsiTheme="minorHAnsi"/>
          <w:rtl/>
        </w:rPr>
      </w:pPr>
      <w:r>
        <w:rPr>
          <w:rFonts w:asciiTheme="minorHAnsi" w:hAnsiTheme="minorHAnsi" w:hint="cs"/>
          <w:rtl/>
        </w:rPr>
        <w:t>רוב התקינה המאומצת היא ממדינות האיחוד האירופי. אין כל ספק, כי תנאי האקלים בארץ שונים בתכלית מאלה הנהוגים במרבית מדינות אירופה, ולהבדלים אלה יש השלכות על האופן בו מאמצים ומתאימים תקנים לישראל. דוגמה מאוד מוכרת בעניין זה מגיעה מתחום הרכב; כולנו יודעים שבעוד שבארץ לא נמכר כלי רכב שאיננו מצויד במערכת מיזוג אוויר, באירופה נעים כלים רכב רבים שאינם מצוידים במערכת מיזוג אוויר כזו.</w:t>
      </w:r>
    </w:p>
    <w:p w:rsidR="006D135C" w:rsidRDefault="006D135C" w:rsidP="006D135C">
      <w:pPr>
        <w:spacing w:line="360" w:lineRule="auto"/>
        <w:rPr>
          <w:rFonts w:asciiTheme="minorHAnsi" w:hAnsiTheme="minorHAnsi"/>
          <w:rtl/>
        </w:rPr>
      </w:pPr>
    </w:p>
    <w:p w:rsidR="006D135C" w:rsidRPr="00EA0F4E" w:rsidRDefault="006D135C" w:rsidP="006D135C">
      <w:pPr>
        <w:spacing w:line="360" w:lineRule="auto"/>
        <w:rPr>
          <w:rFonts w:asciiTheme="minorHAnsi" w:hAnsiTheme="minorHAnsi"/>
          <w:rtl/>
        </w:rPr>
      </w:pPr>
      <w:r w:rsidRPr="0088168D">
        <w:rPr>
          <w:rFonts w:asciiTheme="minorHAnsi" w:hAnsiTheme="minorHAnsi" w:hint="cs"/>
          <w:u w:val="single"/>
          <w:rtl/>
        </w:rPr>
        <w:t>דוגמאות</w:t>
      </w:r>
      <w:r>
        <w:rPr>
          <w:rFonts w:asciiTheme="minorHAnsi" w:hAnsiTheme="minorHAnsi" w:hint="cs"/>
          <w:rtl/>
        </w:rPr>
        <w:t>:</w:t>
      </w:r>
    </w:p>
    <w:p w:rsidR="006D135C" w:rsidRPr="0088168D" w:rsidRDefault="006D135C" w:rsidP="006D135C">
      <w:pPr>
        <w:pStyle w:val="Heading1"/>
        <w:numPr>
          <w:ilvl w:val="0"/>
          <w:numId w:val="3"/>
        </w:numPr>
        <w:tabs>
          <w:tab w:val="clear" w:pos="0"/>
        </w:tabs>
        <w:spacing w:line="360" w:lineRule="auto"/>
        <w:rPr>
          <w:rFonts w:asciiTheme="minorHAnsi" w:hAnsiTheme="minorHAnsi"/>
        </w:rPr>
      </w:pPr>
      <w:r w:rsidRPr="0088168D">
        <w:rPr>
          <w:rFonts w:asciiTheme="minorHAnsi" w:hAnsiTheme="minorHAnsi" w:hint="cs"/>
          <w:rtl/>
        </w:rPr>
        <w:t xml:space="preserve">התקן הדן בהתקנה של ציוד </w:t>
      </w:r>
      <w:r w:rsidRPr="0088168D">
        <w:rPr>
          <w:rFonts w:asciiTheme="minorHAnsi" w:hAnsiTheme="minorHAnsi" w:hint="cs"/>
        </w:rPr>
        <w:t>IT</w:t>
      </w:r>
      <w:r w:rsidRPr="0088168D">
        <w:rPr>
          <w:rFonts w:asciiTheme="minorHAnsi" w:hAnsiTheme="minorHAnsi" w:hint="cs"/>
          <w:rtl/>
        </w:rPr>
        <w:t xml:space="preserve"> מחוץ למבנים הינו אימוץ של תקן </w:t>
      </w:r>
      <w:r w:rsidRPr="0088168D">
        <w:rPr>
          <w:rFonts w:asciiTheme="minorHAnsi" w:hAnsiTheme="minorHAnsi" w:hint="cs"/>
        </w:rPr>
        <w:t>IEC</w:t>
      </w:r>
      <w:r w:rsidRPr="0088168D">
        <w:rPr>
          <w:rFonts w:asciiTheme="minorHAnsi" w:hAnsiTheme="minorHAnsi" w:hint="cs"/>
          <w:rtl/>
        </w:rPr>
        <w:t xml:space="preserve"> הקובע, כי כאשר יצרן הציוד לא קבע </w:t>
      </w:r>
      <w:proofErr w:type="spellStart"/>
      <w:r w:rsidRPr="0088168D">
        <w:rPr>
          <w:rFonts w:asciiTheme="minorHAnsi" w:hAnsiTheme="minorHAnsi" w:hint="cs"/>
          <w:rtl/>
        </w:rPr>
        <w:t>טמפ</w:t>
      </w:r>
      <w:proofErr w:type="spellEnd"/>
      <w:r w:rsidRPr="0088168D">
        <w:rPr>
          <w:rFonts w:asciiTheme="minorHAnsi" w:hAnsiTheme="minorHAnsi" w:hint="cs"/>
          <w:rtl/>
        </w:rPr>
        <w:t xml:space="preserve">' עבודה </w:t>
      </w:r>
      <w:proofErr w:type="spellStart"/>
      <w:r w:rsidRPr="0088168D">
        <w:rPr>
          <w:rFonts w:asciiTheme="minorHAnsi" w:hAnsiTheme="minorHAnsi" w:hint="cs"/>
          <w:rtl/>
        </w:rPr>
        <w:t>מירבית</w:t>
      </w:r>
      <w:proofErr w:type="spellEnd"/>
      <w:r w:rsidRPr="0088168D">
        <w:rPr>
          <w:rFonts w:asciiTheme="minorHAnsi" w:hAnsiTheme="minorHAnsi" w:hint="cs"/>
          <w:rtl/>
        </w:rPr>
        <w:t xml:space="preserve">, </w:t>
      </w:r>
      <w:proofErr w:type="spellStart"/>
      <w:r w:rsidRPr="0088168D">
        <w:rPr>
          <w:rFonts w:asciiTheme="minorHAnsi" w:hAnsiTheme="minorHAnsi" w:hint="cs"/>
          <w:rtl/>
        </w:rPr>
        <w:t>הטמפ</w:t>
      </w:r>
      <w:proofErr w:type="spellEnd"/>
      <w:r w:rsidRPr="0088168D">
        <w:rPr>
          <w:rFonts w:asciiTheme="minorHAnsi" w:hAnsiTheme="minorHAnsi" w:hint="cs"/>
          <w:rtl/>
        </w:rPr>
        <w:t xml:space="preserve">' תעמוד על 40 מעלות צלסיוס. בארץ, לא מדובר </w:t>
      </w:r>
      <w:proofErr w:type="spellStart"/>
      <w:r w:rsidRPr="0088168D">
        <w:rPr>
          <w:rFonts w:asciiTheme="minorHAnsi" w:hAnsiTheme="minorHAnsi" w:hint="cs"/>
          <w:rtl/>
        </w:rPr>
        <w:t>בטמפ</w:t>
      </w:r>
      <w:proofErr w:type="spellEnd"/>
      <w:r w:rsidRPr="0088168D">
        <w:rPr>
          <w:rFonts w:asciiTheme="minorHAnsi" w:hAnsiTheme="minorHAnsi" w:hint="cs"/>
          <w:rtl/>
        </w:rPr>
        <w:t xml:space="preserve">' קיצונית, אלא </w:t>
      </w:r>
      <w:proofErr w:type="spellStart"/>
      <w:r w:rsidRPr="0088168D">
        <w:rPr>
          <w:rFonts w:asciiTheme="minorHAnsi" w:hAnsiTheme="minorHAnsi" w:hint="cs"/>
          <w:rtl/>
        </w:rPr>
        <w:t>בטמפ</w:t>
      </w:r>
      <w:proofErr w:type="spellEnd"/>
      <w:r w:rsidRPr="0088168D">
        <w:rPr>
          <w:rFonts w:asciiTheme="minorHAnsi" w:hAnsiTheme="minorHAnsi" w:hint="cs"/>
          <w:rtl/>
        </w:rPr>
        <w:t xml:space="preserve">' סטנדרטית לגמרי בחודשי הקיץ, ולכן נקבע בארץ כי </w:t>
      </w:r>
      <w:proofErr w:type="spellStart"/>
      <w:r w:rsidRPr="0088168D">
        <w:rPr>
          <w:rFonts w:asciiTheme="minorHAnsi" w:hAnsiTheme="minorHAnsi" w:hint="cs"/>
          <w:rtl/>
        </w:rPr>
        <w:t>טמפ</w:t>
      </w:r>
      <w:proofErr w:type="spellEnd"/>
      <w:r w:rsidRPr="0088168D">
        <w:rPr>
          <w:rFonts w:asciiTheme="minorHAnsi" w:hAnsiTheme="minorHAnsi" w:hint="cs"/>
          <w:rtl/>
        </w:rPr>
        <w:t xml:space="preserve">' העבודה </w:t>
      </w:r>
      <w:proofErr w:type="spellStart"/>
      <w:r w:rsidRPr="0088168D">
        <w:rPr>
          <w:rFonts w:asciiTheme="minorHAnsi" w:hAnsiTheme="minorHAnsi" w:hint="cs"/>
          <w:rtl/>
        </w:rPr>
        <w:t>המירבית</w:t>
      </w:r>
      <w:proofErr w:type="spellEnd"/>
      <w:r w:rsidRPr="0088168D">
        <w:rPr>
          <w:rFonts w:asciiTheme="minorHAnsi" w:hAnsiTheme="minorHAnsi" w:hint="cs"/>
          <w:rtl/>
        </w:rPr>
        <w:t xml:space="preserve"> תעמוד על 55 מעלות צלסיוס.</w:t>
      </w:r>
    </w:p>
    <w:p w:rsidR="006D135C" w:rsidRPr="00601134" w:rsidRDefault="006D135C" w:rsidP="006D135C">
      <w:pPr>
        <w:pStyle w:val="Heading1"/>
        <w:tabs>
          <w:tab w:val="clear" w:pos="0"/>
        </w:tabs>
        <w:spacing w:line="360" w:lineRule="auto"/>
        <w:rPr>
          <w:rFonts w:asciiTheme="minorHAnsi" w:hAnsiTheme="minorHAnsi"/>
          <w:rtl/>
        </w:rPr>
      </w:pPr>
      <w:r>
        <w:rPr>
          <w:rFonts w:asciiTheme="minorHAnsi" w:hAnsiTheme="minorHAnsi" w:hint="cs"/>
          <w:rtl/>
        </w:rPr>
        <w:t xml:space="preserve">ת"י 764 זרנוקי גומי ופלסטיק לשימוש עם </w:t>
      </w:r>
      <w:proofErr w:type="spellStart"/>
      <w:r>
        <w:rPr>
          <w:rFonts w:asciiTheme="minorHAnsi" w:hAnsiTheme="minorHAnsi" w:hint="cs"/>
          <w:rtl/>
        </w:rPr>
        <w:t>פרופאן</w:t>
      </w:r>
      <w:proofErr w:type="spellEnd"/>
      <w:r>
        <w:rPr>
          <w:rFonts w:asciiTheme="minorHAnsi" w:hAnsiTheme="minorHAnsi" w:hint="cs"/>
          <w:rtl/>
        </w:rPr>
        <w:t xml:space="preserve"> </w:t>
      </w:r>
      <w:proofErr w:type="spellStart"/>
      <w:r>
        <w:rPr>
          <w:rFonts w:asciiTheme="minorHAnsi" w:hAnsiTheme="minorHAnsi" w:hint="cs"/>
          <w:rtl/>
        </w:rPr>
        <w:t>ובוטאן</w:t>
      </w:r>
      <w:proofErr w:type="spellEnd"/>
      <w:r>
        <w:rPr>
          <w:rFonts w:asciiTheme="minorHAnsi" w:hAnsiTheme="minorHAnsi" w:hint="cs"/>
          <w:rtl/>
        </w:rPr>
        <w:t xml:space="preserve"> והתערובת שלהם בפאזת האדים מאמץ תקן אירופאי. בתקן המקור </w:t>
      </w:r>
      <w:proofErr w:type="spellStart"/>
      <w:r>
        <w:rPr>
          <w:rFonts w:asciiTheme="minorHAnsi" w:hAnsiTheme="minorHAnsi" w:hint="cs"/>
          <w:rtl/>
        </w:rPr>
        <w:t>טמפ</w:t>
      </w:r>
      <w:proofErr w:type="spellEnd"/>
      <w:r>
        <w:rPr>
          <w:rFonts w:asciiTheme="minorHAnsi" w:hAnsiTheme="minorHAnsi" w:hint="cs"/>
          <w:rtl/>
        </w:rPr>
        <w:t xml:space="preserve">' הבדיקה נקבעה על 30- מעלות צלסיוס, אך בארץ הוחלט שדי </w:t>
      </w:r>
      <w:proofErr w:type="spellStart"/>
      <w:r>
        <w:rPr>
          <w:rFonts w:asciiTheme="minorHAnsi" w:hAnsiTheme="minorHAnsi" w:hint="cs"/>
          <w:rtl/>
        </w:rPr>
        <w:t>בטמפ</w:t>
      </w:r>
      <w:proofErr w:type="spellEnd"/>
      <w:r>
        <w:rPr>
          <w:rFonts w:asciiTheme="minorHAnsi" w:hAnsiTheme="minorHAnsi" w:hint="cs"/>
          <w:rtl/>
        </w:rPr>
        <w:t xml:space="preserve">' בדיקה של 20- מעלות צלסיוס, שכן תנאי האקלים בארץ אינם מתקרבים </w:t>
      </w:r>
      <w:proofErr w:type="spellStart"/>
      <w:r>
        <w:rPr>
          <w:rFonts w:asciiTheme="minorHAnsi" w:hAnsiTheme="minorHAnsi" w:hint="cs"/>
          <w:rtl/>
        </w:rPr>
        <w:t>לטמפ</w:t>
      </w:r>
      <w:proofErr w:type="spellEnd"/>
      <w:r>
        <w:rPr>
          <w:rFonts w:asciiTheme="minorHAnsi" w:hAnsiTheme="minorHAnsi" w:hint="cs"/>
          <w:rtl/>
        </w:rPr>
        <w:t>' כאלה.</w:t>
      </w:r>
      <w:r w:rsidRPr="00601134">
        <w:rPr>
          <w:rFonts w:asciiTheme="minorHAnsi" w:hAnsiTheme="minorHAnsi" w:hint="cs"/>
          <w:rtl/>
        </w:rPr>
        <w:t xml:space="preserve"> </w:t>
      </w:r>
    </w:p>
    <w:p w:rsidR="006D135C" w:rsidRPr="00EA0F4E" w:rsidRDefault="006D135C" w:rsidP="006D135C">
      <w:pPr>
        <w:spacing w:line="360" w:lineRule="auto"/>
        <w:rPr>
          <w:rFonts w:asciiTheme="minorHAnsi" w:hAnsiTheme="minorHAnsi"/>
          <w:rtl/>
        </w:rPr>
      </w:pPr>
    </w:p>
    <w:p w:rsidR="006D135C" w:rsidRPr="0088168D" w:rsidRDefault="006D135C" w:rsidP="006D135C">
      <w:pPr>
        <w:spacing w:line="360" w:lineRule="auto"/>
        <w:rPr>
          <w:rFonts w:asciiTheme="minorHAnsi" w:hAnsiTheme="minorHAnsi"/>
          <w:b/>
          <w:bCs/>
          <w:rtl/>
        </w:rPr>
      </w:pPr>
      <w:r>
        <w:rPr>
          <w:rFonts w:asciiTheme="minorHAnsi" w:hAnsiTheme="minorHAnsi" w:hint="cs"/>
          <w:b/>
          <w:bCs/>
          <w:rtl/>
        </w:rPr>
        <w:lastRenderedPageBreak/>
        <w:t>ד</w:t>
      </w:r>
      <w:r w:rsidRPr="0088168D">
        <w:rPr>
          <w:rFonts w:asciiTheme="minorHAnsi" w:hAnsiTheme="minorHAnsi"/>
          <w:b/>
          <w:bCs/>
          <w:rtl/>
        </w:rPr>
        <w:t xml:space="preserve"> – שינוי לאומי המתחייב מכך שהתקן המאומץ קובע, כי כל מדינה תסדיר בעצמה דרישות מסוימות בתקן, בין מתוך רשימה המופיעה בתקן המאומץ ובין במקרים בהם רק מצוין בתקן המאומץ נושא הדרישה, שעל המדינות לקבוע את פרטיה</w:t>
      </w:r>
    </w:p>
    <w:p w:rsidR="006D135C" w:rsidRDefault="006D135C" w:rsidP="006D135C">
      <w:pPr>
        <w:spacing w:line="360" w:lineRule="auto"/>
        <w:rPr>
          <w:rFonts w:asciiTheme="minorHAnsi" w:hAnsiTheme="minorHAnsi"/>
          <w:rtl/>
        </w:rPr>
      </w:pPr>
    </w:p>
    <w:p w:rsidR="006D135C" w:rsidRPr="00EA0F4E" w:rsidRDefault="006D135C" w:rsidP="006D135C">
      <w:pPr>
        <w:spacing w:line="360" w:lineRule="auto"/>
        <w:rPr>
          <w:rFonts w:asciiTheme="minorHAnsi" w:hAnsiTheme="minorHAnsi"/>
          <w:rtl/>
        </w:rPr>
      </w:pPr>
      <w:r w:rsidRPr="00074E82">
        <w:rPr>
          <w:rFonts w:asciiTheme="minorHAnsi" w:hAnsiTheme="minorHAnsi" w:hint="cs"/>
          <w:u w:val="single"/>
          <w:rtl/>
        </w:rPr>
        <w:t>דוגמאות</w:t>
      </w:r>
      <w:r>
        <w:rPr>
          <w:rFonts w:asciiTheme="minorHAnsi" w:hAnsiTheme="minorHAnsi" w:hint="cs"/>
          <w:rtl/>
        </w:rPr>
        <w:t>:</w:t>
      </w:r>
    </w:p>
    <w:p w:rsidR="006D135C" w:rsidRPr="0088168D" w:rsidRDefault="006D135C" w:rsidP="006D135C">
      <w:pPr>
        <w:pStyle w:val="Heading1"/>
        <w:numPr>
          <w:ilvl w:val="0"/>
          <w:numId w:val="4"/>
        </w:numPr>
        <w:spacing w:line="360" w:lineRule="auto"/>
        <w:rPr>
          <w:rFonts w:asciiTheme="minorHAnsi" w:hAnsiTheme="minorHAnsi"/>
        </w:rPr>
      </w:pPr>
      <w:r w:rsidRPr="0088168D">
        <w:rPr>
          <w:rFonts w:asciiTheme="minorHAnsi" w:hAnsiTheme="minorHAnsi" w:hint="cs"/>
          <w:rtl/>
        </w:rPr>
        <w:t xml:space="preserve">התקן הישראלי שעוסק בכבלי חשמל מבוסס על התקן הבינלאומי </w:t>
      </w:r>
      <w:r w:rsidRPr="0088168D">
        <w:rPr>
          <w:rFonts w:asciiTheme="minorHAnsi" w:hAnsiTheme="minorHAnsi" w:hint="cs"/>
        </w:rPr>
        <w:t>IEC</w:t>
      </w:r>
      <w:r w:rsidRPr="0088168D">
        <w:rPr>
          <w:rFonts w:asciiTheme="minorHAnsi" w:hAnsiTheme="minorHAnsi"/>
        </w:rPr>
        <w:t>60502</w:t>
      </w:r>
      <w:r w:rsidRPr="0088168D">
        <w:rPr>
          <w:rFonts w:asciiTheme="minorHAnsi" w:hAnsiTheme="minorHAnsi" w:hint="cs"/>
          <w:rtl/>
        </w:rPr>
        <w:t xml:space="preserve"> חלק 2. תקן זה קובע, כי דרישות המימדים, הדרישות הפיסיות והדרישות החשמליות של הסיכוך המתכתי של הכבל ייקבעו על פי החקיקה או התקינה המקומית. הארץ אין חקיקה העוסקת בנושא ועל כן נדרש היה להשלים את התקן באמצעות תוספות מקוריות שנקבעו בעבודת התקינה.</w:t>
      </w:r>
    </w:p>
    <w:p w:rsidR="006D135C" w:rsidRDefault="006D135C" w:rsidP="006D135C">
      <w:pPr>
        <w:pStyle w:val="Heading1"/>
        <w:spacing w:line="360" w:lineRule="auto"/>
        <w:rPr>
          <w:rFonts w:asciiTheme="minorHAnsi" w:hAnsiTheme="minorHAnsi"/>
        </w:rPr>
      </w:pPr>
      <w:r>
        <w:rPr>
          <w:rFonts w:asciiTheme="minorHAnsi" w:hAnsiTheme="minorHAnsi" w:hint="cs"/>
          <w:rtl/>
        </w:rPr>
        <w:t>ת"י 50160 העוסק באיכות חשמל מאמץ תקן אירופאי שכולל ערכים כגון עליות מתח ושקיעות מתח שכל מדינה נדרשת להסדיר בעצמה. התקן כולל טבלאות ריקות שיש להכניס בהן תוכן. את התוכן הכניסה ועדת התקינה שדנה בנושא ואשר כללה את כל הגורמים הנוגעים בדבר, כגון רשות החשמל, חברת החשמל, איגוד מהנדסי החשמל והאלקטרוניקה ועוד.</w:t>
      </w:r>
    </w:p>
    <w:p w:rsidR="006D135C" w:rsidRDefault="006D135C" w:rsidP="006D135C">
      <w:pPr>
        <w:pStyle w:val="Heading1"/>
        <w:spacing w:line="360" w:lineRule="auto"/>
        <w:rPr>
          <w:rFonts w:asciiTheme="minorHAnsi" w:hAnsiTheme="minorHAnsi"/>
        </w:rPr>
      </w:pPr>
      <w:r>
        <w:rPr>
          <w:rFonts w:asciiTheme="minorHAnsi" w:hAnsiTheme="minorHAnsi" w:hint="cs"/>
          <w:rtl/>
        </w:rPr>
        <w:t xml:space="preserve">ת"י 32 עוסק בבתי תקע ושקע. תקן זה מאמץ את התקן הבינלאומי </w:t>
      </w:r>
      <w:r>
        <w:rPr>
          <w:rFonts w:asciiTheme="minorHAnsi" w:hAnsiTheme="minorHAnsi"/>
        </w:rPr>
        <w:t>IEC 60884</w:t>
      </w:r>
      <w:r>
        <w:rPr>
          <w:rFonts w:asciiTheme="minorHAnsi" w:hAnsiTheme="minorHAnsi" w:hint="cs"/>
          <w:rtl/>
        </w:rPr>
        <w:t xml:space="preserve"> הקובע, כי כל מדינה תקבע את מידות השקעים והתקעים המתאימים לה, ואכן </w:t>
      </w:r>
      <w:r>
        <w:rPr>
          <w:rFonts w:asciiTheme="minorHAnsi" w:hAnsiTheme="minorHAnsi"/>
          <w:rtl/>
        </w:rPr>
        <w:t>–</w:t>
      </w:r>
      <w:r>
        <w:rPr>
          <w:rFonts w:asciiTheme="minorHAnsi" w:hAnsiTheme="minorHAnsi" w:hint="cs"/>
          <w:rtl/>
        </w:rPr>
        <w:t xml:space="preserve"> המידות נקבעו בארץ בעת העיבוד של ת"י 32.</w:t>
      </w:r>
    </w:p>
    <w:p w:rsidR="006D135C" w:rsidRPr="00305A89" w:rsidRDefault="006D135C" w:rsidP="006D135C">
      <w:pPr>
        <w:pStyle w:val="Heading1"/>
        <w:spacing w:line="360" w:lineRule="auto"/>
        <w:rPr>
          <w:rFonts w:asciiTheme="minorHAnsi" w:hAnsiTheme="minorHAnsi"/>
          <w:rtl/>
        </w:rPr>
      </w:pPr>
      <w:r>
        <w:rPr>
          <w:rFonts w:asciiTheme="minorHAnsi" w:hAnsiTheme="minorHAnsi" w:hint="cs"/>
          <w:rtl/>
        </w:rPr>
        <w:t xml:space="preserve">התקנים העוסקים בצנרת להובלת מים חמים וקרים (ת"י 5434 חלק 1 </w:t>
      </w:r>
      <w:r>
        <w:rPr>
          <w:rFonts w:asciiTheme="minorHAnsi" w:hAnsiTheme="minorHAnsi"/>
          <w:rtl/>
        </w:rPr>
        <w:t>–</w:t>
      </w:r>
      <w:r>
        <w:rPr>
          <w:rFonts w:asciiTheme="minorHAnsi" w:hAnsiTheme="minorHAnsi" w:hint="cs"/>
          <w:rtl/>
        </w:rPr>
        <w:t xml:space="preserve"> צנרת פקס, ת"י 21003 חלק 1 </w:t>
      </w:r>
      <w:r>
        <w:rPr>
          <w:rFonts w:asciiTheme="minorHAnsi" w:hAnsiTheme="minorHAnsi"/>
          <w:rtl/>
        </w:rPr>
        <w:t>–</w:t>
      </w:r>
      <w:r>
        <w:rPr>
          <w:rFonts w:asciiTheme="minorHAnsi" w:hAnsiTheme="minorHAnsi" w:hint="cs"/>
          <w:rtl/>
        </w:rPr>
        <w:t xml:space="preserve"> צנרת רב שכבתית ות"י 5433 חלק 1 </w:t>
      </w:r>
      <w:r>
        <w:rPr>
          <w:rFonts w:asciiTheme="minorHAnsi" w:hAnsiTheme="minorHAnsi"/>
          <w:rtl/>
        </w:rPr>
        <w:t>–</w:t>
      </w:r>
      <w:r>
        <w:rPr>
          <w:rFonts w:asciiTheme="minorHAnsi" w:hAnsiTheme="minorHAnsi" w:hint="cs"/>
          <w:rtl/>
        </w:rPr>
        <w:t xml:space="preserve"> </w:t>
      </w:r>
      <w:proofErr w:type="spellStart"/>
      <w:r>
        <w:rPr>
          <w:rFonts w:asciiTheme="minorHAnsi" w:hAnsiTheme="minorHAnsi" w:hint="cs"/>
          <w:rtl/>
        </w:rPr>
        <w:t>פוליבוטילן</w:t>
      </w:r>
      <w:proofErr w:type="spellEnd"/>
      <w:r>
        <w:rPr>
          <w:rFonts w:asciiTheme="minorHAnsi" w:hAnsiTheme="minorHAnsi" w:hint="cs"/>
          <w:rtl/>
        </w:rPr>
        <w:t xml:space="preserve">) כוללים מספר קבוצות יישום, כאשר כל מדינה מוזמנת לבחור את קבוצת היישום שלה.   </w:t>
      </w:r>
      <w:r w:rsidRPr="00305A89">
        <w:rPr>
          <w:rFonts w:asciiTheme="minorHAnsi" w:hAnsiTheme="minorHAnsi" w:hint="cs"/>
          <w:rtl/>
        </w:rPr>
        <w:t xml:space="preserve">  </w:t>
      </w:r>
    </w:p>
    <w:p w:rsidR="006D135C" w:rsidRPr="00EA0F4E" w:rsidRDefault="006D135C" w:rsidP="006D135C">
      <w:pPr>
        <w:pStyle w:val="Heading1"/>
        <w:numPr>
          <w:ilvl w:val="0"/>
          <w:numId w:val="0"/>
        </w:numPr>
        <w:ind w:left="567" w:hanging="567"/>
        <w:rPr>
          <w:rStyle w:val="default"/>
          <w:rFonts w:asciiTheme="minorHAnsi" w:hAnsiTheme="minorHAnsi"/>
          <w:rtl/>
        </w:rPr>
      </w:pPr>
    </w:p>
    <w:p w:rsidR="006D135C" w:rsidRPr="0088168D" w:rsidRDefault="006D135C" w:rsidP="006D135C">
      <w:pPr>
        <w:spacing w:line="360" w:lineRule="auto"/>
        <w:rPr>
          <w:rStyle w:val="default"/>
          <w:rFonts w:asciiTheme="minorHAnsi" w:hAnsiTheme="minorHAnsi" w:cs="David"/>
          <w:b/>
          <w:bCs/>
          <w:rtl/>
        </w:rPr>
      </w:pPr>
      <w:r w:rsidRPr="0088168D">
        <w:rPr>
          <w:rStyle w:val="default"/>
          <w:rFonts w:asciiTheme="minorHAnsi" w:hAnsiTheme="minorHAnsi" w:cs="David" w:hint="cs"/>
          <w:b/>
          <w:bCs/>
          <w:rtl/>
        </w:rPr>
        <w:t>ה</w:t>
      </w:r>
      <w:r w:rsidRPr="0088168D">
        <w:rPr>
          <w:rStyle w:val="default"/>
          <w:rFonts w:asciiTheme="minorHAnsi" w:hAnsiTheme="minorHAnsi" w:cs="David"/>
          <w:b/>
          <w:bCs/>
          <w:rtl/>
        </w:rPr>
        <w:t xml:space="preserve"> – שי</w:t>
      </w:r>
      <w:r w:rsidRPr="0088168D">
        <w:rPr>
          <w:rStyle w:val="default"/>
          <w:rFonts w:asciiTheme="minorHAnsi" w:hAnsiTheme="minorHAnsi" w:cs="David" w:hint="cs"/>
          <w:b/>
          <w:bCs/>
          <w:rtl/>
        </w:rPr>
        <w:t>לוב של תקינה בינלאומית ואירופאית</w:t>
      </w:r>
      <w:r>
        <w:rPr>
          <w:rStyle w:val="default"/>
          <w:rFonts w:asciiTheme="minorHAnsi" w:hAnsiTheme="minorHAnsi" w:cs="David" w:hint="cs"/>
          <w:b/>
          <w:bCs/>
          <w:rtl/>
        </w:rPr>
        <w:t>/אמריקאית</w:t>
      </w:r>
      <w:r w:rsidRPr="0088168D">
        <w:rPr>
          <w:rStyle w:val="default"/>
          <w:rFonts w:asciiTheme="minorHAnsi" w:hAnsiTheme="minorHAnsi" w:cs="David" w:hint="cs"/>
          <w:b/>
          <w:bCs/>
          <w:rtl/>
        </w:rPr>
        <w:t xml:space="preserve"> או מסמכים זרים אחרים בתקן הישראלי</w:t>
      </w:r>
    </w:p>
    <w:p w:rsidR="006D135C" w:rsidRDefault="006D135C" w:rsidP="006D135C">
      <w:pPr>
        <w:spacing w:line="360" w:lineRule="auto"/>
        <w:rPr>
          <w:rFonts w:asciiTheme="minorHAnsi" w:hAnsiTheme="minorHAnsi"/>
          <w:rtl/>
        </w:rPr>
      </w:pPr>
    </w:p>
    <w:p w:rsidR="006D135C" w:rsidRDefault="006D135C" w:rsidP="006D135C">
      <w:pPr>
        <w:spacing w:line="360" w:lineRule="auto"/>
        <w:rPr>
          <w:rFonts w:asciiTheme="minorHAnsi" w:hAnsiTheme="minorHAnsi"/>
          <w:rtl/>
        </w:rPr>
      </w:pPr>
      <w:r>
        <w:rPr>
          <w:rFonts w:asciiTheme="minorHAnsi" w:hAnsiTheme="minorHAnsi" w:hint="cs"/>
          <w:rtl/>
        </w:rPr>
        <w:t>במקרים רבים התקינה הבינלאומית היא אמנם יותר מתקדמת וחדשנית, אך חסר בה תוכן שנמצא בתקינה אירופאית או בתקינה של אחת ממדינות אירופה או במסמכים טכניים אחרים המקובלים במדינות אירופה המתקדמות.</w:t>
      </w:r>
    </w:p>
    <w:p w:rsidR="006D135C" w:rsidRDefault="006D135C" w:rsidP="006D135C">
      <w:pPr>
        <w:spacing w:line="360" w:lineRule="auto"/>
        <w:rPr>
          <w:rFonts w:asciiTheme="minorHAnsi" w:hAnsiTheme="minorHAnsi"/>
          <w:rtl/>
        </w:rPr>
      </w:pPr>
    </w:p>
    <w:p w:rsidR="006D135C" w:rsidRDefault="006D135C" w:rsidP="006D135C">
      <w:pPr>
        <w:spacing w:line="360" w:lineRule="auto"/>
        <w:rPr>
          <w:rFonts w:asciiTheme="minorHAnsi" w:hAnsiTheme="minorHAnsi"/>
          <w:rtl/>
        </w:rPr>
      </w:pPr>
      <w:r w:rsidRPr="0088168D">
        <w:rPr>
          <w:rFonts w:asciiTheme="minorHAnsi" w:hAnsiTheme="minorHAnsi" w:hint="cs"/>
          <w:u w:val="single"/>
          <w:rtl/>
        </w:rPr>
        <w:t>דוגמאות</w:t>
      </w:r>
      <w:r>
        <w:rPr>
          <w:rFonts w:asciiTheme="minorHAnsi" w:hAnsiTheme="minorHAnsi" w:hint="cs"/>
          <w:rtl/>
        </w:rPr>
        <w:t>:</w:t>
      </w:r>
    </w:p>
    <w:p w:rsidR="006D135C" w:rsidRPr="0088168D" w:rsidRDefault="006D135C" w:rsidP="006D135C">
      <w:pPr>
        <w:pStyle w:val="Heading1"/>
        <w:numPr>
          <w:ilvl w:val="0"/>
          <w:numId w:val="5"/>
        </w:numPr>
        <w:spacing w:line="360" w:lineRule="auto"/>
        <w:rPr>
          <w:rFonts w:asciiTheme="minorHAnsi" w:hAnsiTheme="minorHAnsi"/>
          <w:rtl/>
        </w:rPr>
      </w:pPr>
      <w:r w:rsidRPr="0088168D">
        <w:rPr>
          <w:rFonts w:asciiTheme="minorHAnsi" w:hAnsiTheme="minorHAnsi" w:hint="cs"/>
          <w:rtl/>
        </w:rPr>
        <w:lastRenderedPageBreak/>
        <w:t xml:space="preserve">סדרת התקנים העוסקים בכבלי חשמל (ת"י 1516) מאמצת את התקן </w:t>
      </w:r>
      <w:r w:rsidRPr="0088168D">
        <w:rPr>
          <w:rFonts w:asciiTheme="minorHAnsi" w:hAnsiTheme="minorHAnsi"/>
        </w:rPr>
        <w:t>IEC60502</w:t>
      </w:r>
      <w:r w:rsidRPr="0088168D">
        <w:rPr>
          <w:rFonts w:asciiTheme="minorHAnsi" w:hAnsiTheme="minorHAnsi" w:hint="cs"/>
          <w:rtl/>
        </w:rPr>
        <w:t xml:space="preserve"> ותקינה אירופאית מקבילה </w:t>
      </w:r>
      <w:r w:rsidRPr="0088168D">
        <w:rPr>
          <w:rFonts w:asciiTheme="minorHAnsi" w:hAnsiTheme="minorHAnsi"/>
        </w:rPr>
        <w:t>HD604</w:t>
      </w:r>
      <w:r w:rsidRPr="0088168D">
        <w:rPr>
          <w:rFonts w:asciiTheme="minorHAnsi" w:hAnsiTheme="minorHAnsi" w:hint="cs"/>
          <w:rtl/>
        </w:rPr>
        <w:t xml:space="preserve"> ו- </w:t>
      </w:r>
      <w:r w:rsidRPr="0088168D">
        <w:rPr>
          <w:rFonts w:asciiTheme="minorHAnsi" w:hAnsiTheme="minorHAnsi"/>
        </w:rPr>
        <w:t>HD620</w:t>
      </w:r>
      <w:r w:rsidRPr="0088168D">
        <w:rPr>
          <w:rFonts w:asciiTheme="minorHAnsi" w:hAnsiTheme="minorHAnsi" w:hint="cs"/>
          <w:rtl/>
        </w:rPr>
        <w:t>.</w:t>
      </w:r>
    </w:p>
    <w:p w:rsidR="006D135C" w:rsidRDefault="006D135C" w:rsidP="006D135C">
      <w:pPr>
        <w:pStyle w:val="Heading1"/>
        <w:spacing w:line="360" w:lineRule="auto"/>
        <w:rPr>
          <w:rFonts w:asciiTheme="minorHAnsi" w:hAnsiTheme="minorHAnsi"/>
        </w:rPr>
      </w:pPr>
      <w:r>
        <w:rPr>
          <w:rFonts w:asciiTheme="minorHAnsi" w:hAnsiTheme="minorHAnsi" w:hint="cs"/>
          <w:rtl/>
        </w:rPr>
        <w:t xml:space="preserve">ת"י 900 חלק 1 הדן בבטיחות של מכשירי חשמל ביתיים מאמץ את התקן הבינלאומי </w:t>
      </w:r>
      <w:r>
        <w:rPr>
          <w:rFonts w:asciiTheme="minorHAnsi" w:hAnsiTheme="minorHAnsi"/>
        </w:rPr>
        <w:t>IEC60335</w:t>
      </w:r>
      <w:r>
        <w:rPr>
          <w:rFonts w:asciiTheme="minorHAnsi" w:hAnsiTheme="minorHAnsi" w:hint="cs"/>
          <w:rtl/>
        </w:rPr>
        <w:t xml:space="preserve"> חלק 1, אך נדרשו הפניות לדירקטיבה </w:t>
      </w:r>
      <w:r>
        <w:rPr>
          <w:rFonts w:asciiTheme="minorHAnsi" w:hAnsiTheme="minorHAnsi"/>
        </w:rPr>
        <w:t>EC1935/2004</w:t>
      </w:r>
      <w:r>
        <w:rPr>
          <w:rFonts w:asciiTheme="minorHAnsi" w:hAnsiTheme="minorHAnsi" w:hint="cs"/>
          <w:rtl/>
        </w:rPr>
        <w:t xml:space="preserve"> המגדירה תכונות נדידת חומרים במכשירים הבאים במגע עם מזון ומשקאות ואינם מחוברים לרשת אספקת המים (למשל, קומקום חשמלי). </w:t>
      </w:r>
    </w:p>
    <w:p w:rsidR="006D135C" w:rsidRDefault="006D135C" w:rsidP="006D135C">
      <w:pPr>
        <w:pStyle w:val="Heading1"/>
        <w:spacing w:line="360" w:lineRule="auto"/>
        <w:rPr>
          <w:rFonts w:asciiTheme="minorHAnsi" w:hAnsiTheme="minorHAnsi"/>
        </w:rPr>
      </w:pPr>
      <w:r>
        <w:rPr>
          <w:rFonts w:asciiTheme="minorHAnsi" w:hAnsiTheme="minorHAnsi" w:hint="cs"/>
          <w:rtl/>
        </w:rPr>
        <w:t xml:space="preserve">ת"י 5452 העוסק במוצרים הבאים במגע עם מי </w:t>
      </w:r>
      <w:proofErr w:type="spellStart"/>
      <w:r>
        <w:rPr>
          <w:rFonts w:asciiTheme="minorHAnsi" w:hAnsiTheme="minorHAnsi" w:hint="cs"/>
          <w:rtl/>
        </w:rPr>
        <w:t>שתיה</w:t>
      </w:r>
      <w:proofErr w:type="spellEnd"/>
      <w:r>
        <w:rPr>
          <w:rFonts w:asciiTheme="minorHAnsi" w:hAnsiTheme="minorHAnsi" w:hint="cs"/>
          <w:rtl/>
        </w:rPr>
        <w:t xml:space="preserve"> מאמץ את התקן </w:t>
      </w:r>
      <w:r>
        <w:rPr>
          <w:rFonts w:asciiTheme="minorHAnsi" w:hAnsiTheme="minorHAnsi"/>
        </w:rPr>
        <w:t>NSF61</w:t>
      </w:r>
      <w:r>
        <w:rPr>
          <w:rFonts w:asciiTheme="minorHAnsi" w:hAnsiTheme="minorHAnsi" w:hint="cs"/>
          <w:rtl/>
        </w:rPr>
        <w:t xml:space="preserve"> אך במהדורה הישראלית התווספה הפנייה לתקן </w:t>
      </w:r>
      <w:r>
        <w:rPr>
          <w:rFonts w:asciiTheme="minorHAnsi" w:hAnsiTheme="minorHAnsi"/>
        </w:rPr>
        <w:t>NSF372</w:t>
      </w:r>
      <w:r>
        <w:rPr>
          <w:rFonts w:asciiTheme="minorHAnsi" w:hAnsiTheme="minorHAnsi" w:hint="cs"/>
          <w:rtl/>
        </w:rPr>
        <w:t xml:space="preserve"> הדן בתכולת עופרת.</w:t>
      </w:r>
    </w:p>
    <w:p w:rsidR="006D135C" w:rsidRPr="00B23CDB" w:rsidRDefault="006D135C" w:rsidP="006D135C">
      <w:pPr>
        <w:pStyle w:val="Heading1"/>
        <w:numPr>
          <w:ilvl w:val="0"/>
          <w:numId w:val="0"/>
        </w:numPr>
        <w:spacing w:line="360" w:lineRule="auto"/>
        <w:ind w:left="567" w:hanging="567"/>
        <w:rPr>
          <w:rFonts w:asciiTheme="minorHAnsi" w:hAnsiTheme="minorHAnsi"/>
          <w:b/>
          <w:bCs/>
          <w:rtl/>
        </w:rPr>
      </w:pPr>
      <w:r w:rsidRPr="00B23CDB">
        <w:rPr>
          <w:rFonts w:asciiTheme="minorHAnsi" w:hAnsiTheme="minorHAnsi" w:hint="cs"/>
          <w:b/>
          <w:bCs/>
          <w:rtl/>
        </w:rPr>
        <w:t xml:space="preserve">ו </w:t>
      </w:r>
      <w:r w:rsidRPr="00B23CDB">
        <w:rPr>
          <w:rFonts w:asciiTheme="minorHAnsi" w:hAnsiTheme="minorHAnsi"/>
          <w:b/>
          <w:bCs/>
          <w:rtl/>
        </w:rPr>
        <w:t>–</w:t>
      </w:r>
      <w:r w:rsidRPr="00B23CDB">
        <w:rPr>
          <w:rFonts w:asciiTheme="minorHAnsi" w:hAnsiTheme="minorHAnsi" w:hint="cs"/>
          <w:b/>
          <w:bCs/>
          <w:rtl/>
        </w:rPr>
        <w:t xml:space="preserve"> שינויים לאומיים על מנת שלא לחסום יבוא בשל התקן המאומץ</w:t>
      </w:r>
    </w:p>
    <w:p w:rsidR="006D135C" w:rsidRDefault="006D135C" w:rsidP="006D135C">
      <w:pPr>
        <w:spacing w:line="360" w:lineRule="auto"/>
        <w:rPr>
          <w:rFonts w:asciiTheme="minorHAnsi" w:hAnsiTheme="minorHAnsi"/>
          <w:rtl/>
        </w:rPr>
      </w:pPr>
    </w:p>
    <w:p w:rsidR="006D135C" w:rsidRDefault="006D135C" w:rsidP="006D135C">
      <w:pPr>
        <w:spacing w:line="360" w:lineRule="auto"/>
        <w:rPr>
          <w:rFonts w:asciiTheme="minorHAnsi" w:hAnsiTheme="minorHAnsi"/>
          <w:rtl/>
        </w:rPr>
      </w:pPr>
      <w:r w:rsidRPr="00B23CDB">
        <w:rPr>
          <w:rFonts w:asciiTheme="minorHAnsi" w:hAnsiTheme="minorHAnsi" w:hint="cs"/>
          <w:rtl/>
        </w:rPr>
        <w:t xml:space="preserve">לא אחת אנו מאמצים תקן אירופאי או אמריקאי, אך מאפשרים </w:t>
      </w:r>
      <w:r>
        <w:rPr>
          <w:rFonts w:asciiTheme="minorHAnsi" w:hAnsiTheme="minorHAnsi"/>
          <w:rtl/>
        </w:rPr>
        <w:t>–</w:t>
      </w:r>
      <w:r w:rsidRPr="00B23CDB">
        <w:rPr>
          <w:rFonts w:asciiTheme="minorHAnsi" w:hAnsiTheme="minorHAnsi" w:hint="cs"/>
          <w:rtl/>
        </w:rPr>
        <w:t xml:space="preserve"> בדרך של סעיפים לאומיים </w:t>
      </w:r>
      <w:r w:rsidRPr="00B23CDB">
        <w:rPr>
          <w:rFonts w:asciiTheme="minorHAnsi" w:hAnsiTheme="minorHAnsi"/>
          <w:rtl/>
        </w:rPr>
        <w:t>–</w:t>
      </w:r>
      <w:r w:rsidRPr="00B23CDB">
        <w:rPr>
          <w:rFonts w:asciiTheme="minorHAnsi" w:hAnsiTheme="minorHAnsi" w:hint="cs"/>
          <w:rtl/>
        </w:rPr>
        <w:t xml:space="preserve"> חלופה נוספת מתקן מקביל (אמריקאי או אירופאי, לפי העניין) על מנת להגדיל את מגוון המצרכים. במקרים אלה לא מדובר על אימוץ מלא של שני תקני</w:t>
      </w:r>
      <w:r>
        <w:rPr>
          <w:rFonts w:asciiTheme="minorHAnsi" w:hAnsiTheme="minorHAnsi" w:hint="cs"/>
          <w:rtl/>
        </w:rPr>
        <w:t>ם, אלא על שינוי של דרישות ב</w:t>
      </w:r>
      <w:r w:rsidRPr="00B23CDB">
        <w:rPr>
          <w:rFonts w:asciiTheme="minorHAnsi" w:hAnsiTheme="minorHAnsi" w:hint="cs"/>
          <w:rtl/>
        </w:rPr>
        <w:t xml:space="preserve">היבט מסוים </w:t>
      </w:r>
      <w:r>
        <w:rPr>
          <w:rFonts w:asciiTheme="minorHAnsi" w:hAnsiTheme="minorHAnsi" w:hint="cs"/>
          <w:rtl/>
        </w:rPr>
        <w:t xml:space="preserve">בלבד, כאשר יתר הדרישות אינן מהוות חסם. </w:t>
      </w:r>
    </w:p>
    <w:p w:rsidR="006D135C" w:rsidRDefault="006D135C" w:rsidP="006D135C">
      <w:pPr>
        <w:spacing w:line="360" w:lineRule="auto"/>
        <w:rPr>
          <w:rFonts w:asciiTheme="minorHAnsi" w:hAnsiTheme="minorHAnsi"/>
          <w:u w:val="single"/>
          <w:rtl/>
        </w:rPr>
      </w:pPr>
    </w:p>
    <w:p w:rsidR="006D135C" w:rsidRDefault="006D135C" w:rsidP="006D135C">
      <w:pPr>
        <w:spacing w:line="360" w:lineRule="auto"/>
        <w:rPr>
          <w:rFonts w:asciiTheme="minorHAnsi" w:hAnsiTheme="minorHAnsi"/>
          <w:rtl/>
        </w:rPr>
      </w:pPr>
      <w:r w:rsidRPr="0088168D">
        <w:rPr>
          <w:rFonts w:asciiTheme="minorHAnsi" w:hAnsiTheme="minorHAnsi" w:hint="cs"/>
          <w:u w:val="single"/>
          <w:rtl/>
        </w:rPr>
        <w:t>דוגמאות</w:t>
      </w:r>
      <w:r>
        <w:rPr>
          <w:rFonts w:asciiTheme="minorHAnsi" w:hAnsiTheme="minorHAnsi" w:hint="cs"/>
          <w:rtl/>
        </w:rPr>
        <w:t>:</w:t>
      </w:r>
    </w:p>
    <w:p w:rsidR="006D135C" w:rsidRPr="00F755D5" w:rsidRDefault="006D135C" w:rsidP="006D135C">
      <w:pPr>
        <w:pStyle w:val="Heading1"/>
        <w:numPr>
          <w:ilvl w:val="0"/>
          <w:numId w:val="6"/>
        </w:numPr>
        <w:spacing w:line="360" w:lineRule="auto"/>
        <w:rPr>
          <w:rFonts w:asciiTheme="minorHAnsi" w:hAnsiTheme="minorHAnsi"/>
          <w:rtl/>
        </w:rPr>
      </w:pPr>
      <w:r w:rsidRPr="00F755D5">
        <w:rPr>
          <w:rFonts w:asciiTheme="minorHAnsi" w:hAnsiTheme="minorHAnsi" w:hint="cs"/>
          <w:rtl/>
        </w:rPr>
        <w:t>התק</w:t>
      </w:r>
      <w:r>
        <w:rPr>
          <w:rFonts w:asciiTheme="minorHAnsi" w:hAnsiTheme="minorHAnsi" w:hint="cs"/>
          <w:rtl/>
        </w:rPr>
        <w:t>נים</w:t>
      </w:r>
      <w:r w:rsidRPr="00F755D5">
        <w:rPr>
          <w:rFonts w:asciiTheme="minorHAnsi" w:hAnsiTheme="minorHAnsi" w:hint="cs"/>
          <w:rtl/>
        </w:rPr>
        <w:t xml:space="preserve"> החל</w:t>
      </w:r>
      <w:r>
        <w:rPr>
          <w:rFonts w:asciiTheme="minorHAnsi" w:hAnsiTheme="minorHAnsi" w:hint="cs"/>
          <w:rtl/>
        </w:rPr>
        <w:t>ים</w:t>
      </w:r>
      <w:r w:rsidRPr="00F755D5">
        <w:rPr>
          <w:rFonts w:asciiTheme="minorHAnsi" w:hAnsiTheme="minorHAnsi" w:hint="cs"/>
          <w:rtl/>
        </w:rPr>
        <w:t xml:space="preserve"> על מערכות אלקטרוניות לגילוי אש מבוסס</w:t>
      </w:r>
      <w:r>
        <w:rPr>
          <w:rFonts w:asciiTheme="minorHAnsi" w:hAnsiTheme="minorHAnsi" w:hint="cs"/>
          <w:rtl/>
        </w:rPr>
        <w:t>ים</w:t>
      </w:r>
      <w:r w:rsidRPr="00F755D5">
        <w:rPr>
          <w:rFonts w:asciiTheme="minorHAnsi" w:hAnsiTheme="minorHAnsi" w:hint="cs"/>
          <w:rtl/>
        </w:rPr>
        <w:t xml:space="preserve"> על תק</w:t>
      </w:r>
      <w:r>
        <w:rPr>
          <w:rFonts w:asciiTheme="minorHAnsi" w:hAnsiTheme="minorHAnsi" w:hint="cs"/>
          <w:rtl/>
        </w:rPr>
        <w:t>ני</w:t>
      </w:r>
      <w:r w:rsidRPr="00F755D5">
        <w:rPr>
          <w:rFonts w:asciiTheme="minorHAnsi" w:hAnsiTheme="minorHAnsi" w:hint="cs"/>
          <w:rtl/>
        </w:rPr>
        <w:t xml:space="preserve"> </w:t>
      </w:r>
      <w:r w:rsidRPr="00F755D5">
        <w:rPr>
          <w:rFonts w:asciiTheme="minorHAnsi" w:hAnsiTheme="minorHAnsi" w:hint="cs"/>
        </w:rPr>
        <w:t>UL</w:t>
      </w:r>
      <w:r w:rsidRPr="00F755D5">
        <w:rPr>
          <w:rFonts w:asciiTheme="minorHAnsi" w:hAnsiTheme="minorHAnsi" w:hint="cs"/>
          <w:rtl/>
        </w:rPr>
        <w:t>. מערכות אירופאיות שאינן מיועדות לשוק האמריקאי אינן עומדות בדרישות של תק</w:t>
      </w:r>
      <w:r>
        <w:rPr>
          <w:rFonts w:asciiTheme="minorHAnsi" w:hAnsiTheme="minorHAnsi" w:hint="cs"/>
          <w:rtl/>
        </w:rPr>
        <w:t>נים</w:t>
      </w:r>
      <w:r w:rsidRPr="00F755D5">
        <w:rPr>
          <w:rFonts w:asciiTheme="minorHAnsi" w:hAnsiTheme="minorHAnsi" w:hint="cs"/>
          <w:rtl/>
        </w:rPr>
        <w:t xml:space="preserve"> </w:t>
      </w:r>
      <w:r>
        <w:rPr>
          <w:rFonts w:asciiTheme="minorHAnsi" w:hAnsiTheme="minorHAnsi" w:hint="cs"/>
          <w:rtl/>
        </w:rPr>
        <w:t>אל</w:t>
      </w:r>
      <w:r w:rsidRPr="00F755D5">
        <w:rPr>
          <w:rFonts w:asciiTheme="minorHAnsi" w:hAnsiTheme="minorHAnsi" w:hint="cs"/>
          <w:rtl/>
        </w:rPr>
        <w:t xml:space="preserve">ה, </w:t>
      </w:r>
      <w:r>
        <w:rPr>
          <w:rFonts w:asciiTheme="minorHAnsi" w:hAnsiTheme="minorHAnsi" w:hint="cs"/>
          <w:rtl/>
        </w:rPr>
        <w:t xml:space="preserve">לדוגמה, </w:t>
      </w:r>
      <w:r w:rsidRPr="00F755D5">
        <w:rPr>
          <w:rFonts w:asciiTheme="minorHAnsi" w:hAnsiTheme="minorHAnsi" w:hint="cs"/>
          <w:rtl/>
        </w:rPr>
        <w:t>משום שה</w:t>
      </w:r>
      <w:r>
        <w:rPr>
          <w:rFonts w:asciiTheme="minorHAnsi" w:hAnsiTheme="minorHAnsi" w:hint="cs"/>
          <w:rtl/>
        </w:rPr>
        <w:t>ם</w:t>
      </w:r>
      <w:r w:rsidRPr="00F755D5">
        <w:rPr>
          <w:rFonts w:asciiTheme="minorHAnsi" w:hAnsiTheme="minorHAnsi" w:hint="cs"/>
          <w:rtl/>
        </w:rPr>
        <w:t xml:space="preserve"> קובע</w:t>
      </w:r>
      <w:r>
        <w:rPr>
          <w:rFonts w:asciiTheme="minorHAnsi" w:hAnsiTheme="minorHAnsi" w:hint="cs"/>
          <w:rtl/>
        </w:rPr>
        <w:t>ים</w:t>
      </w:r>
      <w:r w:rsidRPr="00F755D5">
        <w:rPr>
          <w:rFonts w:asciiTheme="minorHAnsi" w:hAnsiTheme="minorHAnsi" w:hint="cs"/>
          <w:rtl/>
        </w:rPr>
        <w:t xml:space="preserve"> מבנה צלילים מסוים </w:t>
      </w:r>
      <w:r>
        <w:rPr>
          <w:rFonts w:asciiTheme="minorHAnsi" w:hAnsiTheme="minorHAnsi" w:hint="cs"/>
          <w:rtl/>
        </w:rPr>
        <w:t xml:space="preserve">(הנדרש רק בצפון אמריקה) </w:t>
      </w:r>
      <w:r w:rsidRPr="00F755D5">
        <w:rPr>
          <w:rFonts w:asciiTheme="minorHAnsi" w:hAnsiTheme="minorHAnsi" w:hint="cs"/>
          <w:rtl/>
        </w:rPr>
        <w:t xml:space="preserve">לאזעקה של אש ומבנה </w:t>
      </w:r>
      <w:r>
        <w:rPr>
          <w:rFonts w:asciiTheme="minorHAnsi" w:hAnsiTheme="minorHAnsi" w:hint="cs"/>
          <w:rtl/>
        </w:rPr>
        <w:t xml:space="preserve">צלילים </w:t>
      </w:r>
      <w:r w:rsidRPr="00F755D5">
        <w:rPr>
          <w:rFonts w:asciiTheme="minorHAnsi" w:hAnsiTheme="minorHAnsi" w:hint="cs"/>
          <w:rtl/>
        </w:rPr>
        <w:t xml:space="preserve">מסוים לאזעקה של פחמן חד חמצני. התקן הישראלי ביטל את הדרישה למבנה צלילים מסוים זה, וקבע </w:t>
      </w:r>
      <w:r>
        <w:rPr>
          <w:rFonts w:asciiTheme="minorHAnsi" w:hAnsiTheme="minorHAnsi" w:hint="cs"/>
          <w:rtl/>
        </w:rPr>
        <w:t xml:space="preserve">רק </w:t>
      </w:r>
      <w:r w:rsidRPr="00F755D5">
        <w:rPr>
          <w:rFonts w:asciiTheme="minorHAnsi" w:hAnsiTheme="minorHAnsi" w:hint="cs"/>
          <w:rtl/>
        </w:rPr>
        <w:t xml:space="preserve">כי מבנה הצלילים של אזעקת אש יהיה שונה מזה של אזעקת פחמן חד חמצני, כאשר דרישות העוצמה </w:t>
      </w:r>
      <w:r>
        <w:rPr>
          <w:rFonts w:asciiTheme="minorHAnsi" w:hAnsiTheme="minorHAnsi" w:hint="cs"/>
          <w:rtl/>
        </w:rPr>
        <w:t>נ</w:t>
      </w:r>
      <w:r w:rsidRPr="00F755D5">
        <w:rPr>
          <w:rFonts w:asciiTheme="minorHAnsi" w:hAnsiTheme="minorHAnsi" w:hint="cs"/>
          <w:rtl/>
        </w:rPr>
        <w:t xml:space="preserve">ותרו בעינן. </w:t>
      </w:r>
    </w:p>
    <w:p w:rsidR="00A10BE6" w:rsidRPr="00B21303" w:rsidRDefault="00A10BE6" w:rsidP="00B21303"/>
    <w:sectPr w:rsidR="00A10BE6" w:rsidRPr="00B21303" w:rsidSect="009C6622">
      <w:headerReference w:type="default" r:id="rId7"/>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5DA2" w:rsidRDefault="001B5DA2" w:rsidP="00DE0E51">
      <w:r>
        <w:separator/>
      </w:r>
    </w:p>
  </w:endnote>
  <w:endnote w:type="continuationSeparator" w:id="0">
    <w:p w:rsidR="001B5DA2" w:rsidRDefault="001B5DA2" w:rsidP="00DE0E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DA2" w:rsidRDefault="001B5DA2" w:rsidP="00DE0E51">
    <w:pPr>
      <w:pStyle w:val="Footer"/>
      <w:rPr>
        <w:rtl/>
      </w:rPr>
    </w:pPr>
  </w:p>
  <w:p w:rsidR="001B5DA2" w:rsidRDefault="001B5DA2">
    <w:pPr>
      <w:pStyle w:val="Footer"/>
    </w:pPr>
    <w:r>
      <w:rPr>
        <w:noProof/>
      </w:rPr>
      <w:drawing>
        <wp:anchor distT="0" distB="0" distL="114300" distR="114300" simplePos="0" relativeHeight="251661312" behindDoc="0" locked="0" layoutInCell="1" allowOverlap="1">
          <wp:simplePos x="0" y="0"/>
          <wp:positionH relativeFrom="column">
            <wp:posOffset>-1002030</wp:posOffset>
          </wp:positionH>
          <wp:positionV relativeFrom="paragraph">
            <wp:posOffset>131445</wp:posOffset>
          </wp:positionV>
          <wp:extent cx="7195185" cy="243840"/>
          <wp:effectExtent l="19050" t="0" r="5715" b="0"/>
          <wp:wrapSquare wrapText="bothSides"/>
          <wp:docPr id="1" name="Picture 1" descr="C:\Users\U72157\AppData\Local\Temp\notesFCBCEE\~15358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72157\AppData\Local\Temp\notesFCBCEE\~1535816.jpg"/>
                  <pic:cNvPicPr>
                    <a:picLocks noChangeAspect="1" noChangeArrowheads="1"/>
                  </pic:cNvPicPr>
                </pic:nvPicPr>
                <pic:blipFill>
                  <a:blip r:embed="rId1"/>
                  <a:srcRect/>
                  <a:stretch>
                    <a:fillRect/>
                  </a:stretch>
                </pic:blipFill>
                <pic:spPr bwMode="auto">
                  <a:xfrm>
                    <a:off x="0" y="0"/>
                    <a:ext cx="7195185" cy="243840"/>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5DA2" w:rsidRDefault="001B5DA2" w:rsidP="00DE0E51">
      <w:r>
        <w:separator/>
      </w:r>
    </w:p>
  </w:footnote>
  <w:footnote w:type="continuationSeparator" w:id="0">
    <w:p w:rsidR="001B5DA2" w:rsidRDefault="001B5DA2" w:rsidP="00DE0E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DA2" w:rsidRDefault="001B5DA2" w:rsidP="00DE0E51">
    <w:pPr>
      <w:pStyle w:val="Header"/>
    </w:pPr>
    <w:r>
      <w:rPr>
        <w:rFonts w:cs="Arial"/>
        <w:noProof/>
        <w:rtl/>
      </w:rPr>
      <w:drawing>
        <wp:anchor distT="0" distB="0" distL="114300" distR="114300" simplePos="0" relativeHeight="251660288" behindDoc="0" locked="0" layoutInCell="1" allowOverlap="1">
          <wp:simplePos x="0" y="0"/>
          <wp:positionH relativeFrom="column">
            <wp:posOffset>-929640</wp:posOffset>
          </wp:positionH>
          <wp:positionV relativeFrom="paragraph">
            <wp:posOffset>-303530</wp:posOffset>
          </wp:positionV>
          <wp:extent cx="6748780" cy="1247775"/>
          <wp:effectExtent l="19050" t="0" r="0" b="0"/>
          <wp:wrapSquare wrapText="bothSides"/>
          <wp:docPr id="2" name="Picture 1" descr="C:\Users\U72157\AppData\Local\Temp\notesFCBCEE\mati paper Tikshore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72157\AppData\Local\Temp\notesFCBCEE\mati paper Tikshoret2.jpg"/>
                  <pic:cNvPicPr>
                    <a:picLocks noChangeAspect="1" noChangeArrowheads="1"/>
                  </pic:cNvPicPr>
                </pic:nvPicPr>
                <pic:blipFill>
                  <a:blip r:embed="rId1"/>
                  <a:srcRect/>
                  <a:stretch>
                    <a:fillRect/>
                  </a:stretch>
                </pic:blipFill>
                <pic:spPr bwMode="auto">
                  <a:xfrm>
                    <a:off x="0" y="0"/>
                    <a:ext cx="6748780" cy="1247775"/>
                  </a:xfrm>
                  <a:prstGeom prst="rect">
                    <a:avLst/>
                  </a:prstGeom>
                  <a:noFill/>
                  <a:ln w="9525">
                    <a:noFill/>
                    <a:miter lim="800000"/>
                    <a:headEnd/>
                    <a:tailEnd/>
                  </a:ln>
                </pic:spPr>
              </pic:pic>
            </a:graphicData>
          </a:graphic>
        </wp:anchor>
      </w:drawing>
    </w:r>
  </w:p>
  <w:p w:rsidR="001B5DA2" w:rsidRDefault="001B5DA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7A3261"/>
    <w:multiLevelType w:val="multilevel"/>
    <w:tmpl w:val="3DE6141A"/>
    <w:lvl w:ilvl="0">
      <w:start w:val="1"/>
      <w:numFmt w:val="decimal"/>
      <w:pStyle w:val="Heading1"/>
      <w:lvlText w:val="%1."/>
      <w:lvlJc w:val="left"/>
      <w:pPr>
        <w:tabs>
          <w:tab w:val="num" w:pos="0"/>
        </w:tabs>
        <w:ind w:left="567" w:hanging="567"/>
      </w:pPr>
      <w:rPr>
        <w:rFonts w:hint="default"/>
      </w:rPr>
    </w:lvl>
    <w:lvl w:ilvl="1">
      <w:start w:val="1"/>
      <w:numFmt w:val="decimal"/>
      <w:pStyle w:val="Heading2"/>
      <w:isLgl/>
      <w:lvlText w:val="%1.%2."/>
      <w:lvlJc w:val="left"/>
      <w:pPr>
        <w:tabs>
          <w:tab w:val="num" w:pos="0"/>
        </w:tabs>
        <w:ind w:left="1134" w:hanging="567"/>
      </w:pPr>
      <w:rPr>
        <w:rFonts w:hint="default"/>
      </w:rPr>
    </w:lvl>
    <w:lvl w:ilvl="2">
      <w:start w:val="1"/>
      <w:numFmt w:val="decimal"/>
      <w:pStyle w:val="Heading3"/>
      <w:isLgl/>
      <w:lvlText w:val="%1.%2.%3."/>
      <w:lvlJc w:val="left"/>
      <w:pPr>
        <w:tabs>
          <w:tab w:val="num" w:pos="0"/>
        </w:tabs>
        <w:ind w:left="1985" w:hanging="851"/>
      </w:pPr>
      <w:rPr>
        <w:rFonts w:hint="default"/>
      </w:rPr>
    </w:lvl>
    <w:lvl w:ilvl="3">
      <w:start w:val="1"/>
      <w:numFmt w:val="decimal"/>
      <w:pStyle w:val="Heading4"/>
      <w:isLgl/>
      <w:lvlText w:val="%1.%2.%3.%4."/>
      <w:lvlJc w:val="left"/>
      <w:pPr>
        <w:tabs>
          <w:tab w:val="num" w:pos="0"/>
        </w:tabs>
        <w:ind w:left="2835" w:hanging="850"/>
      </w:pPr>
      <w:rPr>
        <w:rFonts w:hint="default"/>
      </w:rPr>
    </w:lvl>
    <w:lvl w:ilvl="4">
      <w:start w:val="1"/>
      <w:numFmt w:val="decimal"/>
      <w:pStyle w:val="Heading5"/>
      <w:isLgl/>
      <w:lvlText w:val="%1.%2.%3.%4.%5."/>
      <w:lvlJc w:val="left"/>
      <w:pPr>
        <w:tabs>
          <w:tab w:val="num" w:pos="0"/>
        </w:tabs>
        <w:ind w:left="3969" w:hanging="1134"/>
      </w:pPr>
      <w:rPr>
        <w:rFonts w:hint="default"/>
      </w:rPr>
    </w:lvl>
    <w:lvl w:ilvl="5">
      <w:start w:val="1"/>
      <w:numFmt w:val="decimal"/>
      <w:lvlText w:val="%1.%2.%3.%4.%5.%6."/>
      <w:lvlJc w:val="center"/>
      <w:pPr>
        <w:tabs>
          <w:tab w:val="num" w:pos="2567"/>
        </w:tabs>
        <w:ind w:left="2567" w:hanging="936"/>
      </w:pPr>
      <w:rPr>
        <w:rFonts w:hint="default"/>
      </w:rPr>
    </w:lvl>
    <w:lvl w:ilvl="6">
      <w:start w:val="1"/>
      <w:numFmt w:val="decimal"/>
      <w:lvlText w:val="%1.%2.%3.%4.%5.%6.%7."/>
      <w:lvlJc w:val="center"/>
      <w:pPr>
        <w:tabs>
          <w:tab w:val="num" w:pos="3071"/>
        </w:tabs>
        <w:ind w:left="3071" w:hanging="1080"/>
      </w:pPr>
      <w:rPr>
        <w:rFonts w:hint="default"/>
      </w:rPr>
    </w:lvl>
    <w:lvl w:ilvl="7">
      <w:start w:val="1"/>
      <w:numFmt w:val="decimal"/>
      <w:lvlText w:val="%1.%2.%3.%4.%5.%6.%7.%8."/>
      <w:lvlJc w:val="center"/>
      <w:pPr>
        <w:tabs>
          <w:tab w:val="num" w:pos="3575"/>
        </w:tabs>
        <w:ind w:left="3575" w:hanging="1224"/>
      </w:pPr>
      <w:rPr>
        <w:rFonts w:hint="default"/>
      </w:rPr>
    </w:lvl>
    <w:lvl w:ilvl="8">
      <w:start w:val="1"/>
      <w:numFmt w:val="decimal"/>
      <w:lvlText w:val="%1.%2.%3.%4.%5.%6.%7.%8.%9."/>
      <w:lvlJc w:val="center"/>
      <w:pPr>
        <w:tabs>
          <w:tab w:val="num" w:pos="4151"/>
        </w:tabs>
        <w:ind w:left="4151" w:hanging="1440"/>
      </w:pPr>
      <w:rPr>
        <w:rFont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rsids>
    <w:rsidRoot w:val="00DE0E51"/>
    <w:rsid w:val="0006372D"/>
    <w:rsid w:val="000B5E95"/>
    <w:rsid w:val="000C331C"/>
    <w:rsid w:val="001B5DA2"/>
    <w:rsid w:val="001C63BE"/>
    <w:rsid w:val="002B54A0"/>
    <w:rsid w:val="00343AE8"/>
    <w:rsid w:val="0038115D"/>
    <w:rsid w:val="003E6520"/>
    <w:rsid w:val="004212AF"/>
    <w:rsid w:val="00436C72"/>
    <w:rsid w:val="00467033"/>
    <w:rsid w:val="00502113"/>
    <w:rsid w:val="006623BD"/>
    <w:rsid w:val="006D135C"/>
    <w:rsid w:val="006D3DEE"/>
    <w:rsid w:val="007506E0"/>
    <w:rsid w:val="007B6C9F"/>
    <w:rsid w:val="00843B0B"/>
    <w:rsid w:val="008C4F70"/>
    <w:rsid w:val="008D50D7"/>
    <w:rsid w:val="008F2DCD"/>
    <w:rsid w:val="00960F50"/>
    <w:rsid w:val="009C6622"/>
    <w:rsid w:val="009E0D52"/>
    <w:rsid w:val="00A10BE6"/>
    <w:rsid w:val="00A50053"/>
    <w:rsid w:val="00B21303"/>
    <w:rsid w:val="00B22FA7"/>
    <w:rsid w:val="00B232DB"/>
    <w:rsid w:val="00B67E63"/>
    <w:rsid w:val="00C07326"/>
    <w:rsid w:val="00DE0E51"/>
    <w:rsid w:val="00E57450"/>
    <w:rsid w:val="00E6226E"/>
    <w:rsid w:val="00E71A83"/>
    <w:rsid w:val="00EB3421"/>
    <w:rsid w:val="00EB3AEE"/>
    <w:rsid w:val="00F23437"/>
    <w:rsid w:val="00F3337E"/>
    <w:rsid w:val="00F46F09"/>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3AEE"/>
    <w:pPr>
      <w:bidi/>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qFormat/>
    <w:rsid w:val="006D135C"/>
    <w:pPr>
      <w:numPr>
        <w:numId w:val="1"/>
      </w:numPr>
      <w:tabs>
        <w:tab w:val="left" w:pos="567"/>
      </w:tabs>
      <w:spacing w:before="240" w:after="60"/>
      <w:jc w:val="both"/>
      <w:outlineLvl w:val="0"/>
    </w:pPr>
    <w:rPr>
      <w:rFonts w:cs="David"/>
      <w:kern w:val="28"/>
    </w:rPr>
  </w:style>
  <w:style w:type="paragraph" w:styleId="Heading2">
    <w:name w:val="heading 2"/>
    <w:basedOn w:val="Normal"/>
    <w:link w:val="Heading2Char"/>
    <w:qFormat/>
    <w:rsid w:val="006D135C"/>
    <w:pPr>
      <w:keepNext/>
      <w:numPr>
        <w:ilvl w:val="1"/>
        <w:numId w:val="1"/>
      </w:numPr>
      <w:tabs>
        <w:tab w:val="left" w:pos="1134"/>
      </w:tabs>
      <w:spacing w:before="240" w:after="60"/>
      <w:jc w:val="both"/>
      <w:outlineLvl w:val="1"/>
    </w:pPr>
    <w:rPr>
      <w:rFonts w:cs="David"/>
    </w:rPr>
  </w:style>
  <w:style w:type="paragraph" w:styleId="Heading3">
    <w:name w:val="heading 3"/>
    <w:basedOn w:val="Normal"/>
    <w:link w:val="Heading3Char"/>
    <w:qFormat/>
    <w:rsid w:val="006D135C"/>
    <w:pPr>
      <w:numPr>
        <w:ilvl w:val="2"/>
        <w:numId w:val="1"/>
      </w:numPr>
      <w:tabs>
        <w:tab w:val="left" w:pos="1985"/>
      </w:tabs>
      <w:spacing w:before="240" w:after="60"/>
      <w:jc w:val="both"/>
      <w:outlineLvl w:val="2"/>
    </w:pPr>
    <w:rPr>
      <w:rFonts w:cs="David"/>
    </w:rPr>
  </w:style>
  <w:style w:type="paragraph" w:styleId="Heading4">
    <w:name w:val="heading 4"/>
    <w:basedOn w:val="Normal"/>
    <w:link w:val="Heading4Char"/>
    <w:qFormat/>
    <w:rsid w:val="006D135C"/>
    <w:pPr>
      <w:numPr>
        <w:ilvl w:val="3"/>
        <w:numId w:val="1"/>
      </w:numPr>
      <w:tabs>
        <w:tab w:val="left" w:pos="2835"/>
      </w:tabs>
      <w:spacing w:before="240" w:after="60"/>
      <w:jc w:val="both"/>
      <w:outlineLvl w:val="3"/>
    </w:pPr>
    <w:rPr>
      <w:rFonts w:cs="David"/>
    </w:rPr>
  </w:style>
  <w:style w:type="paragraph" w:styleId="Heading5">
    <w:name w:val="heading 5"/>
    <w:basedOn w:val="Normal"/>
    <w:link w:val="Heading5Char"/>
    <w:qFormat/>
    <w:rsid w:val="006D135C"/>
    <w:pPr>
      <w:numPr>
        <w:ilvl w:val="4"/>
        <w:numId w:val="1"/>
      </w:numPr>
      <w:tabs>
        <w:tab w:val="left" w:pos="3969"/>
      </w:tabs>
      <w:spacing w:before="240" w:after="60"/>
      <w:jc w:val="both"/>
      <w:outlineLvl w:val="4"/>
    </w:pPr>
    <w:rPr>
      <w:rFonts w:cs="Dav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0E51"/>
    <w:pPr>
      <w:tabs>
        <w:tab w:val="center" w:pos="4153"/>
        <w:tab w:val="right" w:pos="830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DE0E51"/>
  </w:style>
  <w:style w:type="paragraph" w:styleId="Footer">
    <w:name w:val="footer"/>
    <w:basedOn w:val="Normal"/>
    <w:link w:val="FooterChar"/>
    <w:uiPriority w:val="99"/>
    <w:unhideWhenUsed/>
    <w:rsid w:val="00DE0E51"/>
    <w:pPr>
      <w:tabs>
        <w:tab w:val="center" w:pos="4153"/>
        <w:tab w:val="right" w:pos="830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DE0E51"/>
  </w:style>
  <w:style w:type="paragraph" w:styleId="BalloonText">
    <w:name w:val="Balloon Text"/>
    <w:basedOn w:val="Normal"/>
    <w:link w:val="BalloonTextChar"/>
    <w:uiPriority w:val="99"/>
    <w:semiHidden/>
    <w:unhideWhenUsed/>
    <w:rsid w:val="00DE0E51"/>
    <w:rPr>
      <w:rFonts w:ascii="Tahoma" w:hAnsi="Tahoma" w:cs="Tahoma"/>
      <w:sz w:val="16"/>
      <w:szCs w:val="16"/>
    </w:rPr>
  </w:style>
  <w:style w:type="character" w:customStyle="1" w:styleId="BalloonTextChar">
    <w:name w:val="Balloon Text Char"/>
    <w:basedOn w:val="DefaultParagraphFont"/>
    <w:link w:val="BalloonText"/>
    <w:uiPriority w:val="99"/>
    <w:semiHidden/>
    <w:rsid w:val="00DE0E51"/>
    <w:rPr>
      <w:rFonts w:ascii="Tahoma" w:hAnsi="Tahoma" w:cs="Tahoma"/>
      <w:sz w:val="16"/>
      <w:szCs w:val="16"/>
    </w:rPr>
  </w:style>
  <w:style w:type="paragraph" w:styleId="NoSpacing">
    <w:name w:val="No Spacing"/>
    <w:uiPriority w:val="1"/>
    <w:qFormat/>
    <w:rsid w:val="00A10BE6"/>
    <w:pPr>
      <w:bidi/>
      <w:spacing w:after="0" w:line="240" w:lineRule="auto"/>
    </w:pPr>
  </w:style>
  <w:style w:type="character" w:customStyle="1" w:styleId="Heading1Char">
    <w:name w:val="Heading 1 Char"/>
    <w:basedOn w:val="DefaultParagraphFont"/>
    <w:link w:val="Heading1"/>
    <w:rsid w:val="006D135C"/>
    <w:rPr>
      <w:rFonts w:ascii="Times New Roman" w:eastAsia="Times New Roman" w:hAnsi="Times New Roman" w:cs="David"/>
      <w:kern w:val="28"/>
      <w:sz w:val="24"/>
      <w:szCs w:val="24"/>
    </w:rPr>
  </w:style>
  <w:style w:type="character" w:customStyle="1" w:styleId="Heading2Char">
    <w:name w:val="Heading 2 Char"/>
    <w:basedOn w:val="DefaultParagraphFont"/>
    <w:link w:val="Heading2"/>
    <w:rsid w:val="006D135C"/>
    <w:rPr>
      <w:rFonts w:ascii="Times New Roman" w:eastAsia="Times New Roman" w:hAnsi="Times New Roman" w:cs="David"/>
      <w:sz w:val="24"/>
      <w:szCs w:val="24"/>
    </w:rPr>
  </w:style>
  <w:style w:type="character" w:customStyle="1" w:styleId="Heading3Char">
    <w:name w:val="Heading 3 Char"/>
    <w:basedOn w:val="DefaultParagraphFont"/>
    <w:link w:val="Heading3"/>
    <w:rsid w:val="006D135C"/>
    <w:rPr>
      <w:rFonts w:ascii="Times New Roman" w:eastAsia="Times New Roman" w:hAnsi="Times New Roman" w:cs="David"/>
      <w:sz w:val="24"/>
      <w:szCs w:val="24"/>
    </w:rPr>
  </w:style>
  <w:style w:type="character" w:customStyle="1" w:styleId="Heading4Char">
    <w:name w:val="Heading 4 Char"/>
    <w:basedOn w:val="DefaultParagraphFont"/>
    <w:link w:val="Heading4"/>
    <w:rsid w:val="006D135C"/>
    <w:rPr>
      <w:rFonts w:ascii="Times New Roman" w:eastAsia="Times New Roman" w:hAnsi="Times New Roman" w:cs="David"/>
      <w:sz w:val="24"/>
      <w:szCs w:val="24"/>
    </w:rPr>
  </w:style>
  <w:style w:type="character" w:customStyle="1" w:styleId="Heading5Char">
    <w:name w:val="Heading 5 Char"/>
    <w:basedOn w:val="DefaultParagraphFont"/>
    <w:link w:val="Heading5"/>
    <w:rsid w:val="006D135C"/>
    <w:rPr>
      <w:rFonts w:ascii="Times New Roman" w:eastAsia="Times New Roman" w:hAnsi="Times New Roman" w:cs="David"/>
      <w:sz w:val="24"/>
      <w:szCs w:val="24"/>
    </w:rPr>
  </w:style>
  <w:style w:type="character" w:customStyle="1" w:styleId="default">
    <w:name w:val="default"/>
    <w:rsid w:val="006D135C"/>
    <w:rPr>
      <w:rFonts w:ascii="Times New Roman" w:hAnsi="Times New Roman" w:cs="Times New Roman" w:hint="default"/>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E29C37-FA47-4C86-8E7C-0EBD3FFD93F5}"/>
</file>

<file path=customXml/itemProps2.xml><?xml version="1.0" encoding="utf-8"?>
<ds:datastoreItem xmlns:ds="http://schemas.openxmlformats.org/officeDocument/2006/customXml" ds:itemID="{F52445BD-085E-4384-9003-FEB7B14BD72E}"/>
</file>

<file path=customXml/itemProps3.xml><?xml version="1.0" encoding="utf-8"?>
<ds:datastoreItem xmlns:ds="http://schemas.openxmlformats.org/officeDocument/2006/customXml" ds:itemID="{04241C8D-0BCA-4E44-A277-9C1ECA3A9173}"/>
</file>

<file path=docProps/app.xml><?xml version="1.0" encoding="utf-8"?>
<Properties xmlns="http://schemas.openxmlformats.org/officeDocument/2006/extended-properties" xmlns:vt="http://schemas.openxmlformats.org/officeDocument/2006/docPropsVTypes">
  <Template>Normal</Template>
  <TotalTime>2</TotalTime>
  <Pages>5</Pages>
  <Words>1319</Words>
  <Characters>6596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The Standard Institute Of ISRAEL</Company>
  <LinksUpToDate>false</LinksUpToDate>
  <CharactersWithSpaces>7900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U72157</dc:creator>
  <cp:lastModifiedBy>u88658</cp:lastModifiedBy>
  <cp:revision>2</cp:revision>
  <cp:lastPrinted>2016-11-27T10:49:00Z</cp:lastPrinted>
  <dcterms:created xsi:type="dcterms:W3CDTF">2016-12-04T10:02:00Z</dcterms:created>
  <dcterms:modified xsi:type="dcterms:W3CDTF">2016-12-04T10:02:00Z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2009887</vt:r8>
  </property>
</Properties>
</file>