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159" w:rsidRPr="00E93F75" w:rsidRDefault="00E93F75" w:rsidP="00531D9E">
      <w:pPr>
        <w:jc w:val="center"/>
        <w:rPr>
          <w:b/>
          <w:bCs/>
          <w:sz w:val="28"/>
          <w:szCs w:val="28"/>
          <w:u w:val="single"/>
          <w:rtl/>
        </w:rPr>
      </w:pPr>
      <w:r w:rsidRPr="00E93F75">
        <w:rPr>
          <w:rFonts w:hint="cs"/>
          <w:b/>
          <w:bCs/>
          <w:sz w:val="28"/>
          <w:szCs w:val="28"/>
          <w:u w:val="single"/>
          <w:rtl/>
        </w:rPr>
        <w:t>התייחסות לאומי קארד להסתייגויות</w:t>
      </w:r>
      <w:r w:rsidR="00E432BD">
        <w:rPr>
          <w:rFonts w:hint="cs"/>
          <w:b/>
          <w:bCs/>
          <w:sz w:val="28"/>
          <w:szCs w:val="28"/>
          <w:u w:val="single"/>
          <w:rtl/>
        </w:rPr>
        <w:t xml:space="preserve"> להצעת חוק </w:t>
      </w:r>
      <w:r w:rsidR="00531D9E">
        <w:rPr>
          <w:rFonts w:hint="cs"/>
          <w:b/>
          <w:bCs/>
          <w:sz w:val="28"/>
          <w:szCs w:val="28"/>
          <w:u w:val="single"/>
          <w:rtl/>
        </w:rPr>
        <w:t>להגברת התחרות ולצמצום הריכוזיות בשוק הבנקאות בישראל (תיקוני חקיקה), התשע"ו-2016</w:t>
      </w:r>
    </w:p>
    <w:p w:rsidR="00E93F75" w:rsidRPr="00E93F75" w:rsidRDefault="00E93F75" w:rsidP="0066735A">
      <w:pPr>
        <w:jc w:val="center"/>
        <w:rPr>
          <w:b/>
          <w:bCs/>
          <w:sz w:val="28"/>
          <w:szCs w:val="28"/>
          <w:u w:val="single"/>
          <w:rtl/>
        </w:rPr>
      </w:pPr>
    </w:p>
    <w:p w:rsidR="00E93F75" w:rsidRPr="001109DB" w:rsidRDefault="00E93F75" w:rsidP="00E93F75">
      <w:pPr>
        <w:rPr>
          <w:color w:val="auto"/>
          <w:rtl/>
        </w:rPr>
      </w:pPr>
      <w:r w:rsidRPr="001109DB">
        <w:rPr>
          <w:rFonts w:hint="cs"/>
          <w:color w:val="auto"/>
          <w:rtl/>
        </w:rPr>
        <w:t xml:space="preserve">ראשית, יש לזכור כי מטרת </w:t>
      </w:r>
      <w:r w:rsidR="001109DB" w:rsidRPr="001109DB">
        <w:rPr>
          <w:rFonts w:hint="cs"/>
          <w:color w:val="auto"/>
          <w:rtl/>
        </w:rPr>
        <w:t>הצעת החוק</w:t>
      </w:r>
      <w:r w:rsidR="001109DB">
        <w:rPr>
          <w:rFonts w:hint="cs"/>
          <w:color w:val="auto"/>
          <w:rtl/>
        </w:rPr>
        <w:t xml:space="preserve"> בהתאם להמלצות הוועדה להגברת התחרות בשירותים בנקאיים ופיננסיים נפוצים (</w:t>
      </w:r>
      <w:r w:rsidRPr="001109DB">
        <w:rPr>
          <w:rFonts w:hint="cs"/>
          <w:color w:val="auto"/>
          <w:rtl/>
        </w:rPr>
        <w:t>ועדת שטרום</w:t>
      </w:r>
      <w:r w:rsidR="001109DB">
        <w:rPr>
          <w:rFonts w:hint="cs"/>
          <w:color w:val="auto"/>
          <w:rtl/>
        </w:rPr>
        <w:t xml:space="preserve">) </w:t>
      </w:r>
      <w:proofErr w:type="spellStart"/>
      <w:r w:rsidRPr="001109DB">
        <w:rPr>
          <w:rFonts w:hint="cs"/>
          <w:color w:val="auto"/>
          <w:rtl/>
        </w:rPr>
        <w:t>היתה</w:t>
      </w:r>
      <w:proofErr w:type="spellEnd"/>
      <w:r w:rsidR="001109DB">
        <w:rPr>
          <w:rFonts w:hint="cs"/>
          <w:color w:val="auto"/>
          <w:rtl/>
        </w:rPr>
        <w:t>, בין היתר,</w:t>
      </w:r>
      <w:r w:rsidRPr="001109DB">
        <w:rPr>
          <w:rFonts w:hint="cs"/>
          <w:color w:val="auto"/>
          <w:rtl/>
        </w:rPr>
        <w:t xml:space="preserve"> לחזק את חברות כרטיסי האשראי, באופן שיוכלו להתחרות בבנקים ולהוות אלטרנטיבה ראויה</w:t>
      </w:r>
      <w:r w:rsidR="001109DB">
        <w:rPr>
          <w:rFonts w:hint="cs"/>
          <w:color w:val="auto"/>
          <w:rtl/>
        </w:rPr>
        <w:t xml:space="preserve"> להגברת התחרות, כפי שעולה גם משם הוועדה</w:t>
      </w:r>
      <w:r w:rsidRPr="001109DB">
        <w:rPr>
          <w:rFonts w:hint="cs"/>
          <w:color w:val="auto"/>
          <w:rtl/>
        </w:rPr>
        <w:t xml:space="preserve">. </w:t>
      </w:r>
    </w:p>
    <w:p w:rsidR="00E93F75" w:rsidRPr="001109DB" w:rsidRDefault="00E93F75" w:rsidP="00391FC0">
      <w:pPr>
        <w:rPr>
          <w:color w:val="auto"/>
          <w:rtl/>
        </w:rPr>
      </w:pPr>
      <w:r w:rsidRPr="001109DB">
        <w:rPr>
          <w:rFonts w:hint="cs"/>
          <w:color w:val="auto"/>
          <w:rtl/>
        </w:rPr>
        <w:t>הנוסח המעודכן של הצעת החוק וה</w:t>
      </w:r>
      <w:r w:rsidR="006A0CBE">
        <w:rPr>
          <w:rFonts w:hint="cs"/>
          <w:color w:val="auto"/>
          <w:rtl/>
        </w:rPr>
        <w:t>ה</w:t>
      </w:r>
      <w:r w:rsidRPr="001109DB">
        <w:rPr>
          <w:rFonts w:hint="cs"/>
          <w:color w:val="auto"/>
          <w:rtl/>
        </w:rPr>
        <w:t xml:space="preserve">סתייגויות </w:t>
      </w:r>
      <w:r w:rsidR="006A0CBE">
        <w:rPr>
          <w:rFonts w:hint="cs"/>
          <w:color w:val="auto"/>
          <w:rtl/>
        </w:rPr>
        <w:t>ה</w:t>
      </w:r>
      <w:r w:rsidRPr="001109DB">
        <w:rPr>
          <w:rFonts w:hint="cs"/>
          <w:color w:val="auto"/>
          <w:rtl/>
        </w:rPr>
        <w:t xml:space="preserve">רבות </w:t>
      </w:r>
      <w:r w:rsidR="001109DB">
        <w:rPr>
          <w:rFonts w:hint="cs"/>
          <w:color w:val="auto"/>
          <w:rtl/>
        </w:rPr>
        <w:t xml:space="preserve">להצעת החוק </w:t>
      </w:r>
      <w:r w:rsidRPr="001109DB">
        <w:rPr>
          <w:rFonts w:hint="cs"/>
          <w:color w:val="auto"/>
          <w:rtl/>
        </w:rPr>
        <w:t xml:space="preserve">התעלמו מעובדה זו, והם </w:t>
      </w:r>
      <w:r w:rsidR="00391FC0">
        <w:rPr>
          <w:rFonts w:hint="cs"/>
          <w:color w:val="auto"/>
          <w:rtl/>
        </w:rPr>
        <w:t>יחלישו</w:t>
      </w:r>
      <w:r w:rsidRPr="001109DB">
        <w:rPr>
          <w:rFonts w:hint="cs"/>
          <w:color w:val="auto"/>
          <w:rtl/>
        </w:rPr>
        <w:t xml:space="preserve"> את חברות כרטיסי האשראי המופרדות כפי שנפרט להלן</w:t>
      </w:r>
      <w:r w:rsidR="00391FC0">
        <w:rPr>
          <w:rFonts w:hint="cs"/>
          <w:color w:val="auto"/>
          <w:rtl/>
        </w:rPr>
        <w:t xml:space="preserve"> ויפגעו ביכולתן התחרותית</w:t>
      </w:r>
      <w:r w:rsidRPr="001109DB">
        <w:rPr>
          <w:rFonts w:hint="cs"/>
          <w:color w:val="auto"/>
          <w:rtl/>
        </w:rPr>
        <w:t xml:space="preserve">. </w:t>
      </w:r>
    </w:p>
    <w:p w:rsidR="00E93F75" w:rsidRPr="001109DB" w:rsidRDefault="00E93F75" w:rsidP="00E93F75">
      <w:pPr>
        <w:jc w:val="left"/>
        <w:rPr>
          <w:rtl/>
        </w:rPr>
      </w:pPr>
    </w:p>
    <w:p w:rsidR="0006420D" w:rsidRPr="005C7DCF" w:rsidRDefault="00E93F75" w:rsidP="00685C51">
      <w:pPr>
        <w:pStyle w:val="aa"/>
        <w:numPr>
          <w:ilvl w:val="0"/>
          <w:numId w:val="20"/>
        </w:numPr>
        <w:rPr>
          <w:b/>
          <w:bCs/>
          <w:color w:val="7030A0"/>
          <w:u w:val="single"/>
          <w:rtl/>
        </w:rPr>
      </w:pPr>
      <w:r w:rsidRPr="005C7DCF">
        <w:rPr>
          <w:rFonts w:hint="cs"/>
          <w:b/>
          <w:bCs/>
          <w:color w:val="7030A0"/>
          <w:u w:val="single"/>
          <w:rtl/>
        </w:rPr>
        <w:t xml:space="preserve">הטלת חובה על הבנקים לקיים </w:t>
      </w:r>
      <w:r w:rsidR="0066735A" w:rsidRPr="005C7DCF">
        <w:rPr>
          <w:rFonts w:hint="cs"/>
          <w:b/>
          <w:bCs/>
          <w:color w:val="7030A0"/>
          <w:u w:val="single"/>
          <w:rtl/>
        </w:rPr>
        <w:t xml:space="preserve">הליך תחרותי </w:t>
      </w:r>
      <w:r w:rsidRPr="005C7DCF">
        <w:rPr>
          <w:rFonts w:hint="cs"/>
          <w:b/>
          <w:bCs/>
          <w:color w:val="7030A0"/>
          <w:u w:val="single"/>
          <w:rtl/>
        </w:rPr>
        <w:t xml:space="preserve">לבחירת החברות המתפעלות יביא </w:t>
      </w:r>
      <w:r w:rsidR="0066735A" w:rsidRPr="005C7DCF">
        <w:rPr>
          <w:rFonts w:hint="cs"/>
          <w:b/>
          <w:bCs/>
          <w:color w:val="7030A0"/>
          <w:u w:val="single"/>
          <w:rtl/>
        </w:rPr>
        <w:t>להתחזקות הבנקים על חשבון הבטחת בסיס הכנסה יציב לח</w:t>
      </w:r>
      <w:r w:rsidRPr="005C7DCF">
        <w:rPr>
          <w:rFonts w:hint="cs"/>
          <w:b/>
          <w:bCs/>
          <w:color w:val="7030A0"/>
          <w:u w:val="single"/>
          <w:rtl/>
        </w:rPr>
        <w:t xml:space="preserve">ברות כרטיסי אשראי </w:t>
      </w:r>
      <w:r w:rsidR="0066735A" w:rsidRPr="005C7DCF">
        <w:rPr>
          <w:rFonts w:hint="cs"/>
          <w:b/>
          <w:bCs/>
          <w:color w:val="7030A0"/>
          <w:u w:val="single"/>
          <w:rtl/>
        </w:rPr>
        <w:t>המופרדות</w:t>
      </w:r>
    </w:p>
    <w:p w:rsidR="00E51F07" w:rsidRDefault="00E51F07" w:rsidP="0006420D">
      <w:pPr>
        <w:rPr>
          <w:b/>
          <w:bCs/>
          <w:rtl/>
        </w:rPr>
      </w:pPr>
    </w:p>
    <w:p w:rsidR="00E93F75" w:rsidRDefault="00E93F75" w:rsidP="00DA3552">
      <w:pPr>
        <w:pStyle w:val="aa"/>
        <w:numPr>
          <w:ilvl w:val="0"/>
          <w:numId w:val="17"/>
        </w:numPr>
      </w:pPr>
      <w:r w:rsidRPr="001109DB">
        <w:rPr>
          <w:rFonts w:hint="cs"/>
          <w:rtl/>
        </w:rPr>
        <w:t xml:space="preserve">ההליך התחרותי ישפיע על חלוקת ההכנסות בין החברה המתפעלת לבין הבנק </w:t>
      </w:r>
      <w:r w:rsidR="001109DB" w:rsidRPr="00E51F07">
        <w:rPr>
          <w:rFonts w:hint="cs"/>
          <w:u w:val="single"/>
          <w:rtl/>
        </w:rPr>
        <w:t xml:space="preserve">ולא ישפיע כלל על </w:t>
      </w:r>
      <w:r w:rsidRPr="00E51F07">
        <w:rPr>
          <w:rFonts w:hint="cs"/>
          <w:u w:val="single"/>
          <w:rtl/>
        </w:rPr>
        <w:t xml:space="preserve">התשלומים שישלמו מחזיקי הכרטיס </w:t>
      </w:r>
      <w:r w:rsidR="001109DB" w:rsidRPr="00E51F07">
        <w:rPr>
          <w:rFonts w:hint="cs"/>
          <w:u w:val="single"/>
          <w:rtl/>
        </w:rPr>
        <w:t>והשירות שיקבלו</w:t>
      </w:r>
      <w:r w:rsidRPr="00E51F07">
        <w:rPr>
          <w:rFonts w:hint="cs"/>
          <w:u w:val="single"/>
          <w:rtl/>
        </w:rPr>
        <w:t xml:space="preserve">. </w:t>
      </w:r>
    </w:p>
    <w:p w:rsidR="00685C51" w:rsidRPr="001109DB" w:rsidRDefault="00685C51" w:rsidP="00685C51">
      <w:pPr>
        <w:pStyle w:val="aa"/>
        <w:ind w:left="1080"/>
      </w:pPr>
    </w:p>
    <w:p w:rsidR="0066735A" w:rsidRPr="0066735A" w:rsidRDefault="00E93F75" w:rsidP="00DA3552">
      <w:pPr>
        <w:pStyle w:val="aa"/>
        <w:numPr>
          <w:ilvl w:val="0"/>
          <w:numId w:val="17"/>
        </w:numPr>
        <w:rPr>
          <w:rtl/>
        </w:rPr>
      </w:pPr>
      <w:r w:rsidRPr="001109DB">
        <w:rPr>
          <w:rFonts w:hint="cs"/>
          <w:rtl/>
        </w:rPr>
        <w:t xml:space="preserve">הדבר יוביל לתחרות </w:t>
      </w:r>
      <w:r w:rsidRPr="001109DB">
        <w:rPr>
          <w:rFonts w:hint="cs"/>
          <w:u w:val="single"/>
          <w:rtl/>
        </w:rPr>
        <w:t>בחלוקת ההכנסות בלבד בין הבנקים לחברות המתפעלות</w:t>
      </w:r>
      <w:r w:rsidRPr="001109DB">
        <w:rPr>
          <w:rFonts w:hint="cs"/>
          <w:rtl/>
        </w:rPr>
        <w:t xml:space="preserve"> (כאשר הבנק הוא הצד החזק), באופן שחברה </w:t>
      </w:r>
      <w:r w:rsidR="001109DB">
        <w:rPr>
          <w:rFonts w:hint="cs"/>
          <w:rtl/>
        </w:rPr>
        <w:t xml:space="preserve">מתפעלת </w:t>
      </w:r>
      <w:r w:rsidRPr="001109DB">
        <w:rPr>
          <w:rFonts w:hint="cs"/>
          <w:rtl/>
        </w:rPr>
        <w:t>שתציע לבנק חלק גדול יותר מההכנסה תהא זו שהבנק יבחר להתקשר עמה. ל</w:t>
      </w:r>
      <w:r w:rsidR="0066735A" w:rsidRPr="001109DB">
        <w:rPr>
          <w:rFonts w:hint="cs"/>
          <w:rtl/>
        </w:rPr>
        <w:t>אור</w:t>
      </w:r>
      <w:r w:rsidR="0066735A" w:rsidRPr="00E93F75">
        <w:rPr>
          <w:rFonts w:hint="cs"/>
          <w:rtl/>
        </w:rPr>
        <w:t xml:space="preserve"> הנחיתות של </w:t>
      </w:r>
      <w:r w:rsidRPr="00E93F75">
        <w:rPr>
          <w:rFonts w:hint="cs"/>
          <w:rtl/>
        </w:rPr>
        <w:t xml:space="preserve">החברות שיופרדו ביחס </w:t>
      </w:r>
      <w:proofErr w:type="spellStart"/>
      <w:r w:rsidRPr="00E93F75">
        <w:rPr>
          <w:rFonts w:hint="cs"/>
          <w:rtl/>
        </w:rPr>
        <w:t>לכא"ל</w:t>
      </w:r>
      <w:proofErr w:type="spellEnd"/>
      <w:r w:rsidRPr="00E93F75">
        <w:rPr>
          <w:rFonts w:hint="cs"/>
          <w:rtl/>
        </w:rPr>
        <w:t xml:space="preserve"> שלא תחול עליה חובת ההיפרדות, </w:t>
      </w:r>
      <w:proofErr w:type="spellStart"/>
      <w:r w:rsidRPr="00E93F75">
        <w:rPr>
          <w:rFonts w:hint="cs"/>
          <w:rtl/>
        </w:rPr>
        <w:t>כ</w:t>
      </w:r>
      <w:r w:rsidR="0066735A" w:rsidRPr="00E93F75">
        <w:rPr>
          <w:rFonts w:hint="cs"/>
          <w:rtl/>
        </w:rPr>
        <w:t>א"ל</w:t>
      </w:r>
      <w:proofErr w:type="spellEnd"/>
      <w:r w:rsidR="0066735A" w:rsidRPr="00E93F75">
        <w:rPr>
          <w:rFonts w:hint="cs"/>
          <w:rtl/>
        </w:rPr>
        <w:t xml:space="preserve"> שת</w:t>
      </w:r>
      <w:r w:rsidR="00DA3552" w:rsidRPr="00E93F75">
        <w:rPr>
          <w:rFonts w:hint="cs"/>
          <w:rtl/>
        </w:rPr>
        <w:t>י</w:t>
      </w:r>
      <w:r w:rsidR="0066735A" w:rsidRPr="00E93F75">
        <w:rPr>
          <w:rFonts w:hint="cs"/>
          <w:rtl/>
        </w:rPr>
        <w:t xml:space="preserve">וותר </w:t>
      </w:r>
      <w:r w:rsidRPr="00E93F75">
        <w:rPr>
          <w:rFonts w:hint="cs"/>
          <w:rtl/>
        </w:rPr>
        <w:t>החברה המתפעלת ה</w:t>
      </w:r>
      <w:r w:rsidR="0066735A" w:rsidRPr="00E93F75">
        <w:rPr>
          <w:rFonts w:hint="cs"/>
          <w:rtl/>
        </w:rPr>
        <w:t>יחידה עם בסיס הון ואיתנות בתור חברה המוחזקת על-ידי בנקים, ת</w:t>
      </w:r>
      <w:r w:rsidRPr="00E93F75">
        <w:rPr>
          <w:rFonts w:hint="cs"/>
          <w:rtl/>
        </w:rPr>
        <w:t xml:space="preserve">וכל להציע חלוקת הכנסות שתיטיב עם הבנקים (גם ביחס להסכמי </w:t>
      </w:r>
      <w:r w:rsidR="0066735A" w:rsidRPr="00E93F75">
        <w:rPr>
          <w:rFonts w:hint="cs"/>
          <w:rtl/>
        </w:rPr>
        <w:t>התפעול הקיימים</w:t>
      </w:r>
      <w:r w:rsidRPr="00E93F75">
        <w:rPr>
          <w:rFonts w:hint="cs"/>
          <w:rtl/>
        </w:rPr>
        <w:t xml:space="preserve">, </w:t>
      </w:r>
      <w:r w:rsidR="0066735A" w:rsidRPr="00E93F75">
        <w:rPr>
          <w:rFonts w:hint="cs"/>
          <w:rtl/>
        </w:rPr>
        <w:t>למשל בין בנק לאומי ללאומי קארד)</w:t>
      </w:r>
      <w:r w:rsidRPr="00E93F75">
        <w:rPr>
          <w:rFonts w:hint="cs"/>
          <w:rtl/>
        </w:rPr>
        <w:t xml:space="preserve">. יוצא אפוא, כי </w:t>
      </w:r>
      <w:proofErr w:type="spellStart"/>
      <w:r w:rsidRPr="00E93F75">
        <w:rPr>
          <w:rFonts w:hint="cs"/>
          <w:rtl/>
        </w:rPr>
        <w:t>כא"ל</w:t>
      </w:r>
      <w:proofErr w:type="spellEnd"/>
      <w:r w:rsidRPr="00E93F75">
        <w:rPr>
          <w:rFonts w:hint="cs"/>
          <w:rtl/>
        </w:rPr>
        <w:t xml:space="preserve"> והבנקים יתחזקו על</w:t>
      </w:r>
      <w:r>
        <w:rPr>
          <w:rFonts w:hint="cs"/>
          <w:rtl/>
        </w:rPr>
        <w:t xml:space="preserve"> חשבון יתר החברות המתפעלות, </w:t>
      </w:r>
      <w:r w:rsidR="0066735A" w:rsidRPr="0066735A">
        <w:rPr>
          <w:rFonts w:hint="cs"/>
          <w:rtl/>
        </w:rPr>
        <w:t>וזאת ללא קשר לעמלות של מחזיקי הכרטיס או לאיכות השירות שיינתן להם.</w:t>
      </w:r>
    </w:p>
    <w:p w:rsidR="0006420D" w:rsidRDefault="0006420D" w:rsidP="00CA492D">
      <w:pPr>
        <w:rPr>
          <w:b/>
          <w:bCs/>
          <w:rtl/>
        </w:rPr>
      </w:pPr>
    </w:p>
    <w:p w:rsidR="0006420D" w:rsidRPr="005C7DCF" w:rsidRDefault="0006420D" w:rsidP="00685C51">
      <w:pPr>
        <w:pStyle w:val="aa"/>
        <w:numPr>
          <w:ilvl w:val="0"/>
          <w:numId w:val="20"/>
        </w:numPr>
        <w:rPr>
          <w:b/>
          <w:bCs/>
          <w:color w:val="7030A0"/>
          <w:u w:val="single"/>
          <w:rtl/>
        </w:rPr>
      </w:pPr>
      <w:r w:rsidRPr="005C7DCF">
        <w:rPr>
          <w:rFonts w:hint="cs"/>
          <w:b/>
          <w:bCs/>
          <w:color w:val="7030A0"/>
          <w:u w:val="single"/>
          <w:rtl/>
        </w:rPr>
        <w:t>סולק מתארח</w:t>
      </w:r>
      <w:r w:rsidR="00E93F75" w:rsidRPr="005C7DCF">
        <w:rPr>
          <w:rFonts w:hint="cs"/>
          <w:b/>
          <w:bCs/>
          <w:color w:val="7030A0"/>
          <w:u w:val="single"/>
          <w:rtl/>
        </w:rPr>
        <w:t xml:space="preserve"> </w:t>
      </w:r>
      <w:r w:rsidR="0087276A" w:rsidRPr="005C7DCF">
        <w:rPr>
          <w:rFonts w:hint="cs"/>
          <w:b/>
          <w:bCs/>
          <w:color w:val="7030A0"/>
          <w:u w:val="single"/>
          <w:rtl/>
        </w:rPr>
        <w:t xml:space="preserve">(חדש) </w:t>
      </w:r>
      <w:r w:rsidR="00E93F75" w:rsidRPr="005C7DCF">
        <w:rPr>
          <w:rFonts w:hint="cs"/>
          <w:b/>
          <w:bCs/>
          <w:color w:val="7030A0"/>
          <w:u w:val="single"/>
          <w:rtl/>
        </w:rPr>
        <w:t>וחובת סליקה עבור כל דורש</w:t>
      </w:r>
    </w:p>
    <w:p w:rsidR="0087276A" w:rsidRDefault="0087276A" w:rsidP="00E51F07">
      <w:pPr>
        <w:pStyle w:val="aa"/>
        <w:ind w:left="360"/>
      </w:pPr>
    </w:p>
    <w:p w:rsidR="00954272" w:rsidRDefault="00466FDF" w:rsidP="00E51F07">
      <w:pPr>
        <w:pStyle w:val="aa"/>
        <w:numPr>
          <w:ilvl w:val="0"/>
          <w:numId w:val="17"/>
        </w:numPr>
        <w:rPr>
          <w:rtl/>
        </w:rPr>
      </w:pPr>
      <w:r w:rsidRPr="001109DB">
        <w:rPr>
          <w:rFonts w:hint="cs"/>
          <w:rtl/>
        </w:rPr>
        <w:t xml:space="preserve"> </w:t>
      </w:r>
      <w:r w:rsidR="0006420D" w:rsidRPr="00E51F07">
        <w:rPr>
          <w:rFonts w:hint="cs"/>
          <w:rtl/>
        </w:rPr>
        <w:t>יש ל</w:t>
      </w:r>
      <w:r w:rsidR="00E93F75" w:rsidRPr="00E51F07">
        <w:rPr>
          <w:rFonts w:hint="cs"/>
          <w:rtl/>
        </w:rPr>
        <w:t xml:space="preserve">התנות את ההתקשרות עם </w:t>
      </w:r>
      <w:r w:rsidR="0006420D" w:rsidRPr="00E51F07">
        <w:rPr>
          <w:rFonts w:hint="cs"/>
          <w:rtl/>
        </w:rPr>
        <w:t>סולק חדש</w:t>
      </w:r>
      <w:r w:rsidR="00B85FEE" w:rsidRPr="00E51F07">
        <w:rPr>
          <w:rFonts w:hint="cs"/>
          <w:rtl/>
        </w:rPr>
        <w:t>,</w:t>
      </w:r>
      <w:r w:rsidR="0006420D" w:rsidRPr="00E51F07">
        <w:rPr>
          <w:rFonts w:hint="cs"/>
          <w:rtl/>
        </w:rPr>
        <w:t xml:space="preserve"> כתנאי לקבלת שירותי תפעול</w:t>
      </w:r>
      <w:r w:rsidR="00B85FEE" w:rsidRPr="001109DB">
        <w:rPr>
          <w:rFonts w:hint="cs"/>
          <w:b/>
          <w:bCs/>
          <w:rtl/>
        </w:rPr>
        <w:t>, לקבל</w:t>
      </w:r>
      <w:r w:rsidR="0006420D" w:rsidRPr="001109DB">
        <w:rPr>
          <w:rFonts w:hint="cs"/>
          <w:b/>
          <w:bCs/>
          <w:rtl/>
        </w:rPr>
        <w:t xml:space="preserve"> </w:t>
      </w:r>
      <w:r w:rsidRPr="001109DB">
        <w:rPr>
          <w:rFonts w:hint="cs"/>
          <w:b/>
          <w:bCs/>
          <w:rtl/>
        </w:rPr>
        <w:t xml:space="preserve">כל </w:t>
      </w:r>
      <w:r w:rsidR="0006420D" w:rsidRPr="001109DB">
        <w:rPr>
          <w:rFonts w:hint="cs"/>
          <w:b/>
          <w:bCs/>
          <w:rtl/>
        </w:rPr>
        <w:t>רישיון</w:t>
      </w:r>
      <w:r w:rsidRPr="001109DB">
        <w:rPr>
          <w:rFonts w:hint="cs"/>
          <w:b/>
          <w:bCs/>
          <w:rtl/>
        </w:rPr>
        <w:t xml:space="preserve"> רלוונטי</w:t>
      </w:r>
      <w:r w:rsidRPr="001109DB">
        <w:rPr>
          <w:rFonts w:hint="cs"/>
          <w:rtl/>
        </w:rPr>
        <w:t xml:space="preserve">, </w:t>
      </w:r>
      <w:r w:rsidR="001109DB">
        <w:rPr>
          <w:rFonts w:hint="cs"/>
          <w:rtl/>
        </w:rPr>
        <w:t>ובין היתר הרישיונות הבאים</w:t>
      </w:r>
      <w:r w:rsidRPr="001109DB">
        <w:rPr>
          <w:rFonts w:hint="cs"/>
          <w:b/>
          <w:bCs/>
          <w:rtl/>
        </w:rPr>
        <w:t xml:space="preserve">: רישיון סליקה מבנק ישראל; </w:t>
      </w:r>
      <w:r w:rsidR="0006420D" w:rsidRPr="001109DB">
        <w:rPr>
          <w:rFonts w:hint="cs"/>
          <w:b/>
          <w:bCs/>
          <w:rtl/>
        </w:rPr>
        <w:t>רישיון מהארגונים הבינ"ל הרלוונטיים</w:t>
      </w:r>
      <w:r w:rsidR="0006420D" w:rsidRPr="00B85FEE">
        <w:rPr>
          <w:rFonts w:hint="cs"/>
          <w:rtl/>
        </w:rPr>
        <w:t xml:space="preserve"> (ויזה, מסטרקארד וכל מותג רלוונטי אחר)</w:t>
      </w:r>
      <w:r w:rsidR="00E51F07">
        <w:rPr>
          <w:rFonts w:hint="cs"/>
          <w:rtl/>
        </w:rPr>
        <w:t xml:space="preserve">. עבודה ללא רישיון מהארגונים הבינלאומיים יכולה להביא את </w:t>
      </w:r>
      <w:r>
        <w:rPr>
          <w:rFonts w:hint="cs"/>
          <w:rtl/>
        </w:rPr>
        <w:t>ח</w:t>
      </w:r>
      <w:r w:rsidR="00E93F75">
        <w:rPr>
          <w:rFonts w:hint="cs"/>
          <w:rtl/>
        </w:rPr>
        <w:t>ברות כרטיסי אשראי</w:t>
      </w:r>
      <w:r>
        <w:rPr>
          <w:rFonts w:hint="cs"/>
          <w:rtl/>
        </w:rPr>
        <w:t xml:space="preserve"> </w:t>
      </w:r>
      <w:r w:rsidR="00E51F07">
        <w:rPr>
          <w:rFonts w:hint="cs"/>
          <w:rtl/>
        </w:rPr>
        <w:t xml:space="preserve">להיות </w:t>
      </w:r>
      <w:r>
        <w:rPr>
          <w:rFonts w:hint="cs"/>
          <w:rtl/>
        </w:rPr>
        <w:t>חשופות לקנסות ו</w:t>
      </w:r>
      <w:r w:rsidR="001109DB">
        <w:rPr>
          <w:rFonts w:hint="cs"/>
          <w:rtl/>
        </w:rPr>
        <w:t>ל</w:t>
      </w:r>
      <w:r>
        <w:rPr>
          <w:rFonts w:hint="cs"/>
          <w:rtl/>
        </w:rPr>
        <w:t xml:space="preserve">סנקציות עקב פעילות </w:t>
      </w:r>
      <w:proofErr w:type="spellStart"/>
      <w:r>
        <w:rPr>
          <w:rFonts w:hint="cs"/>
          <w:rtl/>
        </w:rPr>
        <w:t>הסולק</w:t>
      </w:r>
      <w:proofErr w:type="spellEnd"/>
      <w:r>
        <w:rPr>
          <w:rFonts w:hint="cs"/>
          <w:rtl/>
        </w:rPr>
        <w:t xml:space="preserve"> </w:t>
      </w:r>
      <w:r w:rsidR="0087276A">
        <w:rPr>
          <w:rFonts w:hint="cs"/>
          <w:rtl/>
        </w:rPr>
        <w:t xml:space="preserve">החדש </w:t>
      </w:r>
      <w:r>
        <w:rPr>
          <w:rFonts w:hint="cs"/>
          <w:rtl/>
        </w:rPr>
        <w:t>בניגוד לכלליהם</w:t>
      </w:r>
      <w:r w:rsidR="0087276A">
        <w:rPr>
          <w:rFonts w:hint="cs"/>
          <w:rtl/>
        </w:rPr>
        <w:t xml:space="preserve"> (לדוגמא: קנסות, עיצומים ואף להליכים פליליים בשל הפרות של חוקי איסור הלבנת הון ומימון טרור)</w:t>
      </w:r>
      <w:r>
        <w:rPr>
          <w:rFonts w:hint="cs"/>
          <w:rtl/>
        </w:rPr>
        <w:t>;</w:t>
      </w:r>
      <w:r w:rsidR="00E51F07">
        <w:rPr>
          <w:rFonts w:hint="cs"/>
          <w:rtl/>
        </w:rPr>
        <w:t xml:space="preserve"> כמו </w:t>
      </w:r>
      <w:r>
        <w:rPr>
          <w:rFonts w:hint="cs"/>
          <w:rtl/>
        </w:rPr>
        <w:t xml:space="preserve">כן </w:t>
      </w:r>
      <w:r w:rsidR="00E51F07">
        <w:rPr>
          <w:rFonts w:hint="cs"/>
          <w:b/>
          <w:bCs/>
          <w:rtl/>
        </w:rPr>
        <w:t>יידרש א</w:t>
      </w:r>
      <w:r w:rsidRPr="001109DB">
        <w:rPr>
          <w:rFonts w:hint="cs"/>
          <w:b/>
          <w:bCs/>
          <w:rtl/>
        </w:rPr>
        <w:t>ישור מראש של הממונה על ההגבלים העסקיים</w:t>
      </w:r>
      <w:r>
        <w:rPr>
          <w:rFonts w:hint="cs"/>
          <w:rtl/>
        </w:rPr>
        <w:t xml:space="preserve"> (שכן המדובר ב</w:t>
      </w:r>
      <w:r w:rsidR="00036C0C">
        <w:rPr>
          <w:rFonts w:hint="cs"/>
          <w:rtl/>
        </w:rPr>
        <w:t xml:space="preserve">התקשרות בין מתחרים); </w:t>
      </w:r>
    </w:p>
    <w:p w:rsidR="00954272" w:rsidRDefault="00954272">
      <w:pPr>
        <w:bidi w:val="0"/>
        <w:spacing w:line="240" w:lineRule="auto"/>
        <w:jc w:val="left"/>
        <w:rPr>
          <w:rtl/>
        </w:rPr>
      </w:pPr>
      <w:r>
        <w:rPr>
          <w:rtl/>
        </w:rPr>
        <w:br w:type="page"/>
      </w:r>
    </w:p>
    <w:p w:rsidR="0006420D" w:rsidRDefault="001109DB" w:rsidP="00954272">
      <w:pPr>
        <w:pStyle w:val="aa"/>
        <w:numPr>
          <w:ilvl w:val="0"/>
          <w:numId w:val="17"/>
        </w:numPr>
      </w:pPr>
      <w:r>
        <w:rPr>
          <w:rFonts w:hint="cs"/>
          <w:rtl/>
        </w:rPr>
        <w:lastRenderedPageBreak/>
        <w:t xml:space="preserve">על </w:t>
      </w:r>
      <w:proofErr w:type="spellStart"/>
      <w:r>
        <w:rPr>
          <w:rFonts w:hint="cs"/>
          <w:rtl/>
        </w:rPr>
        <w:t>הסולק</w:t>
      </w:r>
      <w:proofErr w:type="spellEnd"/>
      <w:r>
        <w:rPr>
          <w:rFonts w:hint="cs"/>
          <w:rtl/>
        </w:rPr>
        <w:t xml:space="preserve"> המתארח לה</w:t>
      </w:r>
      <w:r w:rsidR="00E93F75" w:rsidRPr="001109DB">
        <w:rPr>
          <w:rFonts w:hint="cs"/>
          <w:rtl/>
        </w:rPr>
        <w:t xml:space="preserve">וכיח </w:t>
      </w:r>
      <w:r w:rsidR="00E93F75" w:rsidRPr="001109DB">
        <w:rPr>
          <w:rFonts w:hint="cs"/>
          <w:b/>
          <w:bCs/>
          <w:rtl/>
        </w:rPr>
        <w:t>קיום תשתית ותהליכים נאותים לניהול הפעילות</w:t>
      </w:r>
      <w:r w:rsidR="00E93F75" w:rsidRPr="001109DB">
        <w:rPr>
          <w:rFonts w:hint="cs"/>
          <w:rtl/>
        </w:rPr>
        <w:t xml:space="preserve"> בהיבטי איסור הלבנת הון, מניעת הונאות ואבטחת מידע ו</w:t>
      </w:r>
      <w:r>
        <w:rPr>
          <w:rFonts w:hint="cs"/>
          <w:rtl/>
        </w:rPr>
        <w:t>ל</w:t>
      </w:r>
      <w:r w:rsidR="00036C0C" w:rsidRPr="001109DB">
        <w:rPr>
          <w:rFonts w:hint="cs"/>
          <w:rtl/>
        </w:rPr>
        <w:t>פע</w:t>
      </w:r>
      <w:r>
        <w:rPr>
          <w:rFonts w:hint="cs"/>
          <w:rtl/>
        </w:rPr>
        <w:t>ו</w:t>
      </w:r>
      <w:r w:rsidR="00036C0C" w:rsidRPr="001109DB">
        <w:rPr>
          <w:rFonts w:hint="cs"/>
          <w:rtl/>
        </w:rPr>
        <w:t>ל בהתאם לכללי הממשק המקומי הנהוגים כיום לרבות לעניין הליכי</w:t>
      </w:r>
      <w:r w:rsidR="00E93F75" w:rsidRPr="001109DB">
        <w:rPr>
          <w:rFonts w:hint="cs"/>
          <w:rtl/>
        </w:rPr>
        <w:t xml:space="preserve"> ביטול עסקה (</w:t>
      </w:r>
      <w:r w:rsidR="00E93F75" w:rsidRPr="001109DB">
        <w:t>charge back</w:t>
      </w:r>
      <w:r w:rsidR="00E93F75" w:rsidRPr="001109DB">
        <w:rPr>
          <w:rFonts w:hint="cs"/>
          <w:rtl/>
        </w:rPr>
        <w:t xml:space="preserve">) כפי שמוגדר על-ידי הארגונים הבינלאומיים </w:t>
      </w:r>
      <w:r w:rsidR="00036C0C" w:rsidRPr="001109DB">
        <w:rPr>
          <w:rFonts w:hint="cs"/>
          <w:rtl/>
        </w:rPr>
        <w:t>והגדרות ניהול סיכונים.</w:t>
      </w:r>
    </w:p>
    <w:p w:rsidR="00E51F07" w:rsidRPr="00B85FEE" w:rsidRDefault="00E51F07" w:rsidP="00E51F07">
      <w:pPr>
        <w:pStyle w:val="aa"/>
        <w:ind w:left="360"/>
      </w:pPr>
    </w:p>
    <w:p w:rsidR="0006420D" w:rsidRPr="00B85FEE" w:rsidRDefault="00B85FEE" w:rsidP="006A0CBE">
      <w:pPr>
        <w:pStyle w:val="aa"/>
        <w:numPr>
          <w:ilvl w:val="0"/>
          <w:numId w:val="17"/>
        </w:numPr>
      </w:pPr>
      <w:r w:rsidRPr="00B85FEE">
        <w:rPr>
          <w:rFonts w:hint="cs"/>
          <w:rtl/>
        </w:rPr>
        <w:t xml:space="preserve">לעניין סעיף ט  - יש להוריד את הרף להפסקת החיוב של </w:t>
      </w:r>
      <w:proofErr w:type="spellStart"/>
      <w:r w:rsidRPr="00B85FEE">
        <w:rPr>
          <w:rFonts w:hint="cs"/>
          <w:rtl/>
        </w:rPr>
        <w:t>הסולק</w:t>
      </w:r>
      <w:proofErr w:type="spellEnd"/>
      <w:r w:rsidRPr="00B85FEE">
        <w:rPr>
          <w:rFonts w:hint="cs"/>
          <w:rtl/>
        </w:rPr>
        <w:t xml:space="preserve"> המארח להמשיך ולתת שירותי סליקה, מ85% מהשוק, ל-50% לכל היותר. </w:t>
      </w:r>
      <w:r w:rsidR="00466FDF">
        <w:rPr>
          <w:rFonts w:hint="cs"/>
          <w:rtl/>
        </w:rPr>
        <w:t xml:space="preserve"> על הפתרון להיות פתרון זמני בלבד עד מעבר השוק לתקן </w:t>
      </w:r>
      <w:r w:rsidR="00466FDF">
        <w:rPr>
          <w:rFonts w:hint="cs"/>
        </w:rPr>
        <w:t>EMV</w:t>
      </w:r>
      <w:r w:rsidR="00466FDF">
        <w:rPr>
          <w:rFonts w:hint="cs"/>
          <w:rtl/>
        </w:rPr>
        <w:t xml:space="preserve">, שיאפשר </w:t>
      </w:r>
      <w:proofErr w:type="spellStart"/>
      <w:r w:rsidR="00466FDF">
        <w:rPr>
          <w:rFonts w:hint="cs"/>
          <w:rtl/>
        </w:rPr>
        <w:t>לסולק</w:t>
      </w:r>
      <w:proofErr w:type="spellEnd"/>
      <w:r w:rsidR="00466FDF">
        <w:rPr>
          <w:rFonts w:hint="cs"/>
          <w:rtl/>
        </w:rPr>
        <w:t xml:space="preserve"> החדש להתחבר ישירות למערכות שב"א</w:t>
      </w:r>
      <w:r w:rsidR="00FF4214">
        <w:rPr>
          <w:rFonts w:hint="cs"/>
          <w:rtl/>
        </w:rPr>
        <w:t xml:space="preserve">. </w:t>
      </w:r>
      <w:r w:rsidR="00466FDF" w:rsidRPr="00E93F75">
        <w:rPr>
          <w:rFonts w:hint="cs"/>
          <w:rtl/>
        </w:rPr>
        <w:t xml:space="preserve">המשך מתן שירותי התפעול </w:t>
      </w:r>
      <w:r w:rsidR="00466FDF" w:rsidRPr="00FF4214">
        <w:rPr>
          <w:rFonts w:hint="cs"/>
          <w:b/>
          <w:bCs/>
          <w:rtl/>
        </w:rPr>
        <w:t xml:space="preserve">תאיין </w:t>
      </w:r>
      <w:r w:rsidR="0066735A" w:rsidRPr="00FF4214">
        <w:rPr>
          <w:rFonts w:hint="cs"/>
          <w:b/>
          <w:bCs/>
          <w:rtl/>
        </w:rPr>
        <w:t xml:space="preserve">את התמריץ לבתי העסק לעבור לתקן </w:t>
      </w:r>
      <w:r w:rsidR="0066735A" w:rsidRPr="00FF4214">
        <w:rPr>
          <w:rFonts w:hint="cs"/>
          <w:b/>
          <w:bCs/>
        </w:rPr>
        <w:t>EMV</w:t>
      </w:r>
      <w:r w:rsidR="00E93F75" w:rsidRPr="001109DB">
        <w:rPr>
          <w:rFonts w:hint="cs"/>
          <w:rtl/>
        </w:rPr>
        <w:t xml:space="preserve"> </w:t>
      </w:r>
      <w:r w:rsidR="00FF4214">
        <w:rPr>
          <w:rFonts w:hint="cs"/>
          <w:rtl/>
        </w:rPr>
        <w:t>(</w:t>
      </w:r>
      <w:r w:rsidR="00E93F75" w:rsidRPr="001109DB">
        <w:rPr>
          <w:rFonts w:hint="cs"/>
          <w:rtl/>
        </w:rPr>
        <w:t>שהוא תקן רצוי שיאפשר ביצוע עסקאות באופן מאובטח יותר ויסייע בהקטנת הונאות בכרטיסי</w:t>
      </w:r>
      <w:r w:rsidR="00E93F75">
        <w:rPr>
          <w:rFonts w:hint="cs"/>
          <w:rtl/>
        </w:rPr>
        <w:t>ם</w:t>
      </w:r>
      <w:r w:rsidR="00E93F75" w:rsidRPr="001109DB">
        <w:rPr>
          <w:rFonts w:hint="cs"/>
          <w:rtl/>
        </w:rPr>
        <w:t>)</w:t>
      </w:r>
      <w:r w:rsidR="0066735A" w:rsidRPr="001109DB">
        <w:rPr>
          <w:rFonts w:hint="cs"/>
          <w:rtl/>
        </w:rPr>
        <w:t>.</w:t>
      </w:r>
      <w:r w:rsidR="001109DB" w:rsidRPr="001109DB">
        <w:rPr>
          <w:rFonts w:hint="cs"/>
          <w:rtl/>
        </w:rPr>
        <w:t xml:space="preserve"> </w:t>
      </w:r>
      <w:r w:rsidR="00FF4214">
        <w:rPr>
          <w:rFonts w:hint="cs"/>
          <w:rtl/>
        </w:rPr>
        <w:t>אנו מעריכים שק</w:t>
      </w:r>
      <w:r w:rsidR="006A0CBE">
        <w:rPr>
          <w:rFonts w:hint="cs"/>
          <w:rtl/>
        </w:rPr>
        <w:t>צ</w:t>
      </w:r>
      <w:r w:rsidR="00FF4214">
        <w:rPr>
          <w:rFonts w:hint="cs"/>
          <w:rtl/>
        </w:rPr>
        <w:t xml:space="preserve">ב הסבת השוק יואץ עכשיו לאור העובדה כי </w:t>
      </w:r>
      <w:r w:rsidR="001109DB" w:rsidRPr="00B85FEE">
        <w:rPr>
          <w:rFonts w:hint="cs"/>
          <w:rtl/>
        </w:rPr>
        <w:t xml:space="preserve">בנק ישראל מחייב פריסת מסופים </w:t>
      </w:r>
      <w:r w:rsidR="001109DB">
        <w:rPr>
          <w:rFonts w:hint="cs"/>
          <w:rtl/>
        </w:rPr>
        <w:t xml:space="preserve">חדשים </w:t>
      </w:r>
      <w:r w:rsidR="001109DB" w:rsidRPr="00B85FEE">
        <w:rPr>
          <w:rFonts w:hint="cs"/>
          <w:rtl/>
        </w:rPr>
        <w:t xml:space="preserve">התומכים בתקן </w:t>
      </w:r>
      <w:r w:rsidR="001109DB" w:rsidRPr="00B85FEE">
        <w:rPr>
          <w:rFonts w:hint="cs"/>
        </w:rPr>
        <w:t>EMV</w:t>
      </w:r>
      <w:r w:rsidR="001109DB" w:rsidRPr="00B85FEE">
        <w:rPr>
          <w:rFonts w:hint="cs"/>
          <w:rtl/>
        </w:rPr>
        <w:t xml:space="preserve"> החל מיום 1.1.17</w:t>
      </w:r>
      <w:r w:rsidR="001109DB">
        <w:rPr>
          <w:rStyle w:val="ab"/>
          <w:rtl/>
        </w:rPr>
        <w:footnoteReference w:id="1"/>
      </w:r>
      <w:r w:rsidR="001109DB">
        <w:rPr>
          <w:rFonts w:hint="cs"/>
          <w:rtl/>
        </w:rPr>
        <w:t>.</w:t>
      </w:r>
    </w:p>
    <w:p w:rsidR="005C42C1" w:rsidRDefault="005C42C1" w:rsidP="00E51F07">
      <w:pPr>
        <w:pStyle w:val="aa"/>
        <w:ind w:left="360"/>
      </w:pPr>
    </w:p>
    <w:p w:rsidR="00F713F7" w:rsidRDefault="00FF4214" w:rsidP="00FF4214">
      <w:pPr>
        <w:pStyle w:val="aa"/>
        <w:numPr>
          <w:ilvl w:val="0"/>
          <w:numId w:val="17"/>
        </w:numPr>
      </w:pPr>
      <w:r>
        <w:rPr>
          <w:rFonts w:hint="cs"/>
          <w:rtl/>
        </w:rPr>
        <w:t xml:space="preserve">הטלת חובה על </w:t>
      </w:r>
      <w:r w:rsidR="00F713F7">
        <w:rPr>
          <w:rFonts w:hint="cs"/>
          <w:rtl/>
        </w:rPr>
        <w:t>חבר</w:t>
      </w:r>
      <w:r>
        <w:rPr>
          <w:rFonts w:hint="cs"/>
          <w:rtl/>
        </w:rPr>
        <w:t>ו</w:t>
      </w:r>
      <w:r w:rsidR="00F713F7">
        <w:rPr>
          <w:rFonts w:hint="cs"/>
          <w:rtl/>
        </w:rPr>
        <w:t xml:space="preserve">ת כרטיסי </w:t>
      </w:r>
      <w:r>
        <w:rPr>
          <w:rFonts w:hint="cs"/>
          <w:rtl/>
        </w:rPr>
        <w:t>ה</w:t>
      </w:r>
      <w:r w:rsidR="00F713F7">
        <w:rPr>
          <w:rFonts w:hint="cs"/>
          <w:rtl/>
        </w:rPr>
        <w:t xml:space="preserve">אשראי </w:t>
      </w:r>
      <w:r>
        <w:rPr>
          <w:rFonts w:hint="cs"/>
          <w:rtl/>
        </w:rPr>
        <w:t xml:space="preserve">המופרדות </w:t>
      </w:r>
      <w:r w:rsidR="00F713F7">
        <w:rPr>
          <w:rFonts w:hint="cs"/>
          <w:rtl/>
        </w:rPr>
        <w:t>לתפעל סליקה עבור סולק מתארח (וממילא עבור כל גוף שידרוש זאת) תהפוך א</w:t>
      </w:r>
      <w:r>
        <w:rPr>
          <w:rFonts w:hint="cs"/>
          <w:rtl/>
        </w:rPr>
        <w:t>ותן</w:t>
      </w:r>
      <w:r w:rsidR="00F713F7">
        <w:rPr>
          <w:rFonts w:hint="cs"/>
          <w:rtl/>
        </w:rPr>
        <w:t xml:space="preserve">, הלכה למעשה, </w:t>
      </w:r>
      <w:r w:rsidR="00F713F7" w:rsidRPr="00FF4214">
        <w:rPr>
          <w:rFonts w:hint="cs"/>
          <w:b/>
          <w:bCs/>
          <w:rtl/>
        </w:rPr>
        <w:t>לגופים מתפעלים</w:t>
      </w:r>
      <w:r w:rsidR="00F713F7">
        <w:rPr>
          <w:rFonts w:hint="cs"/>
          <w:rtl/>
        </w:rPr>
        <w:t>, דבר שיאלץ אותן להפנות את כל משאביהן לתפעול הנפקה וסליקה במקום להפנות משאבים לתחרות אפקטיבית בבנקים במתן אשראי צרכני. כאמור, הדבר מהווה חתירה מוחלטת תחת מטרת הרפורמה.</w:t>
      </w:r>
    </w:p>
    <w:p w:rsidR="00F713F7" w:rsidRDefault="00F713F7" w:rsidP="00FF4214">
      <w:pPr>
        <w:pStyle w:val="aa"/>
        <w:ind w:left="360"/>
      </w:pPr>
    </w:p>
    <w:p w:rsidR="00E93F75" w:rsidRPr="00795BC9" w:rsidRDefault="00E93F75" w:rsidP="00A1196B">
      <w:pPr>
        <w:pStyle w:val="aa"/>
        <w:numPr>
          <w:ilvl w:val="0"/>
          <w:numId w:val="17"/>
        </w:numPr>
      </w:pPr>
      <w:r w:rsidRPr="00E51F07">
        <w:rPr>
          <w:rFonts w:hint="cs"/>
          <w:rtl/>
        </w:rPr>
        <w:t xml:space="preserve">יש לחייב את חברות כרטיסי האשראי לעבוד בצורה זו </w:t>
      </w:r>
      <w:r w:rsidRPr="00FF4214">
        <w:rPr>
          <w:rFonts w:hint="cs"/>
          <w:b/>
          <w:bCs/>
          <w:rtl/>
        </w:rPr>
        <w:t xml:space="preserve">רק לאחר פתיחת </w:t>
      </w:r>
      <w:r w:rsidR="00795BC9" w:rsidRPr="00FF4214">
        <w:rPr>
          <w:rFonts w:hint="cs"/>
          <w:b/>
          <w:bCs/>
          <w:rtl/>
        </w:rPr>
        <w:t xml:space="preserve">כרטיסי </w:t>
      </w:r>
      <w:r w:rsidRPr="00FF4214">
        <w:rPr>
          <w:rFonts w:hint="cs"/>
          <w:b/>
          <w:bCs/>
          <w:rtl/>
        </w:rPr>
        <w:t>אמ</w:t>
      </w:r>
      <w:r w:rsidR="00795BC9" w:rsidRPr="00FF4214">
        <w:rPr>
          <w:rFonts w:hint="cs"/>
          <w:b/>
          <w:bCs/>
          <w:rtl/>
        </w:rPr>
        <w:t>ריקן אקספר</w:t>
      </w:r>
      <w:r w:rsidRPr="00FF4214">
        <w:rPr>
          <w:rFonts w:hint="cs"/>
          <w:b/>
          <w:bCs/>
          <w:rtl/>
        </w:rPr>
        <w:t xml:space="preserve">ס </w:t>
      </w:r>
      <w:proofErr w:type="spellStart"/>
      <w:r w:rsidRPr="00FF4214">
        <w:rPr>
          <w:rFonts w:hint="cs"/>
          <w:b/>
          <w:bCs/>
          <w:rtl/>
        </w:rPr>
        <w:t>ודיינרס</w:t>
      </w:r>
      <w:proofErr w:type="spellEnd"/>
      <w:r w:rsidRPr="00FF4214">
        <w:rPr>
          <w:rFonts w:hint="cs"/>
          <w:b/>
          <w:bCs/>
          <w:rtl/>
        </w:rPr>
        <w:t xml:space="preserve"> לסליקה צולבת</w:t>
      </w:r>
      <w:r w:rsidRPr="00E51F07">
        <w:rPr>
          <w:rFonts w:hint="cs"/>
          <w:rtl/>
        </w:rPr>
        <w:t xml:space="preserve">, כדי לאפשר תחרות </w:t>
      </w:r>
      <w:proofErr w:type="spellStart"/>
      <w:r w:rsidRPr="00E51F07">
        <w:rPr>
          <w:rFonts w:hint="cs"/>
          <w:rtl/>
        </w:rPr>
        <w:t>אמיתית</w:t>
      </w:r>
      <w:proofErr w:type="spellEnd"/>
      <w:r w:rsidRPr="00E51F07">
        <w:rPr>
          <w:rFonts w:hint="cs"/>
          <w:rtl/>
        </w:rPr>
        <w:t xml:space="preserve"> בשוק הסליקה של כל המותגים הקיימים</w:t>
      </w:r>
      <w:r w:rsidR="00795BC9" w:rsidRPr="00E51F07">
        <w:rPr>
          <w:rFonts w:hint="cs"/>
          <w:rtl/>
        </w:rPr>
        <w:t xml:space="preserve">. </w:t>
      </w:r>
      <w:r w:rsidR="00A1196B">
        <w:rPr>
          <w:rFonts w:hint="cs"/>
          <w:rtl/>
        </w:rPr>
        <w:t xml:space="preserve">ללא פתיחת המותגים הללו לתחרות, </w:t>
      </w:r>
      <w:proofErr w:type="spellStart"/>
      <w:r w:rsidR="00A1196B" w:rsidRPr="00A1196B">
        <w:rPr>
          <w:rFonts w:hint="cs"/>
          <w:b/>
          <w:bCs/>
          <w:rtl/>
        </w:rPr>
        <w:t>הסולק</w:t>
      </w:r>
      <w:proofErr w:type="spellEnd"/>
      <w:r w:rsidR="00A1196B" w:rsidRPr="00A1196B">
        <w:rPr>
          <w:rFonts w:hint="cs"/>
          <w:b/>
          <w:bCs/>
          <w:rtl/>
        </w:rPr>
        <w:t xml:space="preserve"> החדש יתקשה להתחרות</w:t>
      </w:r>
      <w:r w:rsidR="00A1196B">
        <w:rPr>
          <w:rFonts w:hint="cs"/>
          <w:rtl/>
        </w:rPr>
        <w:t xml:space="preserve"> </w:t>
      </w:r>
      <w:proofErr w:type="spellStart"/>
      <w:r w:rsidR="00A1196B">
        <w:rPr>
          <w:rFonts w:hint="cs"/>
          <w:rtl/>
        </w:rPr>
        <w:t>בכא</w:t>
      </w:r>
      <w:r w:rsidR="006A0CBE">
        <w:rPr>
          <w:rFonts w:hint="cs"/>
          <w:rtl/>
        </w:rPr>
        <w:t>"</w:t>
      </w:r>
      <w:r w:rsidR="00A1196B">
        <w:rPr>
          <w:rFonts w:hint="cs"/>
          <w:rtl/>
        </w:rPr>
        <w:t>ל</w:t>
      </w:r>
      <w:proofErr w:type="spellEnd"/>
      <w:r w:rsidR="00A1196B">
        <w:rPr>
          <w:rFonts w:hint="cs"/>
          <w:rtl/>
        </w:rPr>
        <w:t xml:space="preserve"> וישראכרט (</w:t>
      </w:r>
      <w:proofErr w:type="spellStart"/>
      <w:r w:rsidR="00A1196B">
        <w:rPr>
          <w:rFonts w:hint="cs"/>
          <w:rtl/>
        </w:rPr>
        <w:t>המונופולים</w:t>
      </w:r>
      <w:proofErr w:type="spellEnd"/>
      <w:r w:rsidR="00A1196B">
        <w:rPr>
          <w:rFonts w:hint="cs"/>
          <w:rtl/>
        </w:rPr>
        <w:t xml:space="preserve"> בסליקת </w:t>
      </w:r>
      <w:proofErr w:type="spellStart"/>
      <w:r w:rsidR="00A1196B">
        <w:rPr>
          <w:rFonts w:hint="cs"/>
          <w:rtl/>
        </w:rPr>
        <w:t>דיינרס</w:t>
      </w:r>
      <w:proofErr w:type="spellEnd"/>
      <w:r w:rsidR="00A1196B">
        <w:rPr>
          <w:rFonts w:hint="cs"/>
          <w:rtl/>
        </w:rPr>
        <w:t xml:space="preserve"> </w:t>
      </w:r>
      <w:proofErr w:type="spellStart"/>
      <w:r w:rsidR="00A1196B">
        <w:rPr>
          <w:rFonts w:hint="cs"/>
          <w:rtl/>
        </w:rPr>
        <w:t>ואמריקן</w:t>
      </w:r>
      <w:proofErr w:type="spellEnd"/>
      <w:r w:rsidR="00A1196B">
        <w:rPr>
          <w:rFonts w:hint="cs"/>
          <w:rtl/>
        </w:rPr>
        <w:t xml:space="preserve"> אקספרס) </w:t>
      </w:r>
      <w:r w:rsidR="00391FC0">
        <w:rPr>
          <w:rFonts w:hint="cs"/>
          <w:rtl/>
        </w:rPr>
        <w:t>ודה פקטו יפגע בלאומי קארד בלבד</w:t>
      </w:r>
      <w:r w:rsidR="006A0CBE">
        <w:rPr>
          <w:rFonts w:hint="cs"/>
          <w:rtl/>
        </w:rPr>
        <w:t>.</w:t>
      </w:r>
    </w:p>
    <w:p w:rsidR="00F759C0" w:rsidRDefault="00F759C0" w:rsidP="00CA492D">
      <w:pPr>
        <w:rPr>
          <w:rtl/>
        </w:rPr>
      </w:pPr>
    </w:p>
    <w:p w:rsidR="00B85FEE" w:rsidRPr="005C7DCF" w:rsidRDefault="00B85FEE" w:rsidP="00685C51">
      <w:pPr>
        <w:pStyle w:val="aa"/>
        <w:numPr>
          <w:ilvl w:val="0"/>
          <w:numId w:val="20"/>
        </w:numPr>
        <w:rPr>
          <w:b/>
          <w:bCs/>
          <w:color w:val="7030A0"/>
          <w:u w:val="single"/>
          <w:rtl/>
        </w:rPr>
      </w:pPr>
      <w:r w:rsidRPr="005C7DCF">
        <w:rPr>
          <w:rFonts w:hint="cs"/>
          <w:b/>
          <w:bCs/>
          <w:color w:val="7030A0"/>
          <w:u w:val="single"/>
          <w:rtl/>
        </w:rPr>
        <w:t>מאגד גדול</w:t>
      </w:r>
    </w:p>
    <w:p w:rsidR="00F4696C" w:rsidRPr="007B668F" w:rsidRDefault="00F4696C" w:rsidP="00CA492D">
      <w:pPr>
        <w:rPr>
          <w:b/>
          <w:bCs/>
          <w:rtl/>
        </w:rPr>
      </w:pPr>
    </w:p>
    <w:p w:rsidR="00B85FEE" w:rsidRDefault="00E93F75" w:rsidP="00F4696C">
      <w:pPr>
        <w:pStyle w:val="aa"/>
        <w:numPr>
          <w:ilvl w:val="0"/>
          <w:numId w:val="17"/>
        </w:numPr>
      </w:pPr>
      <w:r>
        <w:rPr>
          <w:rFonts w:hint="cs"/>
          <w:rtl/>
        </w:rPr>
        <w:t xml:space="preserve"> </w:t>
      </w:r>
      <w:r w:rsidR="00B85FEE" w:rsidRPr="00F4696C">
        <w:rPr>
          <w:rFonts w:hint="cs"/>
          <w:b/>
          <w:bCs/>
          <w:rtl/>
        </w:rPr>
        <w:t xml:space="preserve">הגדרת המאגד כלקוח היחיד של </w:t>
      </w:r>
      <w:proofErr w:type="spellStart"/>
      <w:r w:rsidR="00B85FEE" w:rsidRPr="00F4696C">
        <w:rPr>
          <w:rFonts w:hint="cs"/>
          <w:b/>
          <w:bCs/>
          <w:rtl/>
        </w:rPr>
        <w:t>הסולק</w:t>
      </w:r>
      <w:proofErr w:type="spellEnd"/>
      <w:r w:rsidR="00B85FEE" w:rsidRPr="00F4696C">
        <w:rPr>
          <w:rFonts w:hint="cs"/>
          <w:b/>
          <w:bCs/>
          <w:rtl/>
        </w:rPr>
        <w:t xml:space="preserve">  חותר תחת כל עקרונות איסור הלבנת הון</w:t>
      </w:r>
      <w:r w:rsidR="00F4696C" w:rsidRPr="00F4696C">
        <w:rPr>
          <w:rFonts w:hint="cs"/>
          <w:b/>
          <w:bCs/>
          <w:rtl/>
        </w:rPr>
        <w:t xml:space="preserve"> ומימון טרור</w:t>
      </w:r>
      <w:r w:rsidR="00B85FEE">
        <w:rPr>
          <w:rFonts w:hint="cs"/>
          <w:rtl/>
        </w:rPr>
        <w:t xml:space="preserve">, שכן </w:t>
      </w:r>
      <w:proofErr w:type="spellStart"/>
      <w:r w:rsidR="00B85FEE">
        <w:rPr>
          <w:rFonts w:hint="cs"/>
          <w:rtl/>
        </w:rPr>
        <w:t>הסולק</w:t>
      </w:r>
      <w:proofErr w:type="spellEnd"/>
      <w:r w:rsidR="00B85FEE">
        <w:rPr>
          <w:rFonts w:hint="cs"/>
          <w:rtl/>
        </w:rPr>
        <w:t xml:space="preserve"> יהיה "עיוור" לבתי העסק </w:t>
      </w:r>
      <w:r w:rsidR="00F4696C">
        <w:rPr>
          <w:rFonts w:hint="cs"/>
          <w:rtl/>
        </w:rPr>
        <w:t>הסופיים</w:t>
      </w:r>
      <w:r w:rsidR="00B85FEE">
        <w:rPr>
          <w:rFonts w:hint="cs"/>
          <w:rtl/>
        </w:rPr>
        <w:t>, והמאגד יוכל להעביר את פעילות הסליקה של בתי עסק שסליקתם אסורה (</w:t>
      </w:r>
      <w:r w:rsidR="007E2396">
        <w:rPr>
          <w:rFonts w:hint="cs"/>
          <w:rtl/>
        </w:rPr>
        <w:t xml:space="preserve">כגון </w:t>
      </w:r>
      <w:r w:rsidR="007E2396">
        <w:rPr>
          <w:rtl/>
        </w:rPr>
        <w:t>–</w:t>
      </w:r>
      <w:r w:rsidR="007E2396">
        <w:rPr>
          <w:rFonts w:hint="cs"/>
          <w:rtl/>
        </w:rPr>
        <w:t xml:space="preserve"> הימורים לא חוקיים, מכירת תרופות וסליקת אתרי פורנוגרפיה אסורים) </w:t>
      </w:r>
      <w:r w:rsidR="00B85FEE">
        <w:rPr>
          <w:rFonts w:hint="cs"/>
          <w:rtl/>
        </w:rPr>
        <w:t xml:space="preserve">ללא </w:t>
      </w:r>
      <w:r w:rsidR="001109DB">
        <w:rPr>
          <w:rFonts w:hint="cs"/>
          <w:rtl/>
        </w:rPr>
        <w:t xml:space="preserve">כל </w:t>
      </w:r>
      <w:r w:rsidR="00B85FEE">
        <w:rPr>
          <w:rFonts w:hint="cs"/>
          <w:rtl/>
        </w:rPr>
        <w:t xml:space="preserve">מגבלה או פיקוח. בהקשר זה יש לוודא כי מאגד כאמור </w:t>
      </w:r>
      <w:proofErr w:type="spellStart"/>
      <w:r w:rsidR="00B85FEE">
        <w:rPr>
          <w:rFonts w:hint="cs"/>
          <w:rtl/>
        </w:rPr>
        <w:t>יפוקח</w:t>
      </w:r>
      <w:proofErr w:type="spellEnd"/>
      <w:r w:rsidR="00B85FEE">
        <w:rPr>
          <w:rFonts w:hint="cs"/>
          <w:rtl/>
        </w:rPr>
        <w:t xml:space="preserve">, ויחולו עליו כל כללי איסור הלבנת הון החלים כיום </w:t>
      </w:r>
      <w:r w:rsidR="007E2396">
        <w:rPr>
          <w:rFonts w:hint="cs"/>
          <w:rtl/>
        </w:rPr>
        <w:t xml:space="preserve">על </w:t>
      </w:r>
      <w:proofErr w:type="spellStart"/>
      <w:r w:rsidR="007E2396">
        <w:rPr>
          <w:rFonts w:hint="cs"/>
          <w:rtl/>
        </w:rPr>
        <w:t>הסולקים</w:t>
      </w:r>
      <w:proofErr w:type="spellEnd"/>
      <w:r w:rsidR="007E2396">
        <w:rPr>
          <w:rFonts w:hint="cs"/>
          <w:rtl/>
        </w:rPr>
        <w:t xml:space="preserve"> ועל פי כללי איסור הלבנת הון </w:t>
      </w:r>
      <w:r>
        <w:rPr>
          <w:rFonts w:hint="cs"/>
          <w:rtl/>
        </w:rPr>
        <w:t>המוכתבים על-ידי הארגונים הבינלאומיים</w:t>
      </w:r>
      <w:r w:rsidR="00B85FEE">
        <w:rPr>
          <w:rFonts w:hint="cs"/>
          <w:rtl/>
        </w:rPr>
        <w:t>.</w:t>
      </w:r>
    </w:p>
    <w:p w:rsidR="00685C51" w:rsidRDefault="00685C51">
      <w:pPr>
        <w:bidi w:val="0"/>
        <w:spacing w:line="240" w:lineRule="auto"/>
        <w:jc w:val="left"/>
        <w:rPr>
          <w:rtl/>
        </w:rPr>
      </w:pPr>
      <w:r>
        <w:rPr>
          <w:rtl/>
        </w:rPr>
        <w:br w:type="page"/>
      </w:r>
    </w:p>
    <w:p w:rsidR="00F4696C" w:rsidRDefault="00F4696C" w:rsidP="00F4696C">
      <w:pPr>
        <w:pStyle w:val="aa"/>
        <w:ind w:left="360"/>
      </w:pPr>
    </w:p>
    <w:p w:rsidR="00B85FEE" w:rsidRDefault="00B85FEE" w:rsidP="00F4696C">
      <w:pPr>
        <w:pStyle w:val="aa"/>
        <w:numPr>
          <w:ilvl w:val="0"/>
          <w:numId w:val="17"/>
        </w:numPr>
      </w:pPr>
      <w:r>
        <w:rPr>
          <w:rFonts w:hint="cs"/>
          <w:rtl/>
        </w:rPr>
        <w:t>המשמע</w:t>
      </w:r>
      <w:r w:rsidR="007B668F">
        <w:rPr>
          <w:rFonts w:hint="cs"/>
          <w:rtl/>
        </w:rPr>
        <w:t xml:space="preserve">ות האופרטיבית של </w:t>
      </w:r>
      <w:r w:rsidR="007B668F" w:rsidRPr="001109DB">
        <w:rPr>
          <w:rFonts w:hint="cs"/>
          <w:rtl/>
        </w:rPr>
        <w:t xml:space="preserve">השוואת העמלות </w:t>
      </w:r>
      <w:r w:rsidR="00E93F75" w:rsidRPr="001109DB">
        <w:rPr>
          <w:rFonts w:hint="cs"/>
          <w:rtl/>
        </w:rPr>
        <w:t xml:space="preserve">שסולק יגבה </w:t>
      </w:r>
      <w:r w:rsidR="00F4696C">
        <w:rPr>
          <w:rFonts w:hint="cs"/>
          <w:rtl/>
        </w:rPr>
        <w:t xml:space="preserve">מבתי העסק שעובדים עם המאגד </w:t>
      </w:r>
      <w:r w:rsidR="00E93F75" w:rsidRPr="001109DB">
        <w:rPr>
          <w:rFonts w:hint="cs"/>
          <w:rtl/>
        </w:rPr>
        <w:t xml:space="preserve">לזו שסולק גובה </w:t>
      </w:r>
      <w:r w:rsidR="00F4696C">
        <w:rPr>
          <w:rFonts w:hint="cs"/>
          <w:rtl/>
        </w:rPr>
        <w:t xml:space="preserve">מעסק </w:t>
      </w:r>
      <w:r w:rsidR="00E93F75" w:rsidRPr="001109DB">
        <w:rPr>
          <w:rFonts w:hint="cs"/>
          <w:rtl/>
        </w:rPr>
        <w:t>בעל היקף סליקה דומה</w:t>
      </w:r>
      <w:r w:rsidR="00F4696C">
        <w:rPr>
          <w:rFonts w:hint="cs"/>
          <w:rtl/>
        </w:rPr>
        <w:t>,</w:t>
      </w:r>
      <w:r w:rsidR="00E93F75" w:rsidRPr="001109DB">
        <w:rPr>
          <w:rFonts w:hint="cs"/>
          <w:rtl/>
        </w:rPr>
        <w:t xml:space="preserve"> </w:t>
      </w:r>
      <w:r w:rsidR="00F4696C" w:rsidRPr="00F4696C">
        <w:rPr>
          <w:rFonts w:hint="cs"/>
          <w:b/>
          <w:bCs/>
          <w:rtl/>
        </w:rPr>
        <w:t xml:space="preserve">היא הקטנת </w:t>
      </w:r>
      <w:r w:rsidR="007E2396" w:rsidRPr="00F4696C">
        <w:rPr>
          <w:rFonts w:hint="cs"/>
          <w:b/>
          <w:bCs/>
          <w:rtl/>
        </w:rPr>
        <w:t xml:space="preserve">הכדאיות של כניסתו של סולק </w:t>
      </w:r>
      <w:r w:rsidR="007E2396" w:rsidRPr="00F4696C">
        <w:rPr>
          <w:rFonts w:hint="cs"/>
          <w:b/>
          <w:bCs/>
          <w:rtl/>
        </w:rPr>
        <w:lastRenderedPageBreak/>
        <w:t>חדש</w:t>
      </w:r>
      <w:r w:rsidR="007E2396">
        <w:rPr>
          <w:rFonts w:hint="cs"/>
          <w:rtl/>
        </w:rPr>
        <w:t xml:space="preserve">: </w:t>
      </w:r>
      <w:proofErr w:type="spellStart"/>
      <w:r w:rsidR="00F4696C">
        <w:rPr>
          <w:rFonts w:hint="cs"/>
          <w:rtl/>
        </w:rPr>
        <w:t>ל</w:t>
      </w:r>
      <w:r w:rsidR="007E2396">
        <w:rPr>
          <w:rFonts w:hint="cs"/>
          <w:rtl/>
        </w:rPr>
        <w:t>סולק</w:t>
      </w:r>
      <w:proofErr w:type="spellEnd"/>
      <w:r w:rsidR="007E2396">
        <w:rPr>
          <w:rFonts w:hint="cs"/>
          <w:rtl/>
        </w:rPr>
        <w:t xml:space="preserve"> חדש לא </w:t>
      </w:r>
      <w:r w:rsidR="00F4696C">
        <w:rPr>
          <w:rFonts w:hint="cs"/>
          <w:rtl/>
        </w:rPr>
        <w:t xml:space="preserve">יהיה אינטרס </w:t>
      </w:r>
      <w:proofErr w:type="spellStart"/>
      <w:r w:rsidR="00F4696C">
        <w:rPr>
          <w:rFonts w:hint="cs"/>
          <w:rtl/>
        </w:rPr>
        <w:t>לסלוק</w:t>
      </w:r>
      <w:proofErr w:type="spellEnd"/>
      <w:r w:rsidR="00F4696C">
        <w:rPr>
          <w:rFonts w:hint="cs"/>
          <w:rtl/>
        </w:rPr>
        <w:t xml:space="preserve"> </w:t>
      </w:r>
      <w:r w:rsidR="00AF7CBA" w:rsidRPr="001109DB">
        <w:rPr>
          <w:rFonts w:hint="cs"/>
          <w:rtl/>
        </w:rPr>
        <w:t>בתי עסק גדולים</w:t>
      </w:r>
      <w:r w:rsidR="00DA3552" w:rsidRPr="001109DB">
        <w:rPr>
          <w:rFonts w:hint="cs"/>
          <w:rtl/>
        </w:rPr>
        <w:t xml:space="preserve">, </w:t>
      </w:r>
      <w:r w:rsidR="00E93F75" w:rsidRPr="001109DB">
        <w:rPr>
          <w:rFonts w:hint="cs"/>
          <w:rtl/>
        </w:rPr>
        <w:t xml:space="preserve">שכן הדבר יגרום ל"קיבוע" של מחיר נמוך לבתי עסק ומאגדים ולכן </w:t>
      </w:r>
      <w:proofErr w:type="spellStart"/>
      <w:r w:rsidR="00F4696C">
        <w:rPr>
          <w:rFonts w:hint="cs"/>
          <w:rtl/>
        </w:rPr>
        <w:t>ה</w:t>
      </w:r>
      <w:r w:rsidR="00E93F75" w:rsidRPr="001109DB">
        <w:rPr>
          <w:rFonts w:hint="cs"/>
          <w:rtl/>
        </w:rPr>
        <w:t>סולקים</w:t>
      </w:r>
      <w:proofErr w:type="spellEnd"/>
      <w:r w:rsidR="00E93F75" w:rsidRPr="001109DB">
        <w:rPr>
          <w:rFonts w:hint="cs"/>
          <w:rtl/>
        </w:rPr>
        <w:t xml:space="preserve"> </w:t>
      </w:r>
      <w:r w:rsidR="00F4696C">
        <w:rPr>
          <w:rFonts w:hint="cs"/>
          <w:rtl/>
        </w:rPr>
        <w:t xml:space="preserve">החדשים </w:t>
      </w:r>
      <w:r w:rsidR="00E93F75" w:rsidRPr="001109DB">
        <w:rPr>
          <w:rFonts w:hint="cs"/>
          <w:rtl/>
        </w:rPr>
        <w:t>יעדיפו לעבוד עם בתי עסק בעלי היקף פעילות נמוך יחסית</w:t>
      </w:r>
      <w:r w:rsidR="00F4696C">
        <w:rPr>
          <w:rFonts w:hint="cs"/>
          <w:rtl/>
        </w:rPr>
        <w:t xml:space="preserve">, </w:t>
      </w:r>
      <w:r w:rsidR="00F4696C" w:rsidRPr="00F4696C">
        <w:rPr>
          <w:rFonts w:hint="cs"/>
          <w:b/>
          <w:bCs/>
          <w:rtl/>
        </w:rPr>
        <w:t xml:space="preserve">ויכולתם להתחרות </w:t>
      </w:r>
      <w:proofErr w:type="spellStart"/>
      <w:r w:rsidR="00F4696C" w:rsidRPr="00F4696C">
        <w:rPr>
          <w:rFonts w:hint="cs"/>
          <w:b/>
          <w:bCs/>
          <w:rtl/>
        </w:rPr>
        <w:t>בסולקים</w:t>
      </w:r>
      <w:proofErr w:type="spellEnd"/>
      <w:r w:rsidR="00F4696C" w:rsidRPr="00F4696C">
        <w:rPr>
          <w:rFonts w:hint="cs"/>
          <w:b/>
          <w:bCs/>
          <w:rtl/>
        </w:rPr>
        <w:t xml:space="preserve"> הקיימים תפגע</w:t>
      </w:r>
      <w:r w:rsidR="00AF7CBA" w:rsidRPr="001109DB">
        <w:rPr>
          <w:rFonts w:hint="cs"/>
          <w:rtl/>
        </w:rPr>
        <w:t xml:space="preserve">. </w:t>
      </w:r>
    </w:p>
    <w:p w:rsidR="00FB0D70" w:rsidRDefault="00FB0D70" w:rsidP="00FB0D70"/>
    <w:p w:rsidR="004A020F" w:rsidRDefault="007B668F" w:rsidP="00FB0D70">
      <w:pPr>
        <w:pStyle w:val="aa"/>
        <w:numPr>
          <w:ilvl w:val="0"/>
          <w:numId w:val="17"/>
        </w:numPr>
      </w:pPr>
      <w:r>
        <w:rPr>
          <w:rFonts w:hint="cs"/>
          <w:rtl/>
        </w:rPr>
        <w:t xml:space="preserve">מהותית מדובר בקביעת מחיר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E2396">
        <w:rPr>
          <w:rFonts w:hint="cs"/>
          <w:rtl/>
        </w:rPr>
        <w:t>ש</w:t>
      </w:r>
      <w:r>
        <w:rPr>
          <w:rFonts w:hint="cs"/>
          <w:rtl/>
        </w:rPr>
        <w:t>אין מקומה בחקיקה ראשית</w:t>
      </w:r>
      <w:r w:rsidR="007E2396">
        <w:rPr>
          <w:rFonts w:hint="cs"/>
          <w:rtl/>
        </w:rPr>
        <w:t xml:space="preserve"> לאור השונות הרבה באופן קביעת המחיר בשוק</w:t>
      </w:r>
      <w:r w:rsidR="0003599F">
        <w:rPr>
          <w:rFonts w:hint="cs"/>
          <w:rtl/>
        </w:rPr>
        <w:t xml:space="preserve">. עמלת הסליקה נקבעת בהתבסס על פרמטרים רבים שלא נובעים בהכרח מכוח המיקוח של בית העסק, גודלו או מיקומו הגיאוגרפי אלא גם על </w:t>
      </w:r>
      <w:r w:rsidR="00FB0D70">
        <w:rPr>
          <w:rFonts w:hint="cs"/>
          <w:rtl/>
        </w:rPr>
        <w:t xml:space="preserve">בסיס </w:t>
      </w:r>
      <w:r w:rsidR="0003599F">
        <w:rPr>
          <w:rFonts w:hint="cs"/>
          <w:rtl/>
        </w:rPr>
        <w:t>הערכת הסיכון של בית העסק (או של בתי העסק קצה של המאגד), סוגי העסקאות אותן הוא סולק</w:t>
      </w:r>
      <w:r w:rsidR="00FB0D70">
        <w:rPr>
          <w:rFonts w:hint="cs"/>
          <w:rtl/>
        </w:rPr>
        <w:t>, האם מדובר בעסקות תייר</w:t>
      </w:r>
      <w:r w:rsidR="0003599F">
        <w:rPr>
          <w:rFonts w:hint="cs"/>
          <w:rtl/>
        </w:rPr>
        <w:t xml:space="preserve"> וכ</w:t>
      </w:r>
      <w:r w:rsidR="00FB0D70">
        <w:rPr>
          <w:rFonts w:hint="cs"/>
          <w:rtl/>
        </w:rPr>
        <w:t>ד'</w:t>
      </w:r>
      <w:r w:rsidR="0003599F">
        <w:rPr>
          <w:rFonts w:hint="cs"/>
          <w:rtl/>
        </w:rPr>
        <w:t xml:space="preserve"> </w:t>
      </w:r>
      <w:r w:rsidR="0003599F">
        <w:rPr>
          <w:rtl/>
        </w:rPr>
        <w:t>–</w:t>
      </w:r>
      <w:r w:rsidR="0003599F">
        <w:rPr>
          <w:rFonts w:hint="cs"/>
          <w:rtl/>
        </w:rPr>
        <w:t xml:space="preserve"> </w:t>
      </w:r>
      <w:r w:rsidR="0003599F" w:rsidRPr="00FB0D70">
        <w:rPr>
          <w:rFonts w:hint="cs"/>
          <w:b/>
          <w:bCs/>
          <w:rtl/>
        </w:rPr>
        <w:t xml:space="preserve">קביעת עמלת סליקה רק בהתבסס על נפח הסליקה מתעלמת משיקולים </w:t>
      </w:r>
      <w:r w:rsidR="00FB0D70">
        <w:rPr>
          <w:rFonts w:hint="cs"/>
          <w:b/>
          <w:bCs/>
          <w:rtl/>
        </w:rPr>
        <w:t>הכרחיים</w:t>
      </w:r>
      <w:r w:rsidR="0003599F" w:rsidRPr="00FB0D70">
        <w:rPr>
          <w:rFonts w:hint="cs"/>
          <w:b/>
          <w:bCs/>
          <w:rtl/>
        </w:rPr>
        <w:t xml:space="preserve"> אלה</w:t>
      </w:r>
      <w:r w:rsidR="0003599F">
        <w:rPr>
          <w:rFonts w:hint="cs"/>
          <w:rtl/>
        </w:rPr>
        <w:t>.</w:t>
      </w:r>
    </w:p>
    <w:p w:rsidR="004A020F" w:rsidRPr="004A020F" w:rsidRDefault="004A020F" w:rsidP="004A020F">
      <w:pPr>
        <w:rPr>
          <w:b/>
          <w:bCs/>
          <w:rtl/>
        </w:rPr>
      </w:pPr>
    </w:p>
    <w:p w:rsidR="004A020F" w:rsidRPr="005C7DCF" w:rsidRDefault="004A020F" w:rsidP="00685C51">
      <w:pPr>
        <w:pStyle w:val="aa"/>
        <w:numPr>
          <w:ilvl w:val="0"/>
          <w:numId w:val="20"/>
        </w:numPr>
        <w:rPr>
          <w:b/>
          <w:bCs/>
          <w:color w:val="7030A0"/>
          <w:u w:val="single"/>
          <w:rtl/>
        </w:rPr>
      </w:pPr>
      <w:bookmarkStart w:id="0" w:name="_GoBack"/>
      <w:r w:rsidRPr="005C7DCF">
        <w:rPr>
          <w:rFonts w:hint="cs"/>
          <w:b/>
          <w:bCs/>
          <w:color w:val="7030A0"/>
          <w:u w:val="single"/>
          <w:rtl/>
        </w:rPr>
        <w:t xml:space="preserve">תפעול הנפקה (סעיף 6 (א) (3) </w:t>
      </w:r>
      <w:r w:rsidRPr="005C7DCF">
        <w:rPr>
          <w:b/>
          <w:bCs/>
          <w:color w:val="7030A0"/>
          <w:u w:val="single"/>
          <w:rtl/>
        </w:rPr>
        <w:t>–</w:t>
      </w:r>
      <w:r w:rsidRPr="005C7DCF">
        <w:rPr>
          <w:rFonts w:hint="cs"/>
          <w:b/>
          <w:bCs/>
          <w:color w:val="7030A0"/>
          <w:u w:val="single"/>
          <w:rtl/>
        </w:rPr>
        <w:t xml:space="preserve"> חיוב חברת כרטיסי חיוב להתקשר עם בעל רישיון לפי חוק הפיקוח על שירותים פיננסיים</w:t>
      </w:r>
      <w:r w:rsidR="00FB0D70" w:rsidRPr="005C7DCF">
        <w:rPr>
          <w:rFonts w:hint="cs"/>
          <w:b/>
          <w:bCs/>
          <w:color w:val="7030A0"/>
          <w:u w:val="single"/>
          <w:rtl/>
        </w:rPr>
        <w:t>)</w:t>
      </w:r>
    </w:p>
    <w:bookmarkEnd w:id="0"/>
    <w:p w:rsidR="004A020F" w:rsidRDefault="004A020F" w:rsidP="004A020F">
      <w:pPr>
        <w:rPr>
          <w:rtl/>
        </w:rPr>
      </w:pPr>
    </w:p>
    <w:p w:rsidR="004A020F" w:rsidRDefault="004A020F" w:rsidP="006A0CBE">
      <w:pPr>
        <w:pStyle w:val="aa"/>
        <w:numPr>
          <w:ilvl w:val="0"/>
          <w:numId w:val="18"/>
        </w:numPr>
      </w:pPr>
      <w:r w:rsidRPr="00FB0D70">
        <w:rPr>
          <w:rFonts w:hint="cs"/>
          <w:b/>
          <w:bCs/>
          <w:rtl/>
        </w:rPr>
        <w:t>יש לאפשר לחברות כרטיסי האשראי המופרדות לממש את הגנת הינוקא אשר ניתנה להן.</w:t>
      </w:r>
      <w:r>
        <w:rPr>
          <w:rFonts w:hint="cs"/>
          <w:rtl/>
        </w:rPr>
        <w:t xml:space="preserve"> כלומר, להתחבר לבנקים הגדולים לתפ</w:t>
      </w:r>
      <w:r w:rsidR="006A0CBE">
        <w:rPr>
          <w:rFonts w:hint="cs"/>
          <w:rtl/>
        </w:rPr>
        <w:t xml:space="preserve">על את כרטיסיהם, טרם מחייבים אותן </w:t>
      </w:r>
      <w:r>
        <w:rPr>
          <w:rFonts w:hint="cs"/>
          <w:rtl/>
        </w:rPr>
        <w:t xml:space="preserve">לתפעל הנפקה לגופים אחרים. על פי הניסיון של לאומי קארד, התחברות לבנק על מנת לתפעל הנפקה </w:t>
      </w:r>
      <w:r w:rsidR="00FB0D70">
        <w:rPr>
          <w:rFonts w:hint="cs"/>
          <w:rtl/>
        </w:rPr>
        <w:t>הוא תהליך אשר לוקח זמן רב (</w:t>
      </w:r>
      <w:r>
        <w:rPr>
          <w:rFonts w:hint="cs"/>
          <w:rtl/>
        </w:rPr>
        <w:t>ללאומי קארד לקח כמעט שנה להתחבר לבנק מזרחי ל</w:t>
      </w:r>
      <w:r w:rsidR="006A0CBE">
        <w:rPr>
          <w:rFonts w:hint="cs"/>
          <w:rtl/>
        </w:rPr>
        <w:t xml:space="preserve">שם </w:t>
      </w:r>
      <w:r>
        <w:rPr>
          <w:rFonts w:hint="cs"/>
          <w:rtl/>
        </w:rPr>
        <w:t>תפע</w:t>
      </w:r>
      <w:r w:rsidR="006A0CBE">
        <w:rPr>
          <w:rFonts w:hint="cs"/>
          <w:rtl/>
        </w:rPr>
        <w:t>ו</w:t>
      </w:r>
      <w:r>
        <w:rPr>
          <w:rFonts w:hint="cs"/>
          <w:rtl/>
        </w:rPr>
        <w:t>ל הנפקה). לאור האמור לעיל יש לאפשר ללאומי קארד להתחבר ולתפעל הנפקה לבנק הפועלים ולדיסקונט, לפ</w:t>
      </w:r>
      <w:r w:rsidR="006A0CBE">
        <w:rPr>
          <w:rFonts w:hint="cs"/>
          <w:rtl/>
        </w:rPr>
        <w:t>נ</w:t>
      </w:r>
      <w:r>
        <w:rPr>
          <w:rFonts w:hint="cs"/>
          <w:rtl/>
        </w:rPr>
        <w:t>י ש</w:t>
      </w:r>
      <w:r w:rsidR="006A0CBE">
        <w:rPr>
          <w:rFonts w:hint="cs"/>
          <w:rtl/>
        </w:rPr>
        <w:t>תחויב</w:t>
      </w:r>
      <w:r>
        <w:rPr>
          <w:rFonts w:hint="cs"/>
          <w:rtl/>
        </w:rPr>
        <w:t xml:space="preserve"> לתפעל הנפקה לאחרים, ולמצער לתת לה שנתיים להיערך לתפעול הנפקה עם הבנקים לפני שמחייבים אות</w:t>
      </w:r>
      <w:r w:rsidR="006A0CBE">
        <w:rPr>
          <w:rFonts w:hint="cs"/>
          <w:rtl/>
        </w:rPr>
        <w:t>ה</w:t>
      </w:r>
      <w:r>
        <w:rPr>
          <w:rFonts w:hint="cs"/>
          <w:rtl/>
        </w:rPr>
        <w:t xml:space="preserve"> לתפעל הנפקה לאחרים. </w:t>
      </w:r>
    </w:p>
    <w:sectPr w:rsidR="004A020F" w:rsidSect="00A61158">
      <w:pgSz w:w="11906" w:h="16838" w:code="9"/>
      <w:pgMar w:top="1440" w:right="1797" w:bottom="1440" w:left="1797" w:header="709" w:footer="397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EA9" w:rsidRDefault="00FC2EA9" w:rsidP="001F42F6">
      <w:pPr>
        <w:spacing w:line="240" w:lineRule="auto"/>
      </w:pPr>
      <w:r>
        <w:separator/>
      </w:r>
    </w:p>
  </w:endnote>
  <w:endnote w:type="continuationSeparator" w:id="0">
    <w:p w:rsidR="00FC2EA9" w:rsidRDefault="00FC2EA9" w:rsidP="001F42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altName w:val="Times New Roman"/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EA9" w:rsidRDefault="00FC2EA9" w:rsidP="001F42F6">
      <w:pPr>
        <w:spacing w:line="240" w:lineRule="auto"/>
      </w:pPr>
      <w:r>
        <w:separator/>
      </w:r>
    </w:p>
  </w:footnote>
  <w:footnote w:type="continuationSeparator" w:id="0">
    <w:p w:rsidR="00FC2EA9" w:rsidRDefault="00FC2EA9" w:rsidP="001F42F6">
      <w:pPr>
        <w:spacing w:line="240" w:lineRule="auto"/>
      </w:pPr>
      <w:r>
        <w:continuationSeparator/>
      </w:r>
    </w:p>
  </w:footnote>
  <w:footnote w:id="1">
    <w:p w:rsidR="001109DB" w:rsidRDefault="001109DB" w:rsidP="00F713F7">
      <w:pPr>
        <w:pStyle w:val="a8"/>
        <w:ind w:left="232" w:hanging="142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 w:rsidRPr="00E93F75">
        <w:rPr>
          <w:rtl/>
        </w:rPr>
        <w:t>מבחינה של קצב פריסת מסופים אלה בעולם, הרי שרוב המסופים באירופה כבר תומכים בתקן, ואילו בארה"ב שהחלה פריסת מסופים אלה אך לאחרונה, הצפי הוא ל</w:t>
      </w:r>
      <w:r w:rsidR="00F713F7">
        <w:rPr>
          <w:rFonts w:hint="cs"/>
          <w:rtl/>
        </w:rPr>
        <w:t>השלמת ה</w:t>
      </w:r>
      <w:r w:rsidRPr="00E93F75">
        <w:rPr>
          <w:rtl/>
        </w:rPr>
        <w:t xml:space="preserve">פריסה </w:t>
      </w:r>
      <w:r w:rsidR="00F713F7">
        <w:rPr>
          <w:rFonts w:hint="cs"/>
          <w:rtl/>
        </w:rPr>
        <w:t>בטווח הזמן הקצר</w:t>
      </w:r>
      <w:r w:rsidR="00F713F7" w:rsidRPr="00E93F75" w:rsidDel="00F713F7">
        <w:rPr>
          <w:rtl/>
        </w:rPr>
        <w:t xml:space="preserve"> </w:t>
      </w:r>
      <w:r>
        <w:rPr>
          <w:rFonts w:hint="cs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A2735"/>
    <w:multiLevelType w:val="multilevel"/>
    <w:tmpl w:val="7AEE64DE"/>
    <w:name w:val="אסמכתא"/>
    <w:lvl w:ilvl="0">
      <w:start w:val="1"/>
      <w:numFmt w:val="decimal"/>
      <w:pStyle w:val="a"/>
      <w:lvlText w:val="&quot;%1&quot;"/>
      <w:lvlJc w:val="center"/>
      <w:pPr>
        <w:tabs>
          <w:tab w:val="num" w:pos="648"/>
        </w:tabs>
        <w:ind w:left="360" w:hanging="72"/>
      </w:pPr>
      <w:rPr>
        <w:rFonts w:cs="David" w:hint="default"/>
        <w:bCs/>
        <w:iCs w:val="0"/>
        <w:caps w:val="0"/>
        <w:strike w:val="0"/>
        <w:dstrike w:val="0"/>
        <w:vanish w:val="0"/>
        <w:color w:val="000000"/>
        <w:szCs w:val="24"/>
        <w:vertAlign w:val="baseline"/>
      </w:rPr>
    </w:lvl>
    <w:lvl w:ilvl="1">
      <w:start w:val="1"/>
      <w:numFmt w:val="decimal"/>
      <w:lvlText w:val="%1.%2."/>
      <w:lvlJc w:val="center"/>
      <w:pPr>
        <w:tabs>
          <w:tab w:val="num" w:pos="1008"/>
        </w:tabs>
        <w:ind w:left="720" w:hanging="360"/>
      </w:pPr>
    </w:lvl>
    <w:lvl w:ilvl="2">
      <w:start w:val="1"/>
      <w:numFmt w:val="upperRoman"/>
      <w:lvlText w:val="%1.%2.%3."/>
      <w:lvlJc w:val="center"/>
      <w:pPr>
        <w:tabs>
          <w:tab w:val="num" w:pos="1368"/>
        </w:tabs>
        <w:ind w:left="1080" w:hanging="360"/>
      </w:pPr>
    </w:lvl>
    <w:lvl w:ilvl="3">
      <w:start w:val="1"/>
      <w:numFmt w:val="decimal"/>
      <w:lvlText w:val="%1.%2.%3.%4."/>
      <w:lvlJc w:val="center"/>
      <w:pPr>
        <w:tabs>
          <w:tab w:val="num" w:pos="1728"/>
        </w:tabs>
        <w:ind w:left="1440" w:hanging="360"/>
      </w:pPr>
    </w:lvl>
    <w:lvl w:ilvl="4">
      <w:start w:val="1"/>
      <w:numFmt w:val="upperRoman"/>
      <w:lvlText w:val="%1.%2.%3.%4.%5."/>
      <w:lvlJc w:val="center"/>
      <w:pPr>
        <w:tabs>
          <w:tab w:val="num" w:pos="2088"/>
        </w:tabs>
        <w:ind w:left="1800" w:hanging="360"/>
      </w:pPr>
    </w:lvl>
    <w:lvl w:ilvl="5">
      <w:start w:val="1"/>
      <w:numFmt w:val="decimal"/>
      <w:lvlText w:val="%1.%2.%3.%4.%5.%6."/>
      <w:lvlJc w:val="center"/>
      <w:pPr>
        <w:tabs>
          <w:tab w:val="num" w:pos="2448"/>
        </w:tabs>
        <w:ind w:left="2160" w:hanging="360"/>
      </w:pPr>
    </w:lvl>
    <w:lvl w:ilvl="6">
      <w:start w:val="1"/>
      <w:numFmt w:val="upperRoman"/>
      <w:lvlText w:val="%1.%2.%3.%4.%5.%6.%7."/>
      <w:lvlJc w:val="center"/>
      <w:pPr>
        <w:tabs>
          <w:tab w:val="num" w:pos="2808"/>
        </w:tabs>
        <w:ind w:left="2520" w:hanging="360"/>
      </w:pPr>
    </w:lvl>
    <w:lvl w:ilvl="7">
      <w:start w:val="1"/>
      <w:numFmt w:val="decimal"/>
      <w:lvlText w:val="%1.%2.%3.%4.%5.%6.%7.%8."/>
      <w:lvlJc w:val="center"/>
      <w:pPr>
        <w:tabs>
          <w:tab w:val="num" w:pos="3168"/>
        </w:tabs>
        <w:ind w:left="2880" w:hanging="360"/>
      </w:pPr>
    </w:lvl>
    <w:lvl w:ilvl="8">
      <w:start w:val="1"/>
      <w:numFmt w:val="upperRoman"/>
      <w:lvlText w:val="%1.%2.%3.%4.%5.%6.%7.%8.%9."/>
      <w:lvlJc w:val="center"/>
      <w:pPr>
        <w:tabs>
          <w:tab w:val="num" w:pos="3528"/>
        </w:tabs>
        <w:ind w:left="3240" w:hanging="360"/>
      </w:pPr>
    </w:lvl>
  </w:abstractNum>
  <w:abstractNum w:abstractNumId="1" w15:restartNumberingAfterBreak="0">
    <w:nsid w:val="1B971CEE"/>
    <w:multiLevelType w:val="multilevel"/>
    <w:tmpl w:val="5F245042"/>
    <w:lvl w:ilvl="0">
      <w:start w:val="1"/>
      <w:numFmt w:val="hebrew1"/>
      <w:pStyle w:val="a0"/>
      <w:lvlText w:val="נספח %1"/>
      <w:lvlJc w:val="center"/>
      <w:pPr>
        <w:tabs>
          <w:tab w:val="num" w:pos="1009"/>
        </w:tabs>
        <w:ind w:left="361" w:hanging="72"/>
      </w:pPr>
      <w:rPr>
        <w:rFonts w:cs="David" w:hint="default"/>
        <w:bCs/>
        <w:iCs w:val="0"/>
        <w:szCs w:val="28"/>
      </w:rPr>
    </w:lvl>
    <w:lvl w:ilvl="1">
      <w:start w:val="1"/>
      <w:numFmt w:val="decimal"/>
      <w:lvlText w:val="%1.%2."/>
      <w:lvlJc w:val="center"/>
      <w:pPr>
        <w:tabs>
          <w:tab w:val="num" w:pos="793"/>
        </w:tabs>
        <w:ind w:left="793" w:hanging="432"/>
      </w:pPr>
      <w:rPr>
        <w:rFonts w:hint="default"/>
      </w:rPr>
    </w:lvl>
    <w:lvl w:ilvl="2">
      <w:start w:val="1"/>
      <w:numFmt w:val="decimal"/>
      <w:lvlText w:val="%1.%2.%3."/>
      <w:lvlJc w:val="center"/>
      <w:pPr>
        <w:tabs>
          <w:tab w:val="num" w:pos="1225"/>
        </w:tabs>
        <w:ind w:left="1225" w:hanging="504"/>
      </w:pPr>
      <w:rPr>
        <w:rFonts w:hint="default"/>
      </w:rPr>
    </w:lvl>
    <w:lvl w:ilvl="3">
      <w:start w:val="1"/>
      <w:numFmt w:val="decimal"/>
      <w:lvlText w:val="%1.%2.%3.%4."/>
      <w:lvlJc w:val="center"/>
      <w:pPr>
        <w:tabs>
          <w:tab w:val="num" w:pos="1729"/>
        </w:tabs>
        <w:ind w:left="1729" w:hanging="648"/>
      </w:pPr>
      <w:rPr>
        <w:rFonts w:hint="default"/>
      </w:rPr>
    </w:lvl>
    <w:lvl w:ilvl="4">
      <w:start w:val="1"/>
      <w:numFmt w:val="decimal"/>
      <w:lvlText w:val="%1.%2.%3.%4.%5."/>
      <w:lvlJc w:val="center"/>
      <w:pPr>
        <w:tabs>
          <w:tab w:val="num" w:pos="2233"/>
        </w:tabs>
        <w:ind w:left="2233" w:hanging="792"/>
      </w:pPr>
      <w:rPr>
        <w:rFonts w:hint="default"/>
      </w:rPr>
    </w:lvl>
    <w:lvl w:ilvl="5">
      <w:start w:val="1"/>
      <w:numFmt w:val="decimal"/>
      <w:lvlText w:val="%1.%2.%3.%4.%5.%6."/>
      <w:lvlJc w:val="center"/>
      <w:pPr>
        <w:tabs>
          <w:tab w:val="num" w:pos="2737"/>
        </w:tabs>
        <w:ind w:left="2737" w:hanging="936"/>
      </w:pPr>
      <w:rPr>
        <w:rFonts w:hint="default"/>
      </w:rPr>
    </w:lvl>
    <w:lvl w:ilvl="6">
      <w:start w:val="1"/>
      <w:numFmt w:val="decimal"/>
      <w:lvlText w:val="%1.%2.%3.%4.%5.%6.%7."/>
      <w:lvlJc w:val="center"/>
      <w:pPr>
        <w:tabs>
          <w:tab w:val="num" w:pos="3241"/>
        </w:tabs>
        <w:ind w:left="3241" w:hanging="1080"/>
      </w:pPr>
      <w:rPr>
        <w:rFonts w:hint="default"/>
      </w:rPr>
    </w:lvl>
    <w:lvl w:ilvl="7">
      <w:start w:val="1"/>
      <w:numFmt w:val="decimal"/>
      <w:lvlText w:val="%1.%2.%3.%4.%5.%6.%7.%8."/>
      <w:lvlJc w:val="center"/>
      <w:pPr>
        <w:tabs>
          <w:tab w:val="num" w:pos="3745"/>
        </w:tabs>
        <w:ind w:left="3745" w:hanging="1224"/>
      </w:pPr>
      <w:rPr>
        <w:rFonts w:hint="default"/>
      </w:rPr>
    </w:lvl>
    <w:lvl w:ilvl="8">
      <w:start w:val="1"/>
      <w:numFmt w:val="decimal"/>
      <w:lvlText w:val="%1.%2.%3.%4.%5.%6.%7.%8.%9."/>
      <w:lvlJc w:val="center"/>
      <w:pPr>
        <w:tabs>
          <w:tab w:val="num" w:pos="4321"/>
        </w:tabs>
        <w:ind w:left="4321" w:hanging="1440"/>
      </w:pPr>
      <w:rPr>
        <w:rFonts w:hint="default"/>
      </w:rPr>
    </w:lvl>
  </w:abstractNum>
  <w:abstractNum w:abstractNumId="2" w15:restartNumberingAfterBreak="0">
    <w:nsid w:val="1E3D4157"/>
    <w:multiLevelType w:val="multilevel"/>
    <w:tmpl w:val="6AAE18EA"/>
    <w:lvl w:ilvl="0">
      <w:start w:val="1"/>
      <w:numFmt w:val="decimal"/>
      <w:pStyle w:val="1"/>
      <w:lvlText w:val="%1."/>
      <w:lvlJc w:val="left"/>
      <w:pPr>
        <w:tabs>
          <w:tab w:val="num" w:pos="567"/>
        </w:tabs>
        <w:ind w:left="567" w:hanging="567"/>
      </w:pPr>
      <w:rPr>
        <w:rFonts w:cs="David" w:hint="cs"/>
        <w:bCs w:val="0"/>
        <w:iCs w:val="0"/>
        <w:caps w:val="0"/>
        <w:strike w:val="0"/>
        <w:dstrike w:val="0"/>
        <w:vanish w:val="0"/>
        <w:color w:val="000000"/>
        <w:szCs w:val="24"/>
        <w:vertAlign w:val="baseline"/>
      </w:rPr>
    </w:lvl>
    <w:lvl w:ilvl="1">
      <w:start w:val="1"/>
      <w:numFmt w:val="hebrew1"/>
      <w:pStyle w:val="2"/>
      <w:lvlText w:val="%2."/>
      <w:lvlJc w:val="left"/>
      <w:pPr>
        <w:tabs>
          <w:tab w:val="num" w:pos="1134"/>
        </w:tabs>
        <w:ind w:left="1134" w:hanging="567"/>
      </w:pPr>
      <w:rPr>
        <w:rFonts w:cs="David" w:hint="cs"/>
        <w:bCs w:val="0"/>
        <w:iCs w:val="0"/>
        <w:caps w:val="0"/>
        <w:strike w:val="0"/>
        <w:dstrike w:val="0"/>
        <w:vanish w:val="0"/>
        <w:color w:val="000000"/>
        <w:szCs w:val="24"/>
        <w:vertAlign w:val="baseline"/>
      </w:rPr>
    </w:lvl>
    <w:lvl w:ilvl="2">
      <w:start w:val="1"/>
      <w:numFmt w:val="decimal"/>
      <w:pStyle w:val="3"/>
      <w:lvlText w:val="(%3)"/>
      <w:lvlJc w:val="left"/>
      <w:pPr>
        <w:tabs>
          <w:tab w:val="num" w:pos="1701"/>
        </w:tabs>
        <w:ind w:left="1701" w:hanging="567"/>
      </w:pPr>
      <w:rPr>
        <w:rFonts w:cs="David" w:hint="cs"/>
        <w:bCs w:val="0"/>
        <w:iCs w:val="0"/>
        <w:caps w:val="0"/>
        <w:strike w:val="0"/>
        <w:dstrike w:val="0"/>
        <w:vanish w:val="0"/>
        <w:color w:val="000000"/>
        <w:szCs w:val="24"/>
        <w:vertAlign w:val="baseline"/>
      </w:rPr>
    </w:lvl>
    <w:lvl w:ilvl="3">
      <w:start w:val="1"/>
      <w:numFmt w:val="hebrew1"/>
      <w:pStyle w:val="4"/>
      <w:lvlText w:val="(%4)"/>
      <w:lvlJc w:val="left"/>
      <w:pPr>
        <w:tabs>
          <w:tab w:val="num" w:pos="2268"/>
        </w:tabs>
        <w:ind w:left="2268" w:hanging="567"/>
      </w:pPr>
      <w:rPr>
        <w:rFonts w:cs="David" w:hint="cs"/>
        <w:bCs w:val="0"/>
        <w:iCs w:val="0"/>
        <w:caps w:val="0"/>
        <w:strike w:val="0"/>
        <w:dstrike w:val="0"/>
        <w:vanish w:val="0"/>
        <w:color w:val="000000"/>
        <w:szCs w:val="24"/>
        <w:vertAlign w:val="baseline"/>
      </w:rPr>
    </w:lvl>
    <w:lvl w:ilvl="4">
      <w:start w:val="1"/>
      <w:numFmt w:val="decimal"/>
      <w:pStyle w:val="5"/>
      <w:lvlText w:val="(%5)"/>
      <w:lvlJc w:val="left"/>
      <w:pPr>
        <w:tabs>
          <w:tab w:val="num" w:pos="3544"/>
        </w:tabs>
        <w:ind w:left="3544" w:hanging="709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 w15:restartNumberingAfterBreak="0">
    <w:nsid w:val="34CF30D3"/>
    <w:multiLevelType w:val="hybridMultilevel"/>
    <w:tmpl w:val="69984348"/>
    <w:lvl w:ilvl="0" w:tplc="A13CF57C">
      <w:numFmt w:val="bullet"/>
      <w:lvlText w:val="-"/>
      <w:lvlJc w:val="left"/>
      <w:pPr>
        <w:ind w:left="36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6730F3F"/>
    <w:multiLevelType w:val="hybridMultilevel"/>
    <w:tmpl w:val="3482B246"/>
    <w:lvl w:ilvl="0" w:tplc="A13CF57C">
      <w:numFmt w:val="bullet"/>
      <w:lvlText w:val="-"/>
      <w:lvlJc w:val="left"/>
      <w:pPr>
        <w:ind w:left="360" w:hanging="360"/>
      </w:pPr>
      <w:rPr>
        <w:rFonts w:ascii="David" w:eastAsia="Times New Roman" w:hAnsi="David" w:cs="David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14B1251"/>
    <w:multiLevelType w:val="multilevel"/>
    <w:tmpl w:val="B58A12A8"/>
    <w:lvl w:ilvl="0">
      <w:start w:val="1"/>
      <w:numFmt w:val="decimal"/>
      <w:pStyle w:val="10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>
      <w:start w:val="1"/>
      <w:numFmt w:val="decimal"/>
      <w:pStyle w:val="20"/>
      <w:lvlText w:val="%1.%2."/>
      <w:lvlJc w:val="left"/>
      <w:pPr>
        <w:tabs>
          <w:tab w:val="num" w:pos="1418"/>
        </w:tabs>
        <w:ind w:left="1418" w:hanging="851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2">
      <w:start w:val="1"/>
      <w:numFmt w:val="decimal"/>
      <w:pStyle w:val="30"/>
      <w:lvlText w:val="%1.%2.%3."/>
      <w:lvlJc w:val="left"/>
      <w:pPr>
        <w:tabs>
          <w:tab w:val="num" w:pos="2552"/>
        </w:tabs>
        <w:ind w:left="2552" w:hanging="1134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3">
      <w:start w:val="1"/>
      <w:numFmt w:val="decimal"/>
      <w:pStyle w:val="40"/>
      <w:lvlText w:val="%1.%2.%3.%4."/>
      <w:lvlJc w:val="left"/>
      <w:pPr>
        <w:tabs>
          <w:tab w:val="num" w:pos="3969"/>
        </w:tabs>
        <w:ind w:left="3969" w:hanging="1417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4">
      <w:start w:val="1"/>
      <w:numFmt w:val="decimal"/>
      <w:pStyle w:val="50"/>
      <w:lvlText w:val="%1.%2.%3.%4.%5."/>
      <w:lvlJc w:val="left"/>
      <w:pPr>
        <w:tabs>
          <w:tab w:val="num" w:pos="5382"/>
        </w:tabs>
        <w:ind w:left="5382" w:hanging="1417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864"/>
        </w:tabs>
        <w:ind w:left="864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008"/>
        </w:tabs>
        <w:ind w:left="1008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152"/>
        </w:tabs>
        <w:ind w:left="1152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296"/>
        </w:tabs>
        <w:ind w:left="1296" w:hanging="1584"/>
      </w:pPr>
      <w:rPr>
        <w:rFonts w:hint="default"/>
      </w:rPr>
    </w:lvl>
  </w:abstractNum>
  <w:abstractNum w:abstractNumId="6" w15:restartNumberingAfterBreak="0">
    <w:nsid w:val="513A57BA"/>
    <w:multiLevelType w:val="hybridMultilevel"/>
    <w:tmpl w:val="9D56787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C527207"/>
    <w:multiLevelType w:val="hybridMultilevel"/>
    <w:tmpl w:val="C02850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5"/>
  </w:num>
  <w:num w:numId="3">
    <w:abstractNumId w:val="5"/>
  </w:num>
  <w:num w:numId="4">
    <w:abstractNumId w:val="5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5"/>
  </w:num>
  <w:num w:numId="10">
    <w:abstractNumId w:val="2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1"/>
  </w:num>
  <w:num w:numId="16">
    <w:abstractNumId w:val="0"/>
  </w:num>
  <w:num w:numId="17">
    <w:abstractNumId w:val="4"/>
  </w:num>
  <w:num w:numId="18">
    <w:abstractNumId w:val="3"/>
  </w:num>
  <w:num w:numId="19">
    <w:abstractNumId w:val="6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9C0"/>
    <w:rsid w:val="00001EF4"/>
    <w:rsid w:val="00015684"/>
    <w:rsid w:val="00020212"/>
    <w:rsid w:val="0002034E"/>
    <w:rsid w:val="0002561A"/>
    <w:rsid w:val="00025B3C"/>
    <w:rsid w:val="0003599F"/>
    <w:rsid w:val="00036C0C"/>
    <w:rsid w:val="000479C3"/>
    <w:rsid w:val="00057161"/>
    <w:rsid w:val="0006307F"/>
    <w:rsid w:val="000630F7"/>
    <w:rsid w:val="0006375E"/>
    <w:rsid w:val="0006420D"/>
    <w:rsid w:val="00067102"/>
    <w:rsid w:val="00067EBE"/>
    <w:rsid w:val="00070DBF"/>
    <w:rsid w:val="0007188E"/>
    <w:rsid w:val="000804A1"/>
    <w:rsid w:val="00084A1E"/>
    <w:rsid w:val="00087C5A"/>
    <w:rsid w:val="00092D7C"/>
    <w:rsid w:val="00095883"/>
    <w:rsid w:val="000A232E"/>
    <w:rsid w:val="000A7822"/>
    <w:rsid w:val="000A7BBC"/>
    <w:rsid w:val="000B36C2"/>
    <w:rsid w:val="000B4BAE"/>
    <w:rsid w:val="000C7884"/>
    <w:rsid w:val="000D1383"/>
    <w:rsid w:val="000D1388"/>
    <w:rsid w:val="000D3D10"/>
    <w:rsid w:val="000D4906"/>
    <w:rsid w:val="000E0C16"/>
    <w:rsid w:val="000F07D3"/>
    <w:rsid w:val="000F4C3C"/>
    <w:rsid w:val="001050D3"/>
    <w:rsid w:val="001052C4"/>
    <w:rsid w:val="00107313"/>
    <w:rsid w:val="001109DB"/>
    <w:rsid w:val="001179B2"/>
    <w:rsid w:val="00120F8C"/>
    <w:rsid w:val="001271EA"/>
    <w:rsid w:val="00141044"/>
    <w:rsid w:val="00141F40"/>
    <w:rsid w:val="001465E2"/>
    <w:rsid w:val="00152D72"/>
    <w:rsid w:val="0015384F"/>
    <w:rsid w:val="00161EC9"/>
    <w:rsid w:val="00164241"/>
    <w:rsid w:val="00165C0F"/>
    <w:rsid w:val="00173E99"/>
    <w:rsid w:val="0018080B"/>
    <w:rsid w:val="0018411A"/>
    <w:rsid w:val="00184D9D"/>
    <w:rsid w:val="00192E85"/>
    <w:rsid w:val="001A283E"/>
    <w:rsid w:val="001A6EC5"/>
    <w:rsid w:val="001B655A"/>
    <w:rsid w:val="001C26A9"/>
    <w:rsid w:val="001C43A3"/>
    <w:rsid w:val="001D1CFD"/>
    <w:rsid w:val="001D35AF"/>
    <w:rsid w:val="001D7AD7"/>
    <w:rsid w:val="001E0901"/>
    <w:rsid w:val="001E5F89"/>
    <w:rsid w:val="001F42F6"/>
    <w:rsid w:val="0020133F"/>
    <w:rsid w:val="00220C6C"/>
    <w:rsid w:val="00221B4B"/>
    <w:rsid w:val="00221FB9"/>
    <w:rsid w:val="00224C11"/>
    <w:rsid w:val="002265D4"/>
    <w:rsid w:val="00226EA1"/>
    <w:rsid w:val="002276DF"/>
    <w:rsid w:val="002473A0"/>
    <w:rsid w:val="002508C4"/>
    <w:rsid w:val="00251173"/>
    <w:rsid w:val="0025320A"/>
    <w:rsid w:val="00267F05"/>
    <w:rsid w:val="00272D41"/>
    <w:rsid w:val="00272DAD"/>
    <w:rsid w:val="0027526C"/>
    <w:rsid w:val="00277634"/>
    <w:rsid w:val="00287B4D"/>
    <w:rsid w:val="00294943"/>
    <w:rsid w:val="002C4623"/>
    <w:rsid w:val="002C46CB"/>
    <w:rsid w:val="002D163B"/>
    <w:rsid w:val="002D7183"/>
    <w:rsid w:val="002E0C77"/>
    <w:rsid w:val="002E14BE"/>
    <w:rsid w:val="002F16CA"/>
    <w:rsid w:val="002F70D4"/>
    <w:rsid w:val="00317F9C"/>
    <w:rsid w:val="003328DE"/>
    <w:rsid w:val="00332CD8"/>
    <w:rsid w:val="00346715"/>
    <w:rsid w:val="003523A3"/>
    <w:rsid w:val="00357E8E"/>
    <w:rsid w:val="00361F07"/>
    <w:rsid w:val="00362D8F"/>
    <w:rsid w:val="00363DEB"/>
    <w:rsid w:val="003651F0"/>
    <w:rsid w:val="00367D92"/>
    <w:rsid w:val="003750E3"/>
    <w:rsid w:val="00376ABD"/>
    <w:rsid w:val="003846B5"/>
    <w:rsid w:val="003906DF"/>
    <w:rsid w:val="00391FC0"/>
    <w:rsid w:val="003B1A6A"/>
    <w:rsid w:val="003B248A"/>
    <w:rsid w:val="003C4807"/>
    <w:rsid w:val="003C6F47"/>
    <w:rsid w:val="003D74F5"/>
    <w:rsid w:val="003F2B5C"/>
    <w:rsid w:val="003F5A38"/>
    <w:rsid w:val="00402599"/>
    <w:rsid w:val="00406F64"/>
    <w:rsid w:val="004104A9"/>
    <w:rsid w:val="00414D53"/>
    <w:rsid w:val="00424DE2"/>
    <w:rsid w:val="00424F0F"/>
    <w:rsid w:val="00426951"/>
    <w:rsid w:val="0043524C"/>
    <w:rsid w:val="00436B70"/>
    <w:rsid w:val="00443237"/>
    <w:rsid w:val="00446112"/>
    <w:rsid w:val="004542F7"/>
    <w:rsid w:val="00466D09"/>
    <w:rsid w:val="00466FDF"/>
    <w:rsid w:val="00470429"/>
    <w:rsid w:val="0047127B"/>
    <w:rsid w:val="00474169"/>
    <w:rsid w:val="00474C8B"/>
    <w:rsid w:val="00475A02"/>
    <w:rsid w:val="004771A1"/>
    <w:rsid w:val="00477C57"/>
    <w:rsid w:val="00480297"/>
    <w:rsid w:val="004917FA"/>
    <w:rsid w:val="00491FA1"/>
    <w:rsid w:val="00494413"/>
    <w:rsid w:val="00496243"/>
    <w:rsid w:val="0049697C"/>
    <w:rsid w:val="004974A4"/>
    <w:rsid w:val="004A020F"/>
    <w:rsid w:val="004A077D"/>
    <w:rsid w:val="004A48FE"/>
    <w:rsid w:val="004A7266"/>
    <w:rsid w:val="004A7ABF"/>
    <w:rsid w:val="004B0B46"/>
    <w:rsid w:val="004C0AC6"/>
    <w:rsid w:val="004C4CB7"/>
    <w:rsid w:val="004C684C"/>
    <w:rsid w:val="004E0B3B"/>
    <w:rsid w:val="004E35A4"/>
    <w:rsid w:val="004E66DA"/>
    <w:rsid w:val="004F2586"/>
    <w:rsid w:val="00505228"/>
    <w:rsid w:val="00531D9E"/>
    <w:rsid w:val="005358A1"/>
    <w:rsid w:val="0053787C"/>
    <w:rsid w:val="005444B0"/>
    <w:rsid w:val="00554C1F"/>
    <w:rsid w:val="005558FC"/>
    <w:rsid w:val="00572044"/>
    <w:rsid w:val="00593E21"/>
    <w:rsid w:val="005979C5"/>
    <w:rsid w:val="005A015E"/>
    <w:rsid w:val="005A375F"/>
    <w:rsid w:val="005B5B89"/>
    <w:rsid w:val="005B69ED"/>
    <w:rsid w:val="005C42C1"/>
    <w:rsid w:val="005C549B"/>
    <w:rsid w:val="005C7DCF"/>
    <w:rsid w:val="005D408C"/>
    <w:rsid w:val="005E13F4"/>
    <w:rsid w:val="005E528D"/>
    <w:rsid w:val="005F163F"/>
    <w:rsid w:val="005F2E73"/>
    <w:rsid w:val="005F5159"/>
    <w:rsid w:val="0061053C"/>
    <w:rsid w:val="006147A2"/>
    <w:rsid w:val="0062462B"/>
    <w:rsid w:val="00631499"/>
    <w:rsid w:val="00641870"/>
    <w:rsid w:val="00642098"/>
    <w:rsid w:val="00650871"/>
    <w:rsid w:val="0065636C"/>
    <w:rsid w:val="00656655"/>
    <w:rsid w:val="006574BD"/>
    <w:rsid w:val="006651FF"/>
    <w:rsid w:val="00666377"/>
    <w:rsid w:val="0066735A"/>
    <w:rsid w:val="0067389E"/>
    <w:rsid w:val="00675CA1"/>
    <w:rsid w:val="006814C8"/>
    <w:rsid w:val="00685C51"/>
    <w:rsid w:val="006864E5"/>
    <w:rsid w:val="006871AE"/>
    <w:rsid w:val="00690D6F"/>
    <w:rsid w:val="006971F2"/>
    <w:rsid w:val="006A0CBE"/>
    <w:rsid w:val="006A15F8"/>
    <w:rsid w:val="006A275F"/>
    <w:rsid w:val="006A5630"/>
    <w:rsid w:val="006A60FD"/>
    <w:rsid w:val="006A7DEE"/>
    <w:rsid w:val="006B43C2"/>
    <w:rsid w:val="006C0942"/>
    <w:rsid w:val="006D482F"/>
    <w:rsid w:val="006E2ABB"/>
    <w:rsid w:val="006E487F"/>
    <w:rsid w:val="006F049F"/>
    <w:rsid w:val="00705606"/>
    <w:rsid w:val="00707D43"/>
    <w:rsid w:val="0071168A"/>
    <w:rsid w:val="00717434"/>
    <w:rsid w:val="0072026E"/>
    <w:rsid w:val="007237D6"/>
    <w:rsid w:val="00726A1A"/>
    <w:rsid w:val="00732345"/>
    <w:rsid w:val="0073427D"/>
    <w:rsid w:val="00745A0D"/>
    <w:rsid w:val="007506D5"/>
    <w:rsid w:val="00756D98"/>
    <w:rsid w:val="00760982"/>
    <w:rsid w:val="00770641"/>
    <w:rsid w:val="00783E02"/>
    <w:rsid w:val="00792973"/>
    <w:rsid w:val="00795BC9"/>
    <w:rsid w:val="007A2123"/>
    <w:rsid w:val="007A69C7"/>
    <w:rsid w:val="007B0421"/>
    <w:rsid w:val="007B5249"/>
    <w:rsid w:val="007B668F"/>
    <w:rsid w:val="007C3DAF"/>
    <w:rsid w:val="007C4998"/>
    <w:rsid w:val="007C7EBC"/>
    <w:rsid w:val="007D067E"/>
    <w:rsid w:val="007D0C76"/>
    <w:rsid w:val="007D3C57"/>
    <w:rsid w:val="007E1E3B"/>
    <w:rsid w:val="007E2396"/>
    <w:rsid w:val="007E4FBF"/>
    <w:rsid w:val="007E5D8E"/>
    <w:rsid w:val="00801C12"/>
    <w:rsid w:val="008075EB"/>
    <w:rsid w:val="00812834"/>
    <w:rsid w:val="008163F6"/>
    <w:rsid w:val="00822768"/>
    <w:rsid w:val="00823F02"/>
    <w:rsid w:val="0082461B"/>
    <w:rsid w:val="008366FC"/>
    <w:rsid w:val="0084128E"/>
    <w:rsid w:val="00841FA9"/>
    <w:rsid w:val="00842F0A"/>
    <w:rsid w:val="00851C4F"/>
    <w:rsid w:val="008522C5"/>
    <w:rsid w:val="0085678B"/>
    <w:rsid w:val="00863351"/>
    <w:rsid w:val="00866838"/>
    <w:rsid w:val="0087276A"/>
    <w:rsid w:val="0087447D"/>
    <w:rsid w:val="0088106D"/>
    <w:rsid w:val="008833F9"/>
    <w:rsid w:val="0089041A"/>
    <w:rsid w:val="00893284"/>
    <w:rsid w:val="008B29BB"/>
    <w:rsid w:val="008B62D8"/>
    <w:rsid w:val="008C657A"/>
    <w:rsid w:val="008D00AE"/>
    <w:rsid w:val="008D6878"/>
    <w:rsid w:val="008E06A2"/>
    <w:rsid w:val="008E244A"/>
    <w:rsid w:val="008E6CA9"/>
    <w:rsid w:val="008F03F6"/>
    <w:rsid w:val="00903FD6"/>
    <w:rsid w:val="00904DB2"/>
    <w:rsid w:val="00910F7F"/>
    <w:rsid w:val="0091547B"/>
    <w:rsid w:val="00915A74"/>
    <w:rsid w:val="0092244C"/>
    <w:rsid w:val="00937ED3"/>
    <w:rsid w:val="009459B1"/>
    <w:rsid w:val="00945C97"/>
    <w:rsid w:val="00946893"/>
    <w:rsid w:val="00951645"/>
    <w:rsid w:val="0095280F"/>
    <w:rsid w:val="00954272"/>
    <w:rsid w:val="00955063"/>
    <w:rsid w:val="0096096E"/>
    <w:rsid w:val="00964109"/>
    <w:rsid w:val="00972549"/>
    <w:rsid w:val="009801BB"/>
    <w:rsid w:val="00986D72"/>
    <w:rsid w:val="00991999"/>
    <w:rsid w:val="009A608D"/>
    <w:rsid w:val="009B1F7E"/>
    <w:rsid w:val="009C16FD"/>
    <w:rsid w:val="009C2350"/>
    <w:rsid w:val="009C400E"/>
    <w:rsid w:val="009D3086"/>
    <w:rsid w:val="009E19D3"/>
    <w:rsid w:val="009E4ECB"/>
    <w:rsid w:val="009E560E"/>
    <w:rsid w:val="009F1B5A"/>
    <w:rsid w:val="009F533E"/>
    <w:rsid w:val="009F6194"/>
    <w:rsid w:val="00A11924"/>
    <w:rsid w:val="00A1196B"/>
    <w:rsid w:val="00A12ABF"/>
    <w:rsid w:val="00A15ED7"/>
    <w:rsid w:val="00A218D6"/>
    <w:rsid w:val="00A22752"/>
    <w:rsid w:val="00A234AF"/>
    <w:rsid w:val="00A3071B"/>
    <w:rsid w:val="00A31EEF"/>
    <w:rsid w:val="00A33624"/>
    <w:rsid w:val="00A45DD3"/>
    <w:rsid w:val="00A46819"/>
    <w:rsid w:val="00A50FFF"/>
    <w:rsid w:val="00A51C1B"/>
    <w:rsid w:val="00A534B9"/>
    <w:rsid w:val="00A56465"/>
    <w:rsid w:val="00A61158"/>
    <w:rsid w:val="00A61D32"/>
    <w:rsid w:val="00A71D78"/>
    <w:rsid w:val="00A771E2"/>
    <w:rsid w:val="00A86511"/>
    <w:rsid w:val="00A867A3"/>
    <w:rsid w:val="00AA0E68"/>
    <w:rsid w:val="00AA302B"/>
    <w:rsid w:val="00AA391D"/>
    <w:rsid w:val="00AA47EB"/>
    <w:rsid w:val="00AA56BD"/>
    <w:rsid w:val="00AB5FF0"/>
    <w:rsid w:val="00AC7DC4"/>
    <w:rsid w:val="00AE4ABD"/>
    <w:rsid w:val="00AE4EAD"/>
    <w:rsid w:val="00AF3820"/>
    <w:rsid w:val="00AF62C5"/>
    <w:rsid w:val="00AF7CBA"/>
    <w:rsid w:val="00B03FB1"/>
    <w:rsid w:val="00B05057"/>
    <w:rsid w:val="00B103DB"/>
    <w:rsid w:val="00B104C7"/>
    <w:rsid w:val="00B2024C"/>
    <w:rsid w:val="00B2216B"/>
    <w:rsid w:val="00B24328"/>
    <w:rsid w:val="00B26224"/>
    <w:rsid w:val="00B27481"/>
    <w:rsid w:val="00B27C15"/>
    <w:rsid w:val="00B31B34"/>
    <w:rsid w:val="00B35F33"/>
    <w:rsid w:val="00B365A8"/>
    <w:rsid w:val="00B4357C"/>
    <w:rsid w:val="00B4388B"/>
    <w:rsid w:val="00B43BDF"/>
    <w:rsid w:val="00B47B73"/>
    <w:rsid w:val="00B57722"/>
    <w:rsid w:val="00B6708C"/>
    <w:rsid w:val="00B717BE"/>
    <w:rsid w:val="00B71E8B"/>
    <w:rsid w:val="00B7229C"/>
    <w:rsid w:val="00B743BD"/>
    <w:rsid w:val="00B74D5E"/>
    <w:rsid w:val="00B77C04"/>
    <w:rsid w:val="00B81D8F"/>
    <w:rsid w:val="00B81F27"/>
    <w:rsid w:val="00B85892"/>
    <w:rsid w:val="00B85FEE"/>
    <w:rsid w:val="00B91543"/>
    <w:rsid w:val="00BA7B73"/>
    <w:rsid w:val="00BA7FEB"/>
    <w:rsid w:val="00BB180F"/>
    <w:rsid w:val="00BB7FF3"/>
    <w:rsid w:val="00BC0C62"/>
    <w:rsid w:val="00BC277F"/>
    <w:rsid w:val="00BE6D4A"/>
    <w:rsid w:val="00BF0BB6"/>
    <w:rsid w:val="00BF41A5"/>
    <w:rsid w:val="00BF4467"/>
    <w:rsid w:val="00BF4D23"/>
    <w:rsid w:val="00C05568"/>
    <w:rsid w:val="00C22AB5"/>
    <w:rsid w:val="00C267BC"/>
    <w:rsid w:val="00C26C9D"/>
    <w:rsid w:val="00C3690B"/>
    <w:rsid w:val="00C402F4"/>
    <w:rsid w:val="00C414ED"/>
    <w:rsid w:val="00C422F8"/>
    <w:rsid w:val="00C46CF1"/>
    <w:rsid w:val="00C61F9A"/>
    <w:rsid w:val="00C82B40"/>
    <w:rsid w:val="00C865DE"/>
    <w:rsid w:val="00C91D04"/>
    <w:rsid w:val="00CA002F"/>
    <w:rsid w:val="00CA2185"/>
    <w:rsid w:val="00CA492D"/>
    <w:rsid w:val="00CB2714"/>
    <w:rsid w:val="00CB7768"/>
    <w:rsid w:val="00CC1498"/>
    <w:rsid w:val="00CC3AF6"/>
    <w:rsid w:val="00CC3C21"/>
    <w:rsid w:val="00CC3D49"/>
    <w:rsid w:val="00CD3F44"/>
    <w:rsid w:val="00CE134D"/>
    <w:rsid w:val="00CE4227"/>
    <w:rsid w:val="00CF793D"/>
    <w:rsid w:val="00D05993"/>
    <w:rsid w:val="00D07BB5"/>
    <w:rsid w:val="00D101D2"/>
    <w:rsid w:val="00D13898"/>
    <w:rsid w:val="00D16E6C"/>
    <w:rsid w:val="00D2283F"/>
    <w:rsid w:val="00D30112"/>
    <w:rsid w:val="00D34C9F"/>
    <w:rsid w:val="00D35E65"/>
    <w:rsid w:val="00D44004"/>
    <w:rsid w:val="00D51885"/>
    <w:rsid w:val="00D52027"/>
    <w:rsid w:val="00D6053A"/>
    <w:rsid w:val="00D707F6"/>
    <w:rsid w:val="00D73B0F"/>
    <w:rsid w:val="00D75AE2"/>
    <w:rsid w:val="00D83DB3"/>
    <w:rsid w:val="00D90C4D"/>
    <w:rsid w:val="00DA2424"/>
    <w:rsid w:val="00DA3552"/>
    <w:rsid w:val="00DB10C9"/>
    <w:rsid w:val="00DC3069"/>
    <w:rsid w:val="00DC412C"/>
    <w:rsid w:val="00DC42B8"/>
    <w:rsid w:val="00DD37E0"/>
    <w:rsid w:val="00DD3F93"/>
    <w:rsid w:val="00DE6746"/>
    <w:rsid w:val="00DF1022"/>
    <w:rsid w:val="00DF4140"/>
    <w:rsid w:val="00DF60F4"/>
    <w:rsid w:val="00E00292"/>
    <w:rsid w:val="00E02479"/>
    <w:rsid w:val="00E03261"/>
    <w:rsid w:val="00E03842"/>
    <w:rsid w:val="00E0446F"/>
    <w:rsid w:val="00E05B35"/>
    <w:rsid w:val="00E1338E"/>
    <w:rsid w:val="00E20F5E"/>
    <w:rsid w:val="00E21D36"/>
    <w:rsid w:val="00E22967"/>
    <w:rsid w:val="00E32CF0"/>
    <w:rsid w:val="00E33495"/>
    <w:rsid w:val="00E33CEC"/>
    <w:rsid w:val="00E345E4"/>
    <w:rsid w:val="00E354FA"/>
    <w:rsid w:val="00E36B60"/>
    <w:rsid w:val="00E4153D"/>
    <w:rsid w:val="00E42672"/>
    <w:rsid w:val="00E432BD"/>
    <w:rsid w:val="00E51BA4"/>
    <w:rsid w:val="00E51F07"/>
    <w:rsid w:val="00E56913"/>
    <w:rsid w:val="00E730D5"/>
    <w:rsid w:val="00E773F2"/>
    <w:rsid w:val="00E86540"/>
    <w:rsid w:val="00E87E55"/>
    <w:rsid w:val="00E93F75"/>
    <w:rsid w:val="00EA2AEC"/>
    <w:rsid w:val="00EA35E9"/>
    <w:rsid w:val="00EB0093"/>
    <w:rsid w:val="00EB05E5"/>
    <w:rsid w:val="00EB207F"/>
    <w:rsid w:val="00EB2A71"/>
    <w:rsid w:val="00EB731C"/>
    <w:rsid w:val="00ED6B45"/>
    <w:rsid w:val="00EE297D"/>
    <w:rsid w:val="00EE3F2E"/>
    <w:rsid w:val="00EF2194"/>
    <w:rsid w:val="00EF3797"/>
    <w:rsid w:val="00EF3B1D"/>
    <w:rsid w:val="00EF7F5E"/>
    <w:rsid w:val="00F02223"/>
    <w:rsid w:val="00F23832"/>
    <w:rsid w:val="00F27906"/>
    <w:rsid w:val="00F3674F"/>
    <w:rsid w:val="00F37DEA"/>
    <w:rsid w:val="00F43F3E"/>
    <w:rsid w:val="00F4696C"/>
    <w:rsid w:val="00F4714A"/>
    <w:rsid w:val="00F561FA"/>
    <w:rsid w:val="00F62EB6"/>
    <w:rsid w:val="00F713F7"/>
    <w:rsid w:val="00F75858"/>
    <w:rsid w:val="00F759C0"/>
    <w:rsid w:val="00F878FE"/>
    <w:rsid w:val="00F87EF0"/>
    <w:rsid w:val="00F90D87"/>
    <w:rsid w:val="00FA48E5"/>
    <w:rsid w:val="00FB0D70"/>
    <w:rsid w:val="00FB7FE4"/>
    <w:rsid w:val="00FC167B"/>
    <w:rsid w:val="00FC2EA9"/>
    <w:rsid w:val="00FD21A6"/>
    <w:rsid w:val="00FD5A53"/>
    <w:rsid w:val="00FE06D3"/>
    <w:rsid w:val="00FE45BF"/>
    <w:rsid w:val="00FF1D7B"/>
    <w:rsid w:val="00FF40A0"/>
    <w:rsid w:val="00FF4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5AEFD7"/>
  <w15:chartTrackingRefBased/>
  <w15:docId w15:val="{5350E483-4194-4E6D-83E3-892FD6942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5C549B"/>
    <w:pPr>
      <w:bidi/>
      <w:spacing w:line="360" w:lineRule="auto"/>
      <w:jc w:val="both"/>
    </w:pPr>
    <w:rPr>
      <w:rFonts w:cs="David"/>
      <w:color w:val="000000"/>
      <w:sz w:val="24"/>
      <w:szCs w:val="24"/>
      <w:lang w:eastAsia="he-IL"/>
    </w:rPr>
  </w:style>
  <w:style w:type="paragraph" w:styleId="10">
    <w:name w:val="heading 1"/>
    <w:basedOn w:val="a1"/>
    <w:qFormat/>
    <w:rsid w:val="005C549B"/>
    <w:pPr>
      <w:numPr>
        <w:numId w:val="9"/>
      </w:numPr>
      <w:spacing w:before="120" w:after="120"/>
      <w:outlineLvl w:val="0"/>
    </w:pPr>
  </w:style>
  <w:style w:type="paragraph" w:styleId="20">
    <w:name w:val="heading 2"/>
    <w:basedOn w:val="a1"/>
    <w:qFormat/>
    <w:rsid w:val="005C549B"/>
    <w:pPr>
      <w:numPr>
        <w:ilvl w:val="1"/>
        <w:numId w:val="9"/>
      </w:numPr>
      <w:spacing w:before="120" w:after="120"/>
      <w:outlineLvl w:val="1"/>
    </w:pPr>
  </w:style>
  <w:style w:type="paragraph" w:styleId="30">
    <w:name w:val="heading 3"/>
    <w:basedOn w:val="a1"/>
    <w:qFormat/>
    <w:rsid w:val="005C549B"/>
    <w:pPr>
      <w:numPr>
        <w:ilvl w:val="2"/>
        <w:numId w:val="9"/>
      </w:numPr>
      <w:spacing w:before="120" w:after="120"/>
      <w:outlineLvl w:val="2"/>
    </w:pPr>
  </w:style>
  <w:style w:type="paragraph" w:styleId="40">
    <w:name w:val="heading 4"/>
    <w:basedOn w:val="a1"/>
    <w:qFormat/>
    <w:rsid w:val="005C549B"/>
    <w:pPr>
      <w:numPr>
        <w:ilvl w:val="3"/>
        <w:numId w:val="9"/>
      </w:numPr>
      <w:spacing w:before="120" w:after="120"/>
      <w:outlineLvl w:val="3"/>
    </w:pPr>
  </w:style>
  <w:style w:type="paragraph" w:styleId="50">
    <w:name w:val="heading 5"/>
    <w:basedOn w:val="a1"/>
    <w:qFormat/>
    <w:rsid w:val="005C549B"/>
    <w:pPr>
      <w:numPr>
        <w:ilvl w:val="4"/>
        <w:numId w:val="9"/>
      </w:numPr>
      <w:spacing w:before="120"/>
      <w:outlineLvl w:val="4"/>
    </w:pPr>
  </w:style>
  <w:style w:type="paragraph" w:styleId="6">
    <w:name w:val="heading 6"/>
    <w:basedOn w:val="a1"/>
    <w:next w:val="a1"/>
    <w:qFormat/>
    <w:rsid w:val="005C549B"/>
    <w:pPr>
      <w:numPr>
        <w:ilvl w:val="5"/>
        <w:numId w:val="9"/>
      </w:numPr>
      <w:spacing w:before="240" w:after="60"/>
      <w:ind w:right="567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qFormat/>
    <w:rsid w:val="005C549B"/>
    <w:pPr>
      <w:numPr>
        <w:ilvl w:val="6"/>
        <w:numId w:val="9"/>
      </w:numPr>
      <w:spacing w:before="240" w:after="60"/>
      <w:ind w:right="567"/>
      <w:outlineLvl w:val="6"/>
    </w:pPr>
    <w:rPr>
      <w:sz w:val="22"/>
    </w:rPr>
  </w:style>
  <w:style w:type="paragraph" w:styleId="8">
    <w:name w:val="heading 8"/>
    <w:basedOn w:val="a1"/>
    <w:next w:val="a1"/>
    <w:qFormat/>
    <w:rsid w:val="005C549B"/>
    <w:pPr>
      <w:numPr>
        <w:ilvl w:val="7"/>
        <w:numId w:val="9"/>
      </w:numPr>
      <w:spacing w:before="240" w:after="60"/>
      <w:ind w:right="567"/>
      <w:outlineLvl w:val="7"/>
    </w:pPr>
    <w:rPr>
      <w:i/>
      <w:iCs/>
      <w:sz w:val="22"/>
    </w:rPr>
  </w:style>
  <w:style w:type="paragraph" w:styleId="9">
    <w:name w:val="heading 9"/>
    <w:basedOn w:val="a1"/>
    <w:next w:val="a1"/>
    <w:qFormat/>
    <w:rsid w:val="005C549B"/>
    <w:pPr>
      <w:numPr>
        <w:ilvl w:val="8"/>
        <w:numId w:val="9"/>
      </w:numPr>
      <w:spacing w:before="240" w:after="60"/>
      <w:ind w:right="567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1"/>
    <w:rsid w:val="005C549B"/>
    <w:pPr>
      <w:tabs>
        <w:tab w:val="center" w:pos="4153"/>
        <w:tab w:val="right" w:pos="8306"/>
      </w:tabs>
    </w:pPr>
  </w:style>
  <w:style w:type="paragraph" w:styleId="a6">
    <w:name w:val="header"/>
    <w:basedOn w:val="a1"/>
    <w:rsid w:val="005C549B"/>
    <w:pPr>
      <w:tabs>
        <w:tab w:val="center" w:pos="4153"/>
        <w:tab w:val="right" w:pos="8306"/>
      </w:tabs>
    </w:pPr>
  </w:style>
  <w:style w:type="paragraph" w:customStyle="1" w:styleId="1">
    <w:name w:val="היסט1"/>
    <w:basedOn w:val="a1"/>
    <w:rsid w:val="005C549B"/>
    <w:pPr>
      <w:numPr>
        <w:numId w:val="14"/>
      </w:numPr>
      <w:spacing w:before="120" w:after="120"/>
    </w:pPr>
  </w:style>
  <w:style w:type="paragraph" w:customStyle="1" w:styleId="2">
    <w:name w:val="היסט2"/>
    <w:basedOn w:val="a1"/>
    <w:rsid w:val="005C549B"/>
    <w:pPr>
      <w:numPr>
        <w:ilvl w:val="1"/>
        <w:numId w:val="14"/>
      </w:numPr>
      <w:spacing w:before="120" w:after="120"/>
    </w:pPr>
  </w:style>
  <w:style w:type="paragraph" w:customStyle="1" w:styleId="3">
    <w:name w:val="היסט3"/>
    <w:basedOn w:val="a1"/>
    <w:rsid w:val="005C549B"/>
    <w:pPr>
      <w:numPr>
        <w:ilvl w:val="2"/>
        <w:numId w:val="14"/>
      </w:numPr>
      <w:spacing w:before="120" w:after="120"/>
    </w:pPr>
  </w:style>
  <w:style w:type="paragraph" w:customStyle="1" w:styleId="4">
    <w:name w:val="היסט4"/>
    <w:basedOn w:val="a1"/>
    <w:rsid w:val="005C549B"/>
    <w:pPr>
      <w:numPr>
        <w:ilvl w:val="3"/>
        <w:numId w:val="14"/>
      </w:numPr>
      <w:spacing w:before="120" w:after="120"/>
    </w:pPr>
  </w:style>
  <w:style w:type="paragraph" w:customStyle="1" w:styleId="5">
    <w:name w:val="היסט5"/>
    <w:basedOn w:val="a1"/>
    <w:rsid w:val="005C549B"/>
    <w:pPr>
      <w:numPr>
        <w:ilvl w:val="4"/>
        <w:numId w:val="14"/>
      </w:numPr>
      <w:spacing w:before="240"/>
      <w:ind w:right="567"/>
    </w:pPr>
    <w:rPr>
      <w:sz w:val="22"/>
    </w:rPr>
  </w:style>
  <w:style w:type="paragraph" w:customStyle="1" w:styleId="a0">
    <w:name w:val="נספח"/>
    <w:basedOn w:val="a1"/>
    <w:next w:val="a1"/>
    <w:rsid w:val="005C549B"/>
    <w:pPr>
      <w:numPr>
        <w:numId w:val="15"/>
      </w:numPr>
      <w:tabs>
        <w:tab w:val="left" w:pos="427"/>
      </w:tabs>
      <w:spacing w:line="240" w:lineRule="auto"/>
    </w:pPr>
    <w:rPr>
      <w:color w:val="auto"/>
      <w:lang w:eastAsia="en-US"/>
    </w:rPr>
  </w:style>
  <w:style w:type="paragraph" w:customStyle="1" w:styleId="11">
    <w:name w:val="ציטוט1"/>
    <w:basedOn w:val="a1"/>
    <w:rsid w:val="005C549B"/>
    <w:pPr>
      <w:spacing w:line="240" w:lineRule="auto"/>
      <w:ind w:left="1418" w:right="1418"/>
    </w:pPr>
  </w:style>
  <w:style w:type="paragraph" w:customStyle="1" w:styleId="a">
    <w:name w:val="אסמכתא"/>
    <w:basedOn w:val="a1"/>
    <w:rsid w:val="001F42F6"/>
    <w:pPr>
      <w:numPr>
        <w:numId w:val="16"/>
      </w:numPr>
    </w:pPr>
    <w:rPr>
      <w:color w:val="auto"/>
      <w:lang w:eastAsia="en-US"/>
    </w:rPr>
  </w:style>
  <w:style w:type="character" w:styleId="a7">
    <w:name w:val="Placeholder Text"/>
    <w:basedOn w:val="a2"/>
    <w:uiPriority w:val="99"/>
    <w:semiHidden/>
    <w:rsid w:val="001F42F6"/>
    <w:rPr>
      <w:color w:val="808080"/>
    </w:rPr>
  </w:style>
  <w:style w:type="paragraph" w:styleId="a8">
    <w:name w:val="footnote text"/>
    <w:basedOn w:val="a1"/>
    <w:link w:val="a9"/>
    <w:semiHidden/>
    <w:unhideWhenUsed/>
    <w:rsid w:val="00FB7FE4"/>
    <w:pPr>
      <w:spacing w:line="240" w:lineRule="auto"/>
      <w:ind w:left="390" w:hanging="390"/>
    </w:pPr>
    <w:rPr>
      <w:sz w:val="20"/>
      <w:szCs w:val="20"/>
    </w:rPr>
  </w:style>
  <w:style w:type="character" w:customStyle="1" w:styleId="a9">
    <w:name w:val="טקסט הערת שוליים תו"/>
    <w:basedOn w:val="a2"/>
    <w:link w:val="a8"/>
    <w:semiHidden/>
    <w:rsid w:val="00FB7FE4"/>
    <w:rPr>
      <w:rFonts w:cs="David"/>
      <w:color w:val="000000"/>
      <w:lang w:eastAsia="he-IL"/>
    </w:rPr>
  </w:style>
  <w:style w:type="paragraph" w:styleId="aa">
    <w:name w:val="List Paragraph"/>
    <w:basedOn w:val="a1"/>
    <w:uiPriority w:val="34"/>
    <w:qFormat/>
    <w:rsid w:val="0006420D"/>
    <w:pPr>
      <w:ind w:left="720"/>
      <w:contextualSpacing/>
    </w:pPr>
  </w:style>
  <w:style w:type="character" w:styleId="ab">
    <w:name w:val="footnote reference"/>
    <w:basedOn w:val="a2"/>
    <w:semiHidden/>
    <w:unhideWhenUsed/>
    <w:rsid w:val="00E93F75"/>
    <w:rPr>
      <w:vertAlign w:val="superscript"/>
    </w:rPr>
  </w:style>
  <w:style w:type="paragraph" w:styleId="ac">
    <w:name w:val="Balloon Text"/>
    <w:basedOn w:val="a1"/>
    <w:link w:val="ad"/>
    <w:semiHidden/>
    <w:unhideWhenUsed/>
    <w:rsid w:val="00F713F7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d">
    <w:name w:val="טקסט בלונים תו"/>
    <w:basedOn w:val="a2"/>
    <w:link w:val="ac"/>
    <w:semiHidden/>
    <w:rsid w:val="00F713F7"/>
    <w:rPr>
      <w:rFonts w:ascii="Tahoma" w:hAnsi="Tahoma" w:cs="Tahoma"/>
      <w:color w:val="000000"/>
      <w:sz w:val="18"/>
      <w:szCs w:val="18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297066-0208-4D05-9C25-0A3A74AE0E53}"/>
</file>

<file path=customXml/itemProps2.xml><?xml version="1.0" encoding="utf-8"?>
<ds:datastoreItem xmlns:ds="http://schemas.openxmlformats.org/officeDocument/2006/customXml" ds:itemID="{ADEF6066-EC86-4FC5-A1AA-41C2B26D8D38}"/>
</file>

<file path=customXml/itemProps3.xml><?xml version="1.0" encoding="utf-8"?>
<ds:datastoreItem xmlns:ds="http://schemas.openxmlformats.org/officeDocument/2006/customXml" ds:itemID="{5F3113E7-D845-487A-AF9B-19B5A7A9FD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883</Words>
  <Characters>4301</Characters>
  <Application>Microsoft Office Word</Application>
  <DocSecurity>0</DocSecurity>
  <Lines>35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06120815</dc:subject>
  <dc:creator>Tadmor-Levy</dc:creator>
  <cp:keywords/>
  <dc:description/>
  <cp:lastModifiedBy>gilead_k</cp:lastModifiedBy>
  <cp:revision>5</cp:revision>
  <dcterms:created xsi:type="dcterms:W3CDTF">2016-12-05T08:26:00Z</dcterms:created>
  <dcterms:modified xsi:type="dcterms:W3CDTF">2016-12-05T08:34:00Z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2009929</vt:r8>
  </property>
</Properties>
</file>