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4C6" w:rsidRPr="000B6453" w:rsidRDefault="00E544C6" w:rsidP="00E544C6">
      <w:pPr>
        <w:bidi/>
        <w:spacing w:after="240" w:line="280" w:lineRule="atLeast"/>
        <w:jc w:val="center"/>
        <w:rPr>
          <w:rFonts w:ascii="Georgia" w:eastAsia="Times New Roman" w:hAnsi="Georgia" w:cs="David"/>
          <w:b/>
          <w:bCs/>
          <w:kern w:val="20"/>
          <w:sz w:val="22"/>
          <w:u w:val="single"/>
          <w:rtl/>
          <w:lang w:val="en-GB" w:eastAsia="he-IL"/>
        </w:rPr>
      </w:pPr>
      <w:r w:rsidRPr="000B6453">
        <w:rPr>
          <w:rFonts w:ascii="Georgia" w:eastAsia="Times New Roman" w:hAnsi="Georgia" w:cs="David" w:hint="cs"/>
          <w:b/>
          <w:bCs/>
          <w:kern w:val="20"/>
          <w:sz w:val="22"/>
          <w:u w:val="single"/>
          <w:rtl/>
          <w:lang w:val="en-GB" w:eastAsia="he-IL"/>
        </w:rPr>
        <w:t xml:space="preserve">הסתייגות - </w:t>
      </w:r>
      <w:r w:rsidRPr="000B6453">
        <w:rPr>
          <w:rFonts w:ascii="Georgia" w:eastAsia="Times New Roman" w:hAnsi="Georgia" w:cs="David" w:hint="eastAsia"/>
          <w:b/>
          <w:bCs/>
          <w:kern w:val="20"/>
          <w:sz w:val="22"/>
          <w:u w:val="single"/>
          <w:rtl/>
          <w:lang w:val="en-GB" w:eastAsia="he-IL"/>
        </w:rPr>
        <w:t>הצעת</w:t>
      </w:r>
      <w:r w:rsidRPr="000B6453">
        <w:rPr>
          <w:rFonts w:ascii="Georgia" w:eastAsia="Times New Roman" w:hAnsi="Georgia" w:cs="David"/>
          <w:b/>
          <w:bCs/>
          <w:kern w:val="20"/>
          <w:sz w:val="22"/>
          <w:u w:val="single"/>
          <w:rtl/>
          <w:lang w:val="en-GB" w:eastAsia="he-IL"/>
        </w:rPr>
        <w:t xml:space="preserve"> </w:t>
      </w:r>
      <w:r w:rsidRPr="000B6453">
        <w:rPr>
          <w:rFonts w:ascii="Georgia" w:eastAsia="Times New Roman" w:hAnsi="Georgia" w:cs="David" w:hint="eastAsia"/>
          <w:b/>
          <w:bCs/>
          <w:kern w:val="20"/>
          <w:sz w:val="22"/>
          <w:u w:val="single"/>
          <w:rtl/>
          <w:lang w:val="en-GB" w:eastAsia="he-IL"/>
        </w:rPr>
        <w:t>חוק</w:t>
      </w:r>
      <w:r w:rsidRPr="000B6453">
        <w:rPr>
          <w:rFonts w:ascii="Georgia" w:eastAsia="Times New Roman" w:hAnsi="Georgia" w:cs="David"/>
          <w:b/>
          <w:bCs/>
          <w:kern w:val="20"/>
          <w:sz w:val="22"/>
          <w:u w:val="single"/>
          <w:rtl/>
          <w:lang w:val="en-GB" w:eastAsia="he-IL"/>
        </w:rPr>
        <w:t xml:space="preserve"> </w:t>
      </w:r>
      <w:r w:rsidRPr="000B6453">
        <w:rPr>
          <w:rFonts w:ascii="Georgia" w:eastAsia="Times New Roman" w:hAnsi="Georgia" w:cs="David" w:hint="eastAsia"/>
          <w:b/>
          <w:bCs/>
          <w:kern w:val="20"/>
          <w:sz w:val="22"/>
          <w:u w:val="single"/>
          <w:rtl/>
          <w:lang w:val="en-GB" w:eastAsia="he-IL"/>
        </w:rPr>
        <w:t>להגברת</w:t>
      </w:r>
      <w:r w:rsidRPr="000B6453">
        <w:rPr>
          <w:rFonts w:ascii="Georgia" w:eastAsia="Times New Roman" w:hAnsi="Georgia" w:cs="David"/>
          <w:b/>
          <w:bCs/>
          <w:kern w:val="20"/>
          <w:sz w:val="22"/>
          <w:u w:val="single"/>
          <w:rtl/>
          <w:lang w:val="en-GB" w:eastAsia="he-IL"/>
        </w:rPr>
        <w:t xml:space="preserve"> </w:t>
      </w:r>
      <w:r w:rsidRPr="000B6453">
        <w:rPr>
          <w:rFonts w:ascii="Georgia" w:eastAsia="Times New Roman" w:hAnsi="Georgia" w:cs="David" w:hint="eastAsia"/>
          <w:b/>
          <w:bCs/>
          <w:kern w:val="20"/>
          <w:sz w:val="22"/>
          <w:u w:val="single"/>
          <w:rtl/>
          <w:lang w:val="en-GB" w:eastAsia="he-IL"/>
        </w:rPr>
        <w:t>התחרות</w:t>
      </w:r>
      <w:r w:rsidRPr="000B6453">
        <w:rPr>
          <w:rFonts w:ascii="Georgia" w:eastAsia="Times New Roman" w:hAnsi="Georgia" w:cs="David"/>
          <w:b/>
          <w:bCs/>
          <w:kern w:val="20"/>
          <w:sz w:val="22"/>
          <w:u w:val="single"/>
          <w:rtl/>
          <w:lang w:val="en-GB" w:eastAsia="he-IL"/>
        </w:rPr>
        <w:t xml:space="preserve"> </w:t>
      </w:r>
      <w:r w:rsidRPr="000B6453">
        <w:rPr>
          <w:rFonts w:ascii="Georgia" w:eastAsia="Times New Roman" w:hAnsi="Georgia" w:cs="David" w:hint="eastAsia"/>
          <w:b/>
          <w:bCs/>
          <w:kern w:val="20"/>
          <w:sz w:val="22"/>
          <w:u w:val="single"/>
          <w:rtl/>
          <w:lang w:val="en-GB" w:eastAsia="he-IL"/>
        </w:rPr>
        <w:t>ולצמצום</w:t>
      </w:r>
      <w:r w:rsidRPr="000B6453">
        <w:rPr>
          <w:rFonts w:ascii="Georgia" w:eastAsia="Times New Roman" w:hAnsi="Georgia" w:cs="David"/>
          <w:b/>
          <w:bCs/>
          <w:kern w:val="20"/>
          <w:sz w:val="22"/>
          <w:u w:val="single"/>
          <w:rtl/>
          <w:lang w:val="en-GB" w:eastAsia="he-IL"/>
        </w:rPr>
        <w:t xml:space="preserve"> </w:t>
      </w:r>
      <w:r w:rsidRPr="000B6453">
        <w:rPr>
          <w:rFonts w:ascii="Georgia" w:eastAsia="Times New Roman" w:hAnsi="Georgia" w:cs="David" w:hint="eastAsia"/>
          <w:b/>
          <w:bCs/>
          <w:kern w:val="20"/>
          <w:sz w:val="22"/>
          <w:u w:val="single"/>
          <w:rtl/>
          <w:lang w:val="en-GB" w:eastAsia="he-IL"/>
        </w:rPr>
        <w:t>הריכוזיות</w:t>
      </w:r>
      <w:r w:rsidRPr="000B6453">
        <w:rPr>
          <w:rFonts w:ascii="Georgia" w:eastAsia="Times New Roman" w:hAnsi="Georgia" w:cs="David"/>
          <w:b/>
          <w:bCs/>
          <w:kern w:val="20"/>
          <w:sz w:val="22"/>
          <w:u w:val="single"/>
          <w:rtl/>
          <w:lang w:val="en-GB" w:eastAsia="he-IL"/>
        </w:rPr>
        <w:t xml:space="preserve"> </w:t>
      </w:r>
      <w:r w:rsidRPr="000B6453">
        <w:rPr>
          <w:rFonts w:ascii="Georgia" w:eastAsia="Times New Roman" w:hAnsi="Georgia" w:cs="David" w:hint="eastAsia"/>
          <w:b/>
          <w:bCs/>
          <w:kern w:val="20"/>
          <w:sz w:val="22"/>
          <w:u w:val="single"/>
          <w:rtl/>
          <w:lang w:val="en-GB" w:eastAsia="he-IL"/>
        </w:rPr>
        <w:t>בשוק</w:t>
      </w:r>
      <w:r w:rsidRPr="000B6453">
        <w:rPr>
          <w:rFonts w:ascii="Georgia" w:eastAsia="Times New Roman" w:hAnsi="Georgia" w:cs="David"/>
          <w:b/>
          <w:bCs/>
          <w:kern w:val="20"/>
          <w:sz w:val="22"/>
          <w:u w:val="single"/>
          <w:rtl/>
          <w:lang w:val="en-GB" w:eastAsia="he-IL"/>
        </w:rPr>
        <w:t xml:space="preserve"> </w:t>
      </w:r>
      <w:r w:rsidRPr="000B6453">
        <w:rPr>
          <w:rFonts w:ascii="Georgia" w:eastAsia="Times New Roman" w:hAnsi="Georgia" w:cs="David" w:hint="eastAsia"/>
          <w:b/>
          <w:bCs/>
          <w:kern w:val="20"/>
          <w:sz w:val="22"/>
          <w:u w:val="single"/>
          <w:rtl/>
          <w:lang w:val="en-GB" w:eastAsia="he-IL"/>
        </w:rPr>
        <w:t>הבנקאות</w:t>
      </w:r>
      <w:r w:rsidRPr="000B6453">
        <w:rPr>
          <w:rFonts w:ascii="Georgia" w:eastAsia="Times New Roman" w:hAnsi="Georgia" w:cs="David"/>
          <w:b/>
          <w:bCs/>
          <w:kern w:val="20"/>
          <w:sz w:val="22"/>
          <w:u w:val="single"/>
          <w:rtl/>
          <w:lang w:val="en-GB" w:eastAsia="he-IL"/>
        </w:rPr>
        <w:t xml:space="preserve"> </w:t>
      </w:r>
      <w:r w:rsidRPr="000B6453">
        <w:rPr>
          <w:rFonts w:ascii="Georgia" w:eastAsia="Times New Roman" w:hAnsi="Georgia" w:cs="David" w:hint="eastAsia"/>
          <w:b/>
          <w:bCs/>
          <w:kern w:val="20"/>
          <w:sz w:val="22"/>
          <w:u w:val="single"/>
          <w:rtl/>
          <w:lang w:val="en-GB" w:eastAsia="he-IL"/>
        </w:rPr>
        <w:t>בישראל</w:t>
      </w:r>
      <w:r w:rsidRPr="000B6453">
        <w:rPr>
          <w:rFonts w:ascii="Georgia" w:eastAsia="Times New Roman" w:hAnsi="Georgia" w:cs="David"/>
          <w:b/>
          <w:bCs/>
          <w:kern w:val="20"/>
          <w:sz w:val="22"/>
          <w:u w:val="single"/>
          <w:rtl/>
          <w:lang w:val="en-GB" w:eastAsia="he-IL"/>
        </w:rPr>
        <w:t xml:space="preserve"> </w:t>
      </w:r>
      <w:r w:rsidRPr="000B6453">
        <w:rPr>
          <w:rFonts w:ascii="Georgia" w:eastAsia="Times New Roman" w:hAnsi="Georgia" w:cs="David" w:hint="cs"/>
          <w:b/>
          <w:bCs/>
          <w:kern w:val="20"/>
          <w:sz w:val="22"/>
          <w:u w:val="single"/>
          <w:rtl/>
          <w:lang w:val="en-GB" w:eastAsia="he-IL"/>
        </w:rPr>
        <w:t>(</w:t>
      </w:r>
      <w:r w:rsidRPr="000B6453">
        <w:rPr>
          <w:rFonts w:ascii="Georgia" w:eastAsia="Times New Roman" w:hAnsi="Georgia" w:cs="David" w:hint="eastAsia"/>
          <w:b/>
          <w:bCs/>
          <w:kern w:val="20"/>
          <w:sz w:val="22"/>
          <w:u w:val="single"/>
          <w:rtl/>
          <w:lang w:val="en-GB" w:eastAsia="he-IL"/>
        </w:rPr>
        <w:t>תיקוני</w:t>
      </w:r>
      <w:r w:rsidRPr="000B6453">
        <w:rPr>
          <w:rFonts w:ascii="Georgia" w:eastAsia="Times New Roman" w:hAnsi="Georgia" w:cs="David"/>
          <w:b/>
          <w:bCs/>
          <w:kern w:val="20"/>
          <w:sz w:val="22"/>
          <w:u w:val="single"/>
          <w:rtl/>
          <w:lang w:val="en-GB" w:eastAsia="he-IL"/>
        </w:rPr>
        <w:t xml:space="preserve"> </w:t>
      </w:r>
      <w:r w:rsidRPr="000B6453">
        <w:rPr>
          <w:rFonts w:ascii="Georgia" w:eastAsia="Times New Roman" w:hAnsi="Georgia" w:cs="David" w:hint="eastAsia"/>
          <w:b/>
          <w:bCs/>
          <w:kern w:val="20"/>
          <w:sz w:val="22"/>
          <w:u w:val="single"/>
          <w:rtl/>
          <w:lang w:val="en-GB" w:eastAsia="he-IL"/>
        </w:rPr>
        <w:t>חקיקה</w:t>
      </w:r>
      <w:r w:rsidRPr="000B6453">
        <w:rPr>
          <w:rFonts w:ascii="Georgia" w:eastAsia="Times New Roman" w:hAnsi="Georgia" w:cs="David" w:hint="cs"/>
          <w:b/>
          <w:bCs/>
          <w:kern w:val="20"/>
          <w:sz w:val="22"/>
          <w:u w:val="single"/>
          <w:rtl/>
          <w:lang w:val="en-GB" w:eastAsia="he-IL"/>
        </w:rPr>
        <w:t>), התשע"ו-2016</w:t>
      </w:r>
      <w:r>
        <w:rPr>
          <w:rFonts w:ascii="Georgia" w:eastAsia="Times New Roman" w:hAnsi="Georgia" w:cs="David" w:hint="cs"/>
          <w:b/>
          <w:bCs/>
          <w:kern w:val="20"/>
          <w:sz w:val="22"/>
          <w:u w:val="single"/>
          <w:rtl/>
          <w:lang w:val="en-GB" w:eastAsia="he-IL"/>
        </w:rPr>
        <w:t>- מאגד</w:t>
      </w:r>
    </w:p>
    <w:p w:rsidR="00E544C6" w:rsidRDefault="00E544C6" w:rsidP="00E544C6">
      <w:pPr>
        <w:bidi/>
        <w:jc w:val="both"/>
        <w:rPr>
          <w:rFonts w:cs="David"/>
        </w:rPr>
      </w:pPr>
      <w:r>
        <w:rPr>
          <w:rFonts w:cs="David" w:hint="cs"/>
          <w:rtl/>
        </w:rPr>
        <w:t>בסוף סעיף 7א לחוק  הבנקאות (שירות ללקוח), התשמ"א – 1981 יבוא:</w:t>
      </w:r>
    </w:p>
    <w:p w:rsidR="00E544C6" w:rsidRDefault="00E544C6" w:rsidP="00E544C6">
      <w:pPr>
        <w:pStyle w:val="ListParagraph"/>
        <w:bidi/>
        <w:ind w:left="0"/>
        <w:jc w:val="both"/>
        <w:rPr>
          <w:rFonts w:cs="David"/>
          <w:sz w:val="24"/>
          <w:szCs w:val="24"/>
        </w:rPr>
      </w:pPr>
      <w:r>
        <w:rPr>
          <w:rFonts w:cs="David" w:hint="cs"/>
          <w:sz w:val="24"/>
          <w:szCs w:val="24"/>
          <w:rtl/>
        </w:rPr>
        <w:t>(ה) לא יסרב סולק להתקשר בעצמו עם מאגד מורשה</w:t>
      </w:r>
      <w:r>
        <w:rPr>
          <w:sz w:val="24"/>
          <w:szCs w:val="24"/>
        </w:rPr>
        <w:t>,</w:t>
      </w:r>
      <w:r>
        <w:rPr>
          <w:rFonts w:cs="David" w:hint="cs"/>
          <w:sz w:val="24"/>
          <w:szCs w:val="24"/>
          <w:rtl/>
        </w:rPr>
        <w:t xml:space="preserve"> ולא ימנע התקשרות בין מאגד מורשה לבין עסק, אלא מטעמים סבירים; בסעיף זה "מאגד מורשה" –בעל רישיון למתן אשראי בהיקף נרחב כהגדרתו בחוק הפיקוח על שירותים פיננסיים שירותים פיננסיים מוסדרים, התשע"ו- 2016</w:t>
      </w:r>
      <w:r>
        <w:rPr>
          <w:sz w:val="24"/>
          <w:szCs w:val="24"/>
        </w:rPr>
        <w:t xml:space="preserve"> .</w:t>
      </w:r>
      <w:r>
        <w:rPr>
          <w:rFonts w:cs="David" w:hint="cs"/>
          <w:sz w:val="24"/>
          <w:szCs w:val="24"/>
          <w:rtl/>
        </w:rPr>
        <w:t xml:space="preserve"> </w:t>
      </w:r>
    </w:p>
    <w:p w:rsidR="00E544C6" w:rsidRDefault="00E544C6" w:rsidP="00E544C6">
      <w:pPr>
        <w:pStyle w:val="ListParagraph"/>
        <w:bidi/>
        <w:ind w:left="0"/>
        <w:jc w:val="both"/>
        <w:rPr>
          <w:rFonts w:cs="David"/>
          <w:sz w:val="24"/>
          <w:szCs w:val="24"/>
          <w:rtl/>
        </w:rPr>
      </w:pPr>
    </w:p>
    <w:p w:rsidR="00E544C6" w:rsidRDefault="00E544C6" w:rsidP="00E544C6">
      <w:pPr>
        <w:pStyle w:val="ListParagraph"/>
        <w:bidi/>
        <w:ind w:left="530"/>
        <w:jc w:val="both"/>
        <w:rPr>
          <w:rFonts w:cs="David"/>
          <w:sz w:val="24"/>
          <w:szCs w:val="24"/>
          <w:rtl/>
        </w:rPr>
      </w:pPr>
      <w:r>
        <w:rPr>
          <w:rFonts w:cs="David" w:hint="cs"/>
          <w:sz w:val="24"/>
          <w:szCs w:val="24"/>
          <w:rtl/>
        </w:rPr>
        <w:t>(1) לענין זה יראו, בין השאר, כל אחד מאלה כסירוב סביר</w:t>
      </w:r>
      <w:r>
        <w:rPr>
          <w:sz w:val="24"/>
          <w:szCs w:val="24"/>
        </w:rPr>
        <w:t>:</w:t>
      </w:r>
    </w:p>
    <w:p w:rsidR="00E544C6" w:rsidRPr="00036962" w:rsidRDefault="00E544C6" w:rsidP="00E544C6">
      <w:pPr>
        <w:pStyle w:val="ListParagraph"/>
        <w:bidi/>
        <w:ind w:hanging="190"/>
        <w:jc w:val="both"/>
        <w:rPr>
          <w:rFonts w:cs="David"/>
          <w:sz w:val="24"/>
          <w:szCs w:val="24"/>
          <w:rtl/>
        </w:rPr>
      </w:pPr>
      <w:r>
        <w:rPr>
          <w:rFonts w:cs="David" w:hint="cs"/>
          <w:sz w:val="24"/>
          <w:szCs w:val="24"/>
          <w:rtl/>
        </w:rPr>
        <w:t xml:space="preserve">  (א) אם המאגד אינו עומד בדרישות </w:t>
      </w:r>
      <w:r w:rsidR="006144E4">
        <w:rPr>
          <w:rFonts w:cs="David" w:hint="cs"/>
          <w:sz w:val="24"/>
          <w:szCs w:val="24"/>
          <w:rtl/>
        </w:rPr>
        <w:t xml:space="preserve">סבירות </w:t>
      </w:r>
      <w:r>
        <w:rPr>
          <w:rFonts w:cs="David" w:hint="cs"/>
          <w:sz w:val="24"/>
          <w:szCs w:val="24"/>
          <w:rtl/>
        </w:rPr>
        <w:t>ממאגדים של האירגונים הבינלאומיים המנהלים את פעילות רשת כרטיס החיוב</w:t>
      </w:r>
      <w:r>
        <w:rPr>
          <w:sz w:val="24"/>
          <w:szCs w:val="24"/>
        </w:rPr>
        <w:t>;</w:t>
      </w:r>
    </w:p>
    <w:p w:rsidR="00E544C6" w:rsidRDefault="00E544C6" w:rsidP="00E544C6">
      <w:pPr>
        <w:pStyle w:val="ListParagraph"/>
        <w:bidi/>
        <w:ind w:left="530" w:firstLine="190"/>
        <w:jc w:val="both"/>
        <w:rPr>
          <w:rFonts w:cs="David"/>
          <w:sz w:val="24"/>
          <w:szCs w:val="24"/>
          <w:rtl/>
        </w:rPr>
      </w:pPr>
      <w:r>
        <w:rPr>
          <w:rFonts w:cs="David" w:hint="cs"/>
          <w:sz w:val="24"/>
          <w:szCs w:val="24"/>
          <w:rtl/>
        </w:rPr>
        <w:t>(ב) אם המאגד אינו משייך כל עסקה בכרטיס חיוב לספק בו היא בוצעה</w:t>
      </w:r>
      <w:r>
        <w:rPr>
          <w:sz w:val="24"/>
          <w:szCs w:val="24"/>
        </w:rPr>
        <w:t>.</w:t>
      </w:r>
    </w:p>
    <w:p w:rsidR="00E544C6" w:rsidRDefault="00E544C6" w:rsidP="00E544C6">
      <w:pPr>
        <w:pStyle w:val="ListParagraph"/>
        <w:bidi/>
        <w:ind w:left="530"/>
        <w:jc w:val="both"/>
        <w:rPr>
          <w:rFonts w:cs="David"/>
          <w:sz w:val="24"/>
          <w:szCs w:val="24"/>
          <w:rtl/>
        </w:rPr>
      </w:pPr>
      <w:r>
        <w:rPr>
          <w:rFonts w:cs="David" w:hint="cs"/>
          <w:sz w:val="24"/>
          <w:szCs w:val="24"/>
          <w:rtl/>
        </w:rPr>
        <w:t>(2) יראו, בין השאר, כל אחד מאלה כסירוב בלתי סביר</w:t>
      </w:r>
      <w:r>
        <w:rPr>
          <w:sz w:val="24"/>
          <w:szCs w:val="24"/>
        </w:rPr>
        <w:t>:</w:t>
      </w:r>
    </w:p>
    <w:p w:rsidR="00E544C6" w:rsidRDefault="00E544C6" w:rsidP="00E544C6">
      <w:pPr>
        <w:pStyle w:val="ListParagraph"/>
        <w:numPr>
          <w:ilvl w:val="0"/>
          <w:numId w:val="2"/>
        </w:numPr>
        <w:bidi/>
        <w:jc w:val="both"/>
        <w:rPr>
          <w:rFonts w:cs="David"/>
          <w:sz w:val="24"/>
          <w:szCs w:val="24"/>
          <w:rtl/>
        </w:rPr>
      </w:pPr>
      <w:r>
        <w:rPr>
          <w:rFonts w:cs="David" w:hint="cs"/>
          <w:sz w:val="24"/>
          <w:szCs w:val="24"/>
          <w:rtl/>
        </w:rPr>
        <w:t>סירוב לאפשר התקשרות בין מאגד לבין ספק, שאינו מנומק בכתב בתוך חמישה ימי עסקים, ובלבד שלבקשה לאפשר התקשרות כאמור צורפה הסכמתו של הספק להתקשרות</w:t>
      </w:r>
      <w:r>
        <w:rPr>
          <w:sz w:val="24"/>
          <w:szCs w:val="24"/>
        </w:rPr>
        <w:t>;</w:t>
      </w:r>
    </w:p>
    <w:p w:rsidR="00F729EB" w:rsidRDefault="00F729EB" w:rsidP="00821622">
      <w:pPr>
        <w:pStyle w:val="ListParagraph"/>
        <w:numPr>
          <w:ilvl w:val="0"/>
          <w:numId w:val="2"/>
        </w:numPr>
        <w:bidi/>
        <w:jc w:val="both"/>
        <w:rPr>
          <w:rFonts w:cs="David"/>
          <w:sz w:val="24"/>
          <w:szCs w:val="24"/>
        </w:rPr>
      </w:pPr>
      <w:r w:rsidRPr="00821622">
        <w:rPr>
          <w:rFonts w:cs="David" w:hint="cs"/>
          <w:sz w:val="24"/>
          <w:szCs w:val="24"/>
          <w:rtl/>
        </w:rPr>
        <w:t>פניה</w:t>
      </w:r>
      <w:r w:rsidRPr="00821622">
        <w:rPr>
          <w:rFonts w:cs="David"/>
          <w:sz w:val="24"/>
          <w:szCs w:val="24"/>
          <w:rtl/>
        </w:rPr>
        <w:t xml:space="preserve"> </w:t>
      </w:r>
      <w:r w:rsidRPr="00821622">
        <w:rPr>
          <w:rFonts w:cs="David" w:hint="cs"/>
          <w:sz w:val="24"/>
          <w:szCs w:val="24"/>
          <w:rtl/>
        </w:rPr>
        <w:t>של</w:t>
      </w:r>
      <w:r w:rsidRPr="00821622">
        <w:rPr>
          <w:rFonts w:cs="David"/>
          <w:sz w:val="24"/>
          <w:szCs w:val="24"/>
          <w:rtl/>
        </w:rPr>
        <w:t xml:space="preserve"> </w:t>
      </w:r>
      <w:r w:rsidRPr="00821622">
        <w:rPr>
          <w:rFonts w:cs="David" w:hint="cs"/>
          <w:sz w:val="24"/>
          <w:szCs w:val="24"/>
          <w:rtl/>
        </w:rPr>
        <w:t>הסולק</w:t>
      </w:r>
      <w:r w:rsidRPr="00821622">
        <w:rPr>
          <w:rFonts w:cs="David"/>
          <w:sz w:val="24"/>
          <w:szCs w:val="24"/>
          <w:rtl/>
        </w:rPr>
        <w:t xml:space="preserve"> </w:t>
      </w:r>
      <w:r w:rsidRPr="00821622">
        <w:rPr>
          <w:rFonts w:cs="David" w:hint="cs"/>
          <w:sz w:val="24"/>
          <w:szCs w:val="24"/>
          <w:rtl/>
        </w:rPr>
        <w:t>אל</w:t>
      </w:r>
      <w:r w:rsidRPr="00821622">
        <w:rPr>
          <w:rFonts w:cs="David"/>
          <w:sz w:val="24"/>
          <w:szCs w:val="24"/>
          <w:rtl/>
        </w:rPr>
        <w:t xml:space="preserve"> </w:t>
      </w:r>
      <w:r w:rsidRPr="00821622">
        <w:rPr>
          <w:rFonts w:cs="David" w:hint="cs"/>
          <w:sz w:val="24"/>
          <w:szCs w:val="24"/>
          <w:rtl/>
        </w:rPr>
        <w:t>הספק</w:t>
      </w:r>
      <w:r w:rsidRPr="00821622">
        <w:rPr>
          <w:rFonts w:cs="David"/>
          <w:sz w:val="24"/>
          <w:szCs w:val="24"/>
          <w:rtl/>
        </w:rPr>
        <w:t xml:space="preserve">, </w:t>
      </w:r>
      <w:r w:rsidR="001B54BC">
        <w:rPr>
          <w:rFonts w:cs="David" w:hint="cs"/>
          <w:sz w:val="24"/>
          <w:szCs w:val="24"/>
          <w:rtl/>
        </w:rPr>
        <w:t>בהקשר לבקשת החיבור למאגד</w:t>
      </w:r>
      <w:r w:rsidRPr="00821622">
        <w:rPr>
          <w:rFonts w:cs="David"/>
          <w:sz w:val="24"/>
          <w:szCs w:val="24"/>
          <w:rtl/>
        </w:rPr>
        <w:t xml:space="preserve">, </w:t>
      </w:r>
      <w:r w:rsidRPr="00821622">
        <w:rPr>
          <w:rFonts w:cs="David" w:hint="cs"/>
          <w:sz w:val="24"/>
          <w:szCs w:val="24"/>
          <w:rtl/>
        </w:rPr>
        <w:t>קודם</w:t>
      </w:r>
      <w:r w:rsidRPr="00821622">
        <w:rPr>
          <w:rFonts w:cs="David"/>
          <w:sz w:val="24"/>
          <w:szCs w:val="24"/>
          <w:rtl/>
        </w:rPr>
        <w:t xml:space="preserve"> </w:t>
      </w:r>
      <w:r w:rsidRPr="00821622">
        <w:rPr>
          <w:rFonts w:cs="David" w:hint="cs"/>
          <w:sz w:val="24"/>
          <w:szCs w:val="24"/>
          <w:rtl/>
        </w:rPr>
        <w:t>ל</w:t>
      </w:r>
      <w:r>
        <w:rPr>
          <w:rFonts w:cs="David" w:hint="cs"/>
          <w:sz w:val="24"/>
          <w:szCs w:val="24"/>
          <w:rtl/>
        </w:rPr>
        <w:t>מתן הודעה מנומקת כאמור בסעיף (א);</w:t>
      </w:r>
    </w:p>
    <w:p w:rsidR="00E544C6" w:rsidRPr="00821622" w:rsidRDefault="00E544C6" w:rsidP="00821622">
      <w:pPr>
        <w:pStyle w:val="ListParagraph"/>
        <w:numPr>
          <w:ilvl w:val="0"/>
          <w:numId w:val="2"/>
        </w:numPr>
        <w:bidi/>
        <w:jc w:val="both"/>
        <w:rPr>
          <w:rFonts w:cs="David"/>
          <w:sz w:val="24"/>
          <w:szCs w:val="24"/>
          <w:rtl/>
        </w:rPr>
      </w:pPr>
      <w:r>
        <w:rPr>
          <w:rFonts w:cs="David" w:hint="cs"/>
          <w:sz w:val="24"/>
          <w:szCs w:val="24"/>
          <w:rtl/>
        </w:rPr>
        <w:t>סירוב סולק להתקשר עם מאגד מורשה שאינו מנומק בכתב בתוך חמישה ימי עסקים</w:t>
      </w:r>
      <w:r>
        <w:rPr>
          <w:sz w:val="24"/>
          <w:szCs w:val="24"/>
        </w:rPr>
        <w:t>;</w:t>
      </w:r>
    </w:p>
    <w:p w:rsidR="0045204C" w:rsidRDefault="0045204C" w:rsidP="00821622">
      <w:pPr>
        <w:pStyle w:val="ListParagraph"/>
        <w:numPr>
          <w:ilvl w:val="0"/>
          <w:numId w:val="2"/>
        </w:numPr>
        <w:bidi/>
        <w:jc w:val="both"/>
        <w:rPr>
          <w:rFonts w:cs="David"/>
          <w:sz w:val="24"/>
          <w:szCs w:val="24"/>
        </w:rPr>
      </w:pPr>
      <w:r w:rsidRPr="00821622">
        <w:rPr>
          <w:rFonts w:cs="David" w:hint="cs"/>
          <w:sz w:val="24"/>
          <w:szCs w:val="24"/>
          <w:rtl/>
        </w:rPr>
        <w:t>סירוב</w:t>
      </w:r>
      <w:r w:rsidRPr="00821622">
        <w:rPr>
          <w:rFonts w:cs="David"/>
          <w:sz w:val="24"/>
          <w:szCs w:val="24"/>
          <w:rtl/>
        </w:rPr>
        <w:t xml:space="preserve"> </w:t>
      </w:r>
      <w:r w:rsidRPr="00821622">
        <w:rPr>
          <w:rFonts w:cs="David" w:hint="cs"/>
          <w:sz w:val="24"/>
          <w:szCs w:val="24"/>
          <w:rtl/>
        </w:rPr>
        <w:t>בשל</w:t>
      </w:r>
      <w:r w:rsidRPr="00821622">
        <w:rPr>
          <w:rFonts w:cs="David"/>
          <w:sz w:val="24"/>
          <w:szCs w:val="24"/>
          <w:rtl/>
        </w:rPr>
        <w:t xml:space="preserve"> </w:t>
      </w:r>
      <w:r w:rsidRPr="00821622">
        <w:rPr>
          <w:rFonts w:cs="David" w:hint="cs"/>
          <w:sz w:val="24"/>
          <w:szCs w:val="24"/>
          <w:rtl/>
        </w:rPr>
        <w:t>אשראי</w:t>
      </w:r>
      <w:r w:rsidRPr="00821622">
        <w:rPr>
          <w:rFonts w:cs="David"/>
          <w:sz w:val="24"/>
          <w:szCs w:val="24"/>
          <w:rtl/>
        </w:rPr>
        <w:t xml:space="preserve"> </w:t>
      </w:r>
      <w:r w:rsidRPr="00821622">
        <w:rPr>
          <w:rFonts w:cs="David" w:hint="cs"/>
          <w:sz w:val="24"/>
          <w:szCs w:val="24"/>
          <w:rtl/>
        </w:rPr>
        <w:t>או</w:t>
      </w:r>
      <w:r w:rsidRPr="00821622">
        <w:rPr>
          <w:rFonts w:cs="David"/>
          <w:sz w:val="24"/>
          <w:szCs w:val="24"/>
          <w:rtl/>
        </w:rPr>
        <w:t xml:space="preserve"> </w:t>
      </w:r>
      <w:r w:rsidRPr="00821622">
        <w:rPr>
          <w:rFonts w:cs="David" w:hint="cs"/>
          <w:sz w:val="24"/>
          <w:szCs w:val="24"/>
          <w:rtl/>
        </w:rPr>
        <w:t>הלוואה</w:t>
      </w:r>
      <w:r w:rsidRPr="00821622">
        <w:rPr>
          <w:rFonts w:cs="David"/>
          <w:sz w:val="24"/>
          <w:szCs w:val="24"/>
          <w:rtl/>
        </w:rPr>
        <w:t xml:space="preserve"> </w:t>
      </w:r>
      <w:r w:rsidRPr="00821622">
        <w:rPr>
          <w:rFonts w:cs="David" w:hint="cs"/>
          <w:sz w:val="24"/>
          <w:szCs w:val="24"/>
          <w:rtl/>
        </w:rPr>
        <w:t>שנטל</w:t>
      </w:r>
      <w:r w:rsidRPr="00821622">
        <w:rPr>
          <w:rFonts w:cs="David"/>
          <w:sz w:val="24"/>
          <w:szCs w:val="24"/>
          <w:rtl/>
        </w:rPr>
        <w:t xml:space="preserve"> </w:t>
      </w:r>
      <w:r w:rsidRPr="00821622">
        <w:rPr>
          <w:rFonts w:cs="David" w:hint="cs"/>
          <w:sz w:val="24"/>
          <w:szCs w:val="24"/>
          <w:rtl/>
        </w:rPr>
        <w:t>הספק</w:t>
      </w:r>
      <w:r w:rsidRPr="00821622">
        <w:rPr>
          <w:rFonts w:cs="David"/>
          <w:sz w:val="24"/>
          <w:szCs w:val="24"/>
          <w:rtl/>
        </w:rPr>
        <w:t xml:space="preserve"> </w:t>
      </w:r>
      <w:r w:rsidRPr="00821622">
        <w:rPr>
          <w:rFonts w:cs="David" w:hint="cs"/>
          <w:sz w:val="24"/>
          <w:szCs w:val="24"/>
          <w:rtl/>
        </w:rPr>
        <w:t>מהסולק</w:t>
      </w:r>
      <w:r w:rsidR="00CF4047">
        <w:rPr>
          <w:rFonts w:cs="David" w:hint="cs"/>
          <w:sz w:val="24"/>
          <w:szCs w:val="24"/>
          <w:rtl/>
        </w:rPr>
        <w:t xml:space="preserve"> או דרישה לזכות קיזוז חוב של ספק שמקורו אינו בעסקאות שנסלקו על-ידי המאגד</w:t>
      </w:r>
      <w:r w:rsidRPr="00821622">
        <w:rPr>
          <w:rFonts w:cs="David"/>
          <w:sz w:val="24"/>
          <w:szCs w:val="24"/>
          <w:rtl/>
        </w:rPr>
        <w:t>;</w:t>
      </w:r>
    </w:p>
    <w:p w:rsidR="00E544C6" w:rsidRDefault="00E544C6" w:rsidP="00BA3993">
      <w:pPr>
        <w:pStyle w:val="ListParagraph"/>
        <w:numPr>
          <w:ilvl w:val="0"/>
          <w:numId w:val="2"/>
        </w:numPr>
        <w:bidi/>
        <w:jc w:val="both"/>
        <w:rPr>
          <w:sz w:val="24"/>
          <w:szCs w:val="24"/>
          <w:rtl/>
        </w:rPr>
      </w:pPr>
      <w:r>
        <w:rPr>
          <w:rFonts w:cs="David" w:hint="cs"/>
          <w:sz w:val="24"/>
          <w:szCs w:val="24"/>
          <w:rtl/>
        </w:rPr>
        <w:t>סירוב בנסיבות אחרות שקבע השר בהתייעצות עם המפקח</w:t>
      </w:r>
      <w:r w:rsidR="003E0828">
        <w:rPr>
          <w:rFonts w:cs="David" w:hint="cs"/>
          <w:sz w:val="24"/>
          <w:szCs w:val="24"/>
          <w:rtl/>
        </w:rPr>
        <w:t>.</w:t>
      </w:r>
    </w:p>
    <w:p w:rsidR="00E544C6" w:rsidRDefault="00E544C6" w:rsidP="00E544C6">
      <w:pPr>
        <w:pStyle w:val="ListParagraph"/>
        <w:bidi/>
        <w:ind w:left="530"/>
        <w:jc w:val="both"/>
        <w:rPr>
          <w:rFonts w:cs="David"/>
          <w:sz w:val="24"/>
          <w:szCs w:val="24"/>
          <w:rtl/>
        </w:rPr>
      </w:pPr>
      <w:bookmarkStart w:id="0" w:name="_GoBack"/>
      <w:bookmarkEnd w:id="0"/>
    </w:p>
    <w:p w:rsidR="00E544C6" w:rsidRDefault="00E544C6" w:rsidP="00821622">
      <w:pPr>
        <w:pStyle w:val="ListParagraph"/>
        <w:bidi/>
        <w:spacing w:line="360" w:lineRule="auto"/>
        <w:ind w:left="527"/>
        <w:jc w:val="both"/>
        <w:rPr>
          <w:rFonts w:cs="David"/>
          <w:sz w:val="24"/>
          <w:szCs w:val="24"/>
        </w:rPr>
      </w:pPr>
      <w:r>
        <w:rPr>
          <w:rFonts w:cs="David" w:hint="cs"/>
          <w:sz w:val="24"/>
          <w:szCs w:val="24"/>
          <w:rtl/>
        </w:rPr>
        <w:t>(2) העמלה שגובה סולק בגין שירותי סליקה בעסקאות, שתקבוליהן מועברים למאגד מורשה עבור לקוחותיו של המאגד, תיקבע רק בהסכם בין הסולק לבין המאגד המורשה</w:t>
      </w:r>
      <w:r w:rsidR="00036962">
        <w:rPr>
          <w:rFonts w:cs="David" w:hint="cs"/>
          <w:sz w:val="24"/>
          <w:szCs w:val="24"/>
          <w:rtl/>
        </w:rPr>
        <w:t xml:space="preserve"> ו</w:t>
      </w:r>
      <w:r>
        <w:rPr>
          <w:rFonts w:cs="David" w:hint="cs"/>
          <w:sz w:val="24"/>
          <w:szCs w:val="24"/>
          <w:rtl/>
        </w:rPr>
        <w:t xml:space="preserve">תהיה סבירה </w:t>
      </w:r>
      <w:r w:rsidR="00CD0935">
        <w:rPr>
          <w:rFonts w:cs="David" w:hint="cs"/>
          <w:sz w:val="24"/>
          <w:szCs w:val="24"/>
          <w:rtl/>
        </w:rPr>
        <w:t xml:space="preserve">כמפורט </w:t>
      </w:r>
      <w:r w:rsidR="001B54BC">
        <w:rPr>
          <w:rFonts w:cs="David" w:hint="cs"/>
          <w:sz w:val="24"/>
          <w:szCs w:val="24"/>
          <w:rtl/>
        </w:rPr>
        <w:t xml:space="preserve"> בסעיף </w:t>
      </w:r>
      <w:r w:rsidR="00D3797B">
        <w:rPr>
          <w:rFonts w:cs="David" w:hint="cs"/>
          <w:sz w:val="24"/>
          <w:szCs w:val="24"/>
          <w:rtl/>
        </w:rPr>
        <w:t>(</w:t>
      </w:r>
      <w:r w:rsidR="001B54BC">
        <w:rPr>
          <w:rFonts w:cs="David" w:hint="cs"/>
          <w:sz w:val="24"/>
          <w:szCs w:val="24"/>
          <w:rtl/>
        </w:rPr>
        <w:t>3</w:t>
      </w:r>
      <w:r w:rsidR="00D3797B">
        <w:rPr>
          <w:rFonts w:cs="David" w:hint="cs"/>
          <w:sz w:val="24"/>
          <w:szCs w:val="24"/>
          <w:rtl/>
        </w:rPr>
        <w:t>)</w:t>
      </w:r>
      <w:r>
        <w:rPr>
          <w:rFonts w:cs="David" w:hint="cs"/>
          <w:sz w:val="24"/>
          <w:szCs w:val="24"/>
          <w:rtl/>
        </w:rPr>
        <w:t xml:space="preserve">; </w:t>
      </w:r>
    </w:p>
    <w:p w:rsidR="00E544C6" w:rsidRDefault="00E544C6" w:rsidP="003831FE">
      <w:pPr>
        <w:pStyle w:val="ListParagraph"/>
        <w:bidi/>
        <w:spacing w:line="360" w:lineRule="auto"/>
        <w:ind w:left="527"/>
        <w:jc w:val="both"/>
        <w:rPr>
          <w:sz w:val="24"/>
          <w:szCs w:val="24"/>
          <w:rtl/>
        </w:rPr>
      </w:pPr>
      <w:r>
        <w:rPr>
          <w:rFonts w:cs="David" w:hint="cs"/>
          <w:sz w:val="24"/>
          <w:szCs w:val="24"/>
          <w:rtl/>
        </w:rPr>
        <w:t xml:space="preserve">(3) נוכח השר כי העמלה שקבע סולק למאגד מורשה אינה סבירה, </w:t>
      </w:r>
      <w:r w:rsidR="001B54BC">
        <w:rPr>
          <w:rFonts w:cs="David" w:hint="cs"/>
          <w:sz w:val="24"/>
          <w:szCs w:val="24"/>
          <w:rtl/>
        </w:rPr>
        <w:t xml:space="preserve">בהתחשב במחזור המאוגד </w:t>
      </w:r>
      <w:r w:rsidR="00D3797B">
        <w:rPr>
          <w:rFonts w:cs="David" w:hint="cs"/>
          <w:sz w:val="24"/>
          <w:szCs w:val="24"/>
          <w:rtl/>
        </w:rPr>
        <w:t>ו</w:t>
      </w:r>
      <w:r>
        <w:rPr>
          <w:rFonts w:cs="David" w:hint="cs"/>
          <w:sz w:val="24"/>
          <w:szCs w:val="24"/>
          <w:rtl/>
        </w:rPr>
        <w:t xml:space="preserve">בשים לב לסיכונים הגלומים לסולק בעסקאות שנסלקות באמצעות המאגד המורשה לאור אופי העסקאות ולאור תנאי ההסכם שבין הסולק לבין המאגד המורשה, רשאי הוא, לאחר התייעצות עם המפקח, לקבוע שיטת חישוב לקביעת העמלה. </w:t>
      </w:r>
    </w:p>
    <w:p w:rsidR="00E544C6" w:rsidRDefault="00E544C6" w:rsidP="00E544C6">
      <w:pPr>
        <w:pStyle w:val="ListParagraph"/>
        <w:bidi/>
        <w:spacing w:line="360" w:lineRule="auto"/>
        <w:ind w:left="527"/>
        <w:jc w:val="both"/>
        <w:rPr>
          <w:rFonts w:cs="David"/>
          <w:sz w:val="24"/>
          <w:szCs w:val="24"/>
          <w:rtl/>
        </w:rPr>
      </w:pPr>
      <w:r>
        <w:rPr>
          <w:rFonts w:cs="David" w:hint="cs"/>
          <w:sz w:val="24"/>
          <w:szCs w:val="24"/>
          <w:rtl/>
        </w:rPr>
        <w:t>(4) לא יגבה הסולק ממאגד מורשה עמלות נוספות מלבד עמלה כאמור בסעיף זה</w:t>
      </w:r>
      <w:r>
        <w:rPr>
          <w:sz w:val="24"/>
          <w:szCs w:val="24"/>
        </w:rPr>
        <w:t>.</w:t>
      </w:r>
    </w:p>
    <w:p w:rsidR="00E544C6" w:rsidRDefault="00E544C6" w:rsidP="00E544C6">
      <w:pPr>
        <w:pStyle w:val="ListParagraph"/>
        <w:bidi/>
        <w:spacing w:line="360" w:lineRule="auto"/>
        <w:ind w:left="527"/>
        <w:jc w:val="both"/>
        <w:rPr>
          <w:rFonts w:cs="David"/>
          <w:sz w:val="24"/>
          <w:szCs w:val="24"/>
          <w:rtl/>
        </w:rPr>
      </w:pPr>
      <w:r>
        <w:rPr>
          <w:rFonts w:cs="David" w:hint="cs"/>
          <w:sz w:val="24"/>
          <w:szCs w:val="24"/>
          <w:rtl/>
        </w:rPr>
        <w:t>(5) בכל הנוגע לפעילות סליקה באמצעות מאגד מורשה, יחשב המאגד המורשה כמקבל השירות היחיד מהסולק לעניין חובותיו של הסולק לפי כל דין לזיהוי והכרת מקבלי שירותיו.</w:t>
      </w:r>
    </w:p>
    <w:p w:rsidR="001A15B6" w:rsidRDefault="001A15B6"/>
    <w:sectPr w:rsidR="001A15B6" w:rsidSect="004B334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527C" w:rsidRDefault="009F527C" w:rsidP="00D35EA6">
      <w:r>
        <w:separator/>
      </w:r>
    </w:p>
  </w:endnote>
  <w:endnote w:type="continuationSeparator" w:id="0">
    <w:p w:rsidR="009F527C" w:rsidRDefault="009F527C" w:rsidP="00D35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EA6" w:rsidRDefault="00D35E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EA6" w:rsidRDefault="00D35E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EA6" w:rsidRDefault="00D35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527C" w:rsidRDefault="009F527C" w:rsidP="00D35EA6">
      <w:r>
        <w:separator/>
      </w:r>
    </w:p>
  </w:footnote>
  <w:footnote w:type="continuationSeparator" w:id="0">
    <w:p w:rsidR="009F527C" w:rsidRDefault="009F527C" w:rsidP="00D35E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EA6" w:rsidRDefault="00D35E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EA6" w:rsidRDefault="00D35E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EA6" w:rsidRDefault="00D35E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641820"/>
    <w:multiLevelType w:val="hybridMultilevel"/>
    <w:tmpl w:val="28D84578"/>
    <w:lvl w:ilvl="0" w:tplc="B8447EBA">
      <w:start w:val="1"/>
      <w:numFmt w:val="hebrew1"/>
      <w:lvlText w:val="(%1)"/>
      <w:lvlJc w:val="left"/>
      <w:pPr>
        <w:ind w:left="890" w:hanging="360"/>
      </w:pPr>
    </w:lvl>
    <w:lvl w:ilvl="1" w:tplc="04090019">
      <w:start w:val="1"/>
      <w:numFmt w:val="lowerLetter"/>
      <w:lvlText w:val="%2."/>
      <w:lvlJc w:val="left"/>
      <w:pPr>
        <w:ind w:left="1610" w:hanging="360"/>
      </w:pPr>
    </w:lvl>
    <w:lvl w:ilvl="2" w:tplc="0409001B">
      <w:start w:val="1"/>
      <w:numFmt w:val="lowerRoman"/>
      <w:lvlText w:val="%3."/>
      <w:lvlJc w:val="right"/>
      <w:pPr>
        <w:ind w:left="2330" w:hanging="180"/>
      </w:pPr>
    </w:lvl>
    <w:lvl w:ilvl="3" w:tplc="0409000F">
      <w:start w:val="1"/>
      <w:numFmt w:val="decimal"/>
      <w:lvlText w:val="%4."/>
      <w:lvlJc w:val="left"/>
      <w:pPr>
        <w:ind w:left="3050" w:hanging="360"/>
      </w:pPr>
    </w:lvl>
    <w:lvl w:ilvl="4" w:tplc="04090019">
      <w:start w:val="1"/>
      <w:numFmt w:val="lowerLetter"/>
      <w:lvlText w:val="%5."/>
      <w:lvlJc w:val="left"/>
      <w:pPr>
        <w:ind w:left="3770" w:hanging="360"/>
      </w:pPr>
    </w:lvl>
    <w:lvl w:ilvl="5" w:tplc="0409001B">
      <w:start w:val="1"/>
      <w:numFmt w:val="lowerRoman"/>
      <w:lvlText w:val="%6."/>
      <w:lvlJc w:val="right"/>
      <w:pPr>
        <w:ind w:left="4490" w:hanging="180"/>
      </w:pPr>
    </w:lvl>
    <w:lvl w:ilvl="6" w:tplc="0409000F">
      <w:start w:val="1"/>
      <w:numFmt w:val="decimal"/>
      <w:lvlText w:val="%7."/>
      <w:lvlJc w:val="left"/>
      <w:pPr>
        <w:ind w:left="5210" w:hanging="360"/>
      </w:pPr>
    </w:lvl>
    <w:lvl w:ilvl="7" w:tplc="04090019">
      <w:start w:val="1"/>
      <w:numFmt w:val="lowerLetter"/>
      <w:lvlText w:val="%8."/>
      <w:lvlJc w:val="left"/>
      <w:pPr>
        <w:ind w:left="5930" w:hanging="360"/>
      </w:pPr>
    </w:lvl>
    <w:lvl w:ilvl="8" w:tplc="0409001B">
      <w:start w:val="1"/>
      <w:numFmt w:val="lowerRoman"/>
      <w:lvlText w:val="%9."/>
      <w:lvlJc w:val="right"/>
      <w:pPr>
        <w:ind w:left="6650" w:hanging="180"/>
      </w:pPr>
    </w:lvl>
  </w:abstractNum>
  <w:abstractNum w:abstractNumId="1" w15:restartNumberingAfterBreak="0">
    <w:nsid w:val="3E174B9B"/>
    <w:multiLevelType w:val="hybridMultilevel"/>
    <w:tmpl w:val="5BB4A3A2"/>
    <w:lvl w:ilvl="0" w:tplc="84C0563A">
      <w:start w:val="1"/>
      <w:numFmt w:val="hebrew1"/>
      <w:lvlText w:val="%1."/>
      <w:lvlJc w:val="left"/>
      <w:pPr>
        <w:ind w:left="530" w:hanging="360"/>
      </w:pPr>
    </w:lvl>
    <w:lvl w:ilvl="1" w:tplc="04090019">
      <w:start w:val="1"/>
      <w:numFmt w:val="lowerLetter"/>
      <w:lvlText w:val="%2."/>
      <w:lvlJc w:val="left"/>
      <w:pPr>
        <w:ind w:left="1250" w:hanging="360"/>
      </w:pPr>
    </w:lvl>
    <w:lvl w:ilvl="2" w:tplc="0409001B">
      <w:start w:val="1"/>
      <w:numFmt w:val="lowerRoman"/>
      <w:lvlText w:val="%3."/>
      <w:lvlJc w:val="right"/>
      <w:pPr>
        <w:ind w:left="1970" w:hanging="180"/>
      </w:pPr>
    </w:lvl>
    <w:lvl w:ilvl="3" w:tplc="0409000F">
      <w:start w:val="1"/>
      <w:numFmt w:val="decimal"/>
      <w:lvlText w:val="%4."/>
      <w:lvlJc w:val="left"/>
      <w:pPr>
        <w:ind w:left="2690" w:hanging="360"/>
      </w:pPr>
    </w:lvl>
    <w:lvl w:ilvl="4" w:tplc="04090019">
      <w:start w:val="1"/>
      <w:numFmt w:val="lowerLetter"/>
      <w:lvlText w:val="%5."/>
      <w:lvlJc w:val="left"/>
      <w:pPr>
        <w:ind w:left="3410" w:hanging="360"/>
      </w:pPr>
    </w:lvl>
    <w:lvl w:ilvl="5" w:tplc="0409001B">
      <w:start w:val="1"/>
      <w:numFmt w:val="lowerRoman"/>
      <w:lvlText w:val="%6."/>
      <w:lvlJc w:val="right"/>
      <w:pPr>
        <w:ind w:left="4130" w:hanging="180"/>
      </w:pPr>
    </w:lvl>
    <w:lvl w:ilvl="6" w:tplc="0409000F">
      <w:start w:val="1"/>
      <w:numFmt w:val="decimal"/>
      <w:lvlText w:val="%7."/>
      <w:lvlJc w:val="left"/>
      <w:pPr>
        <w:ind w:left="4850" w:hanging="360"/>
      </w:pPr>
    </w:lvl>
    <w:lvl w:ilvl="7" w:tplc="04090019">
      <w:start w:val="1"/>
      <w:numFmt w:val="lowerLetter"/>
      <w:lvlText w:val="%8."/>
      <w:lvlJc w:val="left"/>
      <w:pPr>
        <w:ind w:left="5570" w:hanging="360"/>
      </w:pPr>
    </w:lvl>
    <w:lvl w:ilvl="8" w:tplc="0409001B">
      <w:start w:val="1"/>
      <w:numFmt w:val="lowerRoman"/>
      <w:lvlText w:val="%9."/>
      <w:lvlJc w:val="right"/>
      <w:pPr>
        <w:ind w:left="629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4C6"/>
    <w:rsid w:val="00036962"/>
    <w:rsid w:val="00132494"/>
    <w:rsid w:val="00162D74"/>
    <w:rsid w:val="001A15B6"/>
    <w:rsid w:val="001B54BC"/>
    <w:rsid w:val="001E03B4"/>
    <w:rsid w:val="001F4552"/>
    <w:rsid w:val="00224E82"/>
    <w:rsid w:val="00280D8D"/>
    <w:rsid w:val="00310D67"/>
    <w:rsid w:val="00314D9D"/>
    <w:rsid w:val="003831FE"/>
    <w:rsid w:val="003A4408"/>
    <w:rsid w:val="003E0828"/>
    <w:rsid w:val="00414256"/>
    <w:rsid w:val="0045204C"/>
    <w:rsid w:val="004B334A"/>
    <w:rsid w:val="00546C60"/>
    <w:rsid w:val="006144E4"/>
    <w:rsid w:val="006D78F2"/>
    <w:rsid w:val="00713FA4"/>
    <w:rsid w:val="007C1C0C"/>
    <w:rsid w:val="00821622"/>
    <w:rsid w:val="008E48C6"/>
    <w:rsid w:val="00936646"/>
    <w:rsid w:val="0096135F"/>
    <w:rsid w:val="009C74DD"/>
    <w:rsid w:val="009F527C"/>
    <w:rsid w:val="00A21375"/>
    <w:rsid w:val="00AD05FF"/>
    <w:rsid w:val="00B20BC4"/>
    <w:rsid w:val="00B62261"/>
    <w:rsid w:val="00BA3993"/>
    <w:rsid w:val="00BB71F2"/>
    <w:rsid w:val="00BD56EF"/>
    <w:rsid w:val="00C14435"/>
    <w:rsid w:val="00C62392"/>
    <w:rsid w:val="00CB4173"/>
    <w:rsid w:val="00CD0935"/>
    <w:rsid w:val="00CF4047"/>
    <w:rsid w:val="00D147EB"/>
    <w:rsid w:val="00D35EA6"/>
    <w:rsid w:val="00D3797B"/>
    <w:rsid w:val="00D90A54"/>
    <w:rsid w:val="00DC52E1"/>
    <w:rsid w:val="00E43B7F"/>
    <w:rsid w:val="00E53E27"/>
    <w:rsid w:val="00E544C6"/>
    <w:rsid w:val="00EB1F07"/>
    <w:rsid w:val="00F202FD"/>
    <w:rsid w:val="00F24A2E"/>
    <w:rsid w:val="00F64DE0"/>
    <w:rsid w:val="00F729EB"/>
    <w:rsid w:val="00FE0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3F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544C6"/>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4C6"/>
    <w:pPr>
      <w:spacing w:before="120" w:after="240" w:line="276" w:lineRule="auto"/>
      <w:ind w:left="720"/>
      <w:contextualSpacing/>
    </w:pPr>
    <w:rPr>
      <w:rFonts w:ascii="Bookman Old Style" w:hAnsi="Bookman Old Style"/>
      <w:sz w:val="22"/>
      <w:szCs w:val="22"/>
    </w:rPr>
  </w:style>
  <w:style w:type="paragraph" w:styleId="Header">
    <w:name w:val="header"/>
    <w:basedOn w:val="Normal"/>
    <w:link w:val="HeaderChar"/>
    <w:uiPriority w:val="99"/>
    <w:unhideWhenUsed/>
    <w:rsid w:val="00D35EA6"/>
    <w:pPr>
      <w:tabs>
        <w:tab w:val="center" w:pos="4153"/>
        <w:tab w:val="right" w:pos="8306"/>
      </w:tabs>
    </w:pPr>
  </w:style>
  <w:style w:type="character" w:customStyle="1" w:styleId="HeaderChar">
    <w:name w:val="Header Char"/>
    <w:basedOn w:val="DefaultParagraphFont"/>
    <w:link w:val="Header"/>
    <w:uiPriority w:val="99"/>
    <w:rsid w:val="00D35EA6"/>
    <w:rPr>
      <w:rFonts w:ascii="Times New Roman" w:eastAsia="Calibri" w:hAnsi="Times New Roman" w:cs="Times New Roman"/>
      <w:sz w:val="24"/>
      <w:szCs w:val="24"/>
    </w:rPr>
  </w:style>
  <w:style w:type="paragraph" w:styleId="Footer">
    <w:name w:val="footer"/>
    <w:basedOn w:val="Normal"/>
    <w:link w:val="FooterChar"/>
    <w:uiPriority w:val="99"/>
    <w:unhideWhenUsed/>
    <w:rsid w:val="00D35EA6"/>
    <w:pPr>
      <w:tabs>
        <w:tab w:val="center" w:pos="4153"/>
        <w:tab w:val="right" w:pos="8306"/>
      </w:tabs>
    </w:pPr>
  </w:style>
  <w:style w:type="character" w:customStyle="1" w:styleId="FooterChar">
    <w:name w:val="Footer Char"/>
    <w:basedOn w:val="DefaultParagraphFont"/>
    <w:link w:val="Footer"/>
    <w:uiPriority w:val="99"/>
    <w:rsid w:val="00D35EA6"/>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174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32E6FF-D92A-42CD-A641-96CEDFFAB947}"/>
</file>

<file path=customXml/itemProps2.xml><?xml version="1.0" encoding="utf-8"?>
<ds:datastoreItem xmlns:ds="http://schemas.openxmlformats.org/officeDocument/2006/customXml" ds:itemID="{D424FAF3-12DC-4BAC-99E9-329FC522FAE8}"/>
</file>

<file path=customXml/itemProps3.xml><?xml version="1.0" encoding="utf-8"?>
<ds:datastoreItem xmlns:ds="http://schemas.openxmlformats.org/officeDocument/2006/customXml" ds:itemID="{F59795C0-D3FD-468C-B9A4-73471FD92AE0}"/>
</file>

<file path=docProps/app.xml><?xml version="1.0" encoding="utf-8"?>
<Properties xmlns="http://schemas.openxmlformats.org/officeDocument/2006/extended-properties" xmlns:vt="http://schemas.openxmlformats.org/officeDocument/2006/docPropsVTypes">
  <Template>Normal.dotm</Template>
  <TotalTime>0</TotalTime>
  <Pages>1</Pages>
  <Words>305</Words>
  <Characters>1530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2016-12-05T13:07:00Z</dcterms:created>
  <dcterms:modified xsi:type="dcterms:W3CDTF">2016-12-05T13:07:00Z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2009929</vt:r8>
  </property>
</Properties>
</file>