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02F4B"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2004312</w:t>
      </w:r>
      <w:bookmarkEnd w:id="1"/>
    </w:p>
    <w:p w14:paraId="6C535012" w14:textId="77777777"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5333BE3F" w14:textId="77777777" w:rsidR="00E13C27" w:rsidRPr="00F67051" w:rsidRDefault="00E13C27" w:rsidP="00E13C27">
      <w:pPr>
        <w:rPr>
          <w:rFonts w:cs="David"/>
          <w:b/>
          <w:bCs/>
          <w:sz w:val="26"/>
          <w:szCs w:val="26"/>
          <w:rtl/>
        </w:rPr>
      </w:pPr>
    </w:p>
    <w:p w14:paraId="0982C87D" w14:textId="7B65D10C" w:rsidR="00E13C27" w:rsidRPr="00CF1AA2" w:rsidRDefault="008F6665" w:rsidP="00C14EDE">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מרדכי יוגב</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ענת ברקו</w:t>
      </w:r>
      <w:r>
        <w:br/>
      </w:r>
      <w:r>
        <w:rPr>
          <w:rFonts w:hint="cs"/>
          <w:b/>
          <w:bCs/>
          <w:rtl/>
        </w:rPr>
        <w:t xml:space="preserve"> </w:t>
      </w:r>
      <w:r>
        <w:tab/>
      </w:r>
      <w:r>
        <w:tab/>
      </w:r>
      <w:r>
        <w:tab/>
      </w:r>
      <w:r>
        <w:tab/>
      </w:r>
      <w:r>
        <w:rPr>
          <w:rFonts w:hint="cs"/>
          <w:b/>
          <w:bCs/>
          <w:rtl/>
        </w:rPr>
        <w:t>יהודה גליק</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79521709"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5D4AAADF" w14:textId="77777777"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פ/3288/20</w:t>
      </w:r>
      <w:bookmarkEnd w:id="7"/>
    </w:p>
    <w:p w14:paraId="148A0C40" w14:textId="77777777" w:rsidR="00E13C27" w:rsidRDefault="00E13C27" w:rsidP="00E13C27">
      <w:pPr>
        <w:spacing w:before="0" w:line="360" w:lineRule="auto"/>
        <w:ind w:left="2880" w:firstLine="720"/>
        <w:rPr>
          <w:rFonts w:cs="David"/>
          <w:sz w:val="26"/>
          <w:szCs w:val="26"/>
          <w:rtl/>
        </w:rPr>
      </w:pPr>
    </w:p>
    <w:p w14:paraId="6185F4A6" w14:textId="77777777" w:rsidR="00FC1D5A" w:rsidRDefault="00FC1D5A" w:rsidP="00C14EDE">
      <w:pPr>
        <w:pStyle w:val="HeadHatzaotHok"/>
        <w:spacing w:line="240" w:lineRule="auto"/>
        <w:rPr>
          <w:rtl/>
        </w:rPr>
      </w:pPr>
      <w:bookmarkStart w:id="8" w:name="LGS_Subject"/>
      <w:r>
        <w:rPr>
          <w:rFonts w:hint="cs"/>
          <w:rtl/>
        </w:rPr>
        <w:t xml:space="preserve">הצעת חוק שירות המילואים (תיקון </w:t>
      </w:r>
      <w:r>
        <w:rPr>
          <w:rFonts w:hint="eastAsia"/>
          <w:rtl/>
        </w:rPr>
        <w:t>–</w:t>
      </w:r>
      <w:r>
        <w:rPr>
          <w:rtl/>
        </w:rPr>
        <w:softHyphen/>
      </w:r>
      <w:r>
        <w:rPr>
          <w:rFonts w:hint="cs"/>
          <w:rtl/>
        </w:rPr>
        <w:t xml:space="preserve"> זכויות בת הזוג של חייל המשרת במילואים), התשע"ו</w:t>
      </w:r>
      <w:r>
        <w:rPr>
          <w:rtl/>
        </w:rPr>
        <w:t>–</w:t>
      </w:r>
      <w:r>
        <w:rPr>
          <w:rFonts w:hint="cs"/>
          <w:rtl/>
        </w:rPr>
        <w:t>2016</w:t>
      </w:r>
    </w:p>
    <w:p w14:paraId="6B077871" w14:textId="77777777" w:rsidR="00FC1D5A" w:rsidRDefault="00FC1D5A" w:rsidP="00C14EDE">
      <w:pPr>
        <w:pStyle w:val="HeadHatzaotHok"/>
        <w:spacing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47"/>
      </w:tblGrid>
      <w:tr w:rsidR="00FC1D5A" w14:paraId="4C26C250" w14:textId="77777777" w:rsidTr="007E23FD">
        <w:trPr>
          <w:cantSplit/>
        </w:trPr>
        <w:tc>
          <w:tcPr>
            <w:tcW w:w="1871" w:type="dxa"/>
          </w:tcPr>
          <w:bookmarkEnd w:id="8"/>
          <w:p w14:paraId="18A475B9" w14:textId="2B7EE566" w:rsidR="00FC1D5A" w:rsidRDefault="00FC1D5A" w:rsidP="000B4045">
            <w:pPr>
              <w:pStyle w:val="TableSideHeading"/>
            </w:pPr>
            <w:r>
              <w:rPr>
                <w:rFonts w:hint="cs"/>
                <w:rtl/>
              </w:rPr>
              <w:t>הוספת סעי</w:t>
            </w:r>
            <w:r w:rsidR="000B4045">
              <w:rPr>
                <w:rFonts w:hint="cs"/>
                <w:rtl/>
              </w:rPr>
              <w:t xml:space="preserve">ף </w:t>
            </w:r>
            <w:r>
              <w:rPr>
                <w:rFonts w:hint="cs"/>
                <w:rtl/>
              </w:rPr>
              <w:t xml:space="preserve">19א </w:t>
            </w:r>
          </w:p>
        </w:tc>
        <w:tc>
          <w:tcPr>
            <w:tcW w:w="624" w:type="dxa"/>
          </w:tcPr>
          <w:p w14:paraId="7844F89F" w14:textId="77777777" w:rsidR="00FC1D5A" w:rsidRDefault="00FC1D5A" w:rsidP="007E23FD">
            <w:pPr>
              <w:pStyle w:val="TableText"/>
            </w:pPr>
            <w:r>
              <w:rPr>
                <w:rFonts w:hint="cs"/>
                <w:rtl/>
              </w:rPr>
              <w:t xml:space="preserve">1. </w:t>
            </w:r>
          </w:p>
        </w:tc>
        <w:tc>
          <w:tcPr>
            <w:tcW w:w="7143" w:type="dxa"/>
            <w:gridSpan w:val="5"/>
          </w:tcPr>
          <w:p w14:paraId="0902D15E" w14:textId="171D121C" w:rsidR="00FC1D5A" w:rsidRPr="00434DE1" w:rsidRDefault="00FC1D5A" w:rsidP="00C14EDE">
            <w:pPr>
              <w:pStyle w:val="TableBlock"/>
              <w:rPr>
                <w:rtl/>
              </w:rPr>
            </w:pPr>
            <w:r>
              <w:rPr>
                <w:rFonts w:hint="cs"/>
                <w:rtl/>
              </w:rPr>
              <w:t>בחוק שירות המילואים</w:t>
            </w:r>
            <w:r w:rsidR="00C14EDE">
              <w:rPr>
                <w:rFonts w:hint="cs"/>
                <w:rtl/>
              </w:rPr>
              <w:t>,</w:t>
            </w:r>
            <w:r>
              <w:rPr>
                <w:rFonts w:hint="cs"/>
                <w:rtl/>
              </w:rPr>
              <w:t xml:space="preserve"> התשס"ח</w:t>
            </w:r>
            <w:r>
              <w:rPr>
                <w:rFonts w:hint="eastAsia"/>
              </w:rPr>
              <w:t>–</w:t>
            </w:r>
            <w:r>
              <w:rPr>
                <w:rFonts w:hint="cs"/>
                <w:rtl/>
              </w:rPr>
              <w:t>2008</w:t>
            </w:r>
            <w:r>
              <w:rPr>
                <w:rStyle w:val="a5"/>
                <w:rtl/>
              </w:rPr>
              <w:footnoteReference w:id="2"/>
            </w:r>
            <w:r w:rsidR="00C14EDE">
              <w:rPr>
                <w:rFonts w:hint="cs"/>
                <w:rtl/>
              </w:rPr>
              <w:t xml:space="preserve"> (להלן </w:t>
            </w:r>
            <w:r w:rsidR="00C14EDE">
              <w:rPr>
                <w:rtl/>
              </w:rPr>
              <w:t>–</w:t>
            </w:r>
            <w:r w:rsidR="00C14EDE">
              <w:rPr>
                <w:rFonts w:hint="cs"/>
                <w:rtl/>
              </w:rPr>
              <w:t xml:space="preserve"> </w:t>
            </w:r>
            <w:r>
              <w:rPr>
                <w:rFonts w:hint="cs"/>
                <w:rtl/>
              </w:rPr>
              <w:t>החוק העיקרי), אחרי סעיף 19 יבוא:</w:t>
            </w:r>
          </w:p>
        </w:tc>
      </w:tr>
      <w:tr w:rsidR="00FC1D5A" w14:paraId="71C1F5F7" w14:textId="77777777" w:rsidTr="007E23FD">
        <w:trPr>
          <w:cantSplit/>
        </w:trPr>
        <w:tc>
          <w:tcPr>
            <w:tcW w:w="1871" w:type="dxa"/>
          </w:tcPr>
          <w:p w14:paraId="05F955A0" w14:textId="77777777" w:rsidR="00FC1D5A" w:rsidRDefault="00FC1D5A" w:rsidP="007E23FD">
            <w:pPr>
              <w:pStyle w:val="TableSideHeading"/>
              <w:keepLines w:val="0"/>
            </w:pPr>
          </w:p>
        </w:tc>
        <w:tc>
          <w:tcPr>
            <w:tcW w:w="624" w:type="dxa"/>
          </w:tcPr>
          <w:p w14:paraId="49569771" w14:textId="77777777" w:rsidR="00FC1D5A" w:rsidRDefault="00FC1D5A" w:rsidP="007E23FD">
            <w:pPr>
              <w:pStyle w:val="TableText"/>
              <w:keepLines w:val="0"/>
            </w:pPr>
          </w:p>
        </w:tc>
        <w:tc>
          <w:tcPr>
            <w:tcW w:w="1872" w:type="dxa"/>
            <w:gridSpan w:val="3"/>
          </w:tcPr>
          <w:p w14:paraId="19FCAC5C" w14:textId="77777777" w:rsidR="00FC1D5A" w:rsidRDefault="00FC1D5A" w:rsidP="007E23FD">
            <w:pPr>
              <w:pStyle w:val="TableInnerSideHeading"/>
            </w:pPr>
            <w:r>
              <w:rPr>
                <w:rFonts w:hint="cs"/>
                <w:rtl/>
              </w:rPr>
              <w:t>"</w:t>
            </w:r>
            <w:r w:rsidRPr="00D015DF">
              <w:rPr>
                <w:rtl/>
              </w:rPr>
              <w:t xml:space="preserve">גמול </w:t>
            </w:r>
            <w:r>
              <w:rPr>
                <w:rFonts w:hint="cs"/>
                <w:rtl/>
              </w:rPr>
              <w:t>ל</w:t>
            </w:r>
            <w:r w:rsidRPr="00D015DF">
              <w:rPr>
                <w:rtl/>
              </w:rPr>
              <w:t>משרת מילואים</w:t>
            </w:r>
            <w:r>
              <w:rPr>
                <w:rFonts w:hint="cs"/>
                <w:rtl/>
              </w:rPr>
              <w:t xml:space="preserve"> בנסיבות חירום, בגין היעדרות בן זוגו מעבודתו</w:t>
            </w:r>
          </w:p>
        </w:tc>
        <w:tc>
          <w:tcPr>
            <w:tcW w:w="624" w:type="dxa"/>
          </w:tcPr>
          <w:p w14:paraId="0D6D04E4" w14:textId="77777777" w:rsidR="00FC1D5A" w:rsidRDefault="00FC1D5A" w:rsidP="007E23FD">
            <w:pPr>
              <w:pStyle w:val="TableText"/>
            </w:pPr>
            <w:r>
              <w:rPr>
                <w:rFonts w:hint="cs"/>
                <w:rtl/>
              </w:rPr>
              <w:t>19א.</w:t>
            </w:r>
          </w:p>
        </w:tc>
        <w:tc>
          <w:tcPr>
            <w:tcW w:w="4647" w:type="dxa"/>
          </w:tcPr>
          <w:p w14:paraId="2A614C89" w14:textId="77777777" w:rsidR="00FC1D5A" w:rsidRDefault="00FC1D5A" w:rsidP="007E23FD">
            <w:pPr>
              <w:pStyle w:val="TableBlock"/>
            </w:pPr>
            <w:r w:rsidRPr="007D35DD">
              <w:rPr>
                <w:rtl/>
              </w:rPr>
              <w:t xml:space="preserve">חייל </w:t>
            </w:r>
            <w:r w:rsidRPr="007D35DD">
              <w:rPr>
                <w:rFonts w:hint="eastAsia"/>
                <w:rtl/>
              </w:rPr>
              <w:t>שנקרא</w:t>
            </w:r>
            <w:r w:rsidRPr="007D35DD">
              <w:rPr>
                <w:rtl/>
              </w:rPr>
              <w:t xml:space="preserve"> </w:t>
            </w:r>
            <w:r w:rsidRPr="007D35DD">
              <w:rPr>
                <w:rFonts w:hint="eastAsia"/>
                <w:rtl/>
              </w:rPr>
              <w:t>לשירות</w:t>
            </w:r>
            <w:r w:rsidRPr="007D35DD">
              <w:rPr>
                <w:rtl/>
              </w:rPr>
              <w:t xml:space="preserve"> </w:t>
            </w:r>
            <w:r w:rsidRPr="007D35DD">
              <w:rPr>
                <w:rFonts w:hint="eastAsia"/>
                <w:rtl/>
              </w:rPr>
              <w:t>מילואים</w:t>
            </w:r>
            <w:r w:rsidRPr="007D35DD">
              <w:rPr>
                <w:rtl/>
              </w:rPr>
              <w:t xml:space="preserve"> </w:t>
            </w:r>
            <w:r w:rsidRPr="007D35DD">
              <w:rPr>
                <w:rFonts w:hint="eastAsia"/>
                <w:rtl/>
              </w:rPr>
              <w:t>בנסיבות</w:t>
            </w:r>
            <w:r w:rsidRPr="007D35DD">
              <w:rPr>
                <w:rtl/>
              </w:rPr>
              <w:t xml:space="preserve"> </w:t>
            </w:r>
            <w:r w:rsidRPr="007D35DD">
              <w:rPr>
                <w:rFonts w:hint="eastAsia"/>
                <w:rtl/>
              </w:rPr>
              <w:t>חירום</w:t>
            </w:r>
            <w:r w:rsidRPr="007D35DD">
              <w:rPr>
                <w:rtl/>
              </w:rPr>
              <w:t xml:space="preserve">, </w:t>
            </w:r>
            <w:r w:rsidRPr="007D35DD">
              <w:rPr>
                <w:rFonts w:hint="eastAsia"/>
                <w:rtl/>
              </w:rPr>
              <w:t>כאמור</w:t>
            </w:r>
            <w:r w:rsidRPr="007D35DD">
              <w:rPr>
                <w:rtl/>
              </w:rPr>
              <w:t xml:space="preserve"> </w:t>
            </w:r>
            <w:r w:rsidRPr="007D35DD">
              <w:rPr>
                <w:rFonts w:hint="eastAsia"/>
                <w:rtl/>
              </w:rPr>
              <w:t>בסעיף</w:t>
            </w:r>
            <w:r w:rsidRPr="007D35DD">
              <w:rPr>
                <w:rtl/>
              </w:rPr>
              <w:t xml:space="preserve"> 8, </w:t>
            </w:r>
            <w:r w:rsidRPr="007D35DD">
              <w:rPr>
                <w:rFonts w:hint="eastAsia"/>
                <w:rtl/>
              </w:rPr>
              <w:t>ו</w:t>
            </w:r>
            <w:r w:rsidRPr="007D35DD">
              <w:rPr>
                <w:rtl/>
              </w:rPr>
              <w:t>בתקופת שירותו במילואים נעדר בן זוגו מעבודתו, זכאי לתגמול בשל היעדרות בן זוג</w:t>
            </w:r>
            <w:r w:rsidRPr="007D35DD">
              <w:rPr>
                <w:rFonts w:hint="eastAsia"/>
                <w:rtl/>
              </w:rPr>
              <w:t>ו</w:t>
            </w:r>
            <w:r w:rsidRPr="007D35DD">
              <w:rPr>
                <w:rtl/>
              </w:rPr>
              <w:t xml:space="preserve"> מ</w:t>
            </w:r>
            <w:r w:rsidRPr="007D35DD">
              <w:rPr>
                <w:rFonts w:hint="eastAsia"/>
                <w:rtl/>
              </w:rPr>
              <w:t>ה</w:t>
            </w:r>
            <w:r w:rsidRPr="007D35DD">
              <w:rPr>
                <w:rtl/>
              </w:rPr>
              <w:t>עבודה, בנוסף לתגמולים שלהם הוא זכאי על פי כל דין</w:t>
            </w:r>
            <w:r w:rsidRPr="00D015DF">
              <w:rPr>
                <w:rtl/>
              </w:rPr>
              <w:t>; תנאי הזכאות לתגמול, לרבות תקופת שירות המילואים המזכה, דרכי הוכחת היעדרות מעבודה וכן שיעורי התגמול ודרכי ביצוע התשלום, ייקבעו על ידי השר, לפי המלצת ועדת השרים לעניין מערך המילואים, כ</w:t>
            </w:r>
            <w:r>
              <w:rPr>
                <w:rFonts w:hint="cs"/>
                <w:rtl/>
              </w:rPr>
              <w:t>אמור</w:t>
            </w:r>
            <w:r w:rsidRPr="00D015DF">
              <w:rPr>
                <w:rtl/>
              </w:rPr>
              <w:t xml:space="preserve"> בסעיף 21.</w:t>
            </w:r>
            <w:r>
              <w:rPr>
                <w:rFonts w:hint="cs"/>
                <w:rtl/>
              </w:rPr>
              <w:t>"</w:t>
            </w:r>
          </w:p>
        </w:tc>
      </w:tr>
      <w:tr w:rsidR="00FC1D5A" w14:paraId="0A284F6C" w14:textId="77777777" w:rsidTr="007E23FD">
        <w:trPr>
          <w:cantSplit/>
        </w:trPr>
        <w:tc>
          <w:tcPr>
            <w:tcW w:w="1871" w:type="dxa"/>
          </w:tcPr>
          <w:p w14:paraId="3905E889" w14:textId="77777777" w:rsidR="00FC1D5A" w:rsidRDefault="00FC1D5A" w:rsidP="007E23FD">
            <w:pPr>
              <w:pStyle w:val="TableSideHeading"/>
            </w:pPr>
            <w:r>
              <w:rPr>
                <w:rFonts w:hint="cs"/>
                <w:rtl/>
              </w:rPr>
              <w:t>הוספת סעיף 20א</w:t>
            </w:r>
          </w:p>
        </w:tc>
        <w:tc>
          <w:tcPr>
            <w:tcW w:w="624" w:type="dxa"/>
          </w:tcPr>
          <w:p w14:paraId="32B6A783" w14:textId="77777777" w:rsidR="00FC1D5A" w:rsidRDefault="00FC1D5A" w:rsidP="007E23FD">
            <w:pPr>
              <w:pStyle w:val="TableText"/>
            </w:pPr>
            <w:r>
              <w:rPr>
                <w:rFonts w:hint="cs"/>
                <w:rtl/>
              </w:rPr>
              <w:t>2.</w:t>
            </w:r>
          </w:p>
        </w:tc>
        <w:tc>
          <w:tcPr>
            <w:tcW w:w="7143" w:type="dxa"/>
            <w:gridSpan w:val="5"/>
          </w:tcPr>
          <w:p w14:paraId="24451AF8" w14:textId="77777777" w:rsidR="00FC1D5A" w:rsidRPr="00C34DE2" w:rsidRDefault="00FC1D5A" w:rsidP="007E23FD">
            <w:pPr>
              <w:pStyle w:val="TableBlock"/>
            </w:pPr>
            <w:r>
              <w:rPr>
                <w:rFonts w:hint="cs"/>
                <w:rtl/>
              </w:rPr>
              <w:t>אחרי סעיף 20 לחוק העיקרי יבוא:</w:t>
            </w:r>
          </w:p>
        </w:tc>
      </w:tr>
      <w:tr w:rsidR="00FC1D5A" w14:paraId="7FA9A0D8" w14:textId="77777777" w:rsidTr="007E23FD">
        <w:trPr>
          <w:cantSplit/>
        </w:trPr>
        <w:tc>
          <w:tcPr>
            <w:tcW w:w="1871" w:type="dxa"/>
          </w:tcPr>
          <w:p w14:paraId="477BA5F8" w14:textId="77777777" w:rsidR="00FC1D5A" w:rsidRDefault="00FC1D5A" w:rsidP="007E23FD">
            <w:pPr>
              <w:pStyle w:val="TableSideHeading"/>
              <w:keepLines w:val="0"/>
            </w:pPr>
          </w:p>
        </w:tc>
        <w:tc>
          <w:tcPr>
            <w:tcW w:w="624" w:type="dxa"/>
          </w:tcPr>
          <w:p w14:paraId="6D9AFCB9" w14:textId="77777777" w:rsidR="00FC1D5A" w:rsidRDefault="00FC1D5A" w:rsidP="007E23FD">
            <w:pPr>
              <w:pStyle w:val="TableText"/>
              <w:keepLines w:val="0"/>
            </w:pPr>
          </w:p>
        </w:tc>
        <w:tc>
          <w:tcPr>
            <w:tcW w:w="1872" w:type="dxa"/>
            <w:gridSpan w:val="3"/>
          </w:tcPr>
          <w:p w14:paraId="6DDE390B" w14:textId="77777777" w:rsidR="00FC1D5A" w:rsidRDefault="00FC1D5A" w:rsidP="007E23FD">
            <w:pPr>
              <w:pStyle w:val="TableInnerSideHeading"/>
            </w:pPr>
            <w:r>
              <w:rPr>
                <w:rFonts w:hint="cs"/>
                <w:rtl/>
              </w:rPr>
              <w:t>"זכויות עובד שבן זוגו משרת שירות מילואים בנסיבות חירום</w:t>
            </w:r>
          </w:p>
        </w:tc>
        <w:tc>
          <w:tcPr>
            <w:tcW w:w="624" w:type="dxa"/>
          </w:tcPr>
          <w:p w14:paraId="013F544F" w14:textId="77777777" w:rsidR="00FC1D5A" w:rsidRDefault="00FC1D5A" w:rsidP="007E23FD">
            <w:pPr>
              <w:pStyle w:val="TableText"/>
            </w:pPr>
            <w:r>
              <w:rPr>
                <w:rFonts w:hint="cs"/>
                <w:rtl/>
              </w:rPr>
              <w:t>20א.</w:t>
            </w:r>
          </w:p>
        </w:tc>
        <w:tc>
          <w:tcPr>
            <w:tcW w:w="4647" w:type="dxa"/>
          </w:tcPr>
          <w:p w14:paraId="7592112B" w14:textId="77777777" w:rsidR="00FC1D5A" w:rsidRDefault="00FC1D5A" w:rsidP="007E23FD">
            <w:pPr>
              <w:pStyle w:val="TableBlock"/>
            </w:pPr>
            <w:r>
              <w:rPr>
                <w:rFonts w:hint="cs"/>
                <w:rtl/>
              </w:rPr>
              <w:t>עובד שבן זוגו נקרא לשירות מילואים, בנסיבות חירום, כאמור בסעיף 8</w:t>
            </w:r>
            <w:r>
              <w:rPr>
                <w:rtl/>
              </w:rPr>
              <w:t xml:space="preserve">, </w:t>
            </w:r>
            <w:r>
              <w:rPr>
                <w:rFonts w:hint="cs"/>
                <w:rtl/>
              </w:rPr>
              <w:t>רשאי להיעדר מעבודתו, לאורך תקופת המילואים, באופן שיקבע השר,</w:t>
            </w:r>
            <w:r>
              <w:rPr>
                <w:rtl/>
              </w:rPr>
              <w:t xml:space="preserve"> ובלבד שפרק הזמן לא יפחת משעה ביום</w:t>
            </w:r>
            <w:r>
              <w:rPr>
                <w:rFonts w:hint="cs"/>
                <w:rtl/>
              </w:rPr>
              <w:t>, ו</w:t>
            </w:r>
            <w:r w:rsidRPr="00072AE3">
              <w:rPr>
                <w:rFonts w:hint="cs"/>
                <w:rtl/>
              </w:rPr>
              <w:t>רשאי</w:t>
            </w:r>
            <w:r>
              <w:rPr>
                <w:rFonts w:hint="cs"/>
                <w:rtl/>
              </w:rPr>
              <w:t xml:space="preserve"> השר </w:t>
            </w:r>
            <w:r w:rsidRPr="00072AE3">
              <w:rPr>
                <w:rFonts w:hint="cs"/>
                <w:rtl/>
              </w:rPr>
              <w:t xml:space="preserve">לקבוע </w:t>
            </w:r>
            <w:r>
              <w:rPr>
                <w:rtl/>
              </w:rPr>
              <w:t>הוראות לסוג שירות המילואים ולמשך תקופת המילואים</w:t>
            </w:r>
            <w:r>
              <w:rPr>
                <w:rFonts w:hint="cs"/>
                <w:rtl/>
              </w:rPr>
              <w:t xml:space="preserve"> של בן הזוג שנקרא לשירות מילואים, אם התקיימו כל אלה</w:t>
            </w:r>
            <w:r w:rsidRPr="001D2964">
              <w:rPr>
                <w:rFonts w:hint="cs"/>
                <w:rtl/>
              </w:rPr>
              <w:t>:</w:t>
            </w:r>
            <w:r w:rsidRPr="001D2964">
              <w:rPr>
                <w:rtl/>
              </w:rPr>
              <w:t xml:space="preserve">  </w:t>
            </w:r>
          </w:p>
        </w:tc>
      </w:tr>
      <w:tr w:rsidR="00C14EDE" w14:paraId="61AFA454" w14:textId="77777777" w:rsidTr="004F0349">
        <w:trPr>
          <w:cantSplit/>
        </w:trPr>
        <w:tc>
          <w:tcPr>
            <w:tcW w:w="1871" w:type="dxa"/>
          </w:tcPr>
          <w:p w14:paraId="298C7E5F" w14:textId="77777777" w:rsidR="00C14EDE" w:rsidRDefault="00C14EDE" w:rsidP="007E23FD">
            <w:pPr>
              <w:pStyle w:val="TableSideHeading"/>
            </w:pPr>
          </w:p>
        </w:tc>
        <w:tc>
          <w:tcPr>
            <w:tcW w:w="624" w:type="dxa"/>
          </w:tcPr>
          <w:p w14:paraId="0DD8DEC0" w14:textId="77777777" w:rsidR="00C14EDE" w:rsidRDefault="00C14EDE" w:rsidP="007E23FD">
            <w:pPr>
              <w:pStyle w:val="TableText"/>
            </w:pPr>
          </w:p>
        </w:tc>
        <w:tc>
          <w:tcPr>
            <w:tcW w:w="624" w:type="dxa"/>
          </w:tcPr>
          <w:p w14:paraId="53E6363A" w14:textId="77777777" w:rsidR="00C14EDE" w:rsidRDefault="00C14EDE" w:rsidP="007E23FD">
            <w:pPr>
              <w:pStyle w:val="TableText"/>
            </w:pPr>
          </w:p>
        </w:tc>
        <w:tc>
          <w:tcPr>
            <w:tcW w:w="624" w:type="dxa"/>
          </w:tcPr>
          <w:p w14:paraId="41BB3E0A" w14:textId="77777777" w:rsidR="00C14EDE" w:rsidRDefault="00C14EDE" w:rsidP="007E23FD">
            <w:pPr>
              <w:pStyle w:val="TableText"/>
            </w:pPr>
          </w:p>
        </w:tc>
        <w:tc>
          <w:tcPr>
            <w:tcW w:w="624" w:type="dxa"/>
          </w:tcPr>
          <w:p w14:paraId="4747DFD9" w14:textId="77777777" w:rsidR="00C14EDE" w:rsidRDefault="00C14EDE" w:rsidP="007E23FD">
            <w:pPr>
              <w:pStyle w:val="TableText"/>
            </w:pPr>
          </w:p>
        </w:tc>
        <w:tc>
          <w:tcPr>
            <w:tcW w:w="624" w:type="dxa"/>
          </w:tcPr>
          <w:p w14:paraId="2B6355FC" w14:textId="77777777" w:rsidR="00C14EDE" w:rsidRDefault="00C14EDE" w:rsidP="007E23FD">
            <w:pPr>
              <w:pStyle w:val="TableText"/>
            </w:pPr>
          </w:p>
        </w:tc>
        <w:tc>
          <w:tcPr>
            <w:tcW w:w="4647" w:type="dxa"/>
          </w:tcPr>
          <w:p w14:paraId="4E63B1FA" w14:textId="77777777" w:rsidR="00C14EDE" w:rsidRDefault="00C14EDE" w:rsidP="007E23FD">
            <w:pPr>
              <w:pStyle w:val="TableBlock"/>
            </w:pPr>
            <w:r>
              <w:rPr>
                <w:rFonts w:hint="cs"/>
                <w:rtl/>
              </w:rPr>
              <w:t xml:space="preserve">(1) </w:t>
            </w:r>
            <w:r>
              <w:rPr>
                <w:rtl/>
              </w:rPr>
              <w:tab/>
            </w:r>
            <w:r>
              <w:rPr>
                <w:rFonts w:hint="cs"/>
                <w:rtl/>
              </w:rPr>
              <w:t>הם הורים לילד שטרם מלאו לו 13 שנים;</w:t>
            </w:r>
          </w:p>
        </w:tc>
      </w:tr>
      <w:tr w:rsidR="00C14EDE" w14:paraId="16615128" w14:textId="77777777" w:rsidTr="00BB2BBF">
        <w:trPr>
          <w:cantSplit/>
        </w:trPr>
        <w:tc>
          <w:tcPr>
            <w:tcW w:w="1871" w:type="dxa"/>
          </w:tcPr>
          <w:p w14:paraId="2A40028F" w14:textId="77777777" w:rsidR="00C14EDE" w:rsidRDefault="00C14EDE" w:rsidP="007E23FD">
            <w:pPr>
              <w:pStyle w:val="TableSideHeading"/>
            </w:pPr>
          </w:p>
        </w:tc>
        <w:tc>
          <w:tcPr>
            <w:tcW w:w="624" w:type="dxa"/>
          </w:tcPr>
          <w:p w14:paraId="74AEEBD5" w14:textId="77777777" w:rsidR="00C14EDE" w:rsidRDefault="00C14EDE" w:rsidP="007E23FD">
            <w:pPr>
              <w:pStyle w:val="TableText"/>
            </w:pPr>
          </w:p>
        </w:tc>
        <w:tc>
          <w:tcPr>
            <w:tcW w:w="624" w:type="dxa"/>
          </w:tcPr>
          <w:p w14:paraId="759A39F2" w14:textId="77777777" w:rsidR="00C14EDE" w:rsidRDefault="00C14EDE" w:rsidP="007E23FD">
            <w:pPr>
              <w:pStyle w:val="TableText"/>
            </w:pPr>
          </w:p>
        </w:tc>
        <w:tc>
          <w:tcPr>
            <w:tcW w:w="624" w:type="dxa"/>
          </w:tcPr>
          <w:p w14:paraId="38ADE496" w14:textId="77777777" w:rsidR="00C14EDE" w:rsidRDefault="00C14EDE" w:rsidP="007E23FD">
            <w:pPr>
              <w:pStyle w:val="TableText"/>
            </w:pPr>
          </w:p>
        </w:tc>
        <w:tc>
          <w:tcPr>
            <w:tcW w:w="624" w:type="dxa"/>
          </w:tcPr>
          <w:p w14:paraId="02272916" w14:textId="77777777" w:rsidR="00C14EDE" w:rsidRDefault="00C14EDE" w:rsidP="007E23FD">
            <w:pPr>
              <w:pStyle w:val="TableText"/>
            </w:pPr>
          </w:p>
        </w:tc>
        <w:tc>
          <w:tcPr>
            <w:tcW w:w="624" w:type="dxa"/>
          </w:tcPr>
          <w:p w14:paraId="335FD542" w14:textId="77777777" w:rsidR="00C14EDE" w:rsidRDefault="00C14EDE" w:rsidP="007E23FD">
            <w:pPr>
              <w:pStyle w:val="TableText"/>
            </w:pPr>
          </w:p>
        </w:tc>
        <w:tc>
          <w:tcPr>
            <w:tcW w:w="4647" w:type="dxa"/>
          </w:tcPr>
          <w:p w14:paraId="537DA64A" w14:textId="77777777" w:rsidR="00C14EDE" w:rsidRDefault="00C14EDE" w:rsidP="007E23FD">
            <w:pPr>
              <w:pStyle w:val="TableBlock"/>
              <w:rPr>
                <w:rtl/>
              </w:rPr>
            </w:pPr>
            <w:r>
              <w:rPr>
                <w:rFonts w:hint="cs"/>
                <w:rtl/>
              </w:rPr>
              <w:t xml:space="preserve">(2) </w:t>
            </w:r>
            <w:r>
              <w:rPr>
                <w:rtl/>
              </w:rPr>
              <w:tab/>
            </w:r>
            <w:r>
              <w:rPr>
                <w:rFonts w:hint="cs"/>
                <w:rtl/>
              </w:rPr>
              <w:t xml:space="preserve">ילדם הוא אדם עם מוגבלות, כהגדרתו בחוק </w:t>
            </w:r>
            <w:r>
              <w:rPr>
                <w:rtl/>
              </w:rPr>
              <w:t>שוויון זכויות לאנשים עם מוגבלות, התשנ"ח–1998</w:t>
            </w:r>
            <w:r>
              <w:rPr>
                <w:rStyle w:val="a5"/>
                <w:rtl/>
              </w:rPr>
              <w:footnoteReference w:id="3"/>
            </w:r>
            <w:r>
              <w:rPr>
                <w:rFonts w:hint="cs"/>
                <w:rtl/>
              </w:rPr>
              <w:t>."</w:t>
            </w:r>
          </w:p>
        </w:tc>
      </w:tr>
      <w:tr w:rsidR="00FC1D5A" w14:paraId="7023E781" w14:textId="77777777" w:rsidTr="007E23FD">
        <w:trPr>
          <w:cantSplit/>
        </w:trPr>
        <w:tc>
          <w:tcPr>
            <w:tcW w:w="1871" w:type="dxa"/>
          </w:tcPr>
          <w:p w14:paraId="2E733111" w14:textId="77777777" w:rsidR="00FC1D5A" w:rsidRPr="004D7957" w:rsidRDefault="00FC1D5A" w:rsidP="007E23FD">
            <w:pPr>
              <w:pStyle w:val="TableSideHeading"/>
              <w:keepLines w:val="0"/>
            </w:pPr>
            <w:r>
              <w:rPr>
                <w:rFonts w:hint="cs"/>
                <w:rtl/>
              </w:rPr>
              <w:t>תיקון חוק החיילים המשוחררים (החזרה לעבודה)</w:t>
            </w:r>
          </w:p>
        </w:tc>
        <w:tc>
          <w:tcPr>
            <w:tcW w:w="624" w:type="dxa"/>
          </w:tcPr>
          <w:p w14:paraId="142E223C" w14:textId="77777777" w:rsidR="00FC1D5A" w:rsidRDefault="00FC1D5A" w:rsidP="007E23FD">
            <w:pPr>
              <w:pStyle w:val="TableText"/>
            </w:pPr>
            <w:r>
              <w:rPr>
                <w:rFonts w:hint="cs"/>
                <w:rtl/>
              </w:rPr>
              <w:t>3.</w:t>
            </w:r>
          </w:p>
        </w:tc>
        <w:tc>
          <w:tcPr>
            <w:tcW w:w="7143" w:type="dxa"/>
            <w:gridSpan w:val="5"/>
          </w:tcPr>
          <w:p w14:paraId="48E40F18" w14:textId="77777777" w:rsidR="00FC1D5A" w:rsidRPr="00C34DE2" w:rsidRDefault="00FC1D5A" w:rsidP="007E23FD">
            <w:pPr>
              <w:pStyle w:val="TableBlock"/>
            </w:pPr>
            <w:r>
              <w:rPr>
                <w:rFonts w:hint="cs"/>
                <w:rtl/>
              </w:rPr>
              <w:t>בחוק החיילים המשוחררים (החזרה לעבודה), התש"ט</w:t>
            </w:r>
            <w:r>
              <w:rPr>
                <w:rFonts w:hint="eastAsia"/>
                <w:rtl/>
              </w:rPr>
              <w:t>–</w:t>
            </w:r>
            <w:r>
              <w:rPr>
                <w:rFonts w:hint="cs"/>
                <w:rtl/>
              </w:rPr>
              <w:t>1949</w:t>
            </w:r>
            <w:r>
              <w:rPr>
                <w:rStyle w:val="a5"/>
                <w:rtl/>
              </w:rPr>
              <w:footnoteReference w:id="4"/>
            </w:r>
            <w:r>
              <w:rPr>
                <w:rFonts w:hint="cs"/>
                <w:rtl/>
              </w:rPr>
              <w:t xml:space="preserve">, בסעיף 41א, אחרי סעיף קטן (ה) יבוא: </w:t>
            </w:r>
          </w:p>
        </w:tc>
      </w:tr>
      <w:tr w:rsidR="00FC1D5A" w14:paraId="2CB5210A" w14:textId="77777777" w:rsidTr="007E23FD">
        <w:trPr>
          <w:cantSplit/>
        </w:trPr>
        <w:tc>
          <w:tcPr>
            <w:tcW w:w="1871" w:type="dxa"/>
          </w:tcPr>
          <w:p w14:paraId="2C752D43" w14:textId="77777777" w:rsidR="00FC1D5A" w:rsidRDefault="00FC1D5A" w:rsidP="007E23FD">
            <w:pPr>
              <w:pStyle w:val="TableSideHeading"/>
              <w:keepLines w:val="0"/>
              <w:rPr>
                <w:rtl/>
              </w:rPr>
            </w:pPr>
          </w:p>
        </w:tc>
        <w:tc>
          <w:tcPr>
            <w:tcW w:w="624" w:type="dxa"/>
          </w:tcPr>
          <w:p w14:paraId="26561E4F" w14:textId="77777777" w:rsidR="00FC1D5A" w:rsidRDefault="00FC1D5A" w:rsidP="007E23FD">
            <w:pPr>
              <w:pStyle w:val="TableText"/>
              <w:rPr>
                <w:rtl/>
              </w:rPr>
            </w:pPr>
          </w:p>
        </w:tc>
        <w:tc>
          <w:tcPr>
            <w:tcW w:w="7143" w:type="dxa"/>
            <w:gridSpan w:val="5"/>
          </w:tcPr>
          <w:p w14:paraId="50D594AA" w14:textId="77777777" w:rsidR="00FC1D5A" w:rsidRDefault="00FC1D5A" w:rsidP="007E23FD">
            <w:pPr>
              <w:pStyle w:val="TableBlock"/>
              <w:rPr>
                <w:rtl/>
              </w:rPr>
            </w:pPr>
            <w:r>
              <w:rPr>
                <w:rFonts w:hint="cs"/>
                <w:rtl/>
              </w:rPr>
              <w:t xml:space="preserve">"(ו) </w:t>
            </w:r>
            <w:r>
              <w:rPr>
                <w:rtl/>
              </w:rPr>
              <w:tab/>
            </w:r>
            <w:r w:rsidRPr="00D015DF">
              <w:rPr>
                <w:rtl/>
              </w:rPr>
              <w:t xml:space="preserve">הוראות סעיף </w:t>
            </w:r>
            <w:r>
              <w:rPr>
                <w:rFonts w:hint="cs"/>
                <w:rtl/>
              </w:rPr>
              <w:t>זה</w:t>
            </w:r>
            <w:r w:rsidRPr="00D015DF">
              <w:rPr>
                <w:rtl/>
              </w:rPr>
              <w:t xml:space="preserve"> יחולו</w:t>
            </w:r>
            <w:r>
              <w:rPr>
                <w:rFonts w:hint="cs"/>
                <w:rtl/>
              </w:rPr>
              <w:t>,</w:t>
            </w:r>
            <w:r w:rsidRPr="00D015DF">
              <w:rPr>
                <w:rtl/>
              </w:rPr>
              <w:t xml:space="preserve"> בשינויים המח</w:t>
            </w:r>
            <w:r>
              <w:rPr>
                <w:rFonts w:hint="cs"/>
                <w:rtl/>
              </w:rPr>
              <w:t>ו</w:t>
            </w:r>
            <w:r w:rsidRPr="00D015DF">
              <w:rPr>
                <w:rtl/>
              </w:rPr>
              <w:t>יבים</w:t>
            </w:r>
            <w:r>
              <w:rPr>
                <w:rFonts w:hint="cs"/>
                <w:rtl/>
              </w:rPr>
              <w:t>, על עובד</w:t>
            </w:r>
            <w:r w:rsidRPr="00D015DF">
              <w:rPr>
                <w:rtl/>
              </w:rPr>
              <w:t xml:space="preserve"> שבן זוגו משרת במילואים</w:t>
            </w:r>
            <w:r>
              <w:rPr>
                <w:rFonts w:hint="cs"/>
                <w:rtl/>
              </w:rPr>
              <w:t>."</w:t>
            </w:r>
          </w:p>
        </w:tc>
      </w:tr>
    </w:tbl>
    <w:p w14:paraId="3BC149F6" w14:textId="77777777" w:rsidR="00FC1D5A" w:rsidRPr="005A66DC" w:rsidRDefault="00FC1D5A" w:rsidP="00FC1D5A">
      <w:pPr>
        <w:pStyle w:val="HeadDivreiHesber"/>
      </w:pPr>
      <w:r w:rsidRPr="0027450A">
        <w:rPr>
          <w:rFonts w:hint="cs"/>
          <w:rtl/>
        </w:rPr>
        <w:t>דברי הסבר</w:t>
      </w:r>
      <w:r w:rsidRPr="005A66DC">
        <w:rPr>
          <w:sz w:val="26"/>
          <w:rtl/>
        </w:rPr>
        <w:tab/>
      </w:r>
    </w:p>
    <w:p w14:paraId="013F273B" w14:textId="77777777" w:rsidR="00FC1D5A" w:rsidRDefault="00FC1D5A" w:rsidP="00C14EDE">
      <w:pPr>
        <w:pStyle w:val="Hesber"/>
        <w:spacing w:line="240" w:lineRule="auto"/>
        <w:rPr>
          <w:sz w:val="26"/>
          <w:rtl/>
        </w:rPr>
      </w:pPr>
      <w:r w:rsidRPr="005A66DC">
        <w:rPr>
          <w:sz w:val="26"/>
          <w:rtl/>
        </w:rPr>
        <w:t xml:space="preserve">יציאת איש המילואים לשירות כרוכה בהתמודדויות רבות מול מעגלי החיים המרכזיים </w:t>
      </w:r>
      <w:r>
        <w:rPr>
          <w:rFonts w:hint="cs"/>
          <w:sz w:val="26"/>
          <w:rtl/>
        </w:rPr>
        <w:t xml:space="preserve">ביניהם </w:t>
      </w:r>
      <w:r>
        <w:rPr>
          <w:sz w:val="26"/>
          <w:rtl/>
        </w:rPr>
        <w:t xml:space="preserve">פרנסה, עבודה, לימודים </w:t>
      </w:r>
      <w:r>
        <w:rPr>
          <w:rFonts w:hint="cs"/>
          <w:sz w:val="26"/>
          <w:rtl/>
        </w:rPr>
        <w:t>ועוד</w:t>
      </w:r>
      <w:r w:rsidRPr="005A66DC">
        <w:rPr>
          <w:sz w:val="26"/>
          <w:rtl/>
        </w:rPr>
        <w:t>. קשיים אלה מתעצמים כאשר מדובר בא</w:t>
      </w:r>
      <w:r>
        <w:rPr>
          <w:rFonts w:hint="cs"/>
          <w:sz w:val="26"/>
          <w:rtl/>
        </w:rPr>
        <w:t>נ</w:t>
      </w:r>
      <w:r w:rsidRPr="005A66DC">
        <w:rPr>
          <w:sz w:val="26"/>
          <w:rtl/>
        </w:rPr>
        <w:t>ש</w:t>
      </w:r>
      <w:r>
        <w:rPr>
          <w:rFonts w:hint="cs"/>
          <w:sz w:val="26"/>
          <w:rtl/>
        </w:rPr>
        <w:t>י</w:t>
      </w:r>
      <w:r>
        <w:rPr>
          <w:sz w:val="26"/>
          <w:rtl/>
        </w:rPr>
        <w:t xml:space="preserve"> מילואים</w:t>
      </w:r>
      <w:r w:rsidRPr="005A66DC">
        <w:rPr>
          <w:sz w:val="26"/>
          <w:rtl/>
        </w:rPr>
        <w:t xml:space="preserve"> אשר הינם בעלי משפחה. על בת הזוג מוטל עומס רב בתחום הטיפול בילדים ובבית, קושי מול מקום העבודה והלימודים של בת הזוג, מתחים נפשיים שונים העולים מעצם היציאה למילואים וכן הוצאות כספיות נלוות. </w:t>
      </w:r>
    </w:p>
    <w:p w14:paraId="6ED0B322" w14:textId="77777777" w:rsidR="00FC1D5A" w:rsidRDefault="00FC1D5A" w:rsidP="00C14EDE">
      <w:pPr>
        <w:pStyle w:val="Hesber"/>
        <w:spacing w:line="240" w:lineRule="auto"/>
        <w:rPr>
          <w:sz w:val="26"/>
          <w:rtl/>
        </w:rPr>
      </w:pPr>
      <w:r>
        <w:rPr>
          <w:rFonts w:hint="cs"/>
          <w:sz w:val="26"/>
          <w:rtl/>
        </w:rPr>
        <w:t xml:space="preserve">קושי מיוחד חל כאשר לא ניתן היה לתכנן את יציאת איש המילואים בנסיבות חירום לפי סעיף 8 לחוק שירות המילואים, התשס"ח-2008 ("צו 8"). </w:t>
      </w:r>
      <w:r w:rsidRPr="005A66DC">
        <w:rPr>
          <w:sz w:val="26"/>
          <w:rtl/>
        </w:rPr>
        <w:t>רובן של בנות הזוג נדרשות לבקש הקלות</w:t>
      </w:r>
      <w:r>
        <w:rPr>
          <w:rFonts w:hint="cs"/>
          <w:sz w:val="26"/>
          <w:rtl/>
        </w:rPr>
        <w:t xml:space="preserve"> מידיות</w:t>
      </w:r>
      <w:r w:rsidRPr="005A66DC">
        <w:rPr>
          <w:sz w:val="26"/>
          <w:rtl/>
        </w:rPr>
        <w:t xml:space="preserve"> מהמעסיקים שלהן ולהסתייע בבני משפחה ובחברים לאורך תקופת שירות המילואים. על כן יש צורך מהותי במתן מענה לקשיים אלו, באמצעות מתן אפשרות להיעדר לזמן מוגבל במשך היום ממקום העבודה בזמן שרות המילואים</w:t>
      </w:r>
      <w:r>
        <w:rPr>
          <w:rFonts w:hint="cs"/>
          <w:sz w:val="26"/>
          <w:rtl/>
        </w:rPr>
        <w:t xml:space="preserve"> בצו 8 וב</w:t>
      </w:r>
      <w:r w:rsidRPr="005A66DC">
        <w:rPr>
          <w:sz w:val="26"/>
          <w:rtl/>
        </w:rPr>
        <w:t>תוספת תגמול למשרת המילואים</w:t>
      </w:r>
      <w:r>
        <w:rPr>
          <w:rFonts w:hint="cs"/>
          <w:sz w:val="26"/>
          <w:rtl/>
        </w:rPr>
        <w:t xml:space="preserve"> בצו 8,</w:t>
      </w:r>
      <w:r>
        <w:rPr>
          <w:sz w:val="26"/>
          <w:rtl/>
        </w:rPr>
        <w:t xml:space="preserve"> שבת זוגו נאלצת להיעדר מעבודתה</w:t>
      </w:r>
      <w:r>
        <w:rPr>
          <w:rFonts w:hint="cs"/>
          <w:sz w:val="26"/>
          <w:rtl/>
        </w:rPr>
        <w:t>.</w:t>
      </w:r>
      <w:r w:rsidRPr="005A66DC">
        <w:rPr>
          <w:sz w:val="26"/>
          <w:rtl/>
        </w:rPr>
        <w:t xml:space="preserve"> </w:t>
      </w:r>
    </w:p>
    <w:p w14:paraId="5775221A" w14:textId="77777777" w:rsidR="00FC1D5A" w:rsidRDefault="00FC1D5A" w:rsidP="00C14EDE">
      <w:pPr>
        <w:pStyle w:val="Hesber"/>
        <w:spacing w:line="240" w:lineRule="auto"/>
        <w:rPr>
          <w:sz w:val="26"/>
          <w:rtl/>
        </w:rPr>
      </w:pPr>
      <w:r>
        <w:rPr>
          <w:rFonts w:hint="cs"/>
          <w:sz w:val="26"/>
          <w:rtl/>
        </w:rPr>
        <w:t xml:space="preserve">כמו </w:t>
      </w:r>
      <w:r w:rsidRPr="005A66DC">
        <w:rPr>
          <w:sz w:val="26"/>
          <w:rtl/>
        </w:rPr>
        <w:t xml:space="preserve">כן להחיל את החוק </w:t>
      </w:r>
      <w:r>
        <w:rPr>
          <w:rFonts w:hint="cs"/>
          <w:sz w:val="26"/>
          <w:rtl/>
        </w:rPr>
        <w:t>ה</w:t>
      </w:r>
      <w:r w:rsidRPr="005A66DC">
        <w:rPr>
          <w:sz w:val="26"/>
          <w:rtl/>
        </w:rPr>
        <w:t xml:space="preserve">מגן על חיילים </w:t>
      </w:r>
      <w:r>
        <w:rPr>
          <w:rFonts w:hint="cs"/>
          <w:sz w:val="26"/>
          <w:rtl/>
        </w:rPr>
        <w:t>ה</w:t>
      </w:r>
      <w:r w:rsidRPr="005A66DC">
        <w:rPr>
          <w:sz w:val="26"/>
          <w:rtl/>
        </w:rPr>
        <w:t>משרתים במילואים</w:t>
      </w:r>
      <w:r>
        <w:rPr>
          <w:rFonts w:hint="cs"/>
          <w:sz w:val="26"/>
          <w:rtl/>
        </w:rPr>
        <w:t xml:space="preserve"> רגילים</w:t>
      </w:r>
      <w:r w:rsidRPr="005A66DC">
        <w:rPr>
          <w:sz w:val="26"/>
          <w:rtl/>
        </w:rPr>
        <w:t xml:space="preserve"> גם על בנות הזוג שבני זוגם משרתים במילואים</w:t>
      </w:r>
      <w:r>
        <w:rPr>
          <w:rFonts w:hint="cs"/>
          <w:sz w:val="26"/>
          <w:rtl/>
        </w:rPr>
        <w:t>, זאת לעניין זכויות עובד כגון מניעת פיטורין.</w:t>
      </w:r>
      <w:r w:rsidRPr="005A66DC">
        <w:rPr>
          <w:sz w:val="26"/>
          <w:rtl/>
        </w:rPr>
        <w:t xml:space="preserve"> </w:t>
      </w:r>
    </w:p>
    <w:p w14:paraId="43AA237A" w14:textId="77777777" w:rsidR="00FC1D5A" w:rsidRDefault="00FC1D5A" w:rsidP="00C14EDE">
      <w:pPr>
        <w:pStyle w:val="Hesber"/>
        <w:spacing w:line="240" w:lineRule="auto"/>
        <w:rPr>
          <w:sz w:val="26"/>
          <w:rtl/>
        </w:rPr>
      </w:pPr>
      <w:r w:rsidRPr="005A66DC">
        <w:rPr>
          <w:sz w:val="26"/>
          <w:rtl/>
        </w:rPr>
        <w:t xml:space="preserve">יודגש שהצעת החוק מבקשת להחיל את התיקון </w:t>
      </w:r>
      <w:r>
        <w:rPr>
          <w:rFonts w:hint="cs"/>
          <w:sz w:val="26"/>
          <w:rtl/>
        </w:rPr>
        <w:t>על גברים ונשים כאחד.</w:t>
      </w:r>
    </w:p>
    <w:p w14:paraId="7F795C61" w14:textId="77777777" w:rsidR="00C14EDE" w:rsidRPr="00D73212" w:rsidRDefault="00C14EDE" w:rsidP="00C14EDE">
      <w:pPr>
        <w:pStyle w:val="Hesber"/>
        <w:spacing w:line="240" w:lineRule="auto"/>
        <w:rPr>
          <w:color w:val="auto"/>
          <w:rtl/>
          <w:lang w:eastAsia="en-US"/>
        </w:rPr>
      </w:pPr>
      <w:r w:rsidRPr="00D73212">
        <w:rPr>
          <w:color w:val="auto"/>
          <w:rtl/>
          <w:lang w:eastAsia="en-US"/>
        </w:rPr>
        <w:t>---------------------------------</w:t>
      </w:r>
    </w:p>
    <w:p w14:paraId="6DDA02B3" w14:textId="77777777" w:rsidR="00C14EDE" w:rsidRPr="00D73212" w:rsidRDefault="00C14EDE" w:rsidP="00C14EDE">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FA68AD5" w14:textId="77777777" w:rsidR="00C14EDE" w:rsidRPr="00D73212" w:rsidRDefault="00C14EDE" w:rsidP="00C14EDE">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11FC59A" w14:textId="7FBE0AB9" w:rsidR="00FC1D5A" w:rsidRPr="005A66DC" w:rsidRDefault="00C14EDE" w:rsidP="00C14EDE">
      <w:pPr>
        <w:pStyle w:val="Hesber"/>
        <w:spacing w:line="240" w:lineRule="auto"/>
        <w:rPr>
          <w:sz w:val="26"/>
          <w:rtl/>
        </w:rPr>
      </w:pPr>
      <w:r>
        <w:rPr>
          <w:rFonts w:hint="cs"/>
          <w:color w:val="auto"/>
          <w:rtl/>
          <w:lang w:eastAsia="en-US"/>
        </w:rPr>
        <w:t>כ"ו בתמוז</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1.8</w:t>
      </w:r>
      <w:r w:rsidRPr="00D73212">
        <w:rPr>
          <w:color w:val="auto"/>
          <w:rtl/>
          <w:lang w:eastAsia="en-US"/>
        </w:rPr>
        <w:t>.1</w:t>
      </w:r>
      <w:r>
        <w:rPr>
          <w:rFonts w:hint="cs"/>
          <w:color w:val="auto"/>
          <w:rtl/>
          <w:lang w:eastAsia="en-US"/>
        </w:rPr>
        <w:t>6</w:t>
      </w:r>
    </w:p>
    <w:p w14:paraId="7187A3FB" w14:textId="05E87E47" w:rsidR="00E13C27" w:rsidRPr="005A66DC" w:rsidRDefault="00E13C27" w:rsidP="00FC1D5A">
      <w:pPr>
        <w:pStyle w:val="HeadHatzaotHok"/>
        <w:rPr>
          <w:sz w:val="26"/>
          <w:rtl/>
        </w:rPr>
      </w:pPr>
    </w:p>
    <w:sectPr w:rsidR="00E13C27" w:rsidRPr="005A66DC"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CC0C96" w14:textId="77777777" w:rsidR="00AA3603" w:rsidRDefault="00AA3603">
      <w:r>
        <w:separator/>
      </w:r>
    </w:p>
  </w:endnote>
  <w:endnote w:type="continuationSeparator" w:id="0">
    <w:p w14:paraId="40C87866" w14:textId="77777777" w:rsidR="00AA3603" w:rsidRDefault="00AA3603">
      <w:r>
        <w:continuationSeparator/>
      </w:r>
    </w:p>
  </w:endnote>
  <w:endnote w:type="continuationNotice" w:id="1">
    <w:p w14:paraId="09298114" w14:textId="77777777" w:rsidR="00AA3603" w:rsidRDefault="00AA360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B308E1" w:rsidRDefault="00B308E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B308E1" w:rsidRDefault="00B308E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B308E1" w:rsidRDefault="00B308E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3B426C">
      <w:rPr>
        <w:rStyle w:val="aa"/>
        <w:noProof/>
        <w:rtl/>
      </w:rPr>
      <w:t>2</w:t>
    </w:r>
    <w:r>
      <w:rPr>
        <w:rStyle w:val="aa"/>
        <w:rtl/>
      </w:rPr>
      <w:fldChar w:fldCharType="end"/>
    </w:r>
  </w:p>
  <w:p w14:paraId="7F6961D8" w14:textId="77777777" w:rsidR="00B308E1" w:rsidRDefault="00B308E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00053D" w14:textId="77777777" w:rsidR="00AA3603" w:rsidRDefault="00AA3603">
      <w:r>
        <w:separator/>
      </w:r>
    </w:p>
  </w:footnote>
  <w:footnote w:type="continuationSeparator" w:id="0">
    <w:p w14:paraId="6B7256A1" w14:textId="77777777" w:rsidR="00AA3603" w:rsidRDefault="00AA3603">
      <w:r>
        <w:continuationSeparator/>
      </w:r>
    </w:p>
  </w:footnote>
  <w:footnote w:type="continuationNotice" w:id="1">
    <w:p w14:paraId="6931CEDC" w14:textId="77777777" w:rsidR="00AA3603" w:rsidRDefault="00AA3603"/>
  </w:footnote>
  <w:footnote w:id="2">
    <w:p w14:paraId="6AEC8D51" w14:textId="77777777" w:rsidR="00FC1D5A" w:rsidRDefault="00FC1D5A" w:rsidP="00FC1D5A">
      <w:pPr>
        <w:pStyle w:val="a4"/>
      </w:pPr>
      <w:r>
        <w:rPr>
          <w:rStyle w:val="a5"/>
        </w:rPr>
        <w:footnoteRef/>
      </w:r>
      <w:r>
        <w:rPr>
          <w:rtl/>
        </w:rPr>
        <w:t xml:space="preserve"> </w:t>
      </w:r>
      <w:r>
        <w:rPr>
          <w:rFonts w:hint="cs"/>
          <w:rtl/>
        </w:rPr>
        <w:t>ס"ח התשס"ח, עמ' 502.</w:t>
      </w:r>
    </w:p>
  </w:footnote>
  <w:footnote w:id="3">
    <w:p w14:paraId="0FF65DAE" w14:textId="77777777" w:rsidR="00C14EDE" w:rsidRDefault="00C14EDE" w:rsidP="00FC1D5A">
      <w:pPr>
        <w:pStyle w:val="a4"/>
        <w:rPr>
          <w:rtl/>
        </w:rPr>
      </w:pPr>
      <w:r>
        <w:rPr>
          <w:rStyle w:val="a5"/>
        </w:rPr>
        <w:footnoteRef/>
      </w:r>
      <w:r>
        <w:rPr>
          <w:rtl/>
        </w:rPr>
        <w:t xml:space="preserve"> </w:t>
      </w:r>
      <w:r>
        <w:rPr>
          <w:rFonts w:hint="cs"/>
          <w:rtl/>
        </w:rPr>
        <w:t>ס"ח התשנ"ח, עמ' 152.</w:t>
      </w:r>
    </w:p>
  </w:footnote>
  <w:footnote w:id="4">
    <w:p w14:paraId="79749C6C" w14:textId="77777777" w:rsidR="00FC1D5A" w:rsidRDefault="00FC1D5A" w:rsidP="00FC1D5A">
      <w:pPr>
        <w:pStyle w:val="a4"/>
      </w:pPr>
      <w:r>
        <w:rPr>
          <w:rStyle w:val="a5"/>
        </w:rPr>
        <w:footnoteRef/>
      </w:r>
      <w:r>
        <w:rPr>
          <w:rtl/>
        </w:rPr>
        <w:t xml:space="preserve"> </w:t>
      </w:r>
      <w:r>
        <w:rPr>
          <w:rFonts w:hint="cs"/>
          <w:rtl/>
        </w:rPr>
        <w:t>ס"ח התש"ט, עמ' 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79018C"/>
    <w:multiLevelType w:val="hybridMultilevel"/>
    <w:tmpl w:val="C058A304"/>
    <w:lvl w:ilvl="0" w:tplc="1C9016F2">
      <w:start w:val="1"/>
      <w:numFmt w:val="hebrew1"/>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1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25C2A"/>
    <w:rsid w:val="00063A3E"/>
    <w:rsid w:val="00072CAC"/>
    <w:rsid w:val="0007681A"/>
    <w:rsid w:val="000A542E"/>
    <w:rsid w:val="000B4045"/>
    <w:rsid w:val="00102B6B"/>
    <w:rsid w:val="001052D4"/>
    <w:rsid w:val="0010644B"/>
    <w:rsid w:val="001207F8"/>
    <w:rsid w:val="00121924"/>
    <w:rsid w:val="001279A8"/>
    <w:rsid w:val="0014195F"/>
    <w:rsid w:val="00152609"/>
    <w:rsid w:val="00153E1B"/>
    <w:rsid w:val="00161446"/>
    <w:rsid w:val="001A0623"/>
    <w:rsid w:val="001C23B0"/>
    <w:rsid w:val="001D67AB"/>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426C"/>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A66DC"/>
    <w:rsid w:val="005B064E"/>
    <w:rsid w:val="005D51AE"/>
    <w:rsid w:val="0062674B"/>
    <w:rsid w:val="006363B2"/>
    <w:rsid w:val="00644940"/>
    <w:rsid w:val="006818A9"/>
    <w:rsid w:val="006A2D81"/>
    <w:rsid w:val="006C1D0D"/>
    <w:rsid w:val="007010E6"/>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527BF"/>
    <w:rsid w:val="00A6611D"/>
    <w:rsid w:val="00A73F22"/>
    <w:rsid w:val="00A82CB7"/>
    <w:rsid w:val="00A942C1"/>
    <w:rsid w:val="00AA2F03"/>
    <w:rsid w:val="00AA3603"/>
    <w:rsid w:val="00AC36F7"/>
    <w:rsid w:val="00AC63A4"/>
    <w:rsid w:val="00AD239E"/>
    <w:rsid w:val="00B10265"/>
    <w:rsid w:val="00B10BEA"/>
    <w:rsid w:val="00B16A99"/>
    <w:rsid w:val="00B21211"/>
    <w:rsid w:val="00B308E1"/>
    <w:rsid w:val="00B35784"/>
    <w:rsid w:val="00B733A7"/>
    <w:rsid w:val="00B75C91"/>
    <w:rsid w:val="00B93118"/>
    <w:rsid w:val="00B975AD"/>
    <w:rsid w:val="00BC45FB"/>
    <w:rsid w:val="00BF148D"/>
    <w:rsid w:val="00C14EDE"/>
    <w:rsid w:val="00C23B1A"/>
    <w:rsid w:val="00C310EB"/>
    <w:rsid w:val="00C361BE"/>
    <w:rsid w:val="00C9176A"/>
    <w:rsid w:val="00CF1AA2"/>
    <w:rsid w:val="00D17774"/>
    <w:rsid w:val="00D63620"/>
    <w:rsid w:val="00D8410D"/>
    <w:rsid w:val="00D867D7"/>
    <w:rsid w:val="00DB7060"/>
    <w:rsid w:val="00DD3081"/>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C1D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paragraph" w:customStyle="1" w:styleId="P00">
    <w:name w:val="P00"/>
    <w:rsid w:val="001D67A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styleId="ad">
    <w:name w:val="Intense Emphasis"/>
    <w:uiPriority w:val="21"/>
    <w:qFormat/>
    <w:rsid w:val="001D67AB"/>
    <w:rPr>
      <w:b/>
      <w:bCs/>
      <w:i/>
      <w:iCs/>
      <w:color w:val="4F81B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paragraph" w:customStyle="1" w:styleId="P00">
    <w:name w:val="P00"/>
    <w:rsid w:val="001D67A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styleId="ad">
    <w:name w:val="Intense Emphasis"/>
    <w:uiPriority w:val="21"/>
    <w:qFormat/>
    <w:rsid w:val="001D67AB"/>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86A0DB-4774-48D9-937F-4C62A0BCA8A0}"/>
</file>

<file path=customXml/itemProps4.xml><?xml version="1.0" encoding="utf-8"?>
<ds:datastoreItem xmlns:ds="http://schemas.openxmlformats.org/officeDocument/2006/customXml" ds:itemID="{64DF00AD-84BF-4965-BCCD-338B6F862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456</Words>
  <Characters>2282</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2016-07-28T10:57:00Z</cp:lastPrinted>
  <dcterms:created xsi:type="dcterms:W3CDTF">2016-12-22T10:55:00Z</dcterms:created>
  <dcterms:modified xsi:type="dcterms:W3CDTF">2016-12-22T10:55:00Z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2011194</vt:r8>
  </property>
</Properties>
</file>