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00207B" w:rsidRDefault="000901F9">
      <w:pPr>
        <w:spacing w:after="0" w:line="276" w:lineRule="auto"/>
        <w:jc w:val="both"/>
      </w:pPr>
      <w:r>
        <w:rPr>
          <w:rFonts w:ascii="David" w:eastAsia="David" w:hAnsi="David" w:cs="David"/>
          <w:b w:val="0"/>
          <w:sz w:val="22"/>
          <w:szCs w:val="22"/>
          <w:u w:val="none"/>
          <w:rtl/>
        </w:rPr>
        <w:t>לכבוד</w:t>
      </w:r>
    </w:p>
    <w:p w:rsidR="0000207B" w:rsidRDefault="000901F9">
      <w:pPr>
        <w:spacing w:after="0" w:line="276" w:lineRule="auto"/>
        <w:jc w:val="both"/>
      </w:pPr>
      <w:r>
        <w:rPr>
          <w:rFonts w:ascii="David" w:eastAsia="David" w:hAnsi="David" w:cs="David"/>
          <w:b w:val="0"/>
          <w:sz w:val="22"/>
          <w:szCs w:val="22"/>
          <w:u w:val="none"/>
          <w:rtl/>
        </w:rPr>
        <w:t xml:space="preserve">ח״כ עאידה תומא סלימאן </w:t>
      </w:r>
    </w:p>
    <w:p w:rsidR="0000207B" w:rsidRDefault="000901F9">
      <w:pPr>
        <w:spacing w:after="0" w:line="276" w:lineRule="auto"/>
        <w:jc w:val="both"/>
      </w:pPr>
      <w:r>
        <w:rPr>
          <w:rFonts w:ascii="David" w:eastAsia="David" w:hAnsi="David" w:cs="David"/>
          <w:b w:val="0"/>
          <w:sz w:val="22"/>
          <w:szCs w:val="22"/>
          <w:u w:val="none"/>
          <w:rtl/>
        </w:rPr>
        <w:t>יו</w:t>
      </w:r>
      <w:r w:rsidR="008B631C">
        <w:rPr>
          <w:rFonts w:ascii="David" w:eastAsia="David" w:hAnsi="David" w:cs="David"/>
          <w:b w:val="0"/>
          <w:sz w:val="22"/>
          <w:szCs w:val="22"/>
          <w:u w:val="none"/>
          <w:rtl/>
        </w:rPr>
        <w:t>"ר הוועדה לקידום מעמד האישה ושי</w:t>
      </w:r>
      <w:r w:rsidR="008B631C">
        <w:rPr>
          <w:rFonts w:ascii="David" w:eastAsia="David" w:hAnsi="David" w:cs="David" w:hint="cs"/>
          <w:b w:val="0"/>
          <w:sz w:val="22"/>
          <w:szCs w:val="22"/>
          <w:u w:val="none"/>
          <w:rtl/>
        </w:rPr>
        <w:t>ו</w:t>
      </w:r>
      <w:r>
        <w:rPr>
          <w:rFonts w:ascii="David" w:eastAsia="David" w:hAnsi="David" w:cs="David"/>
          <w:b w:val="0"/>
          <w:sz w:val="22"/>
          <w:szCs w:val="22"/>
          <w:u w:val="none"/>
          <w:rtl/>
        </w:rPr>
        <w:t>ויון מגדרי</w:t>
      </w:r>
    </w:p>
    <w:p w:rsidR="0000207B" w:rsidRDefault="000901F9">
      <w:pPr>
        <w:spacing w:after="0" w:line="276" w:lineRule="auto"/>
        <w:jc w:val="both"/>
      </w:pPr>
      <w:r>
        <w:rPr>
          <w:rFonts w:ascii="David" w:eastAsia="David" w:hAnsi="David" w:cs="David"/>
          <w:b w:val="0"/>
          <w:sz w:val="22"/>
          <w:szCs w:val="22"/>
          <w:rtl/>
        </w:rPr>
        <w:t>ירושלים</w:t>
      </w:r>
    </w:p>
    <w:p w:rsidR="0000207B" w:rsidRDefault="000901F9">
      <w:pPr>
        <w:spacing w:after="0" w:line="276" w:lineRule="auto"/>
        <w:jc w:val="both"/>
      </w:pPr>
      <w:r>
        <w:rPr>
          <w:rFonts w:ascii="David" w:eastAsia="David" w:hAnsi="David" w:cs="David"/>
          <w:b w:val="0"/>
          <w:sz w:val="22"/>
          <w:szCs w:val="22"/>
          <w:u w:val="none"/>
          <w:rtl/>
        </w:rPr>
        <w:t>שלום רב,</w:t>
      </w:r>
      <w:bookmarkStart w:id="0" w:name="_GoBack"/>
      <w:bookmarkEnd w:id="0"/>
    </w:p>
    <w:p w:rsidR="0000207B" w:rsidRDefault="0000207B">
      <w:pPr>
        <w:spacing w:after="0" w:line="240" w:lineRule="auto"/>
      </w:pPr>
    </w:p>
    <w:p w:rsidR="0000207B" w:rsidRDefault="000901F9">
      <w:pPr>
        <w:spacing w:after="0" w:line="240" w:lineRule="auto"/>
        <w:jc w:val="center"/>
      </w:pPr>
      <w:r>
        <w:rPr>
          <w:rFonts w:ascii="Arial" w:eastAsia="Arial" w:hAnsi="Arial" w:cs="Arial"/>
          <w:sz w:val="22"/>
          <w:szCs w:val="22"/>
          <w:rtl/>
        </w:rPr>
        <w:t>הנדון: האלימות כלפי עובדות ועובדים סוציאליים- פתרונות והגברת הביטחון האישי 2.1.17</w:t>
      </w:r>
    </w:p>
    <w:p w:rsidR="0000207B" w:rsidRDefault="0000207B">
      <w:pPr>
        <w:spacing w:after="0" w:line="240" w:lineRule="auto"/>
      </w:pPr>
    </w:p>
    <w:p w:rsidR="0000207B" w:rsidRDefault="000901F9">
      <w:pPr>
        <w:spacing w:after="0" w:line="240" w:lineRule="auto"/>
      </w:pPr>
      <w:r>
        <w:rPr>
          <w:rFonts w:ascii="Arial" w:eastAsia="Arial" w:hAnsi="Arial" w:cs="Arial"/>
          <w:b w:val="0"/>
          <w:sz w:val="22"/>
          <w:szCs w:val="22"/>
          <w:u w:val="none"/>
          <w:rtl/>
        </w:rPr>
        <w:t>עו"סים שינוי היא  עמותה אשר הוקמה לשם קידום עתיד מקצוע העבודה הסוציאלית ופועלת  </w:t>
      </w:r>
      <w:r>
        <w:rPr>
          <w:rFonts w:ascii="Arial" w:eastAsia="Arial" w:hAnsi="Arial" w:cs="Arial"/>
          <w:b w:val="0"/>
          <w:sz w:val="22"/>
          <w:szCs w:val="22"/>
          <w:u w:val="none"/>
          <w:rtl/>
        </w:rPr>
        <w:t xml:space="preserve">מתוך אמונה שרק שיפור וייעול מערכות הרווחה בישראל יטיבו עם השכבות החלשות במדינה. </w:t>
      </w:r>
    </w:p>
    <w:p w:rsidR="0000207B" w:rsidRDefault="0000207B">
      <w:pPr>
        <w:spacing w:after="0" w:line="240" w:lineRule="auto"/>
      </w:pPr>
    </w:p>
    <w:p w:rsidR="0000207B" w:rsidRDefault="000901F9">
      <w:pPr>
        <w:spacing w:after="0" w:line="240" w:lineRule="auto"/>
      </w:pPr>
      <w:r>
        <w:rPr>
          <w:rFonts w:ascii="Arial" w:eastAsia="Arial" w:hAnsi="Arial" w:cs="Arial"/>
          <w:b w:val="0"/>
          <w:sz w:val="22"/>
          <w:szCs w:val="22"/>
          <w:u w:val="none"/>
          <w:rtl/>
        </w:rPr>
        <w:t xml:space="preserve">כידוע, </w:t>
      </w:r>
      <w:r>
        <w:rPr>
          <w:rFonts w:ascii="Arial" w:eastAsia="Arial" w:hAnsi="Arial" w:cs="Arial"/>
          <w:b w:val="0"/>
          <w:color w:val="1D2129"/>
          <w:sz w:val="22"/>
          <w:szCs w:val="22"/>
          <w:highlight w:val="white"/>
          <w:u w:val="none"/>
          <w:rtl/>
        </w:rPr>
        <w:t xml:space="preserve">בתאריך ה-13/12 נורו יריות אל עבר לשכת הרווחה באום אל פחם, נוסף על ירי שהתרחש כלפי מכוניתה של עובדת סוציאלית בעיר בחודש מרץ. </w:t>
      </w:r>
      <w:r>
        <w:rPr>
          <w:rFonts w:ascii="Arial" w:eastAsia="Arial" w:hAnsi="Arial" w:cs="Arial"/>
          <w:b w:val="0"/>
          <w:sz w:val="22"/>
          <w:szCs w:val="22"/>
          <w:highlight w:val="white"/>
          <w:u w:val="none"/>
          <w:rtl/>
        </w:rPr>
        <w:t>נתון זה מצטרף לרשימה ארוכה של כ- 230 מקרי א</w:t>
      </w:r>
      <w:r>
        <w:rPr>
          <w:rFonts w:ascii="Arial" w:eastAsia="Arial" w:hAnsi="Arial" w:cs="Arial"/>
          <w:b w:val="0"/>
          <w:sz w:val="22"/>
          <w:szCs w:val="22"/>
          <w:highlight w:val="white"/>
          <w:u w:val="none"/>
          <w:rtl/>
        </w:rPr>
        <w:t>לימות שתועדו בשנת 2015, כמחציתם, אלימות פיזית. אנו עדים בנוסף גם לאלימות מילולית-אישית בלשכות עצמן וברשת האינטרנט הכוללות הסתה ואיומים.</w:t>
      </w:r>
      <w:r>
        <w:rPr>
          <w:rFonts w:ascii="Arial" w:eastAsia="Arial" w:hAnsi="Arial" w:cs="Arial"/>
          <w:b w:val="0"/>
          <w:sz w:val="22"/>
          <w:szCs w:val="22"/>
          <w:highlight w:val="white"/>
          <w:u w:val="none"/>
          <w:rtl/>
        </w:rPr>
        <w:t xml:space="preserve"> אנו רואים את מקרי האלימות כתוצאה של תסכול חמור מצד הפונים, כתגובה על המחסור במשאבים ובכלים שיש לעו״סיות להעניק להם. </w:t>
      </w:r>
    </w:p>
    <w:p w:rsidR="0000207B" w:rsidRDefault="0000207B">
      <w:pPr>
        <w:spacing w:after="0" w:line="240" w:lineRule="auto"/>
      </w:pPr>
    </w:p>
    <w:p w:rsidR="0000207B" w:rsidRDefault="000901F9">
      <w:pPr>
        <w:spacing w:after="0" w:line="240" w:lineRule="auto"/>
      </w:pPr>
      <w:r>
        <w:rPr>
          <w:rFonts w:ascii="Arial" w:eastAsia="Arial" w:hAnsi="Arial" w:cs="Arial"/>
          <w:b w:val="0"/>
          <w:sz w:val="22"/>
          <w:szCs w:val="22"/>
          <w:u w:val="none"/>
          <w:rtl/>
        </w:rPr>
        <w:t>ב-</w:t>
      </w:r>
      <w:r>
        <w:rPr>
          <w:rFonts w:ascii="Arial" w:eastAsia="Arial" w:hAnsi="Arial" w:cs="Arial"/>
          <w:b w:val="0"/>
          <w:sz w:val="22"/>
          <w:szCs w:val="22"/>
          <w:u w:val="none"/>
          <w:rtl/>
        </w:rPr>
        <w:t>20.12.16 ארגנה עמותת עו"סים שינוי הפגנה מול הכנסת אליה הגיעו כ- 400 סטודנטיות וסטודנטים לעבודה סוציאלית מכל הארץ ועובדים מלשכות רווחה שונות. ההפגנה התקיימה במחאה על השתיקה הרועמת של המדינה, התקשורת והציבור נוכח מקרי האלימות הקשים כלפי עובדים סוציאליים, השח</w:t>
      </w:r>
      <w:r>
        <w:rPr>
          <w:rFonts w:ascii="Arial" w:eastAsia="Arial" w:hAnsi="Arial" w:cs="Arial"/>
          <w:b w:val="0"/>
          <w:sz w:val="22"/>
          <w:szCs w:val="22"/>
          <w:u w:val="none"/>
          <w:rtl/>
        </w:rPr>
        <w:t xml:space="preserve">יקה התקציבית ומחסור התקנים שאינם מאפשרים מתן שרות הולם. </w:t>
      </w:r>
    </w:p>
    <w:p w:rsidR="0000207B" w:rsidRDefault="0000207B">
      <w:pPr>
        <w:spacing w:after="0" w:line="240" w:lineRule="auto"/>
      </w:pPr>
    </w:p>
    <w:p w:rsidR="0000207B" w:rsidRDefault="000901F9">
      <w:pPr>
        <w:spacing w:after="0" w:line="240" w:lineRule="auto"/>
        <w:ind w:left="720"/>
      </w:pPr>
      <w:r>
        <w:rPr>
          <w:rFonts w:ascii="Arial" w:eastAsia="Arial" w:hAnsi="Arial" w:cs="Arial"/>
          <w:color w:val="333333"/>
          <w:sz w:val="22"/>
          <w:szCs w:val="22"/>
          <w:highlight w:val="white"/>
          <w:rtl/>
        </w:rPr>
        <w:t xml:space="preserve">אנו </w:t>
      </w:r>
      <w:r>
        <w:rPr>
          <w:rFonts w:ascii="Arial" w:eastAsia="Arial" w:hAnsi="Arial" w:cs="Arial"/>
          <w:color w:val="1D2129"/>
          <w:sz w:val="22"/>
          <w:szCs w:val="22"/>
          <w:highlight w:val="white"/>
          <w:u w:val="none"/>
          <w:rtl/>
        </w:rPr>
        <w:t xml:space="preserve">מבקשות כי הועדה לקידום מעמד האישה ושיוויון מגדרי: </w:t>
      </w:r>
    </w:p>
    <w:p w:rsidR="0000207B" w:rsidRDefault="000901F9">
      <w:pPr>
        <w:numPr>
          <w:ilvl w:val="0"/>
          <w:numId w:val="1"/>
        </w:numPr>
        <w:spacing w:after="0" w:line="240" w:lineRule="auto"/>
        <w:ind w:right="720" w:hanging="360"/>
        <w:rPr>
          <w:rFonts w:ascii="Arial" w:eastAsia="Arial" w:hAnsi="Arial" w:cs="Arial"/>
          <w:b w:val="0"/>
          <w:color w:val="1D2129"/>
          <w:sz w:val="22"/>
          <w:szCs w:val="22"/>
          <w:u w:val="none"/>
        </w:rPr>
      </w:pPr>
      <w:r>
        <w:rPr>
          <w:rFonts w:ascii="Arial" w:eastAsia="Arial" w:hAnsi="Arial" w:cs="Arial"/>
          <w:b w:val="0"/>
          <w:color w:val="1D2129"/>
          <w:sz w:val="22"/>
          <w:szCs w:val="22"/>
          <w:highlight w:val="white"/>
          <w:u w:val="none"/>
          <w:rtl/>
        </w:rPr>
        <w:t xml:space="preserve">בכל יישוב בו מופעל שיטור עירוני תהייה השמירה על ביטחונם האישי של העובדות והעובדים הסוציאליים בסדר עדיפות גבוה. כמו כן, לפעול להרחבת חוק השיטור </w:t>
      </w:r>
      <w:r>
        <w:rPr>
          <w:rFonts w:ascii="Arial" w:eastAsia="Arial" w:hAnsi="Arial" w:cs="Arial"/>
          <w:b w:val="0"/>
          <w:color w:val="1D2129"/>
          <w:sz w:val="22"/>
          <w:szCs w:val="22"/>
          <w:highlight w:val="white"/>
          <w:u w:val="none"/>
          <w:rtl/>
        </w:rPr>
        <w:t xml:space="preserve">העירוני, בדגש על סעיף 13 והכללת לשכות הרווחה כמוקדי פעילות של השוטרים והפקחים העירוניים. אנו תובעות כי משרדי הרווחה ובטחון הפנים יציגו תכנית מפורטת להגנה על העובדות הסוציאליות בתוך 30 יום. </w:t>
      </w:r>
    </w:p>
    <w:p w:rsidR="0000207B" w:rsidRDefault="000901F9">
      <w:pPr>
        <w:numPr>
          <w:ilvl w:val="0"/>
          <w:numId w:val="1"/>
        </w:numPr>
        <w:spacing w:after="0" w:line="240" w:lineRule="auto"/>
        <w:ind w:right="720" w:hanging="360"/>
        <w:rPr>
          <w:rFonts w:ascii="Arial" w:eastAsia="Arial" w:hAnsi="Arial" w:cs="Arial"/>
          <w:b w:val="0"/>
          <w:color w:val="1D2129"/>
          <w:sz w:val="22"/>
          <w:szCs w:val="22"/>
          <w:u w:val="none"/>
        </w:rPr>
      </w:pPr>
      <w:r>
        <w:rPr>
          <w:rFonts w:ascii="Arial" w:eastAsia="Arial" w:hAnsi="Arial" w:cs="Arial"/>
          <w:b w:val="0"/>
          <w:color w:val="1D2129"/>
          <w:sz w:val="22"/>
          <w:szCs w:val="22"/>
          <w:highlight w:val="white"/>
          <w:u w:val="none"/>
          <w:rtl/>
        </w:rPr>
        <w:t>הקמת מערכת הגנה עירונית מקומית (בעיקר ביישובים ערביים בהם אין שיטו</w:t>
      </w:r>
      <w:r>
        <w:rPr>
          <w:rFonts w:ascii="Arial" w:eastAsia="Arial" w:hAnsi="Arial" w:cs="Arial"/>
          <w:b w:val="0"/>
          <w:color w:val="1D2129"/>
          <w:sz w:val="22"/>
          <w:szCs w:val="22"/>
          <w:highlight w:val="white"/>
          <w:u w:val="none"/>
          <w:rtl/>
        </w:rPr>
        <w:t>ר עירוני), שלצורך כך תקבל משאבים מידיים ממשרד האוצר ותסייע לחיזוק הביטחון האישי ביישובים אלה.</w:t>
      </w:r>
    </w:p>
    <w:p w:rsidR="0000207B" w:rsidRDefault="000901F9">
      <w:pPr>
        <w:numPr>
          <w:ilvl w:val="0"/>
          <w:numId w:val="1"/>
        </w:numPr>
        <w:spacing w:after="0" w:line="240" w:lineRule="auto"/>
        <w:ind w:right="720" w:hanging="360"/>
        <w:rPr>
          <w:rFonts w:ascii="Arial" w:eastAsia="Arial" w:hAnsi="Arial" w:cs="Arial"/>
          <w:b w:val="0"/>
          <w:color w:val="1D2129"/>
          <w:sz w:val="22"/>
          <w:szCs w:val="22"/>
          <w:u w:val="none"/>
        </w:rPr>
      </w:pPr>
      <w:r>
        <w:rPr>
          <w:rFonts w:ascii="Arial" w:eastAsia="Arial" w:hAnsi="Arial" w:cs="Arial"/>
          <w:b w:val="0"/>
          <w:sz w:val="22"/>
          <w:szCs w:val="22"/>
          <w:u w:val="none"/>
          <w:rtl/>
        </w:rPr>
        <w:t xml:space="preserve">מתוקף תקנות התע״ס 1.14 הנוגע בדרכי מניעה וטיפול במקרי אלימות כלפי עובדים במחלקות לשרותים חברתיים, </w:t>
      </w:r>
      <w:r>
        <w:rPr>
          <w:rFonts w:ascii="Arial" w:eastAsia="Arial" w:hAnsi="Arial" w:cs="Arial"/>
          <w:b w:val="0"/>
          <w:sz w:val="22"/>
          <w:szCs w:val="22"/>
          <w:u w:val="none"/>
          <w:rtl/>
        </w:rPr>
        <w:t xml:space="preserve">אנו דורשות </w:t>
      </w:r>
      <w:r>
        <w:rPr>
          <w:rFonts w:ascii="Arial" w:eastAsia="Arial" w:hAnsi="Arial" w:cs="Arial"/>
          <w:b w:val="0"/>
          <w:sz w:val="22"/>
          <w:szCs w:val="22"/>
          <w:u w:val="none"/>
          <w:rtl/>
        </w:rPr>
        <w:t>ממשרד הרווחה לוודא יישום ואכיפה שלהן בכל מקרי האלימות</w:t>
      </w:r>
      <w:r>
        <w:rPr>
          <w:rFonts w:ascii="Arial" w:eastAsia="Arial" w:hAnsi="Arial" w:cs="Arial"/>
          <w:b w:val="0"/>
          <w:sz w:val="22"/>
          <w:szCs w:val="22"/>
          <w:u w:val="none"/>
          <w:rtl/>
        </w:rPr>
        <w:t xml:space="preserve">, לרבות אלימות בלשכה, מחוץ לה ובמרחב האינטרנטי. </w:t>
      </w:r>
    </w:p>
    <w:p w:rsidR="0000207B" w:rsidRDefault="000901F9">
      <w:pPr>
        <w:numPr>
          <w:ilvl w:val="0"/>
          <w:numId w:val="1"/>
        </w:numPr>
        <w:spacing w:after="0" w:line="240" w:lineRule="auto"/>
        <w:ind w:right="720" w:hanging="360"/>
        <w:rPr>
          <w:rFonts w:ascii="Arial" w:eastAsia="Arial" w:hAnsi="Arial" w:cs="Arial"/>
          <w:b w:val="0"/>
          <w:color w:val="1D2129"/>
          <w:sz w:val="22"/>
          <w:szCs w:val="22"/>
          <w:u w:val="none"/>
        </w:rPr>
      </w:pPr>
      <w:r>
        <w:rPr>
          <w:rFonts w:ascii="Arial" w:eastAsia="Arial" w:hAnsi="Arial" w:cs="Arial"/>
          <w:b w:val="0"/>
          <w:color w:val="1D2129"/>
          <w:sz w:val="22"/>
          <w:szCs w:val="22"/>
          <w:highlight w:val="white"/>
          <w:u w:val="none"/>
          <w:rtl/>
        </w:rPr>
        <w:t>ב</w:t>
      </w:r>
      <w:r>
        <w:rPr>
          <w:rFonts w:ascii="Arial" w:eastAsia="Arial" w:hAnsi="Arial" w:cs="Arial"/>
          <w:b w:val="0"/>
          <w:sz w:val="22"/>
          <w:szCs w:val="22"/>
          <w:u w:val="none"/>
          <w:rtl/>
        </w:rPr>
        <w:t>"חוק למניעת אלימות במוסדות למתן טיפול תשע"א- 2011". מדובר על אלימות בתוך המוסד, אך אין התייחסות בחוק לאלימות שאינה קורת בתוך המוסד עצמו, כמו המרחב האינטרנטי</w:t>
      </w:r>
      <w:r>
        <w:rPr>
          <w:rFonts w:ascii="Arial" w:eastAsia="Arial" w:hAnsi="Arial" w:cs="Arial"/>
          <w:b w:val="0"/>
          <w:sz w:val="22"/>
          <w:szCs w:val="22"/>
          <w:u w:val="none"/>
          <w:rtl/>
        </w:rPr>
        <w:t>. אנו דורשות תיקון לחוק שיגדיר את גבולות האלימות ה</w:t>
      </w:r>
      <w:r>
        <w:rPr>
          <w:rFonts w:ascii="Arial" w:eastAsia="Arial" w:hAnsi="Arial" w:cs="Arial"/>
          <w:b w:val="0"/>
          <w:sz w:val="22"/>
          <w:szCs w:val="22"/>
          <w:u w:val="none"/>
          <w:rtl/>
        </w:rPr>
        <w:t xml:space="preserve">אינטרנטית, הענישה בהתאם ותהליך הגנה משפטית למקרים כאלו. </w:t>
      </w:r>
    </w:p>
    <w:p w:rsidR="0000207B" w:rsidRDefault="0000207B">
      <w:pPr>
        <w:spacing w:after="0" w:line="240" w:lineRule="auto"/>
      </w:pPr>
    </w:p>
    <w:p w:rsidR="0000207B" w:rsidRDefault="000901F9">
      <w:pPr>
        <w:spacing w:after="0" w:line="240" w:lineRule="auto"/>
      </w:pPr>
      <w:r>
        <w:rPr>
          <w:rFonts w:ascii="Arial" w:eastAsia="Arial" w:hAnsi="Arial" w:cs="Arial"/>
          <w:b w:val="0"/>
          <w:color w:val="1D2129"/>
          <w:sz w:val="22"/>
          <w:szCs w:val="22"/>
          <w:highlight w:val="white"/>
          <w:u w:val="none"/>
          <w:rtl/>
        </w:rPr>
        <w:t>אנו קוראות ליו"ר ההסתדרות וליו"ר מרכז השלטון המקומי להתחייב כי מעתה ישביתו את המשק הישראלי כולו ואת שירותי הרשויות המקומיות בכל פעם בו מתרחש אירוע של אלימות פיזית כנגד עובדים סוציאליים באשר הם.</w:t>
      </w:r>
      <w:r>
        <w:rPr>
          <w:rFonts w:ascii="Arial" w:eastAsia="Arial" w:hAnsi="Arial" w:cs="Arial"/>
          <w:b w:val="0"/>
          <w:sz w:val="22"/>
          <w:szCs w:val="22"/>
          <w:u w:val="none"/>
        </w:rPr>
        <w:t xml:space="preserve"> </w:t>
      </w:r>
      <w:r>
        <w:rPr>
          <w:rFonts w:ascii="Arial" w:eastAsia="Arial" w:hAnsi="Arial" w:cs="Arial"/>
          <w:b w:val="0"/>
          <w:color w:val="1D2129"/>
          <w:sz w:val="22"/>
          <w:szCs w:val="22"/>
          <w:highlight w:val="white"/>
          <w:u w:val="none"/>
          <w:rtl/>
        </w:rPr>
        <w:t xml:space="preserve">אנו </w:t>
      </w:r>
      <w:r>
        <w:rPr>
          <w:rFonts w:ascii="Arial" w:eastAsia="Arial" w:hAnsi="Arial" w:cs="Arial"/>
          <w:b w:val="0"/>
          <w:color w:val="1D2129"/>
          <w:sz w:val="22"/>
          <w:szCs w:val="22"/>
          <w:highlight w:val="white"/>
          <w:u w:val="none"/>
          <w:rtl/>
        </w:rPr>
        <w:t>מאמינות כי רק פעולה שכזו המושתתת על סולידריות חברתית אמיתית</w:t>
      </w:r>
      <w:r>
        <w:rPr>
          <w:rFonts w:ascii="Arial" w:eastAsia="Arial" w:hAnsi="Arial" w:cs="Arial"/>
          <w:b w:val="0"/>
          <w:sz w:val="22"/>
          <w:szCs w:val="22"/>
          <w:u w:val="none"/>
        </w:rPr>
        <w:t xml:space="preserve"> </w:t>
      </w:r>
      <w:r>
        <w:rPr>
          <w:rFonts w:ascii="Arial" w:eastAsia="Arial" w:hAnsi="Arial" w:cs="Arial"/>
          <w:b w:val="0"/>
          <w:color w:val="1D2129"/>
          <w:sz w:val="22"/>
          <w:szCs w:val="22"/>
          <w:highlight w:val="white"/>
          <w:u w:val="none"/>
          <w:rtl/>
        </w:rPr>
        <w:t>תוכל לשנות את המצב ההולך ומחמיר.</w:t>
      </w:r>
    </w:p>
    <w:p w:rsidR="0000207B" w:rsidRDefault="0000207B">
      <w:pPr>
        <w:spacing w:after="0" w:line="240" w:lineRule="auto"/>
      </w:pPr>
    </w:p>
    <w:p w:rsidR="0000207B" w:rsidRDefault="000901F9">
      <w:pPr>
        <w:spacing w:after="0" w:line="240" w:lineRule="auto"/>
      </w:pPr>
      <w:r>
        <w:rPr>
          <w:rFonts w:ascii="Arial" w:eastAsia="Arial" w:hAnsi="Arial" w:cs="Arial"/>
          <w:b w:val="0"/>
          <w:color w:val="1D2129"/>
          <w:sz w:val="22"/>
          <w:szCs w:val="22"/>
          <w:highlight w:val="white"/>
          <w:u w:val="none"/>
          <w:rtl/>
        </w:rPr>
        <w:t>אנו מדגישות כי הפתרון הנכון, השקול והכולל אינו בדמותם של שוטרים ומאבטחים אלא בהגדלת סל הכלים והשירותים העומדים לרשות העובדים הסוציאליים בלשכות הרווחה. רק בהגדלת ס</w:t>
      </w:r>
      <w:r>
        <w:rPr>
          <w:rFonts w:ascii="Arial" w:eastAsia="Arial" w:hAnsi="Arial" w:cs="Arial"/>
          <w:b w:val="0"/>
          <w:color w:val="1D2129"/>
          <w:sz w:val="22"/>
          <w:szCs w:val="22"/>
          <w:highlight w:val="white"/>
          <w:u w:val="none"/>
          <w:rtl/>
        </w:rPr>
        <w:t>ל השירותים והכלים ובצמצום מספר התיקים המטופלים על ידי כל אחד מהעובדים הסוציאליים ניתן יהיה לבנות אמון אמיתי בין העובדים לבין לקוחותיהם ובכך לייתר את הצורך באלימות מכל סוג שהיא, או לפחות לצמצמה.</w:t>
      </w:r>
    </w:p>
    <w:p w:rsidR="0000207B" w:rsidRDefault="0000207B">
      <w:pPr>
        <w:spacing w:after="0" w:line="240" w:lineRule="auto"/>
      </w:pPr>
    </w:p>
    <w:p w:rsidR="0000207B" w:rsidRDefault="000901F9">
      <w:pPr>
        <w:spacing w:after="0" w:line="240" w:lineRule="auto"/>
      </w:pPr>
      <w:r>
        <w:rPr>
          <w:rFonts w:ascii="Arial" w:eastAsia="Arial" w:hAnsi="Arial" w:cs="Arial"/>
          <w:color w:val="1D2129"/>
          <w:sz w:val="22"/>
          <w:szCs w:val="22"/>
          <w:highlight w:val="white"/>
          <w:u w:val="none"/>
          <w:rtl/>
        </w:rPr>
        <w:t>אירועי האלימות האחרונים מעלים בנו חשש כבד, כמי שרובנו רוצה ומ</w:t>
      </w:r>
      <w:r>
        <w:rPr>
          <w:rFonts w:ascii="Arial" w:eastAsia="Arial" w:hAnsi="Arial" w:cs="Arial"/>
          <w:color w:val="1D2129"/>
          <w:sz w:val="22"/>
          <w:szCs w:val="22"/>
          <w:highlight w:val="white"/>
          <w:u w:val="none"/>
          <w:rtl/>
        </w:rPr>
        <w:t>תכנן להצטרף למצבת העובדים הסוציאליים בלשכות הרווחה עם סיום לימודנו, כי חיינו יהפכו להפקר. לכך לא נוכל לתת את ידנו.</w:t>
      </w:r>
    </w:p>
    <w:p w:rsidR="0000207B" w:rsidRDefault="000901F9">
      <w:pPr>
        <w:spacing w:after="0" w:line="240" w:lineRule="auto"/>
      </w:pPr>
      <w:r>
        <w:rPr>
          <w:rFonts w:ascii="Arial" w:eastAsia="Arial" w:hAnsi="Arial" w:cs="Arial"/>
          <w:color w:val="1D2129"/>
          <w:sz w:val="22"/>
          <w:szCs w:val="22"/>
          <w:highlight w:val="white"/>
          <w:u w:val="none"/>
          <w:rtl/>
        </w:rPr>
        <w:t>אנחנו מקבלים את הדממה הרועמת אל מול הירי האחרון כסטירה מצלצלת לתחושת השליחות והמחויבות שאנו מרגישים כלפי החברה הישראלית.</w:t>
      </w:r>
    </w:p>
    <w:p w:rsidR="0000207B" w:rsidRDefault="0000207B">
      <w:pPr>
        <w:spacing w:after="0" w:line="240" w:lineRule="auto"/>
      </w:pPr>
    </w:p>
    <w:p w:rsidR="0000207B" w:rsidRDefault="0000207B"/>
    <w:p w:rsidR="0000207B" w:rsidRDefault="000901F9">
      <w:r>
        <w:rPr>
          <w:rFonts w:ascii="Arial" w:eastAsia="Arial" w:hAnsi="Arial" w:cs="Arial"/>
          <w:b w:val="0"/>
          <w:sz w:val="22"/>
          <w:szCs w:val="22"/>
          <w:u w:val="none"/>
          <w:rtl/>
        </w:rPr>
        <w:t>יו"ריות שותפות , נ</w:t>
      </w:r>
      <w:r>
        <w:rPr>
          <w:rFonts w:ascii="Arial" w:eastAsia="Arial" w:hAnsi="Arial" w:cs="Arial"/>
          <w:b w:val="0"/>
          <w:sz w:val="22"/>
          <w:szCs w:val="22"/>
          <w:u w:val="none"/>
          <w:rtl/>
        </w:rPr>
        <w:t xml:space="preserve">עם שומן הראל ורותי קליין </w:t>
      </w:r>
      <w:hyperlink r:id="rId7">
        <w:r>
          <w:rPr>
            <w:rFonts w:ascii="Arial" w:eastAsia="Arial" w:hAnsi="Arial" w:cs="Arial"/>
            <w:b w:val="0"/>
            <w:color w:val="1155CC"/>
            <w:sz w:val="22"/>
            <w:szCs w:val="22"/>
          </w:rPr>
          <w:t>osim.yor@gmail.com</w:t>
        </w:r>
      </w:hyperlink>
    </w:p>
    <w:p w:rsidR="0000207B" w:rsidRDefault="000901F9">
      <w:r>
        <w:rPr>
          <w:rFonts w:ascii="Arial" w:eastAsia="Arial" w:hAnsi="Arial" w:cs="Arial"/>
          <w:b w:val="0"/>
          <w:sz w:val="22"/>
          <w:szCs w:val="22"/>
          <w:u w:val="none"/>
          <w:rtl/>
        </w:rPr>
        <w:t xml:space="preserve">קשרי חוץ וממשל, קדם מוסל ואסף אלרועי </w:t>
      </w:r>
      <w:r>
        <w:rPr>
          <w:rFonts w:ascii="Arial" w:eastAsia="Arial" w:hAnsi="Arial" w:cs="Arial"/>
          <w:b w:val="0"/>
          <w:sz w:val="22"/>
          <w:szCs w:val="22"/>
          <w:u w:val="none"/>
        </w:rPr>
        <w:t>osim.hutz@gmail.com</w:t>
      </w:r>
    </w:p>
    <w:p w:rsidR="0000207B" w:rsidRDefault="0000207B">
      <w:pPr>
        <w:spacing w:after="0" w:line="240" w:lineRule="auto"/>
      </w:pPr>
    </w:p>
    <w:p w:rsidR="0000207B" w:rsidRDefault="0000207B"/>
    <w:p w:rsidR="0000207B" w:rsidRDefault="000901F9">
      <w:r>
        <w:rPr>
          <w:rFonts w:ascii="Arial" w:eastAsia="Arial" w:hAnsi="Arial" w:cs="Arial"/>
          <w:sz w:val="22"/>
          <w:szCs w:val="22"/>
          <w:u w:val="none"/>
          <w:rtl/>
        </w:rPr>
        <w:t>העתקים:</w:t>
      </w:r>
    </w:p>
    <w:p w:rsidR="0000207B" w:rsidRDefault="000901F9">
      <w:r>
        <w:rPr>
          <w:rFonts w:ascii="Arial" w:eastAsia="Arial" w:hAnsi="Arial" w:cs="Arial"/>
          <w:b w:val="0"/>
          <w:sz w:val="22"/>
          <w:szCs w:val="22"/>
          <w:u w:val="none"/>
          <w:rtl/>
        </w:rPr>
        <w:t>שר הרווחה חיים כץ</w:t>
      </w:r>
    </w:p>
    <w:p w:rsidR="0000207B" w:rsidRDefault="000901F9">
      <w:r>
        <w:rPr>
          <w:rFonts w:ascii="Arial" w:eastAsia="Arial" w:hAnsi="Arial" w:cs="Arial"/>
          <w:b w:val="0"/>
          <w:sz w:val="22"/>
          <w:szCs w:val="22"/>
          <w:u w:val="none"/>
          <w:rtl/>
        </w:rPr>
        <w:t>השר לביטחון פנים גלעד ארדן</w:t>
      </w:r>
    </w:p>
    <w:p w:rsidR="0000207B" w:rsidRDefault="000901F9">
      <w:r>
        <w:rPr>
          <w:rFonts w:ascii="Arial" w:eastAsia="Arial" w:hAnsi="Arial" w:cs="Arial"/>
          <w:b w:val="0"/>
          <w:sz w:val="22"/>
          <w:szCs w:val="22"/>
          <w:u w:val="none"/>
          <w:rtl/>
        </w:rPr>
        <w:t>ח״כ אלי אלאלוף</w:t>
      </w:r>
    </w:p>
    <w:p w:rsidR="0000207B" w:rsidRDefault="000901F9">
      <w:r>
        <w:rPr>
          <w:rFonts w:ascii="Arial" w:eastAsia="Arial" w:hAnsi="Arial" w:cs="Arial"/>
          <w:b w:val="0"/>
          <w:sz w:val="22"/>
          <w:szCs w:val="22"/>
          <w:u w:val="none"/>
          <w:rtl/>
        </w:rPr>
        <w:t>ח״כ קארין אלהרר</w:t>
      </w:r>
    </w:p>
    <w:p w:rsidR="0000207B" w:rsidRDefault="000901F9">
      <w:r>
        <w:rPr>
          <w:rFonts w:ascii="Arial" w:eastAsia="Arial" w:hAnsi="Arial" w:cs="Arial"/>
          <w:b w:val="0"/>
          <w:sz w:val="22"/>
          <w:szCs w:val="22"/>
          <w:u w:val="none"/>
          <w:rtl/>
        </w:rPr>
        <w:t>ח״כ חיים ילין</w:t>
      </w:r>
    </w:p>
    <w:p w:rsidR="0000207B" w:rsidRDefault="000901F9">
      <w:r>
        <w:rPr>
          <w:rFonts w:ascii="Arial" w:eastAsia="Arial" w:hAnsi="Arial" w:cs="Arial"/>
          <w:b w:val="0"/>
          <w:sz w:val="22"/>
          <w:szCs w:val="22"/>
          <w:u w:val="none"/>
          <w:rtl/>
        </w:rPr>
        <w:t xml:space="preserve">ח״כ מאיר </w:t>
      </w:r>
      <w:r>
        <w:rPr>
          <w:rFonts w:ascii="Arial" w:eastAsia="Arial" w:hAnsi="Arial" w:cs="Arial"/>
          <w:b w:val="0"/>
          <w:sz w:val="22"/>
          <w:szCs w:val="22"/>
          <w:u w:val="none"/>
          <w:rtl/>
        </w:rPr>
        <w:t>כהן</w:t>
      </w:r>
    </w:p>
    <w:p w:rsidR="0000207B" w:rsidRDefault="000901F9">
      <w:r>
        <w:rPr>
          <w:rFonts w:ascii="Arial" w:eastAsia="Arial" w:hAnsi="Arial" w:cs="Arial"/>
          <w:b w:val="0"/>
          <w:sz w:val="22"/>
          <w:szCs w:val="22"/>
          <w:u w:val="none"/>
          <w:rtl/>
        </w:rPr>
        <w:t>ח״כ זהבה גלאון</w:t>
      </w:r>
    </w:p>
    <w:p w:rsidR="0000207B" w:rsidRDefault="000901F9">
      <w:r>
        <w:rPr>
          <w:rFonts w:ascii="Arial" w:eastAsia="Arial" w:hAnsi="Arial" w:cs="Arial"/>
          <w:b w:val="0"/>
          <w:sz w:val="22"/>
          <w:szCs w:val="22"/>
          <w:u w:val="none"/>
          <w:rtl/>
        </w:rPr>
        <w:t>ח״כ אילן גילאון</w:t>
      </w:r>
    </w:p>
    <w:p w:rsidR="0000207B" w:rsidRDefault="000901F9">
      <w:r>
        <w:rPr>
          <w:rFonts w:ascii="Arial" w:eastAsia="Arial" w:hAnsi="Arial" w:cs="Arial"/>
          <w:b w:val="0"/>
          <w:sz w:val="22"/>
          <w:szCs w:val="22"/>
          <w:u w:val="none"/>
          <w:rtl/>
        </w:rPr>
        <w:t>ח״כ יוסף ג׳בארין</w:t>
      </w:r>
    </w:p>
    <w:p w:rsidR="0000207B" w:rsidRDefault="000901F9">
      <w:r>
        <w:rPr>
          <w:rFonts w:ascii="Arial" w:eastAsia="Arial" w:hAnsi="Arial" w:cs="Arial"/>
          <w:b w:val="0"/>
          <w:sz w:val="22"/>
          <w:szCs w:val="22"/>
          <w:u w:val="none"/>
          <w:rtl/>
        </w:rPr>
        <w:t>ח"כ נחמן שי</w:t>
      </w:r>
    </w:p>
    <w:p w:rsidR="0000207B" w:rsidRDefault="000901F9">
      <w:r>
        <w:rPr>
          <w:rFonts w:ascii="Arial" w:eastAsia="Arial" w:hAnsi="Arial" w:cs="Arial"/>
          <w:b w:val="0"/>
          <w:sz w:val="22"/>
          <w:szCs w:val="22"/>
          <w:u w:val="none"/>
          <w:rtl/>
        </w:rPr>
        <w:t>ח"כ גילה גמליאל</w:t>
      </w:r>
    </w:p>
    <w:p w:rsidR="0000207B" w:rsidRDefault="0000207B"/>
    <w:p w:rsidR="0000207B" w:rsidRDefault="0000207B"/>
    <w:p w:rsidR="0000207B" w:rsidRDefault="0000207B"/>
    <w:sectPr w:rsidR="0000207B">
      <w:headerReference w:type="default" r:id="rId8"/>
      <w:pgSz w:w="11906" w:h="16838"/>
      <w:pgMar w:top="1440" w:right="1800" w:bottom="1440" w:left="180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901F9" w:rsidRDefault="000901F9">
      <w:pPr>
        <w:spacing w:after="0" w:line="240" w:lineRule="auto"/>
      </w:pPr>
      <w:r>
        <w:separator/>
      </w:r>
    </w:p>
  </w:endnote>
  <w:endnote w:type="continuationSeparator" w:id="0">
    <w:p w:rsidR="000901F9" w:rsidRDefault="000901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David">
    <w:panose1 w:val="020E0502060401010101"/>
    <w:charset w:val="00"/>
    <w:family w:val="swiss"/>
    <w:pitch w:val="variable"/>
    <w:sig w:usb0="00000803" w:usb1="00000000" w:usb2="00000000" w:usb3="00000000" w:csb0="00000021"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901F9" w:rsidRDefault="000901F9">
      <w:pPr>
        <w:spacing w:after="0" w:line="240" w:lineRule="auto"/>
      </w:pPr>
      <w:r>
        <w:separator/>
      </w:r>
    </w:p>
  </w:footnote>
  <w:footnote w:type="continuationSeparator" w:id="0">
    <w:p w:rsidR="000901F9" w:rsidRDefault="000901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207B" w:rsidRDefault="000901F9">
    <w:r>
      <w:rPr>
        <w:noProof/>
      </w:rPr>
      <w:drawing>
        <wp:anchor distT="57150" distB="57150" distL="57150" distR="57150" simplePos="0" relativeHeight="251658240" behindDoc="0" locked="0" layoutInCell="0" hidden="0" allowOverlap="1">
          <wp:simplePos x="0" y="0"/>
          <wp:positionH relativeFrom="margin">
            <wp:posOffset>3752850</wp:posOffset>
          </wp:positionH>
          <wp:positionV relativeFrom="paragraph">
            <wp:posOffset>-66674</wp:posOffset>
          </wp:positionV>
          <wp:extent cx="1468399" cy="747713"/>
          <wp:effectExtent l="0" t="0" r="0" b="0"/>
          <wp:wrapTopAndBottom distT="57150" distB="57150"/>
          <wp:docPr id="1" name="image01.jpg" descr="logo.jpg"/>
          <wp:cNvGraphicFramePr/>
          <a:graphic xmlns:a="http://schemas.openxmlformats.org/drawingml/2006/main">
            <a:graphicData uri="http://schemas.openxmlformats.org/drawingml/2006/picture">
              <pic:pic xmlns:pic="http://schemas.openxmlformats.org/drawingml/2006/picture">
                <pic:nvPicPr>
                  <pic:cNvPr id="0" name="image01.jpg" descr="logo.jpg"/>
                  <pic:cNvPicPr preferRelativeResize="0"/>
                </pic:nvPicPr>
                <pic:blipFill>
                  <a:blip r:embed="rId1"/>
                  <a:srcRect/>
                  <a:stretch>
                    <a:fillRect/>
                  </a:stretch>
                </pic:blipFill>
                <pic:spPr>
                  <a:xfrm>
                    <a:off x="0" y="0"/>
                    <a:ext cx="1468399" cy="747713"/>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361CBF"/>
    <w:multiLevelType w:val="multilevel"/>
    <w:tmpl w:val="23862F30"/>
    <w:lvl w:ilvl="0">
      <w:start w:val="1"/>
      <w:numFmt w:val="decimal"/>
      <w:lvlText w:val="%1."/>
      <w:lvlJc w:val="left"/>
      <w:pPr>
        <w:ind w:left="720" w:firstLine="360"/>
      </w:pPr>
    </w:lvl>
    <w:lvl w:ilvl="1">
      <w:start w:val="1"/>
      <w:numFmt w:val="decimal"/>
      <w:lvlText w:val="%2."/>
      <w:lvlJc w:val="left"/>
      <w:pPr>
        <w:ind w:left="1440" w:firstLine="1080"/>
      </w:pPr>
    </w:lvl>
    <w:lvl w:ilvl="2">
      <w:start w:val="1"/>
      <w:numFmt w:val="decimal"/>
      <w:lvlText w:val="%3."/>
      <w:lvlJc w:val="left"/>
      <w:pPr>
        <w:ind w:left="2160" w:firstLine="1800"/>
      </w:pPr>
    </w:lvl>
    <w:lvl w:ilvl="3">
      <w:start w:val="1"/>
      <w:numFmt w:val="decimal"/>
      <w:lvlText w:val="%4."/>
      <w:lvlJc w:val="left"/>
      <w:pPr>
        <w:ind w:left="2880" w:firstLine="2520"/>
      </w:pPr>
    </w:lvl>
    <w:lvl w:ilvl="4">
      <w:start w:val="1"/>
      <w:numFmt w:val="decimal"/>
      <w:lvlText w:val="%5."/>
      <w:lvlJc w:val="left"/>
      <w:pPr>
        <w:ind w:left="3600" w:firstLine="3240"/>
      </w:pPr>
    </w:lvl>
    <w:lvl w:ilvl="5">
      <w:start w:val="1"/>
      <w:numFmt w:val="decimal"/>
      <w:lvlText w:val="%6."/>
      <w:lvlJc w:val="left"/>
      <w:pPr>
        <w:ind w:left="4320" w:firstLine="3960"/>
      </w:pPr>
    </w:lvl>
    <w:lvl w:ilvl="6">
      <w:start w:val="1"/>
      <w:numFmt w:val="decimal"/>
      <w:lvlText w:val="%7."/>
      <w:lvlJc w:val="left"/>
      <w:pPr>
        <w:ind w:left="5040" w:firstLine="4680"/>
      </w:pPr>
    </w:lvl>
    <w:lvl w:ilvl="7">
      <w:start w:val="1"/>
      <w:numFmt w:val="decimal"/>
      <w:lvlText w:val="%8."/>
      <w:lvlJc w:val="left"/>
      <w:pPr>
        <w:ind w:left="5760" w:firstLine="5400"/>
      </w:pPr>
    </w:lvl>
    <w:lvl w:ilvl="8">
      <w:start w:val="1"/>
      <w:numFmt w:val="decimal"/>
      <w:lvlText w:val="%9."/>
      <w:lvlJc w:val="left"/>
      <w:pPr>
        <w:ind w:left="6480" w:firstLine="61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00207B"/>
    <w:rsid w:val="0000207B"/>
    <w:rsid w:val="000901F9"/>
    <w:rsid w:val="008B631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771FC1"/>
  <w15:docId w15:val="{68419D23-1BAC-4805-9139-324E9F7546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b/>
        <w:color w:val="000000"/>
        <w:sz w:val="28"/>
        <w:szCs w:val="28"/>
        <w:u w:val="single"/>
        <w:lang w:val="en-US" w:eastAsia="en-US" w:bidi="he-IL"/>
      </w:rPr>
    </w:rPrDefault>
    <w:pPrDefault>
      <w:pPr>
        <w:bidi/>
        <w:spacing w:after="160" w:line="259"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style>
  <w:style w:type="paragraph" w:styleId="Heading1">
    <w:name w:val="heading 1"/>
    <w:basedOn w:val="Normal"/>
    <w:next w:val="Normal"/>
    <w:pPr>
      <w:keepNext/>
      <w:keepLines/>
      <w:spacing w:before="480" w:after="120"/>
      <w:contextualSpacing/>
      <w:outlineLvl w:val="0"/>
    </w:pPr>
    <w:rPr>
      <w:sz w:val="48"/>
      <w:szCs w:val="48"/>
    </w:rPr>
  </w:style>
  <w:style w:type="paragraph" w:styleId="Heading2">
    <w:name w:val="heading 2"/>
    <w:basedOn w:val="Normal"/>
    <w:next w:val="Normal"/>
    <w:pPr>
      <w:keepNext/>
      <w:keepLines/>
      <w:spacing w:before="360" w:after="80"/>
      <w:contextualSpacing/>
      <w:outlineLvl w:val="1"/>
    </w:pPr>
    <w:rPr>
      <w:sz w:val="36"/>
      <w:szCs w:val="36"/>
    </w:rPr>
  </w:style>
  <w:style w:type="paragraph" w:styleId="Heading3">
    <w:name w:val="heading 3"/>
    <w:basedOn w:val="Normal"/>
    <w:next w:val="Normal"/>
    <w:pPr>
      <w:keepNext/>
      <w:keepLines/>
      <w:spacing w:before="280" w:after="80"/>
      <w:contextualSpacing/>
      <w:outlineLvl w:val="2"/>
    </w:pPr>
  </w:style>
  <w:style w:type="paragraph" w:styleId="Heading4">
    <w:name w:val="heading 4"/>
    <w:basedOn w:val="Normal"/>
    <w:next w:val="Normal"/>
    <w:pPr>
      <w:keepNext/>
      <w:keepLines/>
      <w:spacing w:before="240" w:after="40"/>
      <w:contextualSpacing/>
      <w:outlineLvl w:val="3"/>
    </w:pPr>
    <w:rPr>
      <w:sz w:val="24"/>
      <w:szCs w:val="24"/>
    </w:rPr>
  </w:style>
  <w:style w:type="paragraph" w:styleId="Heading5">
    <w:name w:val="heading 5"/>
    <w:basedOn w:val="Normal"/>
    <w:next w:val="Normal"/>
    <w:pPr>
      <w:keepNext/>
      <w:keepLines/>
      <w:spacing w:before="220" w:after="40"/>
      <w:contextualSpacing/>
      <w:outlineLvl w:val="4"/>
    </w:pPr>
    <w:rPr>
      <w:sz w:val="22"/>
      <w:szCs w:val="22"/>
    </w:rPr>
  </w:style>
  <w:style w:type="paragraph" w:styleId="Heading6">
    <w:name w:val="heading 6"/>
    <w:basedOn w:val="Normal"/>
    <w:next w:val="Normal"/>
    <w:pPr>
      <w:keepNext/>
      <w:keepLines/>
      <w:spacing w:before="200" w:after="40"/>
      <w:contextualSpacing/>
      <w:outlineLvl w:val="5"/>
    </w:pPr>
    <w:rPr>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contextualSpacing/>
    </w:pPr>
    <w:rPr>
      <w:sz w:val="72"/>
      <w:szCs w:val="72"/>
    </w:rPr>
  </w:style>
  <w:style w:type="paragraph" w:styleId="Subtitle">
    <w:name w:val="Subtitle"/>
    <w:basedOn w:val="Normal"/>
    <w:next w:val="Normal"/>
    <w:pPr>
      <w:keepNext/>
      <w:keepLines/>
      <w:spacing w:before="360" w:after="80"/>
      <w:contextualSpacing/>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yperlink" Target="mailto:osim.yor@gmail.com" TargetMode="Externa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61C4B10-59B6-464F-95C2-63ACD25F0616}"/>
</file>

<file path=customXml/itemProps2.xml><?xml version="1.0" encoding="utf-8"?>
<ds:datastoreItem xmlns:ds="http://schemas.openxmlformats.org/officeDocument/2006/customXml" ds:itemID="{7D9047E2-8366-48C0-A913-4CD1306BEDF3}"/>
</file>

<file path=customXml/itemProps3.xml><?xml version="1.0" encoding="utf-8"?>
<ds:datastoreItem xmlns:ds="http://schemas.openxmlformats.org/officeDocument/2006/customXml" ds:itemID="{99293020-60C3-470A-A280-AB6478ADF3F6}"/>
</file>

<file path=docProps/app.xml><?xml version="1.0" encoding="utf-8"?>
<Properties xmlns="http://schemas.openxmlformats.org/officeDocument/2006/extended-properties" xmlns:vt="http://schemas.openxmlformats.org/officeDocument/2006/docPropsVTypes">
  <Template>Normal</Template>
  <TotalTime>0</TotalTime>
  <Pages>2</Pages>
  <Words>568</Words>
  <Characters>2841</Characters>
  <Application>Microsoft Office Word</Application>
  <DocSecurity>0</DocSecurity>
  <Lines>23</Lines>
  <Paragraphs>6</Paragraphs>
  <ScaleCrop>false</ScaleCrop>
  <Company/>
  <LinksUpToDate>false</LinksUpToDate>
  <CharactersWithSpaces>3403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אסף אלרועי</cp:lastModifiedBy>
  <cp:revision>2</cp:revision>
  <dcterms:created xsi:type="dcterms:W3CDTF">2017-01-01T08:33:00Z</dcterms:created>
  <dcterms:modified xsi:type="dcterms:W3CDTF">2017-01-01T08:33:00Z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2011164</vt:r8>
  </property>
</Properties>
</file>