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562393</w:t>
      </w:r>
      <w:bookmarkEnd w:id="1"/>
    </w:p>
    <w:p w14:paraId="7F6961A2" w14:textId="2B33B48C"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sidR="00D9463D">
        <w:rPr>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CF2814">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עמר בר-לב</w:t>
      </w:r>
      <w:r>
        <w:br/>
      </w:r>
      <w:r>
        <w:rPr>
          <w:rFonts w:hint="cs"/>
          <w:b/>
          <w:bCs/>
          <w:rtl/>
        </w:rPr>
        <w:t xml:space="preserve"> </w:t>
      </w:r>
      <w:r>
        <w:tab/>
      </w:r>
      <w:r>
        <w:tab/>
      </w:r>
      <w:r>
        <w:tab/>
      </w:r>
      <w:r>
        <w:tab/>
      </w:r>
      <w:r>
        <w:rPr>
          <w:rFonts w:hint="cs"/>
          <w:b/>
          <w:bCs/>
          <w:rtl/>
        </w:rPr>
        <w:t>מיקי רוזנטל</w:t>
      </w:r>
      <w:r>
        <w:br/>
      </w:r>
      <w:r>
        <w:rPr>
          <w:rFonts w:hint="cs"/>
          <w:b/>
          <w:bCs/>
          <w:rtl/>
        </w:rPr>
        <w:t xml:space="preserve"> </w:t>
      </w:r>
      <w:r>
        <w:tab/>
      </w:r>
      <w:r>
        <w:tab/>
      </w:r>
      <w:r>
        <w:tab/>
      </w:r>
      <w:r>
        <w:tab/>
      </w:r>
      <w:r>
        <w:rPr>
          <w:rFonts w:hint="cs"/>
          <w:b/>
          <w:bCs/>
          <w:rtl/>
        </w:rPr>
        <w:t>איתן כבל</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דניאל עטר</w:t>
      </w:r>
      <w:r>
        <w:br/>
      </w:r>
      <w:r>
        <w:rPr>
          <w:rFonts w:hint="cs"/>
          <w:b/>
          <w:bCs/>
          <w:rtl/>
        </w:rPr>
        <w:t xml:space="preserve"> </w:t>
      </w:r>
      <w:r>
        <w:tab/>
      </w:r>
      <w:r>
        <w:tab/>
      </w:r>
      <w:r>
        <w:tab/>
      </w:r>
      <w:r>
        <w:tab/>
      </w:r>
      <w:r>
        <w:rPr>
          <w:rFonts w:hint="cs"/>
          <w:b/>
          <w:bCs/>
          <w:rtl/>
        </w:rPr>
        <w:t>נחמן שי</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יעל גרמן</w:t>
      </w:r>
      <w:r>
        <w:br/>
      </w:r>
      <w:r>
        <w:rPr>
          <w:rFonts w:hint="cs"/>
          <w:b/>
          <w:bCs/>
          <w:rtl/>
        </w:rPr>
        <w:t xml:space="preserve"> </w:t>
      </w:r>
      <w:r>
        <w:tab/>
      </w:r>
      <w:r>
        <w:tab/>
      </w:r>
      <w:r>
        <w:tab/>
      </w:r>
      <w:r>
        <w:tab/>
      </w:r>
      <w:r>
        <w:rPr>
          <w:rFonts w:hint="cs"/>
          <w:b/>
          <w:bCs/>
          <w:rtl/>
        </w:rPr>
        <w:t xml:space="preserve">אורלי לוי </w:t>
      </w:r>
      <w:proofErr w:type="spellStart"/>
      <w:r>
        <w:rPr>
          <w:rFonts w:hint="cs"/>
          <w:b/>
          <w:bCs/>
          <w:rtl/>
        </w:rPr>
        <w:t>אבקסיס</w:t>
      </w:r>
      <w:proofErr w:type="spellEnd"/>
      <w:r>
        <w:br/>
      </w:r>
      <w:r>
        <w:rPr>
          <w:rFonts w:hint="cs"/>
          <w:b/>
          <w:bCs/>
          <w:rtl/>
        </w:rPr>
        <w:t xml:space="preserve"> </w:t>
      </w:r>
      <w:r>
        <w:tab/>
      </w:r>
      <w:r>
        <w:tab/>
      </w:r>
      <w:r>
        <w:tab/>
      </w:r>
      <w:r>
        <w:tab/>
      </w:r>
      <w:r>
        <w:rPr>
          <w:rFonts w:hint="cs"/>
          <w:b/>
          <w:bCs/>
          <w:rtl/>
        </w:rPr>
        <w:t>מאיר כהן</w:t>
      </w:r>
      <w:r>
        <w:br/>
      </w:r>
      <w:r>
        <w:rPr>
          <w:rFonts w:hint="cs"/>
          <w:b/>
          <w:bCs/>
          <w:rtl/>
        </w:rPr>
        <w:t xml:space="preserve"> </w:t>
      </w:r>
      <w:r>
        <w:tab/>
      </w:r>
      <w:r>
        <w:tab/>
      </w:r>
      <w:r>
        <w:tab/>
      </w:r>
      <w:r>
        <w:tab/>
      </w:r>
      <w:r>
        <w:rPr>
          <w:rFonts w:hint="cs"/>
          <w:b/>
          <w:bCs/>
          <w:rtl/>
        </w:rPr>
        <w:t>מנואל טרכטנברג</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 xml:space="preserve">קסניה </w:t>
      </w:r>
      <w:proofErr w:type="spellStart"/>
      <w:r>
        <w:rPr>
          <w:rFonts w:hint="cs"/>
          <w:b/>
          <w:bCs/>
          <w:rtl/>
        </w:rPr>
        <w:t>סבטלובה</w:t>
      </w:r>
      <w:proofErr w:type="spellEnd"/>
      <w:r>
        <w:br/>
      </w:r>
      <w:r>
        <w:rPr>
          <w:rFonts w:hint="cs"/>
          <w:b/>
          <w:bCs/>
          <w:rtl/>
        </w:rPr>
        <w:t xml:space="preserve"> </w:t>
      </w:r>
      <w:r>
        <w:tab/>
      </w:r>
      <w:r>
        <w:tab/>
      </w:r>
      <w:r>
        <w:tab/>
      </w:r>
      <w:r>
        <w:tab/>
      </w:r>
      <w:r>
        <w:rPr>
          <w:rFonts w:hint="cs"/>
          <w:b/>
          <w:bCs/>
          <w:rtl/>
        </w:rPr>
        <w:t>איתן ברושי</w:t>
      </w:r>
      <w:r>
        <w:br/>
      </w:r>
      <w:r>
        <w:rPr>
          <w:rFonts w:hint="cs"/>
          <w:b/>
          <w:bCs/>
          <w:rtl/>
        </w:rPr>
        <w:t xml:space="preserve"> </w:t>
      </w:r>
      <w:r>
        <w:tab/>
      </w:r>
      <w:r>
        <w:tab/>
      </w:r>
      <w:r>
        <w:tab/>
      </w:r>
      <w:r>
        <w:tab/>
      </w:r>
      <w:r>
        <w:rPr>
          <w:rFonts w:hint="cs"/>
          <w:b/>
          <w:bCs/>
          <w:rtl/>
        </w:rPr>
        <w:t>יואל חסון</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AAAC455"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פ/1968/20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711C00">
      <w:pPr>
        <w:pStyle w:val="HeadHatzaotHok"/>
        <w:rPr>
          <w:rtl/>
        </w:rPr>
      </w:pPr>
      <w:bookmarkStart w:id="8" w:name="LGS_Subject"/>
      <w:r>
        <w:rPr>
          <w:rFonts w:hint="cs"/>
          <w:rtl/>
        </w:rPr>
        <w:t xml:space="preserve">הצעת חוק הביטוח הלאומי (תיקון – הארכת משך הזכאות לגמלת סיעוד בעת אשפוז), </w:t>
      </w:r>
      <w:proofErr w:type="spellStart"/>
      <w:r>
        <w:rPr>
          <w:rFonts w:hint="cs"/>
          <w:rtl/>
        </w:rPr>
        <w:t>התשע"ה</w:t>
      </w:r>
      <w:proofErr w:type="spellEnd"/>
      <w:r>
        <w:rPr>
          <w:rFonts w:hint="cs"/>
          <w:rtl/>
        </w:rPr>
        <w:t>–2015</w:t>
      </w:r>
      <w:bookmarkEnd w:id="8"/>
    </w:p>
    <w:p w14:paraId="7F6961AE" w14:textId="77777777" w:rsidR="00E13C27" w:rsidRDefault="00E13C27" w:rsidP="0000131B">
      <w:pPr>
        <w:pStyle w:val="HeadDivreiHesber"/>
        <w:spacing w:before="0" w:after="0" w:line="240" w:lineRule="auto"/>
        <w:rPr>
          <w:rtl/>
        </w:rPr>
      </w:pPr>
    </w:p>
    <w:tbl>
      <w:tblPr>
        <w:bidiVisual/>
        <w:tblW w:w="9638" w:type="dxa"/>
        <w:tblInd w:w="9"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3C0B7F" w14:paraId="364445AB" w14:textId="77777777" w:rsidTr="008D1938">
        <w:trPr>
          <w:cantSplit/>
        </w:trPr>
        <w:tc>
          <w:tcPr>
            <w:tcW w:w="1871" w:type="dxa"/>
            <w:tcBorders>
              <w:top w:val="nil"/>
              <w:left w:val="nil"/>
              <w:bottom w:val="nil"/>
              <w:right w:val="nil"/>
            </w:tcBorders>
          </w:tcPr>
          <w:p w14:paraId="02D444C6" w14:textId="77777777" w:rsidR="003C0B7F" w:rsidRDefault="003C0B7F" w:rsidP="008D1938">
            <w:pPr>
              <w:pStyle w:val="TableSideHeading"/>
            </w:pPr>
            <w:r>
              <w:rPr>
                <w:sz w:val="26"/>
                <w:rtl/>
              </w:rPr>
              <w:t>תיקון סעיף 227</w:t>
            </w:r>
          </w:p>
        </w:tc>
        <w:tc>
          <w:tcPr>
            <w:tcW w:w="624" w:type="dxa"/>
            <w:tcBorders>
              <w:top w:val="nil"/>
              <w:left w:val="nil"/>
              <w:bottom w:val="nil"/>
              <w:right w:val="nil"/>
            </w:tcBorders>
          </w:tcPr>
          <w:p w14:paraId="245F064C" w14:textId="77777777" w:rsidR="003C0B7F" w:rsidRDefault="003C0B7F" w:rsidP="008D1938">
            <w:pPr>
              <w:pStyle w:val="TableText"/>
            </w:pPr>
            <w:r>
              <w:rPr>
                <w:sz w:val="26"/>
                <w:rtl/>
              </w:rPr>
              <w:t>1.</w:t>
            </w:r>
          </w:p>
        </w:tc>
        <w:tc>
          <w:tcPr>
            <w:tcW w:w="7143" w:type="dxa"/>
            <w:tcBorders>
              <w:top w:val="nil"/>
              <w:left w:val="nil"/>
              <w:bottom w:val="nil"/>
              <w:right w:val="nil"/>
            </w:tcBorders>
          </w:tcPr>
          <w:p w14:paraId="6C814516" w14:textId="77777777" w:rsidR="003C0B7F" w:rsidRDefault="003C0B7F" w:rsidP="008D1938">
            <w:pPr>
              <w:pStyle w:val="TableBlock"/>
            </w:pPr>
            <w:r>
              <w:rPr>
                <w:sz w:val="26"/>
                <w:rtl/>
              </w:rPr>
              <w:t xml:space="preserve">בחוק הביטוח הלאומי [נוסח משולב], </w:t>
            </w:r>
            <w:proofErr w:type="spellStart"/>
            <w:r>
              <w:rPr>
                <w:sz w:val="26"/>
                <w:rtl/>
              </w:rPr>
              <w:t>התשנ"ה</w:t>
            </w:r>
            <w:proofErr w:type="spellEnd"/>
            <w:r>
              <w:rPr>
                <w:sz w:val="26"/>
                <w:rtl/>
              </w:rPr>
              <w:t>–1995</w:t>
            </w:r>
            <w:r>
              <w:rPr>
                <w:rStyle w:val="a6"/>
                <w:sz w:val="26"/>
                <w:rtl/>
              </w:rPr>
              <w:footnoteReference w:id="2"/>
            </w:r>
            <w:r>
              <w:rPr>
                <w:sz w:val="26"/>
                <w:rtl/>
              </w:rPr>
              <w:t>, בסעיף 227(ב), במקום "14 ימים" יבוא "30 ימים".</w:t>
            </w:r>
          </w:p>
        </w:tc>
      </w:tr>
    </w:tbl>
    <w:p w14:paraId="74318184" w14:textId="77777777" w:rsidR="003C0B7F" w:rsidRDefault="003C0B7F" w:rsidP="003C0B7F">
      <w:pPr>
        <w:pStyle w:val="HeadDivreiHesber"/>
        <w:spacing w:before="0" w:after="0"/>
        <w:rPr>
          <w:rtl/>
        </w:rPr>
      </w:pPr>
      <w:r>
        <w:rPr>
          <w:rtl/>
        </w:rPr>
        <w:t>דברי הסבר</w:t>
      </w:r>
    </w:p>
    <w:p w14:paraId="2A42A156" w14:textId="6AFA9047" w:rsidR="003C0B7F" w:rsidRPr="00A4178A" w:rsidRDefault="003C0B7F" w:rsidP="00A4178A">
      <w:pPr>
        <w:pStyle w:val="Hesber"/>
        <w:rPr>
          <w:rtl/>
        </w:rPr>
      </w:pPr>
      <w:r w:rsidRPr="00A4178A">
        <w:rPr>
          <w:rtl/>
        </w:rPr>
        <w:t xml:space="preserve">כיום, נשללת הזכאות לגמלת סיעוד ממבוטח שאושפז בבית חולים תקופה ארוכה מ-14 ימים. </w:t>
      </w:r>
      <w:r w:rsidR="00A4178A" w:rsidRPr="00A4178A">
        <w:rPr>
          <w:rFonts w:hint="cs"/>
          <w:rtl/>
        </w:rPr>
        <w:t>עקב</w:t>
      </w:r>
      <w:r w:rsidRPr="00A4178A">
        <w:rPr>
          <w:rtl/>
        </w:rPr>
        <w:t xml:space="preserve"> כך</w:t>
      </w:r>
      <w:r w:rsidR="00A4178A" w:rsidRPr="00A4178A">
        <w:rPr>
          <w:rFonts w:hint="cs"/>
          <w:rtl/>
        </w:rPr>
        <w:t>,</w:t>
      </w:r>
      <w:r w:rsidRPr="00A4178A">
        <w:rPr>
          <w:rtl/>
        </w:rPr>
        <w:t xml:space="preserve"> אדם שאושפז מאבד למעשה את העובד שטיפל בו ועליו להתחיל מחדש בחיפוש אחר עובד המתאים לו. תהליך מציאת עובד מתאים עשוי לקחת זמן ו</w:t>
      </w:r>
      <w:r w:rsidR="00A4178A">
        <w:rPr>
          <w:rFonts w:hint="cs"/>
          <w:rtl/>
        </w:rPr>
        <w:t xml:space="preserve">הוא </w:t>
      </w:r>
      <w:r w:rsidRPr="00A4178A">
        <w:rPr>
          <w:rtl/>
        </w:rPr>
        <w:t xml:space="preserve">קשה במיוחד לאדם סיעודי שזה עתה יצא מבית החולים והזדקקותו למטפל היא מידית. </w:t>
      </w:r>
    </w:p>
    <w:p w14:paraId="593427CC" w14:textId="165BABF5" w:rsidR="003C0B7F" w:rsidRPr="00A4178A" w:rsidRDefault="003C0B7F" w:rsidP="00A4178A">
      <w:pPr>
        <w:pStyle w:val="Hesber"/>
        <w:rPr>
          <w:rtl/>
        </w:rPr>
      </w:pPr>
      <w:r w:rsidRPr="00A4178A">
        <w:rPr>
          <w:rtl/>
        </w:rPr>
        <w:t>כמו כן, לאדם סיעודי קשה להתרגל למצבו הסיעודי ולתלות באדם אחר. במקרה של אשפוז קצר, נפרד המטופל מהמטפל המוכר ועליו להכניס לחייו מטפל חדש.</w:t>
      </w:r>
    </w:p>
    <w:p w14:paraId="40E7A8DB" w14:textId="77777777" w:rsidR="003C0B7F" w:rsidRPr="00A4178A" w:rsidRDefault="003C0B7F" w:rsidP="00A4178A">
      <w:pPr>
        <w:pStyle w:val="Hesber"/>
        <w:rPr>
          <w:rtl/>
        </w:rPr>
      </w:pPr>
      <w:r w:rsidRPr="00A4178A">
        <w:rPr>
          <w:rtl/>
        </w:rPr>
        <w:t xml:space="preserve">בפועל, מבוטח שיש באפשרותו להמשיך ולשלם למטפל באופן פרטי עושה זאת כדי שלא לאבדו. </w:t>
      </w:r>
      <w:r w:rsidRPr="00A4178A">
        <w:rPr>
          <w:rtl/>
        </w:rPr>
        <w:lastRenderedPageBreak/>
        <w:t xml:space="preserve">לעומת זאת, מי שחסר את האמצעים, אין לו ולמשפחתו ברירה אלא להתמודד שוב עם התהליך המורכב של חיפוש מטפל. </w:t>
      </w:r>
    </w:p>
    <w:p w14:paraId="1245BB0B" w14:textId="77777777" w:rsidR="003C0B7F" w:rsidRPr="00A4178A" w:rsidRDefault="003C0B7F" w:rsidP="00A4178A">
      <w:pPr>
        <w:pStyle w:val="Hesber"/>
        <w:rPr>
          <w:rtl/>
        </w:rPr>
      </w:pPr>
      <w:r w:rsidRPr="00A4178A">
        <w:rPr>
          <w:rtl/>
        </w:rPr>
        <w:t xml:space="preserve"> בהצעת חוק זו מוצע להאריך את הזמן שבו ניתנת הזכאות לגמלת הסיעוד בזמן אשפוז. אשפוז של שבועיים עלול להיות מצב שכיח בקרב מטופלים סיעודיים ולכן יש לקבוע פרק זמן של 30 ימים שבהם מאושפז יוסיף לקבל גמלת סיעוד. </w:t>
      </w:r>
    </w:p>
    <w:p w14:paraId="1825548A" w14:textId="77777777" w:rsidR="003C0B7F" w:rsidRPr="00A4178A" w:rsidRDefault="003C0B7F" w:rsidP="00A4178A">
      <w:pPr>
        <w:pStyle w:val="Hesber"/>
        <w:rPr>
          <w:rtl/>
        </w:rPr>
      </w:pPr>
      <w:r w:rsidRPr="00A4178A">
        <w:rPr>
          <w:rtl/>
        </w:rPr>
        <w:t xml:space="preserve">כך, רק במקרה שבו המבוטח מאושפז לתקופה ארוכה מ-30 ימים, יהיה עליו למצוא מטפל חדש לאחר שחרורו מאשפוז. לעומת זאת, אם האשפוז הוא לתקופה קצרה מ-30 ימים, המטפל ימשיך ללוות את המבוטח בתקופת האשפוז דבר שיקל על אלה שאינם יכולים להמשיך לשלם למטפל באופן פרטי כדי למנוע את עזיבתו. </w:t>
      </w:r>
    </w:p>
    <w:p w14:paraId="7F6961CB" w14:textId="552AD4DE" w:rsidR="00E13C27" w:rsidRDefault="003C0B7F" w:rsidP="00A4178A">
      <w:pPr>
        <w:pStyle w:val="Hesber"/>
        <w:rPr>
          <w:rtl/>
        </w:rPr>
      </w:pPr>
      <w:r w:rsidRPr="00A4178A">
        <w:rPr>
          <w:rtl/>
        </w:rPr>
        <w:t>הצעת חוק זהה הונחה על שולחן הכנסת התשע-עשרה על ידי חבר הכנסת עמר בר-לב וקבוצת חברי הכנסת (פ/2432/19).</w:t>
      </w:r>
    </w:p>
    <w:p w14:paraId="23F788A2" w14:textId="403DEB4E" w:rsidR="00CF2814" w:rsidRDefault="00CF2814" w:rsidP="00A4178A">
      <w:pPr>
        <w:pStyle w:val="Hesber"/>
        <w:rPr>
          <w:rtl/>
        </w:rPr>
      </w:pPr>
    </w:p>
    <w:p w14:paraId="2BF06420" w14:textId="77777777" w:rsidR="00CF2814" w:rsidRDefault="00CF2814" w:rsidP="00A4178A">
      <w:pPr>
        <w:pStyle w:val="Hesber"/>
        <w:rPr>
          <w:rtl/>
        </w:rPr>
      </w:pPr>
    </w:p>
    <w:p w14:paraId="2FECD91C" w14:textId="77777777" w:rsidR="00CF2814" w:rsidRDefault="00CF2814" w:rsidP="00A4178A">
      <w:pPr>
        <w:pStyle w:val="Hesber"/>
        <w:rPr>
          <w:rtl/>
        </w:rPr>
      </w:pPr>
    </w:p>
    <w:p w14:paraId="346E7961" w14:textId="77777777" w:rsidR="00711C00" w:rsidRPr="00557D2C" w:rsidRDefault="00711C00" w:rsidP="008D1E08">
      <w:pPr>
        <w:pStyle w:val="Hesber"/>
        <w:rPr>
          <w:rtl/>
        </w:rPr>
      </w:pPr>
      <w:r w:rsidRPr="00557D2C">
        <w:rPr>
          <w:rtl/>
        </w:rPr>
        <w:t>---------------------------------</w:t>
      </w:r>
    </w:p>
    <w:p w14:paraId="0D3356CF" w14:textId="77777777" w:rsidR="00711C00" w:rsidRPr="00557D2C" w:rsidRDefault="00711C00" w:rsidP="008D1E08">
      <w:pPr>
        <w:pStyle w:val="Hesber"/>
        <w:rPr>
          <w:rtl/>
        </w:rPr>
      </w:pPr>
      <w:r w:rsidRPr="00557D2C">
        <w:rPr>
          <w:rtl/>
        </w:rPr>
        <w:t>הוגשה ליו"ר הכנסת והסגנים</w:t>
      </w:r>
    </w:p>
    <w:p w14:paraId="0595EB24" w14:textId="77777777" w:rsidR="00711C00" w:rsidRPr="00557D2C" w:rsidRDefault="00711C00" w:rsidP="008D1E08">
      <w:pPr>
        <w:pStyle w:val="Hesber"/>
        <w:rPr>
          <w:rtl/>
        </w:rPr>
      </w:pPr>
      <w:r w:rsidRPr="00557D2C">
        <w:rPr>
          <w:rtl/>
        </w:rPr>
        <w:t>והונחה על שולחן הכנסת ביום</w:t>
      </w:r>
    </w:p>
    <w:p w14:paraId="2F91C46D" w14:textId="0568408C" w:rsidR="00711C00" w:rsidRPr="00A4178A" w:rsidRDefault="00711C00" w:rsidP="00711C00">
      <w:pPr>
        <w:pStyle w:val="Hesber"/>
        <w:rPr>
          <w:rtl/>
        </w:rPr>
      </w:pPr>
      <w:r>
        <w:rPr>
          <w:rFonts w:hint="cs"/>
          <w:rtl/>
        </w:rPr>
        <w:t>י"ג</w:t>
      </w:r>
      <w:r w:rsidRPr="00557D2C">
        <w:rPr>
          <w:rFonts w:hint="cs"/>
          <w:rtl/>
        </w:rPr>
        <w:t xml:space="preserve"> </w:t>
      </w:r>
      <w:r>
        <w:rPr>
          <w:rFonts w:hint="cs"/>
          <w:rtl/>
        </w:rPr>
        <w:t xml:space="preserve">באב </w:t>
      </w:r>
      <w:proofErr w:type="spellStart"/>
      <w:r w:rsidRPr="00557D2C">
        <w:rPr>
          <w:rFonts w:hint="cs"/>
          <w:rtl/>
        </w:rPr>
        <w:t>התשע"ה</w:t>
      </w:r>
      <w:proofErr w:type="spellEnd"/>
      <w:r w:rsidRPr="00557D2C">
        <w:rPr>
          <w:rFonts w:hint="cs"/>
          <w:rtl/>
        </w:rPr>
        <w:t xml:space="preserve"> </w:t>
      </w:r>
      <w:r w:rsidRPr="00557D2C">
        <w:rPr>
          <w:rtl/>
        </w:rPr>
        <w:t>–</w:t>
      </w:r>
      <w:r>
        <w:rPr>
          <w:rFonts w:hint="cs"/>
          <w:rtl/>
        </w:rPr>
        <w:t xml:space="preserve"> 29.7.15</w:t>
      </w:r>
    </w:p>
    <w:sectPr w:rsidR="00711C00" w:rsidRPr="00A4178A"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FB1BF3" w14:textId="77777777" w:rsidR="003646BC" w:rsidRDefault="003646BC">
      <w:r>
        <w:separator/>
      </w:r>
    </w:p>
  </w:endnote>
  <w:endnote w:type="continuationSeparator" w:id="0">
    <w:p w14:paraId="6922D52B" w14:textId="77777777" w:rsidR="003646BC" w:rsidRDefault="00364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57353F">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8AC46C" w14:textId="77777777" w:rsidR="003646BC" w:rsidRDefault="003646BC">
      <w:r>
        <w:separator/>
      </w:r>
    </w:p>
  </w:footnote>
  <w:footnote w:type="continuationSeparator" w:id="0">
    <w:p w14:paraId="519F67CE" w14:textId="77777777" w:rsidR="003646BC" w:rsidRDefault="003646BC">
      <w:r>
        <w:continuationSeparator/>
      </w:r>
    </w:p>
  </w:footnote>
  <w:footnote w:type="continuationNotice" w:id="1">
    <w:p w14:paraId="16C4C76D" w14:textId="77777777" w:rsidR="003646BC" w:rsidRDefault="003646BC"/>
  </w:footnote>
  <w:footnote w:id="2">
    <w:p w14:paraId="6A3F9E9B" w14:textId="77777777" w:rsidR="003C0B7F" w:rsidRDefault="003C0B7F" w:rsidP="003C0B7F">
      <w:pPr>
        <w:pStyle w:val="a4"/>
      </w:pPr>
      <w:r>
        <w:rPr>
          <w:rStyle w:val="a6"/>
        </w:rPr>
        <w:footnoteRef/>
      </w:r>
      <w:r>
        <w:rPr>
          <w:sz w:val="20"/>
          <w:rtl/>
        </w:rPr>
        <w:t xml:space="preserve"> ס"ח </w:t>
      </w:r>
      <w:proofErr w:type="spellStart"/>
      <w:r>
        <w:rPr>
          <w:sz w:val="20"/>
          <w:rtl/>
        </w:rPr>
        <w:t>התשנ"ה</w:t>
      </w:r>
      <w:proofErr w:type="spellEnd"/>
      <w:r>
        <w:rPr>
          <w:sz w:val="20"/>
          <w:rtl/>
        </w:rPr>
        <w:t>, עמ' 210.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646BC"/>
    <w:rsid w:val="003710F6"/>
    <w:rsid w:val="00386E88"/>
    <w:rsid w:val="00396585"/>
    <w:rsid w:val="003C0B7F"/>
    <w:rsid w:val="003D74A0"/>
    <w:rsid w:val="004033D8"/>
    <w:rsid w:val="004073F0"/>
    <w:rsid w:val="00412A7D"/>
    <w:rsid w:val="00416B4D"/>
    <w:rsid w:val="00417CFC"/>
    <w:rsid w:val="004B24ED"/>
    <w:rsid w:val="004D2D82"/>
    <w:rsid w:val="004D3876"/>
    <w:rsid w:val="004E4552"/>
    <w:rsid w:val="00553C9D"/>
    <w:rsid w:val="00562A66"/>
    <w:rsid w:val="0057353F"/>
    <w:rsid w:val="005B064E"/>
    <w:rsid w:val="005D51AE"/>
    <w:rsid w:val="0062674B"/>
    <w:rsid w:val="006363B2"/>
    <w:rsid w:val="00644940"/>
    <w:rsid w:val="006818A9"/>
    <w:rsid w:val="006A2D81"/>
    <w:rsid w:val="006C1D0D"/>
    <w:rsid w:val="0070601E"/>
    <w:rsid w:val="00711C00"/>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4178A"/>
    <w:rsid w:val="00A443CF"/>
    <w:rsid w:val="00A6611D"/>
    <w:rsid w:val="00A82CB7"/>
    <w:rsid w:val="00AA2F03"/>
    <w:rsid w:val="00AC36F7"/>
    <w:rsid w:val="00AC63A4"/>
    <w:rsid w:val="00AD239E"/>
    <w:rsid w:val="00B10265"/>
    <w:rsid w:val="00B21211"/>
    <w:rsid w:val="00B35784"/>
    <w:rsid w:val="00B733A7"/>
    <w:rsid w:val="00B975AD"/>
    <w:rsid w:val="00BC45FB"/>
    <w:rsid w:val="00BF148D"/>
    <w:rsid w:val="00C23B1A"/>
    <w:rsid w:val="00C310EB"/>
    <w:rsid w:val="00C9176A"/>
    <w:rsid w:val="00CF1AA2"/>
    <w:rsid w:val="00CF2814"/>
    <w:rsid w:val="00D63620"/>
    <w:rsid w:val="00D8410D"/>
    <w:rsid w:val="00D867D7"/>
    <w:rsid w:val="00D9463D"/>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7223D1FD-1D78-491E-A20C-2D4F41696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3C0B7F"/>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7F037-334B-414E-B420-DF76E232145C}"/>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27F02E0-B53E-4314-9012-2A57D5FEB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304</Words>
  <Characters>1525</Characters>
  <Application>Microsoft Office Word</Application>
  <DocSecurity>0</DocSecurity>
  <Lines>12</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2015-07-27T11:29:00Z</cp:lastPrinted>
  <dcterms:created xsi:type="dcterms:W3CDTF">2017-01-10T11:32:00Z</dcterms:created>
  <dcterms:modified xsi:type="dcterms:W3CDTF">2017-01-10T11:32:00Z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2012252</vt:r8>
  </property>
</Properties>
</file>