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A03" w:rsidRPr="008B6D12" w:rsidRDefault="00F92A03" w:rsidP="00B82162">
      <w:pPr>
        <w:tabs>
          <w:tab w:val="left" w:pos="509"/>
          <w:tab w:val="left" w:pos="1076"/>
          <w:tab w:val="left" w:pos="1643"/>
          <w:tab w:val="left" w:pos="2210"/>
        </w:tabs>
        <w:spacing w:line="276" w:lineRule="auto"/>
        <w:jc w:val="both"/>
        <w:rPr>
          <w:sz w:val="24"/>
          <w:szCs w:val="24"/>
          <w:u w:val="single"/>
          <w:rtl/>
        </w:rPr>
      </w:pPr>
      <w:bookmarkStart w:id="0" w:name="_GoBack"/>
      <w:bookmarkEnd w:id="0"/>
      <w:r w:rsidRPr="008B6D12">
        <w:rPr>
          <w:rFonts w:hint="cs"/>
          <w:b w:val="0"/>
          <w:bCs w:val="0"/>
          <w:sz w:val="24"/>
          <w:szCs w:val="24"/>
          <w:rtl/>
        </w:rPr>
        <w:tab/>
      </w:r>
      <w:r w:rsidRPr="008B6D12">
        <w:rPr>
          <w:rFonts w:hint="cs"/>
          <w:b w:val="0"/>
          <w:bCs w:val="0"/>
          <w:sz w:val="24"/>
          <w:szCs w:val="24"/>
          <w:rtl/>
        </w:rPr>
        <w:tab/>
      </w:r>
      <w:r w:rsidR="001B342F">
        <w:rPr>
          <w:rFonts w:hint="cs"/>
          <w:sz w:val="24"/>
          <w:szCs w:val="24"/>
          <w:u w:val="single"/>
          <w:rtl/>
        </w:rPr>
        <w:t>צו התעבורה (עבירות קנס)(תיקון), התשע"</w:t>
      </w:r>
      <w:r w:rsidR="00B82162">
        <w:rPr>
          <w:rFonts w:hint="cs"/>
          <w:sz w:val="24"/>
          <w:szCs w:val="24"/>
          <w:u w:val="single"/>
          <w:rtl/>
        </w:rPr>
        <w:t>ו</w:t>
      </w:r>
      <w:r w:rsidR="001B342F">
        <w:rPr>
          <w:rFonts w:hint="cs"/>
          <w:sz w:val="24"/>
          <w:szCs w:val="24"/>
          <w:u w:val="single"/>
          <w:rtl/>
        </w:rPr>
        <w:t>-201</w:t>
      </w:r>
      <w:r w:rsidR="00B82162">
        <w:rPr>
          <w:rFonts w:hint="cs"/>
          <w:sz w:val="24"/>
          <w:szCs w:val="24"/>
          <w:u w:val="single"/>
          <w:rtl/>
        </w:rPr>
        <w:t xml:space="preserve">6 </w:t>
      </w:r>
      <w:r w:rsidR="00B82162">
        <w:rPr>
          <w:sz w:val="24"/>
          <w:szCs w:val="24"/>
          <w:u w:val="single"/>
          <w:rtl/>
        </w:rPr>
        <w:t>–</w:t>
      </w:r>
      <w:r w:rsidR="00B82162">
        <w:rPr>
          <w:rFonts w:hint="cs"/>
          <w:sz w:val="24"/>
          <w:szCs w:val="24"/>
          <w:u w:val="single"/>
          <w:rtl/>
        </w:rPr>
        <w:t xml:space="preserve"> דברי הסבר</w:t>
      </w:r>
    </w:p>
    <w:p w:rsidR="00F92A03" w:rsidRDefault="00F92A03" w:rsidP="008B6D12">
      <w:pPr>
        <w:tabs>
          <w:tab w:val="left" w:pos="509"/>
          <w:tab w:val="left" w:pos="1076"/>
          <w:tab w:val="left" w:pos="1643"/>
          <w:tab w:val="left" w:pos="2210"/>
        </w:tabs>
        <w:spacing w:line="276" w:lineRule="auto"/>
        <w:jc w:val="both"/>
        <w:rPr>
          <w:b w:val="0"/>
          <w:bCs w:val="0"/>
          <w:sz w:val="24"/>
          <w:szCs w:val="24"/>
          <w:rtl/>
        </w:rPr>
      </w:pPr>
    </w:p>
    <w:p w:rsidR="001B342F" w:rsidRDefault="001B342F" w:rsidP="008B6D12">
      <w:pPr>
        <w:tabs>
          <w:tab w:val="left" w:pos="509"/>
          <w:tab w:val="left" w:pos="1076"/>
          <w:tab w:val="left" w:pos="1643"/>
          <w:tab w:val="left" w:pos="2210"/>
        </w:tabs>
        <w:spacing w:line="276" w:lineRule="auto"/>
        <w:jc w:val="both"/>
        <w:rPr>
          <w:b w:val="0"/>
          <w:bCs w:val="0"/>
          <w:sz w:val="24"/>
          <w:szCs w:val="24"/>
          <w:rtl/>
        </w:rPr>
      </w:pPr>
    </w:p>
    <w:p w:rsidR="001B342F" w:rsidRDefault="001B342F" w:rsidP="008B6D12">
      <w:pPr>
        <w:tabs>
          <w:tab w:val="left" w:pos="509"/>
          <w:tab w:val="left" w:pos="1076"/>
          <w:tab w:val="left" w:pos="1643"/>
          <w:tab w:val="left" w:pos="2210"/>
        </w:tabs>
        <w:spacing w:line="276" w:lineRule="auto"/>
        <w:jc w:val="both"/>
        <w:rPr>
          <w:b w:val="0"/>
          <w:bCs w:val="0"/>
          <w:sz w:val="24"/>
          <w:szCs w:val="24"/>
          <w:rtl/>
        </w:rPr>
      </w:pPr>
    </w:p>
    <w:p w:rsidR="001B342F" w:rsidRPr="001B342F" w:rsidRDefault="001B342F" w:rsidP="008B6D12">
      <w:pPr>
        <w:tabs>
          <w:tab w:val="left" w:pos="509"/>
          <w:tab w:val="left" w:pos="1076"/>
          <w:tab w:val="left" w:pos="1643"/>
          <w:tab w:val="left" w:pos="2210"/>
        </w:tabs>
        <w:spacing w:line="276" w:lineRule="auto"/>
        <w:jc w:val="both"/>
        <w:rPr>
          <w:b w:val="0"/>
          <w:bCs w:val="0"/>
          <w:sz w:val="24"/>
          <w:szCs w:val="24"/>
          <w:u w:val="single"/>
          <w:rtl/>
        </w:rPr>
      </w:pPr>
      <w:r w:rsidRPr="001B342F">
        <w:rPr>
          <w:rFonts w:hint="cs"/>
          <w:b w:val="0"/>
          <w:bCs w:val="0"/>
          <w:sz w:val="24"/>
          <w:szCs w:val="24"/>
          <w:u w:val="single"/>
          <w:rtl/>
        </w:rPr>
        <w:t>שינויים טכניים:</w:t>
      </w:r>
    </w:p>
    <w:p w:rsidR="00F92A03" w:rsidRPr="008B6D12" w:rsidRDefault="00F92A03" w:rsidP="008B6D12">
      <w:pPr>
        <w:tabs>
          <w:tab w:val="left" w:pos="509"/>
          <w:tab w:val="left" w:pos="1076"/>
          <w:tab w:val="left" w:pos="1643"/>
          <w:tab w:val="left" w:pos="2210"/>
        </w:tabs>
        <w:spacing w:line="276" w:lineRule="auto"/>
        <w:jc w:val="both"/>
        <w:rPr>
          <w:b w:val="0"/>
          <w:bCs w:val="0"/>
          <w:sz w:val="24"/>
          <w:szCs w:val="24"/>
          <w:rtl/>
        </w:rPr>
      </w:pPr>
    </w:p>
    <w:p w:rsidR="00F92A03" w:rsidRDefault="001B342F" w:rsidP="008B6D1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ביוני 2011 נכנסה לתוקף הודעת התעבורה (תמרורים), התשע"א-2010, שבה נקבע לוח תמרורים חדש. הדבר עורר צורך לעדכן את החקיקה הקיימת המפנה למספרי התמרורים הישנים</w:t>
      </w:r>
      <w:r w:rsidR="00A40F48">
        <w:rPr>
          <w:rFonts w:hint="cs"/>
          <w:b w:val="0"/>
          <w:bCs w:val="0"/>
          <w:sz w:val="24"/>
          <w:szCs w:val="24"/>
          <w:rtl/>
        </w:rPr>
        <w:t>, ולהחליף את האזכורים</w:t>
      </w:r>
      <w:r w:rsidR="00923CBC">
        <w:rPr>
          <w:rFonts w:hint="cs"/>
          <w:b w:val="0"/>
          <w:bCs w:val="0"/>
          <w:sz w:val="24"/>
          <w:szCs w:val="24"/>
          <w:rtl/>
        </w:rPr>
        <w:t xml:space="preserve"> שלהם</w:t>
      </w:r>
      <w:r w:rsidR="00A40F48">
        <w:rPr>
          <w:rFonts w:hint="cs"/>
          <w:b w:val="0"/>
          <w:bCs w:val="0"/>
          <w:sz w:val="24"/>
          <w:szCs w:val="24"/>
          <w:rtl/>
        </w:rPr>
        <w:t xml:space="preserve"> </w:t>
      </w:r>
      <w:proofErr w:type="spellStart"/>
      <w:r w:rsidR="00A40F48">
        <w:rPr>
          <w:rFonts w:hint="cs"/>
          <w:b w:val="0"/>
          <w:bCs w:val="0"/>
          <w:sz w:val="24"/>
          <w:szCs w:val="24"/>
          <w:rtl/>
        </w:rPr>
        <w:t>לאיזכורי</w:t>
      </w:r>
      <w:proofErr w:type="spellEnd"/>
      <w:r w:rsidR="00A40F48">
        <w:rPr>
          <w:rFonts w:hint="cs"/>
          <w:b w:val="0"/>
          <w:bCs w:val="0"/>
          <w:sz w:val="24"/>
          <w:szCs w:val="24"/>
          <w:rtl/>
        </w:rPr>
        <w:t xml:space="preserve"> התמרורים לפי הלוח החדש</w:t>
      </w:r>
      <w:r>
        <w:rPr>
          <w:rFonts w:hint="cs"/>
          <w:b w:val="0"/>
          <w:bCs w:val="0"/>
          <w:sz w:val="24"/>
          <w:szCs w:val="24"/>
          <w:rtl/>
        </w:rPr>
        <w:t>. עד עתה תוקנו לעניין זה תקנות התעבורה והתוספות לפקודת התעבורה, וכעת מוצע לתקן את הצו.</w:t>
      </w:r>
    </w:p>
    <w:p w:rsidR="001B342F" w:rsidRDefault="001B342F" w:rsidP="008B6D12">
      <w:pPr>
        <w:tabs>
          <w:tab w:val="left" w:pos="509"/>
          <w:tab w:val="left" w:pos="1076"/>
          <w:tab w:val="left" w:pos="1643"/>
          <w:tab w:val="left" w:pos="2210"/>
        </w:tabs>
        <w:spacing w:line="276" w:lineRule="auto"/>
        <w:jc w:val="both"/>
        <w:rPr>
          <w:b w:val="0"/>
          <w:bCs w:val="0"/>
          <w:sz w:val="24"/>
          <w:szCs w:val="24"/>
          <w:rtl/>
        </w:rPr>
      </w:pPr>
    </w:p>
    <w:p w:rsidR="001B342F" w:rsidRDefault="001B342F" w:rsidP="002F6303">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מדובר בתיקונים המוצעים לפרט 2 לתוספת</w:t>
      </w:r>
      <w:r w:rsidRPr="002F6303">
        <w:rPr>
          <w:rFonts w:hint="cs"/>
          <w:b w:val="0"/>
          <w:bCs w:val="0"/>
          <w:sz w:val="24"/>
          <w:szCs w:val="24"/>
          <w:rtl/>
        </w:rPr>
        <w:t>, בפרטי משנה (א)-(ב), (ד) עד (ז) ו-(י</w:t>
      </w:r>
      <w:r w:rsidR="006D13AD">
        <w:rPr>
          <w:rFonts w:hint="cs"/>
          <w:b w:val="0"/>
          <w:bCs w:val="0"/>
          <w:sz w:val="24"/>
          <w:szCs w:val="24"/>
          <w:rtl/>
        </w:rPr>
        <w:t>א</w:t>
      </w:r>
      <w:r w:rsidRPr="002F6303">
        <w:rPr>
          <w:rFonts w:hint="cs"/>
          <w:b w:val="0"/>
          <w:bCs w:val="0"/>
          <w:sz w:val="24"/>
          <w:szCs w:val="24"/>
          <w:rtl/>
        </w:rPr>
        <w:t>), וכן לפרט 3 לתוספת בפרטי משנה (א) עד (ג).</w:t>
      </w:r>
      <w:r w:rsidR="00076D45">
        <w:rPr>
          <w:rFonts w:hint="cs"/>
          <w:b w:val="0"/>
          <w:bCs w:val="0"/>
          <w:sz w:val="24"/>
          <w:szCs w:val="24"/>
          <w:rtl/>
        </w:rPr>
        <w:t xml:space="preserve"> </w:t>
      </w:r>
    </w:p>
    <w:p w:rsidR="001B342F" w:rsidRDefault="001B342F" w:rsidP="008B6D12">
      <w:pPr>
        <w:tabs>
          <w:tab w:val="left" w:pos="509"/>
          <w:tab w:val="left" w:pos="1076"/>
          <w:tab w:val="left" w:pos="1643"/>
          <w:tab w:val="left" w:pos="2210"/>
        </w:tabs>
        <w:spacing w:line="276" w:lineRule="auto"/>
        <w:jc w:val="both"/>
        <w:rPr>
          <w:b w:val="0"/>
          <w:bCs w:val="0"/>
          <w:sz w:val="24"/>
          <w:szCs w:val="24"/>
          <w:rtl/>
        </w:rPr>
      </w:pPr>
    </w:p>
    <w:p w:rsidR="00A40F48" w:rsidRDefault="00A40F48" w:rsidP="008B6D12">
      <w:pPr>
        <w:tabs>
          <w:tab w:val="left" w:pos="509"/>
          <w:tab w:val="left" w:pos="1076"/>
          <w:tab w:val="left" w:pos="1643"/>
          <w:tab w:val="left" w:pos="2210"/>
        </w:tabs>
        <w:spacing w:line="276" w:lineRule="auto"/>
        <w:jc w:val="both"/>
        <w:rPr>
          <w:b w:val="0"/>
          <w:bCs w:val="0"/>
          <w:sz w:val="24"/>
          <w:szCs w:val="24"/>
          <w:rtl/>
        </w:rPr>
      </w:pPr>
    </w:p>
    <w:p w:rsidR="001B342F" w:rsidRPr="001B342F" w:rsidRDefault="001B342F" w:rsidP="008B6D12">
      <w:pPr>
        <w:tabs>
          <w:tab w:val="left" w:pos="509"/>
          <w:tab w:val="left" w:pos="1076"/>
          <w:tab w:val="left" w:pos="1643"/>
          <w:tab w:val="left" w:pos="2210"/>
        </w:tabs>
        <w:spacing w:line="276" w:lineRule="auto"/>
        <w:jc w:val="both"/>
        <w:rPr>
          <w:b w:val="0"/>
          <w:bCs w:val="0"/>
          <w:sz w:val="24"/>
          <w:szCs w:val="24"/>
          <w:u w:val="single"/>
          <w:rtl/>
        </w:rPr>
      </w:pPr>
      <w:r w:rsidRPr="001B342F">
        <w:rPr>
          <w:rFonts w:hint="cs"/>
          <w:b w:val="0"/>
          <w:bCs w:val="0"/>
          <w:sz w:val="24"/>
          <w:szCs w:val="24"/>
          <w:u w:val="single"/>
          <w:rtl/>
        </w:rPr>
        <w:t>יצירת מדרגת קנס נוספת:</w:t>
      </w:r>
    </w:p>
    <w:p w:rsidR="001B342F" w:rsidRDefault="001B342F" w:rsidP="008B6D12">
      <w:pPr>
        <w:tabs>
          <w:tab w:val="left" w:pos="509"/>
          <w:tab w:val="left" w:pos="1076"/>
          <w:tab w:val="left" w:pos="1643"/>
          <w:tab w:val="left" w:pos="2210"/>
        </w:tabs>
        <w:spacing w:line="276" w:lineRule="auto"/>
        <w:jc w:val="both"/>
        <w:rPr>
          <w:b w:val="0"/>
          <w:bCs w:val="0"/>
          <w:sz w:val="24"/>
          <w:szCs w:val="24"/>
          <w:rtl/>
        </w:rPr>
      </w:pPr>
    </w:p>
    <w:p w:rsidR="001B342F" w:rsidRDefault="001B342F" w:rsidP="002F6303">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מוצע לקבוע בסעיף 3 לצו</w:t>
      </w:r>
      <w:r w:rsidR="00942AC1">
        <w:rPr>
          <w:rFonts w:hint="cs"/>
          <w:b w:val="0"/>
          <w:bCs w:val="0"/>
          <w:sz w:val="24"/>
          <w:szCs w:val="24"/>
          <w:rtl/>
        </w:rPr>
        <w:t>,</w:t>
      </w:r>
      <w:r>
        <w:rPr>
          <w:rFonts w:hint="cs"/>
          <w:b w:val="0"/>
          <w:bCs w:val="0"/>
          <w:sz w:val="24"/>
          <w:szCs w:val="24"/>
          <w:rtl/>
        </w:rPr>
        <w:t xml:space="preserve"> מדרגת קנס נוספת של 1500 ₪ שתסומן ו</w:t>
      </w:r>
      <w:r w:rsidR="00F86FC3">
        <w:rPr>
          <w:rFonts w:hint="cs"/>
          <w:b w:val="0"/>
          <w:bCs w:val="0"/>
          <w:sz w:val="24"/>
          <w:szCs w:val="24"/>
          <w:rtl/>
        </w:rPr>
        <w:t>'</w:t>
      </w:r>
      <w:r>
        <w:rPr>
          <w:rFonts w:hint="cs"/>
          <w:b w:val="0"/>
          <w:bCs w:val="0"/>
          <w:sz w:val="24"/>
          <w:szCs w:val="24"/>
          <w:rtl/>
        </w:rPr>
        <w:t xml:space="preserve">. </w:t>
      </w:r>
      <w:r w:rsidR="00103DEB">
        <w:rPr>
          <w:rFonts w:hint="cs"/>
          <w:b w:val="0"/>
          <w:bCs w:val="0"/>
          <w:sz w:val="24"/>
          <w:szCs w:val="24"/>
          <w:rtl/>
        </w:rPr>
        <w:t>מדרגה זו נועדה לעבירות חמורות ומסוכנות אך שלפי טיבן עדין מתאימות להיאכף כעבירות קנס בהיותן עבירות אחריות קפידה (כמו רובן של עבירות תעבורה), בעלות אופי אובייקטיבי, ותדירותן הגבוהה יחסית איננה מאפשרת לכלול אותן בגדר עבירות הזמנה לדין.</w:t>
      </w:r>
    </w:p>
    <w:p w:rsidR="00103DEB" w:rsidRDefault="00103DEB" w:rsidP="00103DEB">
      <w:pPr>
        <w:tabs>
          <w:tab w:val="left" w:pos="509"/>
          <w:tab w:val="left" w:pos="1076"/>
          <w:tab w:val="left" w:pos="1643"/>
          <w:tab w:val="left" w:pos="2210"/>
        </w:tabs>
        <w:spacing w:line="276" w:lineRule="auto"/>
        <w:jc w:val="both"/>
        <w:rPr>
          <w:b w:val="0"/>
          <w:bCs w:val="0"/>
          <w:sz w:val="24"/>
          <w:szCs w:val="24"/>
          <w:rtl/>
        </w:rPr>
      </w:pPr>
    </w:p>
    <w:p w:rsidR="00103DEB" w:rsidRDefault="00103DEB" w:rsidP="006D13AD">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מוצע להחיל מדרגה זו על עבירה של אי ציות לרמזור אדום, סעיף 2(ג) המוצע, ועל </w:t>
      </w:r>
      <w:r w:rsidR="00942AC1">
        <w:rPr>
          <w:rFonts w:hint="cs"/>
          <w:b w:val="0"/>
          <w:bCs w:val="0"/>
          <w:sz w:val="24"/>
          <w:szCs w:val="24"/>
          <w:rtl/>
        </w:rPr>
        <w:t xml:space="preserve">קבוצה של </w:t>
      </w:r>
      <w:r>
        <w:rPr>
          <w:rFonts w:hint="cs"/>
          <w:b w:val="0"/>
          <w:bCs w:val="0"/>
          <w:sz w:val="24"/>
          <w:szCs w:val="24"/>
          <w:rtl/>
        </w:rPr>
        <w:t xml:space="preserve">עבירות מהירות חמורות שעד היום הן עבירות של הזמנה לדין </w:t>
      </w:r>
      <w:r>
        <w:rPr>
          <w:b w:val="0"/>
          <w:bCs w:val="0"/>
          <w:sz w:val="24"/>
          <w:szCs w:val="24"/>
          <w:rtl/>
        </w:rPr>
        <w:t>–</w:t>
      </w:r>
      <w:r>
        <w:rPr>
          <w:rFonts w:hint="cs"/>
          <w:b w:val="0"/>
          <w:bCs w:val="0"/>
          <w:sz w:val="24"/>
          <w:szCs w:val="24"/>
          <w:rtl/>
        </w:rPr>
        <w:t xml:space="preserve"> בין 31 ל-40 קמ"ש מעל המותר בדרך עירונית ו-41 עד 50 קמ"ש מעל המותר בדרך שאיננה עירונית </w:t>
      </w:r>
      <w:r>
        <w:rPr>
          <w:b w:val="0"/>
          <w:bCs w:val="0"/>
          <w:sz w:val="24"/>
          <w:szCs w:val="24"/>
          <w:rtl/>
        </w:rPr>
        <w:t>–</w:t>
      </w:r>
      <w:r>
        <w:rPr>
          <w:rFonts w:hint="cs"/>
          <w:b w:val="0"/>
          <w:bCs w:val="0"/>
          <w:sz w:val="24"/>
          <w:szCs w:val="24"/>
          <w:rtl/>
        </w:rPr>
        <w:t xml:space="preserve"> סעיפים 2(</w:t>
      </w:r>
      <w:r w:rsidR="006D13AD">
        <w:rPr>
          <w:rFonts w:hint="cs"/>
          <w:b w:val="0"/>
          <w:bCs w:val="0"/>
          <w:sz w:val="24"/>
          <w:szCs w:val="24"/>
          <w:rtl/>
        </w:rPr>
        <w:t>ט)-(י</w:t>
      </w:r>
      <w:r>
        <w:rPr>
          <w:rFonts w:hint="cs"/>
          <w:b w:val="0"/>
          <w:bCs w:val="0"/>
          <w:sz w:val="24"/>
          <w:szCs w:val="24"/>
          <w:rtl/>
        </w:rPr>
        <w:t xml:space="preserve">) לצו המוצע. נציין כי העלאת הקנס </w:t>
      </w:r>
      <w:r w:rsidR="00B82162">
        <w:rPr>
          <w:rFonts w:hint="cs"/>
          <w:b w:val="0"/>
          <w:bCs w:val="0"/>
          <w:sz w:val="24"/>
          <w:szCs w:val="24"/>
          <w:rtl/>
        </w:rPr>
        <w:t>בש</w:t>
      </w:r>
      <w:r>
        <w:rPr>
          <w:rFonts w:hint="cs"/>
          <w:b w:val="0"/>
          <w:bCs w:val="0"/>
          <w:sz w:val="24"/>
          <w:szCs w:val="24"/>
          <w:rtl/>
        </w:rPr>
        <w:t>ל</w:t>
      </w:r>
      <w:r w:rsidR="00B82162">
        <w:rPr>
          <w:rFonts w:hint="cs"/>
          <w:b w:val="0"/>
          <w:bCs w:val="0"/>
          <w:sz w:val="24"/>
          <w:szCs w:val="24"/>
          <w:rtl/>
        </w:rPr>
        <w:t xml:space="preserve"> אי ציות ל</w:t>
      </w:r>
      <w:r>
        <w:rPr>
          <w:rFonts w:hint="cs"/>
          <w:b w:val="0"/>
          <w:bCs w:val="0"/>
          <w:sz w:val="24"/>
          <w:szCs w:val="24"/>
          <w:rtl/>
        </w:rPr>
        <w:t>רמזור אדום</w:t>
      </w:r>
      <w:r w:rsidR="00942AC1">
        <w:rPr>
          <w:rFonts w:hint="cs"/>
          <w:b w:val="0"/>
          <w:bCs w:val="0"/>
          <w:sz w:val="24"/>
          <w:szCs w:val="24"/>
          <w:rtl/>
        </w:rPr>
        <w:t xml:space="preserve"> לדרגה ו</w:t>
      </w:r>
      <w:r w:rsidR="00F86FC3">
        <w:rPr>
          <w:rFonts w:hint="cs"/>
          <w:b w:val="0"/>
          <w:bCs w:val="0"/>
          <w:sz w:val="24"/>
          <w:szCs w:val="24"/>
          <w:rtl/>
        </w:rPr>
        <w:t>'</w:t>
      </w:r>
      <w:r>
        <w:rPr>
          <w:rFonts w:hint="cs"/>
          <w:b w:val="0"/>
          <w:bCs w:val="0"/>
          <w:sz w:val="24"/>
          <w:szCs w:val="24"/>
          <w:rtl/>
        </w:rPr>
        <w:t xml:space="preserve"> כבר נכללה </w:t>
      </w:r>
      <w:r w:rsidR="00B82162">
        <w:rPr>
          <w:rFonts w:hint="cs"/>
          <w:b w:val="0"/>
          <w:bCs w:val="0"/>
          <w:sz w:val="24"/>
          <w:szCs w:val="24"/>
          <w:rtl/>
        </w:rPr>
        <w:t>לפני מספר שנים ב</w:t>
      </w:r>
      <w:r>
        <w:rPr>
          <w:rFonts w:hint="cs"/>
          <w:b w:val="0"/>
          <w:bCs w:val="0"/>
          <w:sz w:val="24"/>
          <w:szCs w:val="24"/>
          <w:rtl/>
        </w:rPr>
        <w:t xml:space="preserve">תיקון לצו שהונח על שולחן </w:t>
      </w:r>
      <w:r w:rsidR="00B82162">
        <w:rPr>
          <w:rFonts w:hint="cs"/>
          <w:b w:val="0"/>
          <w:bCs w:val="0"/>
          <w:sz w:val="24"/>
          <w:szCs w:val="24"/>
          <w:rtl/>
        </w:rPr>
        <w:t>ועדת הכלכלה,</w:t>
      </w:r>
      <w:r>
        <w:rPr>
          <w:rFonts w:hint="cs"/>
          <w:b w:val="0"/>
          <w:bCs w:val="0"/>
          <w:sz w:val="24"/>
          <w:szCs w:val="24"/>
          <w:rtl/>
        </w:rPr>
        <w:t xml:space="preserve"> </w:t>
      </w:r>
      <w:r w:rsidR="00942AC1">
        <w:rPr>
          <w:rFonts w:hint="cs"/>
          <w:b w:val="0"/>
          <w:bCs w:val="0"/>
          <w:sz w:val="24"/>
          <w:szCs w:val="24"/>
          <w:rtl/>
        </w:rPr>
        <w:t xml:space="preserve"> אך </w:t>
      </w:r>
      <w:r>
        <w:rPr>
          <w:rFonts w:hint="cs"/>
          <w:b w:val="0"/>
          <w:bCs w:val="0"/>
          <w:sz w:val="24"/>
          <w:szCs w:val="24"/>
          <w:rtl/>
        </w:rPr>
        <w:t>לא עלה לדיון.</w:t>
      </w:r>
    </w:p>
    <w:p w:rsidR="00A40F48" w:rsidRDefault="00A40F48" w:rsidP="00103DEB">
      <w:pPr>
        <w:tabs>
          <w:tab w:val="left" w:pos="509"/>
          <w:tab w:val="left" w:pos="1076"/>
          <w:tab w:val="left" w:pos="1643"/>
          <w:tab w:val="left" w:pos="2210"/>
        </w:tabs>
        <w:spacing w:line="276" w:lineRule="auto"/>
        <w:jc w:val="both"/>
        <w:rPr>
          <w:b w:val="0"/>
          <w:bCs w:val="0"/>
          <w:sz w:val="24"/>
          <w:szCs w:val="24"/>
          <w:rtl/>
        </w:rPr>
      </w:pPr>
    </w:p>
    <w:p w:rsidR="00942AC1" w:rsidRDefault="00942AC1" w:rsidP="00103DEB">
      <w:pPr>
        <w:tabs>
          <w:tab w:val="left" w:pos="509"/>
          <w:tab w:val="left" w:pos="1076"/>
          <w:tab w:val="left" w:pos="1643"/>
          <w:tab w:val="left" w:pos="2210"/>
        </w:tabs>
        <w:spacing w:line="276" w:lineRule="auto"/>
        <w:jc w:val="both"/>
        <w:rPr>
          <w:b w:val="0"/>
          <w:bCs w:val="0"/>
          <w:sz w:val="24"/>
          <w:szCs w:val="24"/>
          <w:rtl/>
        </w:rPr>
      </w:pPr>
    </w:p>
    <w:p w:rsidR="00A40F48" w:rsidRDefault="00A40F48" w:rsidP="00103DEB">
      <w:pPr>
        <w:tabs>
          <w:tab w:val="left" w:pos="509"/>
          <w:tab w:val="left" w:pos="1076"/>
          <w:tab w:val="left" w:pos="1643"/>
          <w:tab w:val="left" w:pos="2210"/>
        </w:tabs>
        <w:spacing w:line="276" w:lineRule="auto"/>
        <w:jc w:val="both"/>
        <w:rPr>
          <w:b w:val="0"/>
          <w:bCs w:val="0"/>
          <w:sz w:val="24"/>
          <w:szCs w:val="24"/>
          <w:u w:val="single"/>
          <w:rtl/>
        </w:rPr>
      </w:pPr>
      <w:r w:rsidRPr="00A40F48">
        <w:rPr>
          <w:rFonts w:hint="cs"/>
          <w:b w:val="0"/>
          <w:bCs w:val="0"/>
          <w:sz w:val="24"/>
          <w:szCs w:val="24"/>
          <w:u w:val="single"/>
          <w:rtl/>
        </w:rPr>
        <w:t>שינויים מהותיים אחרים בצו:</w:t>
      </w:r>
    </w:p>
    <w:p w:rsidR="00A40F48" w:rsidRDefault="00A40F48" w:rsidP="00103DEB">
      <w:pPr>
        <w:tabs>
          <w:tab w:val="left" w:pos="509"/>
          <w:tab w:val="left" w:pos="1076"/>
          <w:tab w:val="left" w:pos="1643"/>
          <w:tab w:val="left" w:pos="2210"/>
        </w:tabs>
        <w:spacing w:line="276" w:lineRule="auto"/>
        <w:jc w:val="both"/>
        <w:rPr>
          <w:b w:val="0"/>
          <w:bCs w:val="0"/>
          <w:sz w:val="24"/>
          <w:szCs w:val="24"/>
          <w:u w:val="single"/>
          <w:rtl/>
        </w:rPr>
      </w:pPr>
    </w:p>
    <w:p w:rsidR="00A40F48" w:rsidRDefault="00A40F48" w:rsidP="002F6303">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t>1.</w:t>
      </w:r>
      <w:r>
        <w:rPr>
          <w:rFonts w:hint="cs"/>
          <w:b w:val="0"/>
          <w:bCs w:val="0"/>
          <w:sz w:val="24"/>
          <w:szCs w:val="24"/>
          <w:rtl/>
        </w:rPr>
        <w:tab/>
        <w:t>מוצע לקבוע מדרגה נוספת של עבירת קנס לגבי אי תוקף רישיון רכב, כך שמעל 4 חודשים ועד שנה הקנס יהיה דרגה ה</w:t>
      </w:r>
      <w:r w:rsidR="002F6303">
        <w:rPr>
          <w:rFonts w:hint="cs"/>
          <w:b w:val="0"/>
          <w:bCs w:val="0"/>
          <w:sz w:val="24"/>
          <w:szCs w:val="24"/>
          <w:rtl/>
        </w:rPr>
        <w:t xml:space="preserve"> (1000 ₪)</w:t>
      </w:r>
      <w:r>
        <w:rPr>
          <w:rFonts w:hint="cs"/>
          <w:b w:val="0"/>
          <w:bCs w:val="0"/>
          <w:sz w:val="24"/>
          <w:szCs w:val="24"/>
          <w:rtl/>
        </w:rPr>
        <w:t>, במקום הקיים היום של דרגה ד'</w:t>
      </w:r>
      <w:r w:rsidR="002F6303">
        <w:rPr>
          <w:rFonts w:hint="cs"/>
          <w:b w:val="0"/>
          <w:bCs w:val="0"/>
          <w:sz w:val="24"/>
          <w:szCs w:val="24"/>
          <w:rtl/>
        </w:rPr>
        <w:t xml:space="preserve"> (750 ₪)</w:t>
      </w:r>
      <w:r>
        <w:rPr>
          <w:rFonts w:hint="cs"/>
          <w:b w:val="0"/>
          <w:bCs w:val="0"/>
          <w:sz w:val="24"/>
          <w:szCs w:val="24"/>
          <w:rtl/>
        </w:rPr>
        <w:t xml:space="preserve"> עד חצי שנה ומעבר לכך הזמנה לדין. בדרך זו תושג החמרה בענישה לגבי הנמנעים מחידוש רישיון רכב תקופה ארוכה יחסית, בלי להעמיס על בתי המשפט (סעיף 1(א)</w:t>
      </w:r>
      <w:r w:rsidR="002F6303">
        <w:rPr>
          <w:rFonts w:hint="cs"/>
          <w:b w:val="0"/>
          <w:bCs w:val="0"/>
          <w:sz w:val="24"/>
          <w:szCs w:val="24"/>
          <w:rtl/>
        </w:rPr>
        <w:t>)</w:t>
      </w:r>
      <w:r>
        <w:rPr>
          <w:rFonts w:hint="cs"/>
          <w:b w:val="0"/>
          <w:bCs w:val="0"/>
          <w:sz w:val="24"/>
          <w:szCs w:val="24"/>
          <w:rtl/>
        </w:rPr>
        <w:t>.</w:t>
      </w:r>
    </w:p>
    <w:p w:rsidR="00A40F48" w:rsidRDefault="00A40F48" w:rsidP="00103DEB">
      <w:pPr>
        <w:tabs>
          <w:tab w:val="left" w:pos="509"/>
          <w:tab w:val="left" w:pos="1076"/>
          <w:tab w:val="left" w:pos="1643"/>
          <w:tab w:val="left" w:pos="2210"/>
        </w:tabs>
        <w:spacing w:line="276" w:lineRule="auto"/>
        <w:jc w:val="both"/>
        <w:rPr>
          <w:b w:val="0"/>
          <w:bCs w:val="0"/>
          <w:sz w:val="24"/>
          <w:szCs w:val="24"/>
          <w:rtl/>
        </w:rPr>
      </w:pPr>
    </w:p>
    <w:p w:rsidR="00A40F48" w:rsidRDefault="00A40F48" w:rsidP="002F6303">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t>2.</w:t>
      </w:r>
      <w:r>
        <w:rPr>
          <w:rFonts w:hint="cs"/>
          <w:b w:val="0"/>
          <w:bCs w:val="0"/>
          <w:sz w:val="24"/>
          <w:szCs w:val="24"/>
          <w:rtl/>
        </w:rPr>
        <w:tab/>
        <w:t>מוצע ל</w:t>
      </w:r>
      <w:r w:rsidRPr="00A40F48">
        <w:rPr>
          <w:b w:val="0"/>
          <w:bCs w:val="0"/>
          <w:sz w:val="24"/>
          <w:szCs w:val="24"/>
          <w:rtl/>
        </w:rPr>
        <w:t>קבוע מדרגה נוספת של עבירת קנס לגבי אי תוקף רישיון</w:t>
      </w:r>
      <w:r>
        <w:rPr>
          <w:rFonts w:hint="cs"/>
          <w:b w:val="0"/>
          <w:bCs w:val="0"/>
          <w:sz w:val="24"/>
          <w:szCs w:val="24"/>
          <w:rtl/>
        </w:rPr>
        <w:t xml:space="preserve"> נהיגה, מעל חצי שנה ועד שנתיים, בדרגה ד', במקום הזמנה לדין כפי שקיים היום. קנס זה יחול רק על מי שזכאי לחדש את רישיון נהיגה שלו לתקופה של מעל 4 שנים. הזכאים לחידוש לתקופות קצרות יותר (עד שנתיים) הם כאלה שיש לגביהם תנאים מהותיים לחידוש הרישיון כמו נהגים חדשים שיש לבחון חיובם בבחינות כתנאי לחידוש לפי סעיף 12א לפקודה, חייבי בדיקות רפואיות לפי תקנה 196</w:t>
      </w:r>
      <w:r w:rsidR="00942AC1">
        <w:rPr>
          <w:rFonts w:hint="cs"/>
          <w:b w:val="0"/>
          <w:bCs w:val="0"/>
          <w:sz w:val="24"/>
          <w:szCs w:val="24"/>
          <w:rtl/>
        </w:rPr>
        <w:t xml:space="preserve"> או תושבי חוץ שנבדקת חוקיות שהותם בארץ</w:t>
      </w:r>
      <w:r>
        <w:rPr>
          <w:rFonts w:hint="cs"/>
          <w:b w:val="0"/>
          <w:bCs w:val="0"/>
          <w:sz w:val="24"/>
          <w:szCs w:val="24"/>
          <w:rtl/>
        </w:rPr>
        <w:t xml:space="preserve">. לגבי אלה, אי חידוש הרישיון במועד או </w:t>
      </w:r>
      <w:r w:rsidR="002F6303">
        <w:rPr>
          <w:rFonts w:hint="cs"/>
          <w:b w:val="0"/>
          <w:bCs w:val="0"/>
          <w:sz w:val="24"/>
          <w:szCs w:val="24"/>
          <w:rtl/>
        </w:rPr>
        <w:t>בסמוך לכך</w:t>
      </w:r>
      <w:r>
        <w:rPr>
          <w:rFonts w:hint="cs"/>
          <w:b w:val="0"/>
          <w:bCs w:val="0"/>
          <w:sz w:val="24"/>
          <w:szCs w:val="24"/>
          <w:rtl/>
        </w:rPr>
        <w:t xml:space="preserve"> </w:t>
      </w:r>
      <w:proofErr w:type="spellStart"/>
      <w:r>
        <w:rPr>
          <w:rFonts w:hint="cs"/>
          <w:b w:val="0"/>
          <w:bCs w:val="0"/>
          <w:sz w:val="24"/>
          <w:szCs w:val="24"/>
          <w:rtl/>
        </w:rPr>
        <w:t>לכך</w:t>
      </w:r>
      <w:proofErr w:type="spellEnd"/>
      <w:r>
        <w:rPr>
          <w:rFonts w:hint="cs"/>
          <w:b w:val="0"/>
          <w:bCs w:val="0"/>
          <w:sz w:val="24"/>
          <w:szCs w:val="24"/>
          <w:rtl/>
        </w:rPr>
        <w:t xml:space="preserve">, משרתת השתמטות מעמידה </w:t>
      </w:r>
      <w:r w:rsidR="002F6303">
        <w:rPr>
          <w:rFonts w:hint="cs"/>
          <w:b w:val="0"/>
          <w:bCs w:val="0"/>
          <w:sz w:val="24"/>
          <w:szCs w:val="24"/>
          <w:rtl/>
        </w:rPr>
        <w:t>בתנאים</w:t>
      </w:r>
      <w:r>
        <w:rPr>
          <w:rFonts w:hint="cs"/>
          <w:b w:val="0"/>
          <w:bCs w:val="0"/>
          <w:sz w:val="24"/>
          <w:szCs w:val="24"/>
          <w:rtl/>
        </w:rPr>
        <w:t xml:space="preserve"> אלה ולכן אי החידוש לגביהם מעבר ל-6 חודשים, ימשיך להיות הזמנה לדין</w:t>
      </w:r>
      <w:r w:rsidR="006D13AD">
        <w:rPr>
          <w:rFonts w:hint="cs"/>
          <w:b w:val="0"/>
          <w:bCs w:val="0"/>
          <w:sz w:val="24"/>
          <w:szCs w:val="24"/>
          <w:rtl/>
        </w:rPr>
        <w:t xml:space="preserve"> (סעיף 1ב)</w:t>
      </w:r>
      <w:r>
        <w:rPr>
          <w:rFonts w:hint="cs"/>
          <w:b w:val="0"/>
          <w:bCs w:val="0"/>
          <w:sz w:val="24"/>
          <w:szCs w:val="24"/>
          <w:rtl/>
        </w:rPr>
        <w:t>.</w:t>
      </w:r>
    </w:p>
    <w:p w:rsidR="00B82162" w:rsidRDefault="00B82162" w:rsidP="00A40F48">
      <w:pPr>
        <w:tabs>
          <w:tab w:val="left" w:pos="509"/>
          <w:tab w:val="left" w:pos="1076"/>
          <w:tab w:val="left" w:pos="1643"/>
          <w:tab w:val="left" w:pos="2210"/>
        </w:tabs>
        <w:spacing w:line="276" w:lineRule="auto"/>
        <w:jc w:val="both"/>
        <w:rPr>
          <w:b w:val="0"/>
          <w:bCs w:val="0"/>
          <w:sz w:val="24"/>
          <w:szCs w:val="24"/>
          <w:rtl/>
        </w:rPr>
      </w:pPr>
    </w:p>
    <w:p w:rsidR="00A40F48" w:rsidRDefault="00A40F48" w:rsidP="007F1277">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lastRenderedPageBreak/>
        <w:t>3.</w:t>
      </w:r>
      <w:r>
        <w:rPr>
          <w:rFonts w:hint="cs"/>
          <w:b w:val="0"/>
          <w:bCs w:val="0"/>
          <w:sz w:val="24"/>
          <w:szCs w:val="24"/>
          <w:rtl/>
        </w:rPr>
        <w:tab/>
      </w:r>
      <w:r w:rsidR="00B82162">
        <w:rPr>
          <w:rFonts w:hint="cs"/>
          <w:b w:val="0"/>
          <w:bCs w:val="0"/>
          <w:sz w:val="24"/>
          <w:szCs w:val="24"/>
          <w:rtl/>
        </w:rPr>
        <w:t>מוצ</w:t>
      </w:r>
      <w:r w:rsidR="00F86FC3">
        <w:rPr>
          <w:rFonts w:hint="cs"/>
          <w:b w:val="0"/>
          <w:bCs w:val="0"/>
          <w:sz w:val="24"/>
          <w:szCs w:val="24"/>
          <w:rtl/>
        </w:rPr>
        <w:t>ע להעלות את דרגת הקנס על עבירות רכיבה על אופניים</w:t>
      </w:r>
      <w:r w:rsidR="001B39D7">
        <w:rPr>
          <w:rFonts w:hint="cs"/>
          <w:b w:val="0"/>
          <w:bCs w:val="0"/>
          <w:sz w:val="24"/>
          <w:szCs w:val="24"/>
          <w:rtl/>
        </w:rPr>
        <w:t xml:space="preserve"> עם מנוע עזר ("אופניים חשמליים)</w:t>
      </w:r>
      <w:r w:rsidR="00F86FC3">
        <w:rPr>
          <w:rFonts w:hint="cs"/>
          <w:b w:val="0"/>
          <w:bCs w:val="0"/>
          <w:sz w:val="24"/>
          <w:szCs w:val="24"/>
          <w:rtl/>
        </w:rPr>
        <w:t>, ש</w:t>
      </w:r>
      <w:r w:rsidR="007F1277">
        <w:rPr>
          <w:rFonts w:hint="cs"/>
          <w:b w:val="0"/>
          <w:bCs w:val="0"/>
          <w:sz w:val="24"/>
          <w:szCs w:val="24"/>
          <w:rtl/>
        </w:rPr>
        <w:t>כולן הן כיום בדרגה א', לדרגה ב' לאור הסיכון המיוחד הנשקף מהן,</w:t>
      </w:r>
      <w:r w:rsidR="00F86FC3">
        <w:rPr>
          <w:rFonts w:hint="cs"/>
          <w:b w:val="0"/>
          <w:bCs w:val="0"/>
          <w:sz w:val="24"/>
          <w:szCs w:val="24"/>
          <w:rtl/>
        </w:rPr>
        <w:t xml:space="preserve"> ולקבוע מדרגות קנס לגבי העבירות החדשות שנקבעו לגבי אופניים חשמליים, לפי הפירוט הבא:</w:t>
      </w:r>
    </w:p>
    <w:p w:rsidR="00B507E6" w:rsidRDefault="00B507E6" w:rsidP="006D13AD">
      <w:pPr>
        <w:pStyle w:val="ac"/>
        <w:numPr>
          <w:ilvl w:val="0"/>
          <w:numId w:val="1"/>
        </w:numPr>
        <w:tabs>
          <w:tab w:val="left" w:pos="509"/>
          <w:tab w:val="left" w:pos="1076"/>
          <w:tab w:val="left" w:pos="1643"/>
          <w:tab w:val="left" w:pos="2210"/>
        </w:tabs>
        <w:spacing w:line="276" w:lineRule="auto"/>
        <w:ind w:hanging="211"/>
        <w:jc w:val="both"/>
        <w:rPr>
          <w:b w:val="0"/>
          <w:bCs w:val="0"/>
          <w:sz w:val="24"/>
          <w:szCs w:val="24"/>
        </w:rPr>
      </w:pPr>
      <w:r>
        <w:rPr>
          <w:rFonts w:hint="cs"/>
          <w:b w:val="0"/>
          <w:bCs w:val="0"/>
          <w:sz w:val="24"/>
          <w:szCs w:val="24"/>
          <w:rtl/>
        </w:rPr>
        <w:t>רכיבה על אופניים חשמליים מתחת לגיל המותר לכך או שהם אינם</w:t>
      </w:r>
      <w:r w:rsidR="006D13AD">
        <w:rPr>
          <w:rFonts w:hint="cs"/>
          <w:b w:val="0"/>
          <w:bCs w:val="0"/>
          <w:sz w:val="24"/>
          <w:szCs w:val="24"/>
          <w:rtl/>
        </w:rPr>
        <w:t xml:space="preserve"> עומדים בדרישות התקנות (סעיף 2(ח)</w:t>
      </w:r>
      <w:r>
        <w:rPr>
          <w:rFonts w:hint="cs"/>
          <w:b w:val="0"/>
          <w:bCs w:val="0"/>
          <w:sz w:val="24"/>
          <w:szCs w:val="24"/>
          <w:rtl/>
        </w:rPr>
        <w:t>)</w:t>
      </w:r>
      <w:r w:rsidR="00E455A3">
        <w:rPr>
          <w:rFonts w:hint="cs"/>
          <w:b w:val="0"/>
          <w:bCs w:val="0"/>
          <w:sz w:val="24"/>
          <w:szCs w:val="24"/>
          <w:rtl/>
        </w:rPr>
        <w:t xml:space="preserve"> </w:t>
      </w:r>
      <w:r w:rsidR="00E455A3">
        <w:rPr>
          <w:b w:val="0"/>
          <w:bCs w:val="0"/>
          <w:sz w:val="24"/>
          <w:szCs w:val="24"/>
          <w:rtl/>
        </w:rPr>
        <w:t>–</w:t>
      </w:r>
      <w:r w:rsidR="00E455A3">
        <w:rPr>
          <w:rFonts w:hint="cs"/>
          <w:b w:val="0"/>
          <w:bCs w:val="0"/>
          <w:sz w:val="24"/>
          <w:szCs w:val="24"/>
          <w:rtl/>
        </w:rPr>
        <w:t xml:space="preserve"> דרגה ה'</w:t>
      </w:r>
      <w:r>
        <w:rPr>
          <w:rFonts w:hint="cs"/>
          <w:b w:val="0"/>
          <w:bCs w:val="0"/>
          <w:sz w:val="24"/>
          <w:szCs w:val="24"/>
          <w:rtl/>
        </w:rPr>
        <w:t>;</w:t>
      </w:r>
    </w:p>
    <w:p w:rsidR="00B507E6" w:rsidRDefault="00B507E6" w:rsidP="007F1277">
      <w:pPr>
        <w:pStyle w:val="ac"/>
        <w:numPr>
          <w:ilvl w:val="0"/>
          <w:numId w:val="1"/>
        </w:numPr>
        <w:tabs>
          <w:tab w:val="left" w:pos="509"/>
          <w:tab w:val="left" w:pos="1076"/>
          <w:tab w:val="left" w:pos="1643"/>
          <w:tab w:val="left" w:pos="2210"/>
        </w:tabs>
        <w:spacing w:line="276" w:lineRule="auto"/>
        <w:ind w:hanging="211"/>
        <w:jc w:val="both"/>
        <w:rPr>
          <w:b w:val="0"/>
          <w:bCs w:val="0"/>
          <w:sz w:val="24"/>
          <w:szCs w:val="24"/>
        </w:rPr>
      </w:pPr>
      <w:r>
        <w:rPr>
          <w:rFonts w:hint="cs"/>
          <w:b w:val="0"/>
          <w:bCs w:val="0"/>
          <w:sz w:val="24"/>
          <w:szCs w:val="24"/>
          <w:rtl/>
        </w:rPr>
        <w:t xml:space="preserve">רכיבה על אופניים </w:t>
      </w:r>
      <w:r w:rsidR="001B39D7">
        <w:rPr>
          <w:rFonts w:hint="cs"/>
          <w:b w:val="0"/>
          <w:bCs w:val="0"/>
          <w:sz w:val="24"/>
          <w:szCs w:val="24"/>
          <w:rtl/>
        </w:rPr>
        <w:t xml:space="preserve">עם מנוע עזר שהם </w:t>
      </w:r>
      <w:r>
        <w:rPr>
          <w:rFonts w:hint="cs"/>
          <w:b w:val="0"/>
          <w:bCs w:val="0"/>
          <w:sz w:val="24"/>
          <w:szCs w:val="24"/>
          <w:rtl/>
        </w:rPr>
        <w:t>לא תקינים, בישיבה</w:t>
      </w:r>
      <w:r w:rsidR="007F1277">
        <w:rPr>
          <w:rFonts w:hint="cs"/>
          <w:b w:val="0"/>
          <w:bCs w:val="0"/>
          <w:sz w:val="24"/>
          <w:szCs w:val="24"/>
          <w:rtl/>
        </w:rPr>
        <w:t xml:space="preserve"> שלא </w:t>
      </w:r>
      <w:r>
        <w:rPr>
          <w:rFonts w:hint="cs"/>
          <w:b w:val="0"/>
          <w:bCs w:val="0"/>
          <w:sz w:val="24"/>
          <w:szCs w:val="24"/>
          <w:rtl/>
        </w:rPr>
        <w:t xml:space="preserve"> על גבי המושב, הרכבה אסורה, הובלה אסורה, נסיעה אסורה לצד רכב אחר, אחיזה באופניים, גרירה באופניים, אי שמירת רווח ברכיבה, רכיבה שלא בצמוד לשפה הימנית של כביש,  רכיבה על מדרכה או על הכביש כשיש שביל אופניים, </w:t>
      </w:r>
      <w:r w:rsidR="006D13AD">
        <w:rPr>
          <w:rFonts w:hint="cs"/>
          <w:b w:val="0"/>
          <w:bCs w:val="0"/>
          <w:sz w:val="24"/>
          <w:szCs w:val="24"/>
          <w:rtl/>
        </w:rPr>
        <w:t xml:space="preserve"> העדר ציוד בטיחות או ציוד בטיחות לא תקין, אי הפעלת אורות</w:t>
      </w:r>
      <w:r w:rsidR="007F1277" w:rsidRPr="007F1277">
        <w:rPr>
          <w:rFonts w:hint="cs"/>
          <w:b w:val="0"/>
          <w:bCs w:val="0"/>
          <w:sz w:val="24"/>
          <w:szCs w:val="24"/>
          <w:rtl/>
        </w:rPr>
        <w:t xml:space="preserve"> </w:t>
      </w:r>
      <w:r w:rsidR="007F1277">
        <w:rPr>
          <w:rFonts w:hint="cs"/>
          <w:b w:val="0"/>
          <w:bCs w:val="0"/>
          <w:sz w:val="24"/>
          <w:szCs w:val="24"/>
          <w:rtl/>
        </w:rPr>
        <w:t>(סעיף 2(</w:t>
      </w:r>
      <w:proofErr w:type="spellStart"/>
      <w:r w:rsidR="007F1277">
        <w:rPr>
          <w:rFonts w:hint="cs"/>
          <w:b w:val="0"/>
          <w:bCs w:val="0"/>
          <w:sz w:val="24"/>
          <w:szCs w:val="24"/>
          <w:rtl/>
        </w:rPr>
        <w:t>טז</w:t>
      </w:r>
      <w:proofErr w:type="spellEnd"/>
      <w:r w:rsidR="007F1277">
        <w:rPr>
          <w:rFonts w:hint="cs"/>
          <w:b w:val="0"/>
          <w:bCs w:val="0"/>
          <w:sz w:val="24"/>
          <w:szCs w:val="24"/>
          <w:rtl/>
        </w:rPr>
        <w:t>)).</w:t>
      </w:r>
    </w:p>
    <w:p w:rsidR="00E455A3" w:rsidRPr="00B507E6" w:rsidRDefault="00E455A3" w:rsidP="006D13AD">
      <w:pPr>
        <w:pStyle w:val="ac"/>
        <w:numPr>
          <w:ilvl w:val="0"/>
          <w:numId w:val="1"/>
        </w:numPr>
        <w:tabs>
          <w:tab w:val="left" w:pos="509"/>
          <w:tab w:val="left" w:pos="1076"/>
          <w:tab w:val="left" w:pos="1643"/>
          <w:tab w:val="left" w:pos="2210"/>
        </w:tabs>
        <w:spacing w:line="276" w:lineRule="auto"/>
        <w:ind w:hanging="211"/>
        <w:jc w:val="both"/>
        <w:rPr>
          <w:b w:val="0"/>
          <w:bCs w:val="0"/>
          <w:sz w:val="24"/>
          <w:szCs w:val="24"/>
          <w:rtl/>
        </w:rPr>
      </w:pPr>
      <w:r>
        <w:rPr>
          <w:rFonts w:hint="cs"/>
          <w:b w:val="0"/>
          <w:bCs w:val="0"/>
          <w:sz w:val="24"/>
          <w:szCs w:val="24"/>
          <w:rtl/>
        </w:rPr>
        <w:t xml:space="preserve">רכיבה על אופניים בקבוצה בדרך שאינה עירונית בלא רכב ליווי </w:t>
      </w:r>
      <w:r>
        <w:rPr>
          <w:b w:val="0"/>
          <w:bCs w:val="0"/>
          <w:sz w:val="24"/>
          <w:szCs w:val="24"/>
          <w:rtl/>
        </w:rPr>
        <w:t>–</w:t>
      </w:r>
      <w:r w:rsidR="00FA18C2">
        <w:rPr>
          <w:rFonts w:hint="cs"/>
          <w:b w:val="0"/>
          <w:bCs w:val="0"/>
          <w:sz w:val="24"/>
          <w:szCs w:val="24"/>
          <w:rtl/>
        </w:rPr>
        <w:t xml:space="preserve"> דרגה ג</w:t>
      </w:r>
      <w:r>
        <w:rPr>
          <w:rFonts w:hint="cs"/>
          <w:b w:val="0"/>
          <w:bCs w:val="0"/>
          <w:sz w:val="24"/>
          <w:szCs w:val="24"/>
          <w:rtl/>
        </w:rPr>
        <w:t xml:space="preserve">'; רכב ליווי כאמור שאינו מפעיל את ארבעת מחווני הכיוון </w:t>
      </w:r>
      <w:r>
        <w:rPr>
          <w:b w:val="0"/>
          <w:bCs w:val="0"/>
          <w:sz w:val="24"/>
          <w:szCs w:val="24"/>
          <w:rtl/>
        </w:rPr>
        <w:t>–</w:t>
      </w:r>
      <w:r>
        <w:rPr>
          <w:rFonts w:hint="cs"/>
          <w:b w:val="0"/>
          <w:bCs w:val="0"/>
          <w:sz w:val="24"/>
          <w:szCs w:val="24"/>
          <w:rtl/>
        </w:rPr>
        <w:t xml:space="preserve"> דרגה ב' (250 ₪) (סעיף 2(</w:t>
      </w:r>
      <w:proofErr w:type="spellStart"/>
      <w:r>
        <w:rPr>
          <w:rFonts w:hint="cs"/>
          <w:b w:val="0"/>
          <w:bCs w:val="0"/>
          <w:sz w:val="24"/>
          <w:szCs w:val="24"/>
          <w:rtl/>
        </w:rPr>
        <w:t>יז</w:t>
      </w:r>
      <w:proofErr w:type="spellEnd"/>
      <w:r>
        <w:rPr>
          <w:rFonts w:hint="cs"/>
          <w:b w:val="0"/>
          <w:bCs w:val="0"/>
          <w:sz w:val="24"/>
          <w:szCs w:val="24"/>
          <w:rtl/>
        </w:rPr>
        <w:t>)).</w:t>
      </w:r>
    </w:p>
    <w:p w:rsidR="00171327" w:rsidRDefault="00171327" w:rsidP="00171327">
      <w:pPr>
        <w:tabs>
          <w:tab w:val="left" w:pos="509"/>
          <w:tab w:val="left" w:pos="1076"/>
          <w:tab w:val="left" w:pos="1643"/>
          <w:tab w:val="left" w:pos="2210"/>
        </w:tabs>
        <w:spacing w:line="276" w:lineRule="auto"/>
        <w:jc w:val="both"/>
        <w:rPr>
          <w:b w:val="0"/>
          <w:bCs w:val="0"/>
          <w:sz w:val="24"/>
          <w:szCs w:val="24"/>
          <w:rtl/>
        </w:rPr>
      </w:pPr>
    </w:p>
    <w:p w:rsidR="00171327" w:rsidRDefault="00171327" w:rsidP="00E455A3">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t>4.</w:t>
      </w:r>
      <w:r>
        <w:rPr>
          <w:rFonts w:hint="cs"/>
          <w:b w:val="0"/>
          <w:bCs w:val="0"/>
          <w:sz w:val="24"/>
          <w:szCs w:val="24"/>
          <w:rtl/>
        </w:rPr>
        <w:tab/>
      </w:r>
      <w:r w:rsidR="00016C43">
        <w:rPr>
          <w:rFonts w:hint="cs"/>
          <w:b w:val="0"/>
          <w:bCs w:val="0"/>
          <w:sz w:val="24"/>
          <w:szCs w:val="24"/>
          <w:rtl/>
        </w:rPr>
        <w:t xml:space="preserve">לפני </w:t>
      </w:r>
      <w:r w:rsidR="00E455A3">
        <w:rPr>
          <w:rFonts w:hint="cs"/>
          <w:b w:val="0"/>
          <w:bCs w:val="0"/>
          <w:sz w:val="24"/>
          <w:szCs w:val="24"/>
          <w:rtl/>
        </w:rPr>
        <w:t>זמן מה</w:t>
      </w:r>
      <w:r w:rsidR="00016C43">
        <w:rPr>
          <w:rFonts w:hint="cs"/>
          <w:b w:val="0"/>
          <w:bCs w:val="0"/>
          <w:sz w:val="24"/>
          <w:szCs w:val="24"/>
          <w:rtl/>
        </w:rPr>
        <w:t xml:space="preserve"> נכנס לתוקף תיקון לתקנה 67, שקבע חובות זהירות נוספות על נוהגים בקרבת מעברי חציה, בנוסף על חובת העצירה שהייתה קיימת עוד קודם, כשהולך רגל החל בחציית כביש. הקנס על הפרת חובת העצירה הוא מדרגה ג'</w:t>
      </w:r>
      <w:r w:rsidR="002F6303">
        <w:rPr>
          <w:rFonts w:hint="cs"/>
          <w:b w:val="0"/>
          <w:bCs w:val="0"/>
          <w:sz w:val="24"/>
          <w:szCs w:val="24"/>
          <w:rtl/>
        </w:rPr>
        <w:t xml:space="preserve"> (500 </w:t>
      </w:r>
      <w:r w:rsidR="007F1277">
        <w:rPr>
          <w:rFonts w:hint="cs"/>
          <w:b w:val="0"/>
          <w:bCs w:val="0"/>
          <w:sz w:val="24"/>
          <w:szCs w:val="24"/>
          <w:rtl/>
        </w:rPr>
        <w:t>₪</w:t>
      </w:r>
      <w:r w:rsidR="002F6303">
        <w:rPr>
          <w:rFonts w:hint="cs"/>
          <w:b w:val="0"/>
          <w:bCs w:val="0"/>
          <w:sz w:val="24"/>
          <w:szCs w:val="24"/>
          <w:rtl/>
        </w:rPr>
        <w:t>)</w:t>
      </w:r>
      <w:r w:rsidR="00016C43">
        <w:rPr>
          <w:rFonts w:hint="cs"/>
          <w:b w:val="0"/>
          <w:bCs w:val="0"/>
          <w:sz w:val="24"/>
          <w:szCs w:val="24"/>
          <w:rtl/>
        </w:rPr>
        <w:t xml:space="preserve">, ובהתאם מוצע לקבוע את הקנס על </w:t>
      </w:r>
      <w:r w:rsidR="002F6303">
        <w:rPr>
          <w:rFonts w:hint="cs"/>
          <w:b w:val="0"/>
          <w:bCs w:val="0"/>
          <w:sz w:val="24"/>
          <w:szCs w:val="24"/>
          <w:rtl/>
        </w:rPr>
        <w:t>חובות הזהירות המקדמיות, בדרגה ב</w:t>
      </w:r>
      <w:r w:rsidR="00E455A3">
        <w:rPr>
          <w:rFonts w:hint="cs"/>
          <w:b w:val="0"/>
          <w:bCs w:val="0"/>
          <w:sz w:val="24"/>
          <w:szCs w:val="24"/>
          <w:rtl/>
        </w:rPr>
        <w:t>'</w:t>
      </w:r>
      <w:r w:rsidR="002F6303">
        <w:rPr>
          <w:rFonts w:hint="cs"/>
          <w:b w:val="0"/>
          <w:bCs w:val="0"/>
          <w:sz w:val="24"/>
          <w:szCs w:val="24"/>
          <w:rtl/>
        </w:rPr>
        <w:t xml:space="preserve"> </w:t>
      </w:r>
      <w:r w:rsidR="006D13AD">
        <w:rPr>
          <w:rFonts w:hint="cs"/>
          <w:b w:val="0"/>
          <w:bCs w:val="0"/>
          <w:sz w:val="24"/>
          <w:szCs w:val="24"/>
          <w:rtl/>
        </w:rPr>
        <w:t>(סעיף 2(</w:t>
      </w:r>
      <w:proofErr w:type="spellStart"/>
      <w:r w:rsidR="006D13AD">
        <w:rPr>
          <w:rFonts w:hint="cs"/>
          <w:b w:val="0"/>
          <w:bCs w:val="0"/>
          <w:sz w:val="24"/>
          <w:szCs w:val="24"/>
          <w:rtl/>
        </w:rPr>
        <w:t>יב</w:t>
      </w:r>
      <w:proofErr w:type="spellEnd"/>
      <w:r w:rsidR="00016C43">
        <w:rPr>
          <w:rFonts w:hint="cs"/>
          <w:b w:val="0"/>
          <w:bCs w:val="0"/>
          <w:sz w:val="24"/>
          <w:szCs w:val="24"/>
          <w:rtl/>
        </w:rPr>
        <w:t>)).</w:t>
      </w:r>
    </w:p>
    <w:p w:rsidR="00016C43" w:rsidRDefault="00016C43" w:rsidP="00171327">
      <w:pPr>
        <w:tabs>
          <w:tab w:val="left" w:pos="509"/>
          <w:tab w:val="left" w:pos="1076"/>
          <w:tab w:val="left" w:pos="1643"/>
          <w:tab w:val="left" w:pos="2210"/>
        </w:tabs>
        <w:spacing w:line="276" w:lineRule="auto"/>
        <w:jc w:val="both"/>
        <w:rPr>
          <w:b w:val="0"/>
          <w:bCs w:val="0"/>
          <w:sz w:val="24"/>
          <w:szCs w:val="24"/>
          <w:rtl/>
        </w:rPr>
      </w:pPr>
    </w:p>
    <w:p w:rsidR="00016C43" w:rsidRPr="00A40F48" w:rsidRDefault="00016C43" w:rsidP="006D13AD">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t>5.</w:t>
      </w:r>
      <w:r>
        <w:rPr>
          <w:rFonts w:hint="cs"/>
          <w:b w:val="0"/>
          <w:bCs w:val="0"/>
          <w:sz w:val="24"/>
          <w:szCs w:val="24"/>
          <w:rtl/>
        </w:rPr>
        <w:tab/>
      </w:r>
      <w:r w:rsidR="00923CBC">
        <w:rPr>
          <w:rFonts w:hint="cs"/>
          <w:b w:val="0"/>
          <w:bCs w:val="0"/>
          <w:sz w:val="24"/>
          <w:szCs w:val="24"/>
          <w:rtl/>
        </w:rPr>
        <w:t xml:space="preserve">מוצע להעלות את דרגת הקנס על חניה בשביל אופניים, מדרגה א' לדרגה ב'. שבילי אופניים הולכים ומתרבים (בת"א </w:t>
      </w:r>
      <w:r w:rsidR="002F6303">
        <w:rPr>
          <w:rFonts w:hint="cs"/>
          <w:b w:val="0"/>
          <w:bCs w:val="0"/>
          <w:sz w:val="24"/>
          <w:szCs w:val="24"/>
          <w:rtl/>
        </w:rPr>
        <w:t>יש כבר</w:t>
      </w:r>
      <w:r w:rsidR="00923CBC">
        <w:rPr>
          <w:rFonts w:hint="cs"/>
          <w:b w:val="0"/>
          <w:bCs w:val="0"/>
          <w:sz w:val="24"/>
          <w:szCs w:val="24"/>
          <w:rtl/>
        </w:rPr>
        <w:t xml:space="preserve"> כ-130 ק"מ) ושמירתם פנויים לרוכבים חיונית לבטיחות, הן </w:t>
      </w:r>
      <w:r w:rsidR="00942AC1">
        <w:rPr>
          <w:rFonts w:hint="cs"/>
          <w:b w:val="0"/>
          <w:bCs w:val="0"/>
          <w:sz w:val="24"/>
          <w:szCs w:val="24"/>
          <w:rtl/>
        </w:rPr>
        <w:t>ש</w:t>
      </w:r>
      <w:r w:rsidR="00923CBC">
        <w:rPr>
          <w:rFonts w:hint="cs"/>
          <w:b w:val="0"/>
          <w:bCs w:val="0"/>
          <w:sz w:val="24"/>
          <w:szCs w:val="24"/>
          <w:rtl/>
        </w:rPr>
        <w:t>ל</w:t>
      </w:r>
      <w:r w:rsidR="00942AC1">
        <w:rPr>
          <w:rFonts w:hint="cs"/>
          <w:b w:val="0"/>
          <w:bCs w:val="0"/>
          <w:sz w:val="24"/>
          <w:szCs w:val="24"/>
          <w:rtl/>
        </w:rPr>
        <w:t xml:space="preserve"> ה</w:t>
      </w:r>
      <w:r w:rsidR="00923CBC">
        <w:rPr>
          <w:rFonts w:hint="cs"/>
          <w:b w:val="0"/>
          <w:bCs w:val="0"/>
          <w:sz w:val="24"/>
          <w:szCs w:val="24"/>
          <w:rtl/>
        </w:rPr>
        <w:t xml:space="preserve">רוכבים הן </w:t>
      </w:r>
      <w:r w:rsidR="00942AC1">
        <w:rPr>
          <w:rFonts w:hint="cs"/>
          <w:b w:val="0"/>
          <w:bCs w:val="0"/>
          <w:sz w:val="24"/>
          <w:szCs w:val="24"/>
          <w:rtl/>
        </w:rPr>
        <w:t>ש</w:t>
      </w:r>
      <w:r w:rsidR="00923CBC">
        <w:rPr>
          <w:rFonts w:hint="cs"/>
          <w:b w:val="0"/>
          <w:bCs w:val="0"/>
          <w:sz w:val="24"/>
          <w:szCs w:val="24"/>
          <w:rtl/>
        </w:rPr>
        <w:t>ל</w:t>
      </w:r>
      <w:r w:rsidR="00942AC1">
        <w:rPr>
          <w:rFonts w:hint="cs"/>
          <w:b w:val="0"/>
          <w:bCs w:val="0"/>
          <w:sz w:val="24"/>
          <w:szCs w:val="24"/>
          <w:rtl/>
        </w:rPr>
        <w:t xml:space="preserve"> </w:t>
      </w:r>
      <w:r w:rsidR="00923CBC">
        <w:rPr>
          <w:rFonts w:hint="cs"/>
          <w:b w:val="0"/>
          <w:bCs w:val="0"/>
          <w:sz w:val="24"/>
          <w:szCs w:val="24"/>
          <w:rtl/>
        </w:rPr>
        <w:t>הולכי הרגל במדרכה הצמודה בדרך כלל לשביל (סעיף 2(</w:t>
      </w:r>
      <w:proofErr w:type="spellStart"/>
      <w:r w:rsidR="006D13AD">
        <w:rPr>
          <w:rFonts w:hint="cs"/>
          <w:b w:val="0"/>
          <w:bCs w:val="0"/>
          <w:sz w:val="24"/>
          <w:szCs w:val="24"/>
          <w:rtl/>
        </w:rPr>
        <w:t>יג</w:t>
      </w:r>
      <w:proofErr w:type="spellEnd"/>
      <w:r w:rsidR="00923CBC">
        <w:rPr>
          <w:rFonts w:hint="cs"/>
          <w:b w:val="0"/>
          <w:bCs w:val="0"/>
          <w:sz w:val="24"/>
          <w:szCs w:val="24"/>
          <w:rtl/>
        </w:rPr>
        <w:t>)-(</w:t>
      </w:r>
      <w:r w:rsidR="006D13AD">
        <w:rPr>
          <w:rFonts w:hint="cs"/>
          <w:b w:val="0"/>
          <w:bCs w:val="0"/>
          <w:sz w:val="24"/>
          <w:szCs w:val="24"/>
          <w:rtl/>
        </w:rPr>
        <w:t>יד</w:t>
      </w:r>
      <w:r w:rsidR="00B507E6">
        <w:rPr>
          <w:rFonts w:hint="cs"/>
          <w:b w:val="0"/>
          <w:bCs w:val="0"/>
          <w:sz w:val="24"/>
          <w:szCs w:val="24"/>
          <w:rtl/>
        </w:rPr>
        <w:t>) ו-3(ה)-(ו</w:t>
      </w:r>
      <w:r w:rsidR="00923CBC">
        <w:rPr>
          <w:rFonts w:hint="cs"/>
          <w:b w:val="0"/>
          <w:bCs w:val="0"/>
          <w:sz w:val="24"/>
          <w:szCs w:val="24"/>
          <w:rtl/>
        </w:rPr>
        <w:t>)).</w:t>
      </w:r>
    </w:p>
    <w:p w:rsidR="00103DEB" w:rsidRDefault="00103DEB" w:rsidP="00103DEB">
      <w:pPr>
        <w:tabs>
          <w:tab w:val="left" w:pos="509"/>
          <w:tab w:val="left" w:pos="1076"/>
          <w:tab w:val="left" w:pos="1643"/>
          <w:tab w:val="left" w:pos="2210"/>
        </w:tabs>
        <w:spacing w:line="276" w:lineRule="auto"/>
        <w:jc w:val="both"/>
        <w:rPr>
          <w:b w:val="0"/>
          <w:bCs w:val="0"/>
          <w:sz w:val="24"/>
          <w:szCs w:val="24"/>
          <w:rtl/>
        </w:rPr>
      </w:pPr>
    </w:p>
    <w:p w:rsidR="00923CBC" w:rsidRDefault="00923CBC" w:rsidP="006D13AD">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t>6.</w:t>
      </w:r>
      <w:r>
        <w:rPr>
          <w:rFonts w:hint="cs"/>
          <w:b w:val="0"/>
          <w:bCs w:val="0"/>
          <w:sz w:val="24"/>
          <w:szCs w:val="24"/>
          <w:rtl/>
        </w:rPr>
        <w:tab/>
        <w:t xml:space="preserve">מוצע להפחית את עומס היתר ברכב מסחרי שיהיה בתחום עבירות הקנס, מ-24.99% מעל המשקל הכולל המותר ל-14.99%. המשמעות היא שמ-15% ומעלה, במקום 25%, העבירה תהיה של הזמנה לדין על שלל הכלים </w:t>
      </w:r>
      <w:proofErr w:type="spellStart"/>
      <w:r>
        <w:rPr>
          <w:rFonts w:hint="cs"/>
          <w:b w:val="0"/>
          <w:bCs w:val="0"/>
          <w:sz w:val="24"/>
          <w:szCs w:val="24"/>
          <w:rtl/>
        </w:rPr>
        <w:t>העונשיים</w:t>
      </w:r>
      <w:proofErr w:type="spellEnd"/>
      <w:r>
        <w:rPr>
          <w:rFonts w:hint="cs"/>
          <w:b w:val="0"/>
          <w:bCs w:val="0"/>
          <w:sz w:val="24"/>
          <w:szCs w:val="24"/>
          <w:rtl/>
        </w:rPr>
        <w:t xml:space="preserve"> והמנהליים הנלווים לכך, לרבות</w:t>
      </w:r>
      <w:r w:rsidR="00B507E6">
        <w:rPr>
          <w:rFonts w:hint="cs"/>
          <w:b w:val="0"/>
          <w:bCs w:val="0"/>
          <w:sz w:val="24"/>
          <w:szCs w:val="24"/>
          <w:rtl/>
        </w:rPr>
        <w:t xml:space="preserve"> הסמכויות לפסול את רישיון הנהיגה ולהשבית </w:t>
      </w:r>
      <w:r>
        <w:rPr>
          <w:rFonts w:hint="cs"/>
          <w:b w:val="0"/>
          <w:bCs w:val="0"/>
          <w:sz w:val="24"/>
          <w:szCs w:val="24"/>
          <w:rtl/>
        </w:rPr>
        <w:t xml:space="preserve">רכב לפי התוספת השביעית לפקודה, וזאת לאור הסיכון הבטיחותי המשמעותי מעומס יתר, כבר </w:t>
      </w:r>
      <w:r w:rsidR="00B507E6">
        <w:rPr>
          <w:rFonts w:hint="cs"/>
          <w:b w:val="0"/>
          <w:bCs w:val="0"/>
          <w:sz w:val="24"/>
          <w:szCs w:val="24"/>
          <w:rtl/>
        </w:rPr>
        <w:t>החל בחריגה של  15% (סעיף 2(</w:t>
      </w:r>
      <w:r w:rsidR="006D13AD">
        <w:rPr>
          <w:rFonts w:hint="cs"/>
          <w:b w:val="0"/>
          <w:bCs w:val="0"/>
          <w:sz w:val="24"/>
          <w:szCs w:val="24"/>
          <w:rtl/>
        </w:rPr>
        <w:t>טו</w:t>
      </w:r>
      <w:r>
        <w:rPr>
          <w:rFonts w:hint="cs"/>
          <w:b w:val="0"/>
          <w:bCs w:val="0"/>
          <w:sz w:val="24"/>
          <w:szCs w:val="24"/>
          <w:rtl/>
        </w:rPr>
        <w:t>)</w:t>
      </w:r>
      <w:r w:rsidR="00E455A3">
        <w:rPr>
          <w:rFonts w:hint="cs"/>
          <w:b w:val="0"/>
          <w:bCs w:val="0"/>
          <w:sz w:val="24"/>
          <w:szCs w:val="24"/>
          <w:rtl/>
        </w:rPr>
        <w:t>)</w:t>
      </w:r>
      <w:r>
        <w:rPr>
          <w:rFonts w:hint="cs"/>
          <w:b w:val="0"/>
          <w:bCs w:val="0"/>
          <w:sz w:val="24"/>
          <w:szCs w:val="24"/>
          <w:rtl/>
        </w:rPr>
        <w:t>.</w:t>
      </w:r>
    </w:p>
    <w:p w:rsidR="00E455A3" w:rsidRDefault="00E455A3" w:rsidP="006D13AD">
      <w:pPr>
        <w:tabs>
          <w:tab w:val="left" w:pos="509"/>
          <w:tab w:val="left" w:pos="1076"/>
          <w:tab w:val="left" w:pos="1643"/>
          <w:tab w:val="left" w:pos="2210"/>
        </w:tabs>
        <w:spacing w:line="276" w:lineRule="auto"/>
        <w:ind w:left="509" w:hanging="509"/>
        <w:jc w:val="both"/>
        <w:rPr>
          <w:b w:val="0"/>
          <w:bCs w:val="0"/>
          <w:sz w:val="24"/>
          <w:szCs w:val="24"/>
          <w:rtl/>
        </w:rPr>
      </w:pPr>
    </w:p>
    <w:p w:rsidR="00E455A3" w:rsidRDefault="00E455A3" w:rsidP="006D13AD">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t>7.</w:t>
      </w:r>
      <w:r>
        <w:rPr>
          <w:rFonts w:hint="cs"/>
          <w:b w:val="0"/>
          <w:bCs w:val="0"/>
          <w:sz w:val="24"/>
          <w:szCs w:val="24"/>
          <w:rtl/>
        </w:rPr>
        <w:tab/>
        <w:t>לאחרונה הותקנה תקנה האוסרת תנועת עגלות רתומות לבעלי חיים מחוץ למרחב הכפרי, למעט  על פי היתר מאת הרשות המקומית, למטרות נופש ופנאי. מוצע לקבוע לצד עבירה זו קנס מדרגה ג' (סעיף 2יח)).</w:t>
      </w:r>
    </w:p>
    <w:p w:rsidR="00E455A3" w:rsidRDefault="00E455A3" w:rsidP="006D13AD">
      <w:pPr>
        <w:tabs>
          <w:tab w:val="left" w:pos="509"/>
          <w:tab w:val="left" w:pos="1076"/>
          <w:tab w:val="left" w:pos="1643"/>
          <w:tab w:val="left" w:pos="2210"/>
        </w:tabs>
        <w:spacing w:line="276" w:lineRule="auto"/>
        <w:ind w:left="509" w:hanging="509"/>
        <w:jc w:val="both"/>
        <w:rPr>
          <w:b w:val="0"/>
          <w:bCs w:val="0"/>
          <w:sz w:val="24"/>
          <w:szCs w:val="24"/>
          <w:rtl/>
        </w:rPr>
      </w:pPr>
    </w:p>
    <w:p w:rsidR="00E455A3" w:rsidRDefault="00E455A3" w:rsidP="006D13AD">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t>8.</w:t>
      </w:r>
      <w:r>
        <w:rPr>
          <w:rFonts w:hint="cs"/>
          <w:b w:val="0"/>
          <w:bCs w:val="0"/>
          <w:sz w:val="24"/>
          <w:szCs w:val="24"/>
          <w:rtl/>
        </w:rPr>
        <w:tab/>
        <w:t>תקנה חדשה נוספת מחייבת לסמן דופן הרמה הידראולית של רכב מסחרי ולהדליקם בעת הפעלת הדופן. מוצע לקבוע קנס מדרגה ב' על הפרת חובת ההדלקה (סעיף 2(</w:t>
      </w:r>
      <w:proofErr w:type="spellStart"/>
      <w:r>
        <w:rPr>
          <w:rFonts w:hint="cs"/>
          <w:b w:val="0"/>
          <w:bCs w:val="0"/>
          <w:sz w:val="24"/>
          <w:szCs w:val="24"/>
          <w:rtl/>
        </w:rPr>
        <w:t>יט</w:t>
      </w:r>
      <w:proofErr w:type="spellEnd"/>
      <w:r>
        <w:rPr>
          <w:rFonts w:hint="cs"/>
          <w:b w:val="0"/>
          <w:bCs w:val="0"/>
          <w:sz w:val="24"/>
          <w:szCs w:val="24"/>
          <w:rtl/>
        </w:rPr>
        <w:t>)).</w:t>
      </w:r>
    </w:p>
    <w:p w:rsidR="00E455A3" w:rsidRDefault="00E455A3" w:rsidP="006D13AD">
      <w:pPr>
        <w:tabs>
          <w:tab w:val="left" w:pos="509"/>
          <w:tab w:val="left" w:pos="1076"/>
          <w:tab w:val="left" w:pos="1643"/>
          <w:tab w:val="left" w:pos="2210"/>
        </w:tabs>
        <w:spacing w:line="276" w:lineRule="auto"/>
        <w:ind w:left="509" w:hanging="509"/>
        <w:jc w:val="both"/>
        <w:rPr>
          <w:b w:val="0"/>
          <w:bCs w:val="0"/>
          <w:sz w:val="24"/>
          <w:szCs w:val="24"/>
          <w:rtl/>
        </w:rPr>
      </w:pPr>
    </w:p>
    <w:p w:rsidR="00E455A3" w:rsidRDefault="00E455A3" w:rsidP="006D13AD">
      <w:pPr>
        <w:tabs>
          <w:tab w:val="left" w:pos="509"/>
          <w:tab w:val="left" w:pos="1076"/>
          <w:tab w:val="left" w:pos="1643"/>
          <w:tab w:val="left" w:pos="2210"/>
        </w:tabs>
        <w:spacing w:line="276" w:lineRule="auto"/>
        <w:ind w:left="509" w:hanging="509"/>
        <w:jc w:val="both"/>
        <w:rPr>
          <w:b w:val="0"/>
          <w:bCs w:val="0"/>
          <w:sz w:val="24"/>
          <w:szCs w:val="24"/>
          <w:rtl/>
        </w:rPr>
      </w:pPr>
      <w:r>
        <w:rPr>
          <w:rFonts w:hint="cs"/>
          <w:b w:val="0"/>
          <w:bCs w:val="0"/>
          <w:sz w:val="24"/>
          <w:szCs w:val="24"/>
          <w:rtl/>
        </w:rPr>
        <w:t>9.</w:t>
      </w:r>
      <w:r>
        <w:rPr>
          <w:rFonts w:hint="cs"/>
          <w:b w:val="0"/>
          <w:bCs w:val="0"/>
          <w:sz w:val="24"/>
          <w:szCs w:val="24"/>
          <w:rtl/>
        </w:rPr>
        <w:tab/>
        <w:t>מוצע להסמיך את הפקחים ברשויות המקומיות לאכוף שתי עבירות נוספות בתחום העמדת רכב:</w:t>
      </w:r>
    </w:p>
    <w:p w:rsidR="00E455A3" w:rsidRDefault="007C5AF0" w:rsidP="007C5AF0">
      <w:pPr>
        <w:pStyle w:val="ac"/>
        <w:numPr>
          <w:ilvl w:val="0"/>
          <w:numId w:val="2"/>
        </w:numPr>
        <w:tabs>
          <w:tab w:val="left" w:pos="509"/>
          <w:tab w:val="left" w:pos="1076"/>
          <w:tab w:val="left" w:pos="1643"/>
          <w:tab w:val="left" w:pos="2210"/>
        </w:tabs>
        <w:spacing w:line="276" w:lineRule="auto"/>
        <w:jc w:val="both"/>
        <w:rPr>
          <w:b w:val="0"/>
          <w:bCs w:val="0"/>
          <w:sz w:val="24"/>
          <w:szCs w:val="24"/>
        </w:rPr>
      </w:pPr>
      <w:r>
        <w:rPr>
          <w:rFonts w:hint="cs"/>
          <w:b w:val="0"/>
          <w:bCs w:val="0"/>
          <w:sz w:val="24"/>
          <w:szCs w:val="24"/>
          <w:rtl/>
        </w:rPr>
        <w:t xml:space="preserve">חובת סימון רכב שהיה הכרח להשאירו עומד בצג הדרך </w:t>
      </w:r>
      <w:r>
        <w:rPr>
          <w:b w:val="0"/>
          <w:bCs w:val="0"/>
          <w:sz w:val="24"/>
          <w:szCs w:val="24"/>
          <w:rtl/>
        </w:rPr>
        <w:t>–</w:t>
      </w:r>
      <w:r>
        <w:rPr>
          <w:rFonts w:hint="cs"/>
          <w:b w:val="0"/>
          <w:bCs w:val="0"/>
          <w:sz w:val="24"/>
          <w:szCs w:val="24"/>
          <w:rtl/>
        </w:rPr>
        <w:t xml:space="preserve"> דרגה א' (100 ₪), במקביל לקנס שהמשטרה מוסמכת להטילו (סעיף 3(2)(ד);</w:t>
      </w:r>
    </w:p>
    <w:p w:rsidR="007C5AF0" w:rsidRPr="00E455A3" w:rsidRDefault="007C5AF0" w:rsidP="007C5AF0">
      <w:pPr>
        <w:pStyle w:val="ac"/>
        <w:numPr>
          <w:ilvl w:val="0"/>
          <w:numId w:val="2"/>
        </w:num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איסור חנייה בדרך של רכב שרישיונו לא בתוקף </w:t>
      </w:r>
      <w:r>
        <w:rPr>
          <w:b w:val="0"/>
          <w:bCs w:val="0"/>
          <w:sz w:val="24"/>
          <w:szCs w:val="24"/>
          <w:rtl/>
        </w:rPr>
        <w:t>–</w:t>
      </w:r>
      <w:r>
        <w:rPr>
          <w:rFonts w:hint="cs"/>
          <w:b w:val="0"/>
          <w:bCs w:val="0"/>
          <w:sz w:val="24"/>
          <w:szCs w:val="24"/>
          <w:rtl/>
        </w:rPr>
        <w:t xml:space="preserve"> קנס מדרגה א', גם כן במקביל לקנס שבסמכות המשטרה (סעיף 3(2)(ז).</w:t>
      </w:r>
    </w:p>
    <w:p w:rsidR="00942AC1" w:rsidRDefault="00942AC1" w:rsidP="00923CBC">
      <w:pPr>
        <w:tabs>
          <w:tab w:val="left" w:pos="509"/>
          <w:tab w:val="left" w:pos="1076"/>
          <w:tab w:val="left" w:pos="1643"/>
          <w:tab w:val="left" w:pos="2210"/>
        </w:tabs>
        <w:spacing w:line="276" w:lineRule="auto"/>
        <w:ind w:left="509" w:hanging="509"/>
        <w:jc w:val="both"/>
        <w:rPr>
          <w:b w:val="0"/>
          <w:bCs w:val="0"/>
          <w:sz w:val="24"/>
          <w:szCs w:val="24"/>
          <w:rtl/>
        </w:rPr>
      </w:pPr>
    </w:p>
    <w:p w:rsidR="00F92A03" w:rsidRDefault="00F92A03">
      <w:pPr>
        <w:jc w:val="both"/>
        <w:rPr>
          <w:b w:val="0"/>
          <w:bCs w:val="0"/>
          <w:sz w:val="24"/>
          <w:szCs w:val="24"/>
          <w:rtl/>
        </w:rPr>
      </w:pPr>
    </w:p>
    <w:p w:rsidR="0041223F" w:rsidRDefault="0041223F">
      <w:pPr>
        <w:jc w:val="both"/>
        <w:rPr>
          <w:b w:val="0"/>
          <w:bCs w:val="0"/>
          <w:sz w:val="24"/>
          <w:szCs w:val="24"/>
          <w:rtl/>
        </w:rPr>
      </w:pPr>
    </w:p>
    <w:p w:rsidR="0041223F" w:rsidRDefault="0041223F">
      <w:pPr>
        <w:jc w:val="both"/>
        <w:rPr>
          <w:b w:val="0"/>
          <w:bCs w:val="0"/>
          <w:sz w:val="24"/>
          <w:szCs w:val="24"/>
          <w:rtl/>
        </w:rPr>
      </w:pPr>
    </w:p>
    <w:p w:rsidR="0041223F" w:rsidRDefault="0041223F">
      <w:pPr>
        <w:jc w:val="both"/>
        <w:rPr>
          <w:b w:val="0"/>
          <w:bCs w:val="0"/>
          <w:sz w:val="24"/>
          <w:szCs w:val="24"/>
          <w:rtl/>
        </w:rPr>
      </w:pPr>
    </w:p>
    <w:p w:rsidR="0041223F" w:rsidRDefault="0041223F">
      <w:pPr>
        <w:jc w:val="both"/>
        <w:rPr>
          <w:b w:val="0"/>
          <w:bCs w:val="0"/>
          <w:sz w:val="24"/>
          <w:szCs w:val="24"/>
          <w:rtl/>
        </w:rPr>
      </w:pPr>
    </w:p>
    <w:p w:rsidR="0041223F" w:rsidRDefault="0041223F">
      <w:pPr>
        <w:jc w:val="both"/>
        <w:rPr>
          <w:b w:val="0"/>
          <w:bCs w:val="0"/>
          <w:sz w:val="24"/>
          <w:szCs w:val="24"/>
          <w:rtl/>
        </w:rPr>
      </w:pPr>
    </w:p>
    <w:p w:rsidR="0041223F" w:rsidRDefault="0041223F">
      <w:pPr>
        <w:jc w:val="both"/>
        <w:rPr>
          <w:b w:val="0"/>
          <w:bCs w:val="0"/>
          <w:sz w:val="24"/>
          <w:szCs w:val="24"/>
          <w:rtl/>
        </w:rPr>
      </w:pPr>
    </w:p>
    <w:p w:rsidR="0041223F" w:rsidRDefault="0041223F" w:rsidP="0041223F">
      <w:pPr>
        <w:jc w:val="both"/>
        <w:rPr>
          <w:b w:val="0"/>
          <w:bCs w:val="0"/>
          <w:sz w:val="24"/>
          <w:szCs w:val="24"/>
          <w:rtl/>
        </w:rPr>
      </w:pPr>
      <w:r>
        <w:rPr>
          <w:rFonts w:hint="cs"/>
          <w:b w:val="0"/>
          <w:bCs w:val="0"/>
          <w:sz w:val="24"/>
          <w:szCs w:val="24"/>
          <w:rtl/>
        </w:rPr>
        <w:lastRenderedPageBreak/>
        <w:t>להלן טבלת השוואה בין הענישה הקיימת למוצע בצו:</w:t>
      </w:r>
    </w:p>
    <w:p w:rsidR="0041223F" w:rsidRDefault="0041223F" w:rsidP="0041223F">
      <w:pPr>
        <w:jc w:val="both"/>
        <w:rPr>
          <w:b w:val="0"/>
          <w:bCs w:val="0"/>
          <w:sz w:val="24"/>
          <w:szCs w:val="24"/>
          <w:rtl/>
        </w:rPr>
      </w:pPr>
    </w:p>
    <w:p w:rsidR="0041223F" w:rsidRDefault="0041223F" w:rsidP="0041223F">
      <w:pPr>
        <w:jc w:val="both"/>
        <w:rPr>
          <w:b w:val="0"/>
          <w:bCs w:val="0"/>
          <w:sz w:val="24"/>
          <w:szCs w:val="24"/>
          <w:rtl/>
        </w:rPr>
      </w:pPr>
    </w:p>
    <w:p w:rsidR="0041223F" w:rsidRDefault="0041223F" w:rsidP="0041223F">
      <w:pPr>
        <w:jc w:val="both"/>
        <w:rPr>
          <w:b w:val="0"/>
          <w:bCs w:val="0"/>
          <w:sz w:val="24"/>
          <w:szCs w:val="24"/>
          <w:rtl/>
        </w:rPr>
      </w:pPr>
    </w:p>
    <w:tbl>
      <w:tblPr>
        <w:tblStyle w:val="ad"/>
        <w:bidiVisual/>
        <w:tblW w:w="8482" w:type="dxa"/>
        <w:tblCellMar>
          <w:left w:w="28" w:type="dxa"/>
          <w:right w:w="28" w:type="dxa"/>
        </w:tblCellMar>
        <w:tblLook w:val="04A0" w:firstRow="1" w:lastRow="0" w:firstColumn="1" w:lastColumn="0" w:noHBand="0" w:noVBand="1"/>
      </w:tblPr>
      <w:tblGrid>
        <w:gridCol w:w="4774"/>
        <w:gridCol w:w="2642"/>
        <w:gridCol w:w="1066"/>
      </w:tblGrid>
      <w:tr w:rsidR="0041223F" w:rsidTr="00DE79B2">
        <w:tc>
          <w:tcPr>
            <w:tcW w:w="4774" w:type="dxa"/>
          </w:tcPr>
          <w:p w:rsidR="0041223F" w:rsidRPr="002442D3" w:rsidRDefault="0041223F" w:rsidP="00DE79B2">
            <w:pPr>
              <w:tabs>
                <w:tab w:val="left" w:pos="509"/>
                <w:tab w:val="left" w:pos="1076"/>
                <w:tab w:val="left" w:pos="1643"/>
                <w:tab w:val="left" w:pos="2210"/>
              </w:tabs>
              <w:spacing w:line="276" w:lineRule="auto"/>
              <w:jc w:val="center"/>
              <w:rPr>
                <w:sz w:val="24"/>
                <w:szCs w:val="24"/>
                <w:rtl/>
              </w:rPr>
            </w:pPr>
            <w:r>
              <w:rPr>
                <w:rFonts w:hint="cs"/>
                <w:sz w:val="24"/>
                <w:szCs w:val="24"/>
                <w:rtl/>
              </w:rPr>
              <w:t xml:space="preserve">תמצית </w:t>
            </w:r>
            <w:r w:rsidRPr="002442D3">
              <w:rPr>
                <w:rFonts w:hint="cs"/>
                <w:sz w:val="24"/>
                <w:szCs w:val="24"/>
                <w:rtl/>
              </w:rPr>
              <w:t>הוראת הדין</w:t>
            </w:r>
          </w:p>
        </w:tc>
        <w:tc>
          <w:tcPr>
            <w:tcW w:w="2642" w:type="dxa"/>
          </w:tcPr>
          <w:p w:rsidR="0041223F" w:rsidRPr="002442D3" w:rsidRDefault="0041223F" w:rsidP="0041223F">
            <w:pPr>
              <w:tabs>
                <w:tab w:val="left" w:pos="509"/>
                <w:tab w:val="left" w:pos="1076"/>
                <w:tab w:val="left" w:pos="1643"/>
                <w:tab w:val="left" w:pos="2210"/>
              </w:tabs>
              <w:spacing w:line="276" w:lineRule="auto"/>
              <w:jc w:val="center"/>
              <w:rPr>
                <w:sz w:val="24"/>
                <w:szCs w:val="24"/>
                <w:rtl/>
              </w:rPr>
            </w:pPr>
            <w:r>
              <w:rPr>
                <w:rFonts w:hint="cs"/>
                <w:sz w:val="24"/>
                <w:szCs w:val="24"/>
                <w:rtl/>
              </w:rPr>
              <w:t>ענישה</w:t>
            </w:r>
            <w:r w:rsidRPr="002442D3">
              <w:rPr>
                <w:rFonts w:hint="cs"/>
                <w:sz w:val="24"/>
                <w:szCs w:val="24"/>
                <w:rtl/>
              </w:rPr>
              <w:t xml:space="preserve"> קיי</w:t>
            </w:r>
            <w:r>
              <w:rPr>
                <w:rFonts w:hint="cs"/>
                <w:sz w:val="24"/>
                <w:szCs w:val="24"/>
                <w:rtl/>
              </w:rPr>
              <w:t>מת</w:t>
            </w:r>
          </w:p>
        </w:tc>
        <w:tc>
          <w:tcPr>
            <w:tcW w:w="1066" w:type="dxa"/>
          </w:tcPr>
          <w:p w:rsidR="0041223F" w:rsidRPr="002442D3" w:rsidRDefault="0041223F" w:rsidP="0041223F">
            <w:pPr>
              <w:tabs>
                <w:tab w:val="left" w:pos="509"/>
                <w:tab w:val="left" w:pos="1076"/>
                <w:tab w:val="left" w:pos="1643"/>
                <w:tab w:val="left" w:pos="2210"/>
              </w:tabs>
              <w:spacing w:line="276" w:lineRule="auto"/>
              <w:jc w:val="both"/>
              <w:rPr>
                <w:sz w:val="24"/>
                <w:szCs w:val="24"/>
                <w:rtl/>
              </w:rPr>
            </w:pPr>
            <w:r w:rsidRPr="002442D3">
              <w:rPr>
                <w:rFonts w:hint="cs"/>
                <w:sz w:val="24"/>
                <w:szCs w:val="24"/>
                <w:rtl/>
              </w:rPr>
              <w:t xml:space="preserve">קנס </w:t>
            </w:r>
            <w:r>
              <w:rPr>
                <w:rFonts w:hint="cs"/>
                <w:sz w:val="24"/>
                <w:szCs w:val="24"/>
                <w:rtl/>
              </w:rPr>
              <w:t>מ</w:t>
            </w:r>
            <w:r w:rsidRPr="002442D3">
              <w:rPr>
                <w:rFonts w:hint="cs"/>
                <w:sz w:val="24"/>
                <w:szCs w:val="24"/>
                <w:rtl/>
              </w:rPr>
              <w:t>וצע</w:t>
            </w:r>
            <w:r>
              <w:rPr>
                <w:rFonts w:hint="cs"/>
                <w:sz w:val="24"/>
                <w:szCs w:val="24"/>
                <w:rtl/>
              </w:rPr>
              <w:t xml:space="preserve">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רישיון רכב פקע, בין 4 חודשים לשנה </w:t>
            </w:r>
          </w:p>
        </w:tc>
        <w:tc>
          <w:tcPr>
            <w:tcW w:w="2642" w:type="dxa"/>
          </w:tcPr>
          <w:p w:rsidR="0041223F" w:rsidRDefault="0041223F" w:rsidP="0041223F">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עד 6 חודשים </w:t>
            </w:r>
            <w:r>
              <w:rPr>
                <w:b w:val="0"/>
                <w:bCs w:val="0"/>
                <w:sz w:val="24"/>
                <w:szCs w:val="24"/>
                <w:rtl/>
              </w:rPr>
              <w:t>–</w:t>
            </w:r>
            <w:r>
              <w:rPr>
                <w:rFonts w:hint="cs"/>
                <w:b w:val="0"/>
                <w:bCs w:val="0"/>
                <w:sz w:val="24"/>
                <w:szCs w:val="24"/>
                <w:rtl/>
              </w:rPr>
              <w:t xml:space="preserve"> 750 ₪, יותר מכך </w:t>
            </w:r>
            <w:r>
              <w:rPr>
                <w:b w:val="0"/>
                <w:bCs w:val="0"/>
                <w:sz w:val="24"/>
                <w:szCs w:val="24"/>
                <w:rtl/>
              </w:rPr>
              <w:t>–</w:t>
            </w:r>
            <w:r>
              <w:rPr>
                <w:rFonts w:hint="cs"/>
                <w:b w:val="0"/>
                <w:bCs w:val="0"/>
                <w:sz w:val="24"/>
                <w:szCs w:val="24"/>
                <w:rtl/>
              </w:rPr>
              <w:t xml:space="preserve"> הזמנה לדין</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1000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רישיון נהיגה פקע, בין ששה חודשים לשנתיים, לגבי מי שזכאי לרישיון נהיגה לתקופה שמעל שנתיים</w:t>
            </w:r>
          </w:p>
        </w:tc>
        <w:tc>
          <w:tcPr>
            <w:tcW w:w="2642"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הזמנה לדין</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750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אי ציות לרמזור אדום </w:t>
            </w:r>
          </w:p>
        </w:tc>
        <w:tc>
          <w:tcPr>
            <w:tcW w:w="2642" w:type="dxa"/>
          </w:tcPr>
          <w:p w:rsidR="0041223F" w:rsidRDefault="0041223F" w:rsidP="00DE79B2">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 xml:space="preserve">1000 ₪ </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1500 ₪ (חדש)</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רכיבה על אופניים חשמליים מתחת לגיל המותר, או לא תקניים</w:t>
            </w:r>
          </w:p>
        </w:tc>
        <w:tc>
          <w:tcPr>
            <w:tcW w:w="2642"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הזמנה לדין  - עבירה חדשה</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1000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מהירות, בדרך עירונית בין 31 ל-40 קמ"ש מעל המותר ובדרך בין עירונית 41 עד 50 קמ"ש מעל המותר</w:t>
            </w:r>
          </w:p>
        </w:tc>
        <w:tc>
          <w:tcPr>
            <w:tcW w:w="2642"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הזמנה לדין </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1500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אי מתן זכות קדימה להולך רגל שמתכוון לחצות, או כשרכב אחר נתן זכות קדימה כאמור</w:t>
            </w:r>
          </w:p>
        </w:tc>
        <w:tc>
          <w:tcPr>
            <w:tcW w:w="2642"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הזמנה לדין </w:t>
            </w:r>
            <w:r>
              <w:rPr>
                <w:b w:val="0"/>
                <w:bCs w:val="0"/>
                <w:sz w:val="24"/>
                <w:szCs w:val="24"/>
                <w:rtl/>
              </w:rPr>
              <w:t>–</w:t>
            </w:r>
            <w:r>
              <w:rPr>
                <w:rFonts w:hint="cs"/>
                <w:b w:val="0"/>
                <w:bCs w:val="0"/>
                <w:sz w:val="24"/>
                <w:szCs w:val="24"/>
                <w:rtl/>
              </w:rPr>
              <w:t xml:space="preserve"> עבירה חדשה</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250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חניה בשביל האופניים</w:t>
            </w:r>
          </w:p>
        </w:tc>
        <w:tc>
          <w:tcPr>
            <w:tcW w:w="2642" w:type="dxa"/>
          </w:tcPr>
          <w:p w:rsidR="0041223F" w:rsidRDefault="0041223F" w:rsidP="00DE79B2">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 xml:space="preserve">100 ₪ </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250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עומס יתר מ-15% ועד 25%</w:t>
            </w:r>
          </w:p>
        </w:tc>
        <w:tc>
          <w:tcPr>
            <w:tcW w:w="2642" w:type="dxa"/>
          </w:tcPr>
          <w:p w:rsidR="0041223F" w:rsidRDefault="0041223F" w:rsidP="00DE79B2">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 xml:space="preserve">1000 ₪ </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הזמנה לדין</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עבירות שונות של רוכבי אופניים חשמליים ובכלל זה, רכיבה שלא בישיבה על המושב, הובלה באופניים, רכיבה לצד רכב אחר, אי שמירת רווח, רכיבה שלא בימין הכביש, רכיבה על מדרכה, העדר ציוד בטיחות תקין, אי הפעלת אורות</w:t>
            </w:r>
          </w:p>
        </w:tc>
        <w:tc>
          <w:tcPr>
            <w:tcW w:w="2642" w:type="dxa"/>
          </w:tcPr>
          <w:p w:rsidR="0041223F" w:rsidRDefault="0041223F" w:rsidP="0041223F">
            <w:pPr>
              <w:tabs>
                <w:tab w:val="left" w:pos="509"/>
                <w:tab w:val="left" w:pos="1076"/>
                <w:tab w:val="left" w:pos="1206"/>
                <w:tab w:val="center" w:pos="1293"/>
                <w:tab w:val="left" w:pos="1643"/>
                <w:tab w:val="left" w:pos="2210"/>
              </w:tabs>
              <w:spacing w:line="276" w:lineRule="auto"/>
              <w:jc w:val="center"/>
              <w:rPr>
                <w:b w:val="0"/>
                <w:bCs w:val="0"/>
                <w:sz w:val="24"/>
                <w:szCs w:val="24"/>
                <w:rtl/>
              </w:rPr>
            </w:pPr>
            <w:r>
              <w:rPr>
                <w:rFonts w:hint="cs"/>
                <w:b w:val="0"/>
                <w:bCs w:val="0"/>
                <w:sz w:val="24"/>
                <w:szCs w:val="24"/>
                <w:rtl/>
              </w:rPr>
              <w:t>100 ₪</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250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רכיבת אופניים בקבוצה בדרך בין עירונית </w:t>
            </w:r>
            <w:r>
              <w:rPr>
                <w:b w:val="0"/>
                <w:bCs w:val="0"/>
                <w:sz w:val="24"/>
                <w:szCs w:val="24"/>
                <w:rtl/>
              </w:rPr>
              <w:t>–</w:t>
            </w:r>
            <w:r>
              <w:rPr>
                <w:rFonts w:hint="cs"/>
                <w:b w:val="0"/>
                <w:bCs w:val="0"/>
                <w:sz w:val="24"/>
                <w:szCs w:val="24"/>
                <w:rtl/>
              </w:rPr>
              <w:t xml:space="preserve"> חובת ליווי</w:t>
            </w:r>
          </w:p>
        </w:tc>
        <w:tc>
          <w:tcPr>
            <w:tcW w:w="2642"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הזמנה לדין - עבירה חדשה</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500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רכיבת אופניים בקבוצה בדרך בין עירונית </w:t>
            </w:r>
            <w:r>
              <w:rPr>
                <w:b w:val="0"/>
                <w:bCs w:val="0"/>
                <w:sz w:val="24"/>
                <w:szCs w:val="24"/>
                <w:rtl/>
              </w:rPr>
              <w:t>–</w:t>
            </w:r>
            <w:r>
              <w:rPr>
                <w:rFonts w:hint="cs"/>
                <w:b w:val="0"/>
                <w:bCs w:val="0"/>
                <w:sz w:val="24"/>
                <w:szCs w:val="24"/>
                <w:rtl/>
              </w:rPr>
              <w:t xml:space="preserve"> חובות המלווה</w:t>
            </w:r>
          </w:p>
        </w:tc>
        <w:tc>
          <w:tcPr>
            <w:tcW w:w="2642"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הזמנה לדין - עבירה חדשה</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250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נהיגה אסורה בעגלה</w:t>
            </w:r>
          </w:p>
        </w:tc>
        <w:tc>
          <w:tcPr>
            <w:tcW w:w="2642"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הזמנה לדין </w:t>
            </w:r>
            <w:r>
              <w:rPr>
                <w:b w:val="0"/>
                <w:bCs w:val="0"/>
                <w:sz w:val="24"/>
                <w:szCs w:val="24"/>
                <w:rtl/>
              </w:rPr>
              <w:t>–</w:t>
            </w:r>
            <w:r>
              <w:rPr>
                <w:rFonts w:hint="cs"/>
                <w:b w:val="0"/>
                <w:bCs w:val="0"/>
                <w:sz w:val="24"/>
                <w:szCs w:val="24"/>
                <w:rtl/>
              </w:rPr>
              <w:t xml:space="preserve"> עבירה חדשה</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500 ₪</w:t>
            </w:r>
          </w:p>
        </w:tc>
      </w:tr>
      <w:tr w:rsidR="0041223F" w:rsidTr="00DE79B2">
        <w:tc>
          <w:tcPr>
            <w:tcW w:w="4774"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סימון דופן הרמה הידראולית בפנסים</w:t>
            </w:r>
          </w:p>
        </w:tc>
        <w:tc>
          <w:tcPr>
            <w:tcW w:w="2642" w:type="dxa"/>
          </w:tcPr>
          <w:p w:rsidR="0041223F" w:rsidRDefault="0041223F" w:rsidP="00DE79B2">
            <w:pPr>
              <w:tabs>
                <w:tab w:val="left" w:pos="509"/>
                <w:tab w:val="left" w:pos="1076"/>
                <w:tab w:val="left" w:pos="1643"/>
                <w:tab w:val="left" w:pos="2210"/>
              </w:tabs>
              <w:spacing w:line="276" w:lineRule="auto"/>
              <w:jc w:val="both"/>
              <w:rPr>
                <w:b w:val="0"/>
                <w:bCs w:val="0"/>
                <w:sz w:val="24"/>
                <w:szCs w:val="24"/>
                <w:rtl/>
              </w:rPr>
            </w:pPr>
            <w:r>
              <w:rPr>
                <w:rFonts w:hint="cs"/>
                <w:b w:val="0"/>
                <w:bCs w:val="0"/>
                <w:sz w:val="24"/>
                <w:szCs w:val="24"/>
                <w:rtl/>
              </w:rPr>
              <w:t xml:space="preserve">הזמנה לדין </w:t>
            </w:r>
            <w:r>
              <w:rPr>
                <w:b w:val="0"/>
                <w:bCs w:val="0"/>
                <w:sz w:val="24"/>
                <w:szCs w:val="24"/>
                <w:rtl/>
              </w:rPr>
              <w:t>–</w:t>
            </w:r>
            <w:r>
              <w:rPr>
                <w:rFonts w:hint="cs"/>
                <w:b w:val="0"/>
                <w:bCs w:val="0"/>
                <w:sz w:val="24"/>
                <w:szCs w:val="24"/>
                <w:rtl/>
              </w:rPr>
              <w:t xml:space="preserve"> עבירה חדשה</w:t>
            </w:r>
          </w:p>
        </w:tc>
        <w:tc>
          <w:tcPr>
            <w:tcW w:w="1066" w:type="dxa"/>
          </w:tcPr>
          <w:p w:rsidR="0041223F" w:rsidRDefault="0041223F" w:rsidP="0041223F">
            <w:pPr>
              <w:tabs>
                <w:tab w:val="left" w:pos="509"/>
                <w:tab w:val="left" w:pos="1076"/>
                <w:tab w:val="left" w:pos="1643"/>
                <w:tab w:val="left" w:pos="2210"/>
              </w:tabs>
              <w:spacing w:line="276" w:lineRule="auto"/>
              <w:jc w:val="center"/>
              <w:rPr>
                <w:b w:val="0"/>
                <w:bCs w:val="0"/>
                <w:sz w:val="24"/>
                <w:szCs w:val="24"/>
                <w:rtl/>
              </w:rPr>
            </w:pPr>
            <w:r>
              <w:rPr>
                <w:rFonts w:hint="cs"/>
                <w:b w:val="0"/>
                <w:bCs w:val="0"/>
                <w:sz w:val="24"/>
                <w:szCs w:val="24"/>
                <w:rtl/>
              </w:rPr>
              <w:t>250 ₪</w:t>
            </w:r>
          </w:p>
        </w:tc>
      </w:tr>
    </w:tbl>
    <w:p w:rsidR="00923CBC" w:rsidRDefault="00923CBC">
      <w:pPr>
        <w:jc w:val="both"/>
        <w:rPr>
          <w:b w:val="0"/>
          <w:bCs w:val="0"/>
          <w:sz w:val="24"/>
          <w:szCs w:val="24"/>
          <w:rtl/>
        </w:rPr>
      </w:pPr>
    </w:p>
    <w:p w:rsidR="00923CBC" w:rsidRDefault="00923CBC">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DE79B2" w:rsidRDefault="00DE79B2">
      <w:pPr>
        <w:jc w:val="both"/>
        <w:rPr>
          <w:b w:val="0"/>
          <w:bCs w:val="0"/>
          <w:sz w:val="24"/>
          <w:szCs w:val="24"/>
          <w:rtl/>
        </w:rPr>
      </w:pPr>
    </w:p>
    <w:p w:rsidR="00F92A03" w:rsidRPr="00B82162" w:rsidRDefault="008B6D12">
      <w:pPr>
        <w:jc w:val="both"/>
        <w:rPr>
          <w:b w:val="0"/>
          <w:bCs w:val="0"/>
          <w:sz w:val="16"/>
          <w:szCs w:val="16"/>
          <w:rtl/>
        </w:rPr>
      </w:pPr>
      <w:r w:rsidRPr="00923CBC">
        <w:rPr>
          <w:b w:val="0"/>
          <w:bCs w:val="0"/>
          <w:sz w:val="16"/>
          <w:szCs w:val="16"/>
        </w:rPr>
        <w:fldChar w:fldCharType="begin"/>
      </w:r>
      <w:r w:rsidRPr="00923CBC">
        <w:rPr>
          <w:b w:val="0"/>
          <w:bCs w:val="0"/>
          <w:sz w:val="16"/>
          <w:szCs w:val="16"/>
        </w:rPr>
        <w:instrText xml:space="preserve"> FILENAME \p \* Upper \* MERGEFORMAT </w:instrText>
      </w:r>
      <w:r w:rsidRPr="00923CBC">
        <w:rPr>
          <w:b w:val="0"/>
          <w:bCs w:val="0"/>
          <w:sz w:val="16"/>
          <w:szCs w:val="16"/>
        </w:rPr>
        <w:fldChar w:fldCharType="separate"/>
      </w:r>
      <w:r w:rsidR="00B82162">
        <w:rPr>
          <w:b w:val="0"/>
          <w:bCs w:val="0"/>
          <w:noProof/>
          <w:sz w:val="16"/>
          <w:szCs w:val="16"/>
        </w:rPr>
        <w:t>G:\MSP\WORD\MISHPATIM\</w:t>
      </w:r>
      <w:r w:rsidR="00B82162">
        <w:rPr>
          <w:b w:val="0"/>
          <w:bCs w:val="0"/>
          <w:noProof/>
          <w:sz w:val="16"/>
          <w:szCs w:val="16"/>
          <w:rtl/>
        </w:rPr>
        <w:t>חקיקה\תחבורתית\צו קנסות תשע'ו דברי הסבר</w:t>
      </w:r>
      <w:r w:rsidR="00B82162">
        <w:rPr>
          <w:b w:val="0"/>
          <w:bCs w:val="0"/>
          <w:noProof/>
          <w:sz w:val="16"/>
          <w:szCs w:val="16"/>
        </w:rPr>
        <w:t>.DOCX</w:t>
      </w:r>
      <w:r w:rsidRPr="00923CBC">
        <w:rPr>
          <w:b w:val="0"/>
          <w:bCs w:val="0"/>
          <w:noProof/>
          <w:sz w:val="16"/>
          <w:szCs w:val="16"/>
        </w:rPr>
        <w:fldChar w:fldCharType="end"/>
      </w:r>
    </w:p>
    <w:sectPr w:rsidR="00F92A03" w:rsidRPr="00B82162" w:rsidSect="00B82162">
      <w:headerReference w:type="even" r:id="rId7"/>
      <w:headerReference w:type="default" r:id="rId8"/>
      <w:footerReference w:type="even" r:id="rId9"/>
      <w:footerReference w:type="default" r:id="rId10"/>
      <w:headerReference w:type="first" r:id="rId11"/>
      <w:type w:val="continuous"/>
      <w:pgSz w:w="11906" w:h="16838" w:code="9"/>
      <w:pgMar w:top="1440" w:right="1800" w:bottom="1440" w:left="1800" w:header="709" w:footer="0" w:gutter="0"/>
      <w:cols w:space="708"/>
      <w:titlePg/>
      <w:bidi/>
      <w:rtlGutter/>
      <w:docGrid w:linePitch="3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08B" w:rsidRDefault="0015208B">
      <w:r>
        <w:separator/>
      </w:r>
    </w:p>
  </w:endnote>
  <w:endnote w:type="continuationSeparator" w:id="0">
    <w:p w:rsidR="0015208B" w:rsidRDefault="00152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khbar Simplified MT">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9B2" w:rsidRDefault="00DE79B2">
    <w:pPr>
      <w:pStyle w:val="a4"/>
      <w:framePr w:wrap="around" w:vAnchor="text" w:hAnchor="margin" w:y="1"/>
      <w:rPr>
        <w:rStyle w:val="a9"/>
        <w:rtl/>
      </w:rPr>
    </w:pPr>
    <w:r>
      <w:rPr>
        <w:rStyle w:val="a9"/>
        <w:rtl/>
      </w:rPr>
      <w:fldChar w:fldCharType="begin"/>
    </w:r>
    <w:r>
      <w:rPr>
        <w:rStyle w:val="a9"/>
      </w:rPr>
      <w:instrText xml:space="preserve">PAGE  </w:instrText>
    </w:r>
    <w:r>
      <w:rPr>
        <w:rStyle w:val="a9"/>
        <w:rtl/>
      </w:rPr>
      <w:fldChar w:fldCharType="end"/>
    </w:r>
  </w:p>
  <w:p w:rsidR="00DE79B2" w:rsidRDefault="00DE79B2">
    <w:pPr>
      <w:pStyle w:val="a4"/>
      <w:ind w:right="360"/>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9B2" w:rsidRDefault="00DE79B2">
    <w:pPr>
      <w:pStyle w:val="a4"/>
      <w:framePr w:wrap="around" w:vAnchor="text" w:hAnchor="margin" w:y="1"/>
      <w:rPr>
        <w:rStyle w:val="a9"/>
        <w:rtl/>
      </w:rPr>
    </w:pPr>
    <w:r>
      <w:rPr>
        <w:rStyle w:val="a9"/>
        <w:rtl/>
      </w:rPr>
      <w:fldChar w:fldCharType="begin"/>
    </w:r>
    <w:r>
      <w:rPr>
        <w:rStyle w:val="a9"/>
      </w:rPr>
      <w:instrText xml:space="preserve">PAGE  </w:instrText>
    </w:r>
    <w:r>
      <w:rPr>
        <w:rStyle w:val="a9"/>
        <w:rtl/>
      </w:rPr>
      <w:fldChar w:fldCharType="separate"/>
    </w:r>
    <w:r w:rsidR="00614BC1">
      <w:rPr>
        <w:rStyle w:val="a9"/>
        <w:noProof/>
        <w:rtl/>
      </w:rPr>
      <w:t>3</w:t>
    </w:r>
    <w:r>
      <w:rPr>
        <w:rStyle w:val="a9"/>
        <w:rtl/>
      </w:rPr>
      <w:fldChar w:fldCharType="end"/>
    </w:r>
  </w:p>
  <w:p w:rsidR="00DE79B2" w:rsidRDefault="00DE79B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08B" w:rsidRDefault="0015208B">
      <w:r>
        <w:separator/>
      </w:r>
    </w:p>
  </w:footnote>
  <w:footnote w:type="continuationSeparator" w:id="0">
    <w:p w:rsidR="0015208B" w:rsidRDefault="00152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9B2" w:rsidRDefault="00DE79B2">
    <w:pPr>
      <w:pStyle w:val="a3"/>
      <w:framePr w:wrap="around" w:vAnchor="text" w:hAnchor="margin" w:xAlign="center" w:y="1"/>
      <w:rPr>
        <w:rStyle w:val="a9"/>
        <w:rtl/>
      </w:rPr>
    </w:pPr>
    <w:r>
      <w:rPr>
        <w:rStyle w:val="a9"/>
        <w:rtl/>
      </w:rPr>
      <w:fldChar w:fldCharType="begin"/>
    </w:r>
    <w:r>
      <w:rPr>
        <w:rStyle w:val="a9"/>
      </w:rPr>
      <w:instrText xml:space="preserve">PAGE  </w:instrText>
    </w:r>
    <w:r>
      <w:rPr>
        <w:rStyle w:val="a9"/>
        <w:rtl/>
      </w:rPr>
      <w:fldChar w:fldCharType="end"/>
    </w:r>
  </w:p>
  <w:p w:rsidR="00DE79B2" w:rsidRDefault="00DE79B2">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9B2" w:rsidRDefault="00DE79B2">
    <w:pPr>
      <w:pStyle w:val="a3"/>
      <w:framePr w:wrap="around" w:vAnchor="text" w:hAnchor="margin" w:xAlign="center" w:y="1"/>
      <w:rPr>
        <w:rStyle w:val="a9"/>
        <w:rtl/>
      </w:rPr>
    </w:pPr>
    <w:r>
      <w:rPr>
        <w:rStyle w:val="a9"/>
        <w:rtl/>
      </w:rPr>
      <w:fldChar w:fldCharType="begin"/>
    </w:r>
    <w:r>
      <w:rPr>
        <w:rStyle w:val="a9"/>
      </w:rPr>
      <w:instrText xml:space="preserve">PAGE  </w:instrText>
    </w:r>
    <w:r>
      <w:rPr>
        <w:rStyle w:val="a9"/>
        <w:rtl/>
      </w:rPr>
      <w:fldChar w:fldCharType="separate"/>
    </w:r>
    <w:r w:rsidR="00614BC1">
      <w:rPr>
        <w:rStyle w:val="a9"/>
        <w:noProof/>
        <w:rtl/>
      </w:rPr>
      <w:t>3</w:t>
    </w:r>
    <w:r>
      <w:rPr>
        <w:rStyle w:val="a9"/>
        <w:rtl/>
      </w:rPr>
      <w:fldChar w:fldCharType="end"/>
    </w:r>
  </w:p>
  <w:p w:rsidR="00DE79B2" w:rsidRDefault="00DE79B2">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9B2" w:rsidRDefault="00DE79B2">
    <w:pPr>
      <w:pStyle w:val="a5"/>
      <w:rPr>
        <w:b/>
        <w:bCs/>
        <w:rtl/>
      </w:rPr>
    </w:pPr>
  </w:p>
  <w:p w:rsidR="00DE79B2" w:rsidRDefault="00DE79B2">
    <w:pPr>
      <w:pStyle w:val="a5"/>
      <w:rPr>
        <w:b/>
        <w:bCs/>
        <w:rtl/>
      </w:rPr>
    </w:pPr>
  </w:p>
  <w:p w:rsidR="00DE79B2" w:rsidRDefault="00DE79B2">
    <w:pPr>
      <w:pStyle w:val="a5"/>
      <w:rPr>
        <w:b/>
        <w:bCs/>
        <w:rtl/>
      </w:rPr>
    </w:pPr>
  </w:p>
  <w:p w:rsidR="00DE79B2" w:rsidRDefault="00DE79B2">
    <w:pPr>
      <w:pStyle w:val="a5"/>
      <w:rPr>
        <w:b/>
        <w:bCs/>
        <w:rtl/>
      </w:rPr>
    </w:pPr>
  </w:p>
  <w:p w:rsidR="00DE79B2" w:rsidRDefault="00DE79B2">
    <w:pPr>
      <w:pStyle w:val="a5"/>
      <w:rPr>
        <w:b/>
        <w:bCs/>
        <w:rtl/>
      </w:rPr>
    </w:pPr>
  </w:p>
  <w:p w:rsidR="00DE79B2" w:rsidRPr="00291654" w:rsidRDefault="00DE79B2" w:rsidP="00B82162">
    <w:pPr>
      <w:pStyle w:val="a5"/>
      <w:jc w:val="left"/>
      <w:rPr>
        <w:b/>
        <w:bCs/>
        <w:color w:val="000080"/>
        <w:rtl/>
      </w:rPr>
    </w:pPr>
    <w:r>
      <w:rPr>
        <w:rFonts w:hint="cs"/>
        <w:b/>
        <w:bCs/>
        <w:rtl/>
      </w:rPr>
      <w:tab/>
    </w:r>
    <w:r>
      <w:rPr>
        <w:rFonts w:hint="cs"/>
        <w:b/>
        <w:bCs/>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43C85"/>
    <w:multiLevelType w:val="hybridMultilevel"/>
    <w:tmpl w:val="0E985374"/>
    <w:lvl w:ilvl="0" w:tplc="04090001">
      <w:start w:val="1"/>
      <w:numFmt w:val="bullet"/>
      <w:lvlText w:val=""/>
      <w:lvlJc w:val="left"/>
      <w:pPr>
        <w:ind w:left="869" w:hanging="360"/>
      </w:pPr>
      <w:rPr>
        <w:rFonts w:ascii="Symbol" w:hAnsi="Symbol" w:hint="default"/>
      </w:rPr>
    </w:lvl>
    <w:lvl w:ilvl="1" w:tplc="04090003" w:tentative="1">
      <w:start w:val="1"/>
      <w:numFmt w:val="bullet"/>
      <w:lvlText w:val="o"/>
      <w:lvlJc w:val="left"/>
      <w:pPr>
        <w:ind w:left="1589" w:hanging="360"/>
      </w:pPr>
      <w:rPr>
        <w:rFonts w:ascii="Courier New" w:hAnsi="Courier New" w:cs="Courier New" w:hint="default"/>
      </w:rPr>
    </w:lvl>
    <w:lvl w:ilvl="2" w:tplc="04090005" w:tentative="1">
      <w:start w:val="1"/>
      <w:numFmt w:val="bullet"/>
      <w:lvlText w:val=""/>
      <w:lvlJc w:val="left"/>
      <w:pPr>
        <w:ind w:left="2309" w:hanging="360"/>
      </w:pPr>
      <w:rPr>
        <w:rFonts w:ascii="Wingdings" w:hAnsi="Wingdings" w:hint="default"/>
      </w:rPr>
    </w:lvl>
    <w:lvl w:ilvl="3" w:tplc="04090001" w:tentative="1">
      <w:start w:val="1"/>
      <w:numFmt w:val="bullet"/>
      <w:lvlText w:val=""/>
      <w:lvlJc w:val="left"/>
      <w:pPr>
        <w:ind w:left="3029" w:hanging="360"/>
      </w:pPr>
      <w:rPr>
        <w:rFonts w:ascii="Symbol" w:hAnsi="Symbol" w:hint="default"/>
      </w:rPr>
    </w:lvl>
    <w:lvl w:ilvl="4" w:tplc="04090003" w:tentative="1">
      <w:start w:val="1"/>
      <w:numFmt w:val="bullet"/>
      <w:lvlText w:val="o"/>
      <w:lvlJc w:val="left"/>
      <w:pPr>
        <w:ind w:left="3749" w:hanging="360"/>
      </w:pPr>
      <w:rPr>
        <w:rFonts w:ascii="Courier New" w:hAnsi="Courier New" w:cs="Courier New" w:hint="default"/>
      </w:rPr>
    </w:lvl>
    <w:lvl w:ilvl="5" w:tplc="04090005" w:tentative="1">
      <w:start w:val="1"/>
      <w:numFmt w:val="bullet"/>
      <w:lvlText w:val=""/>
      <w:lvlJc w:val="left"/>
      <w:pPr>
        <w:ind w:left="4469" w:hanging="360"/>
      </w:pPr>
      <w:rPr>
        <w:rFonts w:ascii="Wingdings" w:hAnsi="Wingdings" w:hint="default"/>
      </w:rPr>
    </w:lvl>
    <w:lvl w:ilvl="6" w:tplc="04090001" w:tentative="1">
      <w:start w:val="1"/>
      <w:numFmt w:val="bullet"/>
      <w:lvlText w:val=""/>
      <w:lvlJc w:val="left"/>
      <w:pPr>
        <w:ind w:left="5189" w:hanging="360"/>
      </w:pPr>
      <w:rPr>
        <w:rFonts w:ascii="Symbol" w:hAnsi="Symbol" w:hint="default"/>
      </w:rPr>
    </w:lvl>
    <w:lvl w:ilvl="7" w:tplc="04090003" w:tentative="1">
      <w:start w:val="1"/>
      <w:numFmt w:val="bullet"/>
      <w:lvlText w:val="o"/>
      <w:lvlJc w:val="left"/>
      <w:pPr>
        <w:ind w:left="5909" w:hanging="360"/>
      </w:pPr>
      <w:rPr>
        <w:rFonts w:ascii="Courier New" w:hAnsi="Courier New" w:cs="Courier New" w:hint="default"/>
      </w:rPr>
    </w:lvl>
    <w:lvl w:ilvl="8" w:tplc="04090005" w:tentative="1">
      <w:start w:val="1"/>
      <w:numFmt w:val="bullet"/>
      <w:lvlText w:val=""/>
      <w:lvlJc w:val="left"/>
      <w:pPr>
        <w:ind w:left="6629" w:hanging="360"/>
      </w:pPr>
      <w:rPr>
        <w:rFonts w:ascii="Wingdings" w:hAnsi="Wingdings" w:hint="default"/>
      </w:rPr>
    </w:lvl>
  </w:abstractNum>
  <w:abstractNum w:abstractNumId="1" w15:restartNumberingAfterBreak="0">
    <w:nsid w:val="325F19E7"/>
    <w:multiLevelType w:val="hybridMultilevel"/>
    <w:tmpl w:val="D59EA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42F"/>
    <w:rsid w:val="00010B0D"/>
    <w:rsid w:val="00016C43"/>
    <w:rsid w:val="0002644B"/>
    <w:rsid w:val="0004482A"/>
    <w:rsid w:val="0005530E"/>
    <w:rsid w:val="0006024B"/>
    <w:rsid w:val="00063454"/>
    <w:rsid w:val="00076D45"/>
    <w:rsid w:val="000F1328"/>
    <w:rsid w:val="00103DEB"/>
    <w:rsid w:val="0015208B"/>
    <w:rsid w:val="00171327"/>
    <w:rsid w:val="00180C24"/>
    <w:rsid w:val="00193C62"/>
    <w:rsid w:val="001A1C84"/>
    <w:rsid w:val="001B342F"/>
    <w:rsid w:val="001B39D7"/>
    <w:rsid w:val="00291654"/>
    <w:rsid w:val="002F6303"/>
    <w:rsid w:val="00304A28"/>
    <w:rsid w:val="00335D66"/>
    <w:rsid w:val="003B36AB"/>
    <w:rsid w:val="0041223F"/>
    <w:rsid w:val="0042340A"/>
    <w:rsid w:val="004F1AFB"/>
    <w:rsid w:val="0053581C"/>
    <w:rsid w:val="00546950"/>
    <w:rsid w:val="00593CEE"/>
    <w:rsid w:val="005F4BE2"/>
    <w:rsid w:val="00614BC1"/>
    <w:rsid w:val="00616911"/>
    <w:rsid w:val="006D13AD"/>
    <w:rsid w:val="007370AB"/>
    <w:rsid w:val="007444CD"/>
    <w:rsid w:val="0074717E"/>
    <w:rsid w:val="007C475D"/>
    <w:rsid w:val="007C5AF0"/>
    <w:rsid w:val="007C66E3"/>
    <w:rsid w:val="007F1277"/>
    <w:rsid w:val="00833B72"/>
    <w:rsid w:val="008B6D12"/>
    <w:rsid w:val="008C41D1"/>
    <w:rsid w:val="00922110"/>
    <w:rsid w:val="00923CBC"/>
    <w:rsid w:val="00942AC1"/>
    <w:rsid w:val="009D46F0"/>
    <w:rsid w:val="009F2D44"/>
    <w:rsid w:val="009F62D7"/>
    <w:rsid w:val="00A0172D"/>
    <w:rsid w:val="00A40F48"/>
    <w:rsid w:val="00A73868"/>
    <w:rsid w:val="00AA7C8B"/>
    <w:rsid w:val="00AD1FDD"/>
    <w:rsid w:val="00B507E6"/>
    <w:rsid w:val="00B568F0"/>
    <w:rsid w:val="00B82162"/>
    <w:rsid w:val="00BA0A58"/>
    <w:rsid w:val="00BB46FC"/>
    <w:rsid w:val="00C52C73"/>
    <w:rsid w:val="00C602C4"/>
    <w:rsid w:val="00C65E62"/>
    <w:rsid w:val="00C6787D"/>
    <w:rsid w:val="00C81EB0"/>
    <w:rsid w:val="00C85942"/>
    <w:rsid w:val="00CC190E"/>
    <w:rsid w:val="00CC57C6"/>
    <w:rsid w:val="00CF322E"/>
    <w:rsid w:val="00D74416"/>
    <w:rsid w:val="00DC6CFB"/>
    <w:rsid w:val="00DE79B2"/>
    <w:rsid w:val="00E02FAC"/>
    <w:rsid w:val="00E208AA"/>
    <w:rsid w:val="00E364D0"/>
    <w:rsid w:val="00E42859"/>
    <w:rsid w:val="00E455A3"/>
    <w:rsid w:val="00F713FE"/>
    <w:rsid w:val="00F85BE1"/>
    <w:rsid w:val="00F86FC3"/>
    <w:rsid w:val="00F92A03"/>
    <w:rsid w:val="00FA18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77CC154-47FE-4099-8631-9ECF48AC9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b/>
      <w:bCs/>
      <w:sz w:val="28"/>
      <w:szCs w:val="28"/>
      <w:lang w:eastAsia="he-IL"/>
    </w:rPr>
  </w:style>
  <w:style w:type="paragraph" w:styleId="1">
    <w:name w:val="heading 1"/>
    <w:basedOn w:val="a"/>
    <w:next w:val="a"/>
    <w:qFormat/>
    <w:pPr>
      <w:keepNext/>
      <w:jc w:val="center"/>
      <w:outlineLvl w:val="0"/>
    </w:pPr>
    <w:rPr>
      <w:b w:val="0"/>
      <w:bCs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caption"/>
    <w:basedOn w:val="a"/>
    <w:next w:val="a"/>
    <w:qFormat/>
    <w:pPr>
      <w:jc w:val="center"/>
    </w:pPr>
    <w:rPr>
      <w:b w:val="0"/>
      <w:bCs w:val="0"/>
    </w:rPr>
  </w:style>
  <w:style w:type="character" w:styleId="a6">
    <w:name w:val="annotation reference"/>
    <w:basedOn w:val="a0"/>
    <w:semiHidden/>
    <w:rPr>
      <w:sz w:val="16"/>
      <w:szCs w:val="16"/>
    </w:rPr>
  </w:style>
  <w:style w:type="paragraph" w:styleId="a7">
    <w:name w:val="annotation text"/>
    <w:basedOn w:val="a"/>
    <w:semiHidden/>
    <w:rPr>
      <w:sz w:val="20"/>
      <w:szCs w:val="20"/>
    </w:rPr>
  </w:style>
  <w:style w:type="paragraph" w:customStyle="1" w:styleId="a8">
    <w:name w:val="דויד"/>
    <w:pPr>
      <w:widowControl w:val="0"/>
    </w:pPr>
    <w:rPr>
      <w:rFonts w:ascii="Arial" w:hAnsi="Akhbar Simplified MT"/>
      <w:bCs/>
      <w:snapToGrid w:val="0"/>
      <w:sz w:val="24"/>
      <w:szCs w:val="24"/>
      <w:lang w:eastAsia="he-IL"/>
    </w:rPr>
  </w:style>
  <w:style w:type="paragraph" w:customStyle="1" w:styleId="10">
    <w:name w:val="1"/>
    <w:basedOn w:val="a"/>
    <w:next w:val="a4"/>
    <w:pPr>
      <w:tabs>
        <w:tab w:val="center" w:pos="4153"/>
        <w:tab w:val="right" w:pos="8306"/>
      </w:tabs>
    </w:pPr>
    <w:rPr>
      <w:b w:val="0"/>
      <w:bCs w:val="0"/>
      <w:noProof/>
    </w:rPr>
  </w:style>
  <w:style w:type="character" w:styleId="a9">
    <w:name w:val="page number"/>
    <w:basedOn w:val="a0"/>
  </w:style>
  <w:style w:type="paragraph" w:styleId="aa">
    <w:name w:val="Balloon Text"/>
    <w:basedOn w:val="a"/>
    <w:link w:val="ab"/>
    <w:rsid w:val="009F2D44"/>
    <w:rPr>
      <w:rFonts w:ascii="Tahoma" w:hAnsi="Tahoma" w:cs="Tahoma"/>
      <w:sz w:val="16"/>
      <w:szCs w:val="16"/>
    </w:rPr>
  </w:style>
  <w:style w:type="character" w:customStyle="1" w:styleId="ab">
    <w:name w:val="טקסט בלונים תו"/>
    <w:basedOn w:val="a0"/>
    <w:link w:val="aa"/>
    <w:rsid w:val="009F2D44"/>
    <w:rPr>
      <w:rFonts w:ascii="Tahoma" w:hAnsi="Tahoma" w:cs="Tahoma"/>
      <w:b/>
      <w:bCs/>
      <w:sz w:val="16"/>
      <w:szCs w:val="16"/>
      <w:lang w:eastAsia="he-IL"/>
    </w:rPr>
  </w:style>
  <w:style w:type="paragraph" w:styleId="ac">
    <w:name w:val="List Paragraph"/>
    <w:basedOn w:val="a"/>
    <w:uiPriority w:val="34"/>
    <w:qFormat/>
    <w:rsid w:val="00B507E6"/>
    <w:pPr>
      <w:ind w:left="720"/>
      <w:contextualSpacing/>
    </w:pPr>
  </w:style>
  <w:style w:type="table" w:styleId="ad">
    <w:name w:val="Table Grid"/>
    <w:basedOn w:val="a1"/>
    <w:rsid w:val="00412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P\WORD\mishpatim\TEMPLETES\&#1499;&#1493;&#1514;&#1512;&#1514;%20&#1495;&#1493;&#1492;%20&#1512;&#1488;&#1493;&#1489;&#1504;&#1497;%202013.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75424A-DFFD-4177-A6D0-BC80B15EEF7C}"/>
</file>

<file path=customXml/itemProps2.xml><?xml version="1.0" encoding="utf-8"?>
<ds:datastoreItem xmlns:ds="http://schemas.openxmlformats.org/officeDocument/2006/customXml" ds:itemID="{4944561F-8095-45C6-9D8D-AC65477F5D93}"/>
</file>

<file path=customXml/itemProps3.xml><?xml version="1.0" encoding="utf-8"?>
<ds:datastoreItem xmlns:ds="http://schemas.openxmlformats.org/officeDocument/2006/customXml" ds:itemID="{009F95FB-B993-4307-B1DB-36E47C7AEF26}"/>
</file>

<file path=docProps/app.xml><?xml version="1.0" encoding="utf-8"?>
<Properties xmlns="http://schemas.openxmlformats.org/officeDocument/2006/extended-properties" xmlns:vt="http://schemas.openxmlformats.org/officeDocument/2006/docPropsVTypes">
  <Template>כותרת חוה ראובני 2013</Template>
  <TotalTime>1</TotalTime>
  <Pages>3</Pages>
  <Words>975</Words>
  <Characters>4876</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Company>
  <LinksUpToDate>false</LinksUpToDate>
  <CharactersWithSpaces>5840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חוה ראובני</dc:creator>
  <cp:lastModifiedBy>כוכי שבתאי</cp:lastModifiedBy>
  <cp:revision>2</cp:revision>
  <cp:lastPrinted>2016-12-01T08:26:00Z</cp:lastPrinted>
  <dcterms:created xsi:type="dcterms:W3CDTF">2017-01-10T14:48:00Z</dcterms:created>
  <dcterms:modified xsi:type="dcterms:W3CDTF">2017-01-10T14:48:00Z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-839624629</vt:i4>
  </property>
  <property fmtid="{D5CDD505-2E9C-101B-9397-08002B2CF9AE}" pid="3" name="ContentTypeId">
    <vt:lpwstr>0x010100F931E205BBB08441AEFFEBF8ABB23DF1</vt:lpwstr>
  </property>
  <property fmtid="{D5CDD505-2E9C-101B-9397-08002B2CF9AE}" pid="4" name="SanhedrinDocumentType">
    <vt:r8>88</vt:r8>
  </property>
  <property fmtid="{D5CDD505-2E9C-101B-9397-08002B2CF9AE}" pid="5" name="SanhedrinItemID">
    <vt:r8>2012233</vt:r8>
  </property>
</Properties>
</file>