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2002916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2407439D" w:rsidR="00E13C27" w:rsidRPr="00CF1AA2" w:rsidRDefault="008F6665" w:rsidP="00CC7F51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יגאל גואטה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ישראל אייכלר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מרב מיכאלי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פ/3124/20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E9726AE" w:rsidR="00E13C27" w:rsidRPr="00F67051" w:rsidRDefault="00A443CF" w:rsidP="00CC7F51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 xml:space="preserve">הצעת חוק מס ערך מוסף (תיקון </w:t>
      </w:r>
      <w:r w:rsidR="00CC7F51">
        <w:rPr>
          <w:rFonts w:hint="eastAsia"/>
          <w:rtl/>
        </w:rPr>
        <w:t>–</w:t>
      </w:r>
      <w:r>
        <w:rPr>
          <w:rFonts w:hint="cs"/>
          <w:rtl/>
        </w:rPr>
        <w:t xml:space="preserve"> פטור ממס להשכרה למגורים באמצעות מלכ"ר), התשע"ו</w:t>
      </w:r>
      <w:r w:rsidR="00CC7F51">
        <w:rPr>
          <w:rFonts w:hint="eastAsia"/>
          <w:rtl/>
        </w:rPr>
        <w:t>–</w:t>
      </w:r>
      <w:bookmarkStart w:id="8" w:name="_GoBack"/>
      <w:bookmarkEnd w:id="8"/>
      <w:r>
        <w:rPr>
          <w:rFonts w:hint="cs"/>
          <w:rtl/>
        </w:rPr>
        <w:t>2016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576D5E" w:rsidRPr="00C34DE2" w14:paraId="122541E3" w14:textId="77777777" w:rsidTr="00FA4F8C">
        <w:trPr>
          <w:cantSplit/>
        </w:trPr>
        <w:tc>
          <w:tcPr>
            <w:tcW w:w="1871" w:type="dxa"/>
          </w:tcPr>
          <w:p w14:paraId="0493D3F3" w14:textId="18FBAE5C" w:rsidR="00576D5E" w:rsidRPr="00BF3918" w:rsidRDefault="00576D5E" w:rsidP="00471146">
            <w:pPr>
              <w:pStyle w:val="TableSideHeading"/>
              <w:keepLines w:val="0"/>
              <w:rPr>
                <w:sz w:val="26"/>
              </w:rPr>
            </w:pPr>
            <w:r w:rsidRPr="00BF3918">
              <w:rPr>
                <w:sz w:val="26"/>
                <w:rtl/>
              </w:rPr>
              <w:t xml:space="preserve">תיקון סעיף </w:t>
            </w:r>
            <w:r>
              <w:rPr>
                <w:rFonts w:hint="cs"/>
                <w:sz w:val="26"/>
                <w:rtl/>
              </w:rPr>
              <w:t>31</w:t>
            </w:r>
          </w:p>
        </w:tc>
        <w:tc>
          <w:tcPr>
            <w:tcW w:w="624" w:type="dxa"/>
          </w:tcPr>
          <w:p w14:paraId="3636CF65" w14:textId="77777777" w:rsidR="00576D5E" w:rsidRPr="00BF3918" w:rsidRDefault="00576D5E" w:rsidP="00471146">
            <w:pPr>
              <w:pStyle w:val="TableText"/>
              <w:keepLines w:val="0"/>
              <w:rPr>
                <w:sz w:val="26"/>
              </w:rPr>
            </w:pPr>
            <w:r w:rsidRPr="00BF3918">
              <w:rPr>
                <w:sz w:val="26"/>
                <w:rtl/>
              </w:rPr>
              <w:t>1.</w:t>
            </w:r>
          </w:p>
        </w:tc>
        <w:tc>
          <w:tcPr>
            <w:tcW w:w="7143" w:type="dxa"/>
          </w:tcPr>
          <w:p w14:paraId="6FBF1F6B" w14:textId="725B0F5D" w:rsidR="00576D5E" w:rsidRPr="00BF3918" w:rsidRDefault="00576D5E" w:rsidP="00F27829">
            <w:pPr>
              <w:pStyle w:val="TableBlock"/>
            </w:pPr>
            <w:r w:rsidRPr="00BF3918">
              <w:rPr>
                <w:rtl/>
              </w:rPr>
              <w:t xml:space="preserve">בחוק </w:t>
            </w:r>
            <w:r>
              <w:rPr>
                <w:rFonts w:hint="cs"/>
                <w:rtl/>
              </w:rPr>
              <w:t>מס ערך מוסף</w:t>
            </w:r>
            <w:r w:rsidR="00BB588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61514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תשל"ו</w:t>
            </w:r>
            <w:r w:rsidR="00615140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1975</w:t>
            </w:r>
            <w:r w:rsidR="00615140">
              <w:rPr>
                <w:rStyle w:val="a5"/>
                <w:rtl/>
              </w:rPr>
              <w:footnoteReference w:id="2"/>
            </w:r>
            <w:r w:rsidR="00615140">
              <w:rPr>
                <w:rFonts w:hint="cs"/>
                <w:rtl/>
              </w:rPr>
              <w:t>,</w:t>
            </w:r>
            <w:r w:rsidRPr="00BF3918">
              <w:rPr>
                <w:rtl/>
              </w:rPr>
              <w:t xml:space="preserve"> בסעיף </w:t>
            </w:r>
            <w:r>
              <w:rPr>
                <w:rFonts w:hint="cs"/>
                <w:rtl/>
              </w:rPr>
              <w:t>31(1)</w:t>
            </w:r>
            <w:r w:rsidRPr="00BF3918">
              <w:rPr>
                <w:rtl/>
              </w:rPr>
              <w:t xml:space="preserve">, אחרי </w:t>
            </w:r>
            <w:r>
              <w:rPr>
                <w:rFonts w:hint="cs"/>
                <w:rtl/>
              </w:rPr>
              <w:t>"השכרה</w:t>
            </w:r>
            <w:r w:rsidR="00615140">
              <w:rPr>
                <w:rFonts w:hint="cs"/>
                <w:rtl/>
              </w:rPr>
              <w:t xml:space="preserve"> </w:t>
            </w:r>
            <w:r w:rsidRPr="00615140">
              <w:rPr>
                <w:rFonts w:hint="eastAsia"/>
                <w:rtl/>
              </w:rPr>
              <w:t>למגורים</w:t>
            </w:r>
            <w:r>
              <w:rPr>
                <w:rFonts w:hint="cs"/>
                <w:rtl/>
              </w:rPr>
              <w:t>"</w:t>
            </w:r>
            <w:r w:rsidRPr="00BF3918">
              <w:rPr>
                <w:rtl/>
              </w:rPr>
              <w:t xml:space="preserve"> יבוא</w:t>
            </w:r>
            <w:r w:rsidR="00615140">
              <w:rPr>
                <w:rFonts w:hint="cs"/>
                <w:rtl/>
              </w:rPr>
              <w:t xml:space="preserve"> </w:t>
            </w:r>
            <w:r w:rsidR="00F27829">
              <w:rPr>
                <w:rFonts w:hint="cs"/>
                <w:sz w:val="26"/>
                <w:rtl/>
              </w:rPr>
              <w:t xml:space="preserve"> "לרבות השכרה באמצעות מלכ"ר"</w:t>
            </w:r>
            <w:r w:rsidR="00F27829" w:rsidRPr="00FA4F8C">
              <w:rPr>
                <w:rFonts w:hint="cs"/>
                <w:rtl/>
              </w:rPr>
              <w:t>.</w:t>
            </w:r>
          </w:p>
        </w:tc>
      </w:tr>
    </w:tbl>
    <w:p w14:paraId="7F6961CA" w14:textId="4086B575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0A5E8BC" w14:textId="4086B575" w:rsidR="00576D5E" w:rsidRDefault="00576D5E" w:rsidP="00C30700">
      <w:pPr>
        <w:pStyle w:val="Hesber"/>
        <w:ind w:firstLine="0"/>
        <w:rPr>
          <w:sz w:val="26"/>
          <w:rtl/>
        </w:rPr>
      </w:pPr>
    </w:p>
    <w:p w14:paraId="7E0553FB" w14:textId="77777777" w:rsidR="00F02C4D" w:rsidRPr="00FA4F8C" w:rsidRDefault="00F02C4D" w:rsidP="00FA4F8C">
      <w:pPr>
        <w:pStyle w:val="Hesber"/>
        <w:rPr>
          <w:rtl/>
        </w:rPr>
      </w:pPr>
      <w:r w:rsidRPr="00FA4F8C">
        <w:rPr>
          <w:rFonts w:hint="cs"/>
          <w:rtl/>
        </w:rPr>
        <w:t>בחוק מס ערך מוסף, התשל"ו</w:t>
      </w:r>
      <w:r w:rsidRPr="00FA4F8C">
        <w:rPr>
          <w:rFonts w:hint="eastAsia"/>
          <w:rtl/>
        </w:rPr>
        <w:t>–</w:t>
      </w:r>
      <w:r w:rsidRPr="00FA4F8C">
        <w:rPr>
          <w:rFonts w:hint="cs"/>
          <w:rtl/>
        </w:rPr>
        <w:t xml:space="preserve">1975, בסעיף 31(1) נקבע, בין היתר, פטור ממס ערך מוסף להשכרה למגורים לתקופה שאינה עולה על 25 שנים, למעט השכרה לשם אירוח בבית מלון. </w:t>
      </w:r>
    </w:p>
    <w:p w14:paraId="2D73CE47" w14:textId="77777777" w:rsidR="00F02C4D" w:rsidRPr="00FA4F8C" w:rsidRDefault="00F02C4D" w:rsidP="00FA4F8C">
      <w:pPr>
        <w:pStyle w:val="Hesber"/>
        <w:rPr>
          <w:rtl/>
        </w:rPr>
      </w:pPr>
      <w:r w:rsidRPr="00FA4F8C">
        <w:rPr>
          <w:rFonts w:hint="eastAsia"/>
          <w:rtl/>
        </w:rPr>
        <w:t>לכאורה</w:t>
      </w:r>
      <w:r w:rsidRPr="00FA4F8C">
        <w:rPr>
          <w:rFonts w:hint="cs"/>
          <w:rtl/>
        </w:rPr>
        <w:t>,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מלשון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הסעיף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 xml:space="preserve"> עולה</w:t>
      </w:r>
      <w:r w:rsidRPr="00FA4F8C">
        <w:rPr>
          <w:rtl/>
        </w:rPr>
        <w:t xml:space="preserve"> כי הפטור </w:t>
      </w:r>
      <w:r w:rsidRPr="00FA4F8C">
        <w:rPr>
          <w:rFonts w:hint="cs"/>
          <w:rtl/>
        </w:rPr>
        <w:t xml:space="preserve"> ממס</w:t>
      </w:r>
      <w:r w:rsidRPr="00FA4F8C">
        <w:rPr>
          <w:rtl/>
        </w:rPr>
        <w:t xml:space="preserve"> לצורכי מגורים </w:t>
      </w:r>
      <w:r w:rsidRPr="00FA4F8C">
        <w:rPr>
          <w:rFonts w:hint="cs"/>
          <w:rtl/>
        </w:rPr>
        <w:t xml:space="preserve">חל גם לעניין </w:t>
      </w:r>
      <w:r w:rsidRPr="00FA4F8C">
        <w:rPr>
          <w:rtl/>
        </w:rPr>
        <w:t xml:space="preserve">עמותות ומוסדות ללא כוונת רווח </w:t>
      </w:r>
      <w:r w:rsidRPr="00FA4F8C">
        <w:rPr>
          <w:rFonts w:hint="cs"/>
          <w:rtl/>
        </w:rPr>
        <w:t xml:space="preserve">לרבות </w:t>
      </w:r>
      <w:r w:rsidRPr="00FA4F8C">
        <w:rPr>
          <w:rFonts w:hint="eastAsia"/>
          <w:rtl/>
        </w:rPr>
        <w:t>מוסדות</w:t>
      </w:r>
      <w:r w:rsidRPr="00FA4F8C">
        <w:rPr>
          <w:rFonts w:hint="cs"/>
          <w:rtl/>
        </w:rPr>
        <w:t xml:space="preserve"> כדוגמת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הוסטלים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לטיפול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בחסויים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ובפגועי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נפש</w:t>
      </w:r>
      <w:r w:rsidRPr="00FA4F8C">
        <w:rPr>
          <w:rtl/>
        </w:rPr>
        <w:t xml:space="preserve">, </w:t>
      </w:r>
      <w:r w:rsidRPr="00FA4F8C">
        <w:rPr>
          <w:rFonts w:hint="eastAsia"/>
          <w:rtl/>
        </w:rPr>
        <w:t>ישיבות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הסדר</w:t>
      </w:r>
      <w:r w:rsidRPr="00FA4F8C">
        <w:rPr>
          <w:rtl/>
        </w:rPr>
        <w:t xml:space="preserve">, </w:t>
      </w:r>
      <w:r w:rsidRPr="00FA4F8C">
        <w:rPr>
          <w:rFonts w:hint="cs"/>
          <w:rtl/>
        </w:rPr>
        <w:t xml:space="preserve">האגודה למען החייל </w:t>
      </w:r>
      <w:r w:rsidRPr="00FA4F8C">
        <w:rPr>
          <w:rFonts w:hint="eastAsia"/>
          <w:rtl/>
        </w:rPr>
        <w:t>ועוד</w:t>
      </w:r>
      <w:r w:rsidRPr="00FA4F8C">
        <w:rPr>
          <w:rtl/>
        </w:rPr>
        <w:t>.</w:t>
      </w:r>
    </w:p>
    <w:p w14:paraId="4EBD4AA4" w14:textId="0A10D7D3" w:rsidR="00F02C4D" w:rsidRPr="00FA4F8C" w:rsidRDefault="00F02C4D" w:rsidP="00FA4F8C">
      <w:pPr>
        <w:pStyle w:val="Hesber"/>
        <w:rPr>
          <w:rtl/>
        </w:rPr>
      </w:pPr>
      <w:r w:rsidRPr="00FA4F8C">
        <w:rPr>
          <w:rFonts w:hint="cs"/>
          <w:rtl/>
        </w:rPr>
        <w:t xml:space="preserve">יחד עם זאת, </w:t>
      </w:r>
      <w:r w:rsidRPr="00FA4F8C">
        <w:rPr>
          <w:rFonts w:hint="eastAsia"/>
          <w:rtl/>
        </w:rPr>
        <w:t>במספר</w:t>
      </w:r>
      <w:r w:rsidRPr="00FA4F8C">
        <w:rPr>
          <w:rtl/>
        </w:rPr>
        <w:t xml:space="preserve"> פסקי דין, </w:t>
      </w:r>
      <w:r w:rsidRPr="00FA4F8C">
        <w:rPr>
          <w:rFonts w:hint="eastAsia"/>
          <w:rtl/>
        </w:rPr>
        <w:t>קבע</w:t>
      </w:r>
      <w:r w:rsidRPr="00FA4F8C">
        <w:rPr>
          <w:rtl/>
        </w:rPr>
        <w:t xml:space="preserve"> בית המשפט, </w:t>
      </w:r>
      <w:r w:rsidRPr="00FA4F8C">
        <w:rPr>
          <w:rFonts w:hint="eastAsia"/>
          <w:rtl/>
        </w:rPr>
        <w:t>כי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הפטור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>ממס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אינו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חל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>לעני</w:t>
      </w:r>
      <w:r w:rsidR="00F353FF" w:rsidRPr="00FA4F8C">
        <w:rPr>
          <w:rFonts w:hint="cs"/>
          <w:rtl/>
        </w:rPr>
        <w:t>י</w:t>
      </w:r>
      <w:r w:rsidRPr="00FA4F8C">
        <w:rPr>
          <w:rFonts w:hint="cs"/>
          <w:rtl/>
        </w:rPr>
        <w:t xml:space="preserve">ן </w:t>
      </w:r>
      <w:r w:rsidRPr="00FA4F8C">
        <w:rPr>
          <w:rFonts w:hint="eastAsia"/>
          <w:rtl/>
        </w:rPr>
        <w:t>עמותות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ככל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שהם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>גורם ביניים אשר שוכר דירות מגורים, אף אם המגורים מהווים חלק אינטג</w:t>
      </w:r>
      <w:r w:rsidR="00F353FF" w:rsidRPr="00FA4F8C">
        <w:rPr>
          <w:rFonts w:hint="cs"/>
          <w:rtl/>
        </w:rPr>
        <w:t>ראלי ממטרות ואופן פעילות העמותה</w:t>
      </w:r>
      <w:r w:rsidRPr="00FA4F8C">
        <w:rPr>
          <w:rtl/>
        </w:rPr>
        <w:t xml:space="preserve">. </w:t>
      </w:r>
      <w:r w:rsidRPr="00FA4F8C">
        <w:rPr>
          <w:rFonts w:hint="eastAsia"/>
          <w:rtl/>
        </w:rPr>
        <w:t>קרי</w:t>
      </w:r>
      <w:r w:rsidRPr="00FA4F8C">
        <w:rPr>
          <w:rtl/>
        </w:rPr>
        <w:t xml:space="preserve">, על מנת לזכות בפטור </w:t>
      </w:r>
      <w:r w:rsidRPr="00FA4F8C">
        <w:rPr>
          <w:rFonts w:hint="cs"/>
          <w:rtl/>
        </w:rPr>
        <w:t>ממס</w:t>
      </w:r>
      <w:r w:rsidRPr="00FA4F8C">
        <w:rPr>
          <w:rtl/>
        </w:rPr>
        <w:t>, קבע</w:t>
      </w:r>
      <w:r w:rsidR="00F353FF" w:rsidRPr="00FA4F8C">
        <w:rPr>
          <w:rFonts w:hint="cs"/>
          <w:rtl/>
        </w:rPr>
        <w:t xml:space="preserve"> </w:t>
      </w:r>
      <w:r w:rsidRPr="00FA4F8C">
        <w:rPr>
          <w:rtl/>
        </w:rPr>
        <w:t xml:space="preserve">בית המשפט, כי </w:t>
      </w:r>
      <w:r w:rsidRPr="00FA4F8C">
        <w:rPr>
          <w:rFonts w:hint="eastAsia"/>
          <w:rtl/>
        </w:rPr>
        <w:t>יש</w:t>
      </w:r>
      <w:r w:rsidRPr="00FA4F8C">
        <w:rPr>
          <w:rtl/>
        </w:rPr>
        <w:t xml:space="preserve"> לחתום הסכם שכירות ישירות עם המשכיר ולא באמצעות העמותה.</w:t>
      </w:r>
    </w:p>
    <w:p w14:paraId="4EE54F0B" w14:textId="01BDDE80" w:rsidR="00F02C4D" w:rsidRPr="00FA4F8C" w:rsidRDefault="00F02C4D" w:rsidP="00FA4F8C">
      <w:pPr>
        <w:pStyle w:val="Hesber"/>
        <w:rPr>
          <w:rtl/>
        </w:rPr>
      </w:pPr>
      <w:r w:rsidRPr="00FA4F8C">
        <w:rPr>
          <w:rFonts w:hint="eastAsia"/>
          <w:rtl/>
        </w:rPr>
        <w:t>תוצאה</w:t>
      </w:r>
      <w:r w:rsidRPr="00FA4F8C">
        <w:rPr>
          <w:rtl/>
        </w:rPr>
        <w:t xml:space="preserve"> זו מביאה לעיוות כוונת המחוקק שעה שהכוונה הייתה לפטור גם עמותות מתשלום </w:t>
      </w:r>
      <w:r w:rsidRPr="00FA4F8C">
        <w:rPr>
          <w:rFonts w:hint="cs"/>
          <w:rtl/>
        </w:rPr>
        <w:t xml:space="preserve">המס </w:t>
      </w:r>
      <w:r w:rsidR="00F353FF" w:rsidRPr="00FA4F8C">
        <w:rPr>
          <w:rFonts w:hint="cs"/>
          <w:rtl/>
        </w:rPr>
        <w:t>ככל שמדובר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>ב</w:t>
      </w:r>
      <w:r w:rsidRPr="00FA4F8C">
        <w:rPr>
          <w:rFonts w:hint="eastAsia"/>
          <w:rtl/>
        </w:rPr>
        <w:t>פעילות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המגורים</w:t>
      </w:r>
      <w:r w:rsidRPr="00FA4F8C">
        <w:rPr>
          <w:rFonts w:hint="cs"/>
          <w:rtl/>
        </w:rPr>
        <w:t xml:space="preserve"> מטעם העמותה</w:t>
      </w:r>
      <w:r w:rsidRPr="00FA4F8C">
        <w:rPr>
          <w:rtl/>
        </w:rPr>
        <w:t xml:space="preserve">, </w:t>
      </w:r>
      <w:r w:rsidRPr="00FA4F8C">
        <w:rPr>
          <w:rFonts w:hint="eastAsia"/>
          <w:rtl/>
        </w:rPr>
        <w:t>שכן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 xml:space="preserve">מבחינה מעשית הגורם המשכיר אינו יכול </w:t>
      </w:r>
      <w:r w:rsidRPr="00FA4F8C">
        <w:rPr>
          <w:rFonts w:hint="eastAsia"/>
          <w:rtl/>
        </w:rPr>
        <w:t>לכרות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הסכם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lastRenderedPageBreak/>
        <w:t xml:space="preserve">ישיר עם </w:t>
      </w:r>
      <w:r w:rsidRPr="00FA4F8C">
        <w:rPr>
          <w:rFonts w:hint="eastAsia"/>
          <w:rtl/>
        </w:rPr>
        <w:t>חסויים</w:t>
      </w:r>
      <w:r w:rsidRPr="00FA4F8C">
        <w:rPr>
          <w:rtl/>
        </w:rPr>
        <w:t xml:space="preserve"> או </w:t>
      </w:r>
      <w:r w:rsidRPr="00FA4F8C">
        <w:rPr>
          <w:rFonts w:hint="eastAsia"/>
          <w:rtl/>
        </w:rPr>
        <w:t>תלמידים</w:t>
      </w:r>
      <w:r w:rsidRPr="00FA4F8C">
        <w:rPr>
          <w:rFonts w:hint="cs"/>
          <w:rtl/>
        </w:rPr>
        <w:t xml:space="preserve"> או החיילים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 xml:space="preserve">אלא דרך ובאמצעות העמותה. </w:t>
      </w:r>
    </w:p>
    <w:p w14:paraId="4E162E30" w14:textId="77777777" w:rsidR="00F02C4D" w:rsidRDefault="00F02C4D" w:rsidP="00FA4F8C">
      <w:pPr>
        <w:pStyle w:val="Hesber"/>
        <w:rPr>
          <w:rtl/>
        </w:rPr>
      </w:pPr>
      <w:r w:rsidRPr="00FA4F8C">
        <w:rPr>
          <w:rFonts w:hint="cs"/>
          <w:rtl/>
        </w:rPr>
        <w:t>לפיכך</w:t>
      </w:r>
      <w:r w:rsidRPr="00FA4F8C">
        <w:rPr>
          <w:rtl/>
        </w:rPr>
        <w:t xml:space="preserve">, </w:t>
      </w:r>
      <w:r w:rsidRPr="00FA4F8C">
        <w:rPr>
          <w:rFonts w:hint="eastAsia"/>
          <w:rtl/>
        </w:rPr>
        <w:t>בהצעת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חוק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זו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מוצע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לקבוע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שגם</w:t>
      </w:r>
      <w:r w:rsidRPr="00FA4F8C">
        <w:rPr>
          <w:rtl/>
        </w:rPr>
        <w:t xml:space="preserve"> </w:t>
      </w:r>
      <w:r w:rsidRPr="00FA4F8C">
        <w:rPr>
          <w:rFonts w:hint="eastAsia"/>
          <w:rtl/>
        </w:rPr>
        <w:t>השכרה</w:t>
      </w:r>
      <w:r w:rsidRPr="00FA4F8C">
        <w:rPr>
          <w:rtl/>
        </w:rPr>
        <w:t xml:space="preserve"> למגורים </w:t>
      </w:r>
      <w:r w:rsidRPr="00FA4F8C">
        <w:rPr>
          <w:rFonts w:hint="cs"/>
          <w:rtl/>
        </w:rPr>
        <w:t>באמצעות</w:t>
      </w:r>
      <w:r w:rsidRPr="00FA4F8C">
        <w:rPr>
          <w:rtl/>
        </w:rPr>
        <w:t xml:space="preserve"> מוסד ללא כוונת רווח </w:t>
      </w:r>
      <w:r w:rsidRPr="00FA4F8C">
        <w:rPr>
          <w:rFonts w:hint="eastAsia"/>
          <w:rtl/>
        </w:rPr>
        <w:t>תהיה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 xml:space="preserve">אף היא </w:t>
      </w:r>
      <w:r w:rsidRPr="00FA4F8C">
        <w:rPr>
          <w:rFonts w:hint="eastAsia"/>
          <w:rtl/>
        </w:rPr>
        <w:t>פטורה</w:t>
      </w:r>
      <w:r w:rsidRPr="00FA4F8C">
        <w:rPr>
          <w:rtl/>
        </w:rPr>
        <w:t xml:space="preserve"> </w:t>
      </w:r>
      <w:r w:rsidRPr="00FA4F8C">
        <w:rPr>
          <w:rFonts w:hint="cs"/>
          <w:rtl/>
        </w:rPr>
        <w:t>ממס ערך מוסף</w:t>
      </w:r>
      <w:r w:rsidRPr="00FA4F8C">
        <w:rPr>
          <w:rtl/>
        </w:rPr>
        <w:t>.</w:t>
      </w:r>
    </w:p>
    <w:p w14:paraId="66D5AFA2" w14:textId="0B357EDB" w:rsidR="00E818A9" w:rsidRDefault="00E818A9" w:rsidP="00FA4F8C">
      <w:pPr>
        <w:pStyle w:val="Hesber"/>
        <w:rPr>
          <w:rtl/>
        </w:rPr>
      </w:pPr>
    </w:p>
    <w:p w14:paraId="3CCFCE98" w14:textId="77777777" w:rsidR="00E818A9" w:rsidRDefault="00E818A9" w:rsidP="00FA4F8C">
      <w:pPr>
        <w:pStyle w:val="Hesber"/>
        <w:rPr>
          <w:rtl/>
        </w:rPr>
      </w:pPr>
    </w:p>
    <w:p w14:paraId="4C990952" w14:textId="77777777" w:rsidR="00E818A9" w:rsidRPr="00FA4F8C" w:rsidRDefault="00E818A9" w:rsidP="00FA4F8C">
      <w:pPr>
        <w:pStyle w:val="Hesber"/>
        <w:rPr>
          <w:rtl/>
        </w:rPr>
      </w:pPr>
    </w:p>
    <w:p w14:paraId="18F921EF" w14:textId="77777777" w:rsidR="00E818A9" w:rsidRPr="00D73212" w:rsidRDefault="00E818A9" w:rsidP="00E818A9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8977C6E" w14:textId="77777777" w:rsidR="00E818A9" w:rsidRPr="00D73212" w:rsidRDefault="00E818A9" w:rsidP="00E818A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68D610D" w14:textId="77777777" w:rsidR="00E818A9" w:rsidRPr="00D73212" w:rsidRDefault="00E818A9" w:rsidP="00E818A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8D10871" w14:textId="77777777" w:rsidR="00E818A9" w:rsidRPr="00317312" w:rsidRDefault="00E818A9" w:rsidP="00E818A9">
      <w:pPr>
        <w:pStyle w:val="Hesber"/>
      </w:pPr>
      <w:r>
        <w:rPr>
          <w:rFonts w:hint="cs"/>
          <w:color w:val="auto"/>
          <w:rtl/>
          <w:lang w:eastAsia="en-US"/>
        </w:rPr>
        <w:t>כ"ח בסיוון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4.7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3AA8FFAD" w:rsidR="00E13C27" w:rsidRPr="00E818A9" w:rsidRDefault="00E13C27" w:rsidP="00C30700">
      <w:pPr>
        <w:pStyle w:val="Hesber"/>
        <w:rPr>
          <w:rtl/>
        </w:rPr>
      </w:pPr>
    </w:p>
    <w:sectPr w:rsidR="00E13C27" w:rsidRPr="00E818A9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CC7F51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7B13FA49" w14:textId="2954E7D5" w:rsidR="00615140" w:rsidRDefault="00615140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ס''ח התשל''ו, עמ' 52.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C10C4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234FB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1FA1"/>
    <w:rsid w:val="0028644C"/>
    <w:rsid w:val="00292712"/>
    <w:rsid w:val="002A487D"/>
    <w:rsid w:val="002C2E29"/>
    <w:rsid w:val="002C3041"/>
    <w:rsid w:val="002D1EE3"/>
    <w:rsid w:val="002F1D80"/>
    <w:rsid w:val="003232A2"/>
    <w:rsid w:val="00325C14"/>
    <w:rsid w:val="003509FE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03F"/>
    <w:rsid w:val="004B24ED"/>
    <w:rsid w:val="004B6625"/>
    <w:rsid w:val="004D2D82"/>
    <w:rsid w:val="004D3876"/>
    <w:rsid w:val="004E4552"/>
    <w:rsid w:val="004E6CDF"/>
    <w:rsid w:val="00553C9D"/>
    <w:rsid w:val="00562A66"/>
    <w:rsid w:val="00576D5E"/>
    <w:rsid w:val="005B064E"/>
    <w:rsid w:val="005C7A8F"/>
    <w:rsid w:val="005D51AE"/>
    <w:rsid w:val="00615140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820EA"/>
    <w:rsid w:val="00B975AD"/>
    <w:rsid w:val="00BB5884"/>
    <w:rsid w:val="00BC45FB"/>
    <w:rsid w:val="00BF148D"/>
    <w:rsid w:val="00C23B1A"/>
    <w:rsid w:val="00C30700"/>
    <w:rsid w:val="00C310EB"/>
    <w:rsid w:val="00C9176A"/>
    <w:rsid w:val="00CC7F51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18A9"/>
    <w:rsid w:val="00EA01E6"/>
    <w:rsid w:val="00EA3DE8"/>
    <w:rsid w:val="00EA758F"/>
    <w:rsid w:val="00ED4A6F"/>
    <w:rsid w:val="00EF3A3A"/>
    <w:rsid w:val="00F02C4D"/>
    <w:rsid w:val="00F27829"/>
    <w:rsid w:val="00F353FF"/>
    <w:rsid w:val="00F628D6"/>
    <w:rsid w:val="00F67051"/>
    <w:rsid w:val="00F86A1E"/>
    <w:rsid w:val="00FA4F8C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F8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A4F8C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A4F8C"/>
    <w:rPr>
      <w:sz w:val="36"/>
      <w:szCs w:val="52"/>
    </w:rPr>
  </w:style>
  <w:style w:type="paragraph" w:customStyle="1" w:styleId="Cover3-Haknesset">
    <w:name w:val="Cover 3-Haknesset"/>
    <w:basedOn w:val="Cover1-Reshumot"/>
    <w:rsid w:val="00FA4F8C"/>
    <w:rPr>
      <w:b/>
      <w:bCs/>
      <w:spacing w:val="60"/>
    </w:rPr>
  </w:style>
  <w:style w:type="paragraph" w:customStyle="1" w:styleId="Cover4-Date">
    <w:name w:val="Cover 4-Date"/>
    <w:basedOn w:val="a"/>
    <w:rsid w:val="00FA4F8C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A4F8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A4F8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A4F8C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A4F8C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A4F8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A4F8C"/>
  </w:style>
  <w:style w:type="paragraph" w:customStyle="1" w:styleId="TableBlock">
    <w:name w:val="Table Block"/>
    <w:basedOn w:val="TableText"/>
    <w:rsid w:val="00FA4F8C"/>
    <w:pPr>
      <w:ind w:right="0"/>
      <w:jc w:val="both"/>
    </w:pPr>
  </w:style>
  <w:style w:type="paragraph" w:customStyle="1" w:styleId="TableHead">
    <w:name w:val="Table Head"/>
    <w:basedOn w:val="TableText"/>
    <w:rsid w:val="00FA4F8C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A4F8C"/>
  </w:style>
  <w:style w:type="paragraph" w:customStyle="1" w:styleId="Hesber">
    <w:name w:val="Hesber"/>
    <w:basedOn w:val="a"/>
    <w:rsid w:val="00FA4F8C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FA4F8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A4F8C"/>
    <w:rPr>
      <w:vertAlign w:val="superscript"/>
    </w:rPr>
  </w:style>
  <w:style w:type="paragraph" w:customStyle="1" w:styleId="HesberHeading">
    <w:name w:val="Hesber Heading"/>
    <w:basedOn w:val="Hesber"/>
    <w:rsid w:val="00FA4F8C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A4F8C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A4F8C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A4F8C"/>
    <w:rPr>
      <w:vertAlign w:val="superscript"/>
    </w:rPr>
  </w:style>
  <w:style w:type="paragraph" w:customStyle="1" w:styleId="TableBlockOutdent">
    <w:name w:val="Table BlockOutdent"/>
    <w:basedOn w:val="TableBlock"/>
    <w:rsid w:val="00FA4F8C"/>
    <w:pPr>
      <w:ind w:left="624" w:hanging="624"/>
    </w:pPr>
  </w:style>
  <w:style w:type="paragraph" w:styleId="a7">
    <w:name w:val="header"/>
    <w:basedOn w:val="a"/>
    <w:rsid w:val="00FA4F8C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A4F8C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A4F8C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A4F8C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FA4F8C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86AC3FF-EB95-4D35-9ED7-DE88218F2C44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4093B2-F061-453D-A2BC-B5E313A3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271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18</cp:revision>
  <cp:lastPrinted>2016-06-30T07:29:00Z</cp:lastPrinted>
  <dcterms:created xsi:type="dcterms:W3CDTF">2015-04-20T09:58:00Z</dcterms:created>
  <dcterms:modified xsi:type="dcterms:W3CDTF">2016-06-30T07:36:00Z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2012338</vt:r8>
  </property>
</Properties>
</file>