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D3A53" w14:textId="77777777" w:rsidR="00DE2339" w:rsidRPr="0000131B" w:rsidRDefault="00DE2339" w:rsidP="00DE2339">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571406</w:t>
      </w:r>
      <w:bookmarkEnd w:id="0"/>
    </w:p>
    <w:p w14:paraId="5C433FF7" w14:textId="77777777" w:rsidR="00DE2339" w:rsidRPr="00DB7060" w:rsidRDefault="00DE2339" w:rsidP="00DE2339">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1AF9E151" w14:textId="77777777" w:rsidR="00DE2339" w:rsidRPr="00F67051" w:rsidRDefault="00DE2339" w:rsidP="00DE2339">
      <w:pPr>
        <w:rPr>
          <w:rFonts w:cs="David"/>
          <w:b/>
          <w:bCs/>
          <w:sz w:val="26"/>
          <w:szCs w:val="26"/>
          <w:rtl/>
        </w:rPr>
      </w:pPr>
    </w:p>
    <w:p w14:paraId="7F45A5A8" w14:textId="77777777" w:rsidR="00DE2339" w:rsidRDefault="00DE2339" w:rsidP="00DE2339">
      <w:pPr>
        <w:pStyle w:val="David"/>
        <w:spacing w:line="360" w:lineRule="auto"/>
        <w:ind w:left="3544"/>
        <w:rPr>
          <w:b/>
          <w:bCs/>
          <w:rtl/>
        </w:rPr>
      </w:pPr>
      <w:bookmarkStart w:id="2" w:name="LGS_Initiators_List"/>
      <w:r>
        <w:rPr>
          <w:b/>
          <w:bCs/>
          <w:rtl/>
        </w:rPr>
        <w:t>יוזמת:</w:t>
      </w:r>
      <w:r>
        <w:tab/>
      </w:r>
      <w:r>
        <w:rPr>
          <w:b/>
          <w:bCs/>
          <w:rtl/>
        </w:rPr>
        <w:t xml:space="preserve">      חברת הכנסת</w:t>
      </w:r>
      <w:bookmarkEnd w:id="2"/>
      <w:r w:rsidRPr="00F67051">
        <w:rPr>
          <w:b/>
          <w:bCs/>
        </w:rPr>
        <w:tab/>
      </w:r>
      <w:bookmarkStart w:id="3" w:name="LGS_PM_Names"/>
      <w:r>
        <w:rPr>
          <w:rFonts w:hint="cs"/>
          <w:b/>
          <w:bCs/>
          <w:rtl/>
        </w:rPr>
        <w:t>מיכל רוזין</w:t>
      </w:r>
      <w:bookmarkEnd w:id="3"/>
    </w:p>
    <w:p w14:paraId="2DF117F1" w14:textId="77777777" w:rsidR="00DE2339" w:rsidRPr="00CF1AA2" w:rsidRDefault="00DE2339" w:rsidP="00DE2339">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15304069" w14:textId="77777777" w:rsidR="00DE2339" w:rsidRPr="00904591" w:rsidRDefault="00DE2339" w:rsidP="00DE2339">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723B709" w14:textId="77777777" w:rsidR="00DE2339" w:rsidRPr="00E06736" w:rsidRDefault="00DE2339" w:rsidP="00DE2339">
      <w:pPr>
        <w:pStyle w:val="David"/>
        <w:spacing w:before="0" w:line="240" w:lineRule="auto"/>
        <w:ind w:left="3544"/>
        <w:rPr>
          <w:rtl/>
        </w:rPr>
      </w:pPr>
      <w:r>
        <w:t xml:space="preserve">                                             </w:t>
      </w:r>
      <w:bookmarkStart w:id="6" w:name="Private_Number"/>
      <w:r>
        <w:rPr>
          <w:rFonts w:hint="cs"/>
          <w:rtl/>
        </w:rPr>
        <w:t>פ/2578/20</w:t>
      </w:r>
      <w:bookmarkEnd w:id="6"/>
    </w:p>
    <w:p w14:paraId="3031CBA2" w14:textId="77777777" w:rsidR="00DE2339" w:rsidRPr="00F67051" w:rsidRDefault="00DE2339" w:rsidP="00DE2339">
      <w:pPr>
        <w:pStyle w:val="HeadHatzaotHok"/>
        <w:rPr>
          <w:rtl/>
        </w:rPr>
      </w:pPr>
      <w:bookmarkStart w:id="7" w:name="LGS_Subject"/>
      <w:r>
        <w:rPr>
          <w:rFonts w:hint="cs"/>
          <w:rtl/>
        </w:rPr>
        <w:t>הצעת חוק העונשין (תיקון – הרחבת הגדרת בן משפחה לעניין התיישנות עבירות מין במשפחה), התשע"ו–2016</w:t>
      </w:r>
      <w:bookmarkEnd w:id="7"/>
    </w:p>
    <w:p w14:paraId="015DC6F8" w14:textId="77777777" w:rsidR="00DE2339" w:rsidRDefault="00DE2339" w:rsidP="00DE2339">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E2339" w:rsidRPr="00B71E1D" w14:paraId="5FFB939D" w14:textId="77777777" w:rsidTr="007D7109">
        <w:trPr>
          <w:cantSplit/>
          <w:trHeight w:val="60"/>
        </w:trPr>
        <w:tc>
          <w:tcPr>
            <w:tcW w:w="1871" w:type="dxa"/>
          </w:tcPr>
          <w:p w14:paraId="05A6C5A7" w14:textId="77777777" w:rsidR="00DE2339" w:rsidRPr="00B71E1D" w:rsidRDefault="00DE2339" w:rsidP="007D7109">
            <w:pPr>
              <w:pStyle w:val="TableBlock"/>
            </w:pPr>
            <w:r w:rsidRPr="00B71E1D">
              <w:rPr>
                <w:rFonts w:hint="cs"/>
                <w:rtl/>
              </w:rPr>
              <w:t>תיקון</w:t>
            </w:r>
            <w:r w:rsidRPr="00B71E1D">
              <w:rPr>
                <w:rtl/>
              </w:rPr>
              <w:t xml:space="preserve"> </w:t>
            </w:r>
            <w:r w:rsidRPr="00B71E1D">
              <w:rPr>
                <w:rFonts w:hint="cs"/>
                <w:rtl/>
              </w:rPr>
              <w:t>סעיף</w:t>
            </w:r>
            <w:r w:rsidRPr="00B71E1D">
              <w:rPr>
                <w:rtl/>
              </w:rPr>
              <w:t xml:space="preserve"> 3</w:t>
            </w:r>
            <w:r w:rsidRPr="00B71E1D">
              <w:rPr>
                <w:rFonts w:hint="cs"/>
                <w:rtl/>
              </w:rPr>
              <w:t>54</w:t>
            </w:r>
          </w:p>
        </w:tc>
        <w:tc>
          <w:tcPr>
            <w:tcW w:w="624" w:type="dxa"/>
          </w:tcPr>
          <w:p w14:paraId="69F95BED" w14:textId="77777777" w:rsidR="00DE2339" w:rsidRPr="00B71E1D" w:rsidRDefault="00DE2339" w:rsidP="007D7109">
            <w:pPr>
              <w:pStyle w:val="TableBlock"/>
            </w:pPr>
            <w:r w:rsidRPr="00B71E1D">
              <w:rPr>
                <w:rFonts w:hint="cs"/>
                <w:rtl/>
              </w:rPr>
              <w:t>1.</w:t>
            </w:r>
          </w:p>
        </w:tc>
        <w:tc>
          <w:tcPr>
            <w:tcW w:w="7146" w:type="dxa"/>
          </w:tcPr>
          <w:p w14:paraId="1E488AA5" w14:textId="3107213D" w:rsidR="00DE2339" w:rsidRPr="00B71E1D" w:rsidRDefault="00DE2339" w:rsidP="00742057">
            <w:pPr>
              <w:pStyle w:val="TableBlock"/>
            </w:pPr>
            <w:r w:rsidRPr="00B71E1D">
              <w:rPr>
                <w:rFonts w:hint="cs"/>
                <w:rtl/>
              </w:rPr>
              <w:t>בחוק</w:t>
            </w:r>
            <w:r w:rsidRPr="00B71E1D">
              <w:rPr>
                <w:rtl/>
              </w:rPr>
              <w:t xml:space="preserve"> </w:t>
            </w:r>
            <w:r w:rsidRPr="00B71E1D">
              <w:rPr>
                <w:rFonts w:hint="cs"/>
                <w:rtl/>
              </w:rPr>
              <w:t>העונשין</w:t>
            </w:r>
            <w:r w:rsidRPr="00B71E1D">
              <w:rPr>
                <w:rtl/>
              </w:rPr>
              <w:t xml:space="preserve">, </w:t>
            </w:r>
            <w:r w:rsidRPr="00B71E1D">
              <w:rPr>
                <w:rFonts w:hint="cs"/>
                <w:rtl/>
              </w:rPr>
              <w:t>התשל</w:t>
            </w:r>
            <w:r w:rsidRPr="00B71E1D">
              <w:rPr>
                <w:rtl/>
              </w:rPr>
              <w:t>"</w:t>
            </w:r>
            <w:r w:rsidRPr="00B71E1D">
              <w:rPr>
                <w:rFonts w:hint="cs"/>
                <w:rtl/>
              </w:rPr>
              <w:t>ז</w:t>
            </w:r>
            <w:r w:rsidR="00742057">
              <w:rPr>
                <w:rFonts w:hint="eastAsia"/>
                <w:rtl/>
              </w:rPr>
              <w:t>–</w:t>
            </w:r>
            <w:r w:rsidR="00742057" w:rsidRPr="00B71E1D">
              <w:rPr>
                <w:rtl/>
              </w:rPr>
              <w:t>1977</w:t>
            </w:r>
            <w:r w:rsidR="00253E61">
              <w:rPr>
                <w:rStyle w:val="a5"/>
                <w:rtl/>
              </w:rPr>
              <w:footnoteReference w:id="2"/>
            </w:r>
            <w:r w:rsidRPr="00B71E1D">
              <w:rPr>
                <w:rFonts w:hint="cs"/>
                <w:rtl/>
              </w:rPr>
              <w:t>, בסעיף</w:t>
            </w:r>
            <w:r w:rsidRPr="00B71E1D">
              <w:rPr>
                <w:rtl/>
              </w:rPr>
              <w:t xml:space="preserve"> 35</w:t>
            </w:r>
            <w:r w:rsidRPr="00B71E1D">
              <w:rPr>
                <w:rFonts w:hint="cs"/>
                <w:rtl/>
              </w:rPr>
              <w:t>4</w:t>
            </w:r>
            <w:r>
              <w:rPr>
                <w:rFonts w:hint="cs"/>
                <w:rtl/>
              </w:rPr>
              <w:t>(א)(2), אחרי "בסעיף 351(ה)" יבוא "או צאצאו של דוד או דודה או גיס או גיסה, שמלאו לו חמש עשרה שנים."</w:t>
            </w:r>
          </w:p>
        </w:tc>
      </w:tr>
    </w:tbl>
    <w:p w14:paraId="515AC64D" w14:textId="77777777" w:rsidR="00DE2339" w:rsidRDefault="00DE2339" w:rsidP="00DE2339">
      <w:pPr>
        <w:pStyle w:val="HeadDivreiHesber"/>
        <w:rPr>
          <w:rtl/>
        </w:rPr>
      </w:pPr>
      <w:r w:rsidRPr="0027450A">
        <w:rPr>
          <w:rFonts w:hint="cs"/>
          <w:rtl/>
        </w:rPr>
        <w:t>דברי הסבר</w:t>
      </w:r>
    </w:p>
    <w:p w14:paraId="227650C4" w14:textId="77777777" w:rsidR="00DE2339" w:rsidRPr="007E5DD3" w:rsidRDefault="00DE2339" w:rsidP="00742057">
      <w:pPr>
        <w:pStyle w:val="Hesber"/>
        <w:spacing w:line="276" w:lineRule="auto"/>
        <w:rPr>
          <w:rtl/>
        </w:rPr>
      </w:pPr>
      <w:r w:rsidRPr="007E5DD3">
        <w:rPr>
          <w:rFonts w:hint="cs"/>
          <w:rtl/>
        </w:rPr>
        <w:t>על רקע הקשיים</w:t>
      </w:r>
      <w:r w:rsidRPr="007E5DD3">
        <w:rPr>
          <w:rtl/>
        </w:rPr>
        <w:t xml:space="preserve"> </w:t>
      </w:r>
      <w:r w:rsidRPr="007E5DD3">
        <w:rPr>
          <w:rFonts w:hint="cs"/>
          <w:rtl/>
        </w:rPr>
        <w:t>האינהרנטיים</w:t>
      </w:r>
      <w:r w:rsidRPr="007E5DD3">
        <w:rPr>
          <w:rtl/>
        </w:rPr>
        <w:t xml:space="preserve"> </w:t>
      </w:r>
      <w:r w:rsidRPr="007E5DD3">
        <w:rPr>
          <w:rFonts w:hint="cs"/>
          <w:rtl/>
        </w:rPr>
        <w:t>והאובייקטיבים</w:t>
      </w:r>
      <w:r w:rsidRPr="007E5DD3">
        <w:rPr>
          <w:rtl/>
        </w:rPr>
        <w:t xml:space="preserve"> </w:t>
      </w:r>
      <w:r w:rsidRPr="007E5DD3">
        <w:rPr>
          <w:rFonts w:hint="cs"/>
          <w:rtl/>
        </w:rPr>
        <w:t>שבפניהם</w:t>
      </w:r>
      <w:r w:rsidRPr="007E5DD3">
        <w:rPr>
          <w:rtl/>
        </w:rPr>
        <w:t xml:space="preserve"> </w:t>
      </w:r>
      <w:r w:rsidRPr="007E5DD3">
        <w:rPr>
          <w:rFonts w:hint="cs"/>
          <w:rtl/>
        </w:rPr>
        <w:t>ניצבים</w:t>
      </w:r>
      <w:r w:rsidRPr="007E5DD3">
        <w:rPr>
          <w:rtl/>
        </w:rPr>
        <w:t xml:space="preserve"> </w:t>
      </w:r>
      <w:r w:rsidRPr="007E5DD3">
        <w:rPr>
          <w:rFonts w:hint="cs"/>
          <w:rtl/>
        </w:rPr>
        <w:t>נפגעי עבירות מין במשפחה</w:t>
      </w:r>
      <w:r w:rsidRPr="007E5DD3">
        <w:rPr>
          <w:rtl/>
        </w:rPr>
        <w:t xml:space="preserve"> </w:t>
      </w:r>
      <w:r w:rsidRPr="007E5DD3">
        <w:rPr>
          <w:rFonts w:hint="cs"/>
          <w:rtl/>
        </w:rPr>
        <w:t>בבואם</w:t>
      </w:r>
      <w:r w:rsidRPr="007E5DD3">
        <w:rPr>
          <w:rtl/>
        </w:rPr>
        <w:t xml:space="preserve"> </w:t>
      </w:r>
      <w:r w:rsidRPr="007E5DD3">
        <w:rPr>
          <w:rFonts w:hint="cs"/>
          <w:rtl/>
        </w:rPr>
        <w:t>לדווח</w:t>
      </w:r>
      <w:r w:rsidRPr="007E5DD3">
        <w:rPr>
          <w:rtl/>
        </w:rPr>
        <w:t xml:space="preserve"> </w:t>
      </w:r>
      <w:r w:rsidRPr="007E5DD3">
        <w:rPr>
          <w:rFonts w:hint="cs"/>
          <w:rtl/>
        </w:rPr>
        <w:t>על</w:t>
      </w:r>
      <w:r w:rsidRPr="007E5DD3">
        <w:rPr>
          <w:rtl/>
        </w:rPr>
        <w:t xml:space="preserve"> </w:t>
      </w:r>
      <w:r w:rsidRPr="007E5DD3">
        <w:rPr>
          <w:rFonts w:hint="cs"/>
          <w:rtl/>
        </w:rPr>
        <w:t>מעשי</w:t>
      </w:r>
      <w:r w:rsidRPr="007E5DD3">
        <w:rPr>
          <w:rtl/>
        </w:rPr>
        <w:t xml:space="preserve"> </w:t>
      </w:r>
      <w:r w:rsidRPr="007E5DD3">
        <w:rPr>
          <w:rFonts w:hint="cs"/>
          <w:rtl/>
        </w:rPr>
        <w:t>גילוי</w:t>
      </w:r>
      <w:r w:rsidRPr="007E5DD3">
        <w:rPr>
          <w:rtl/>
        </w:rPr>
        <w:t xml:space="preserve"> </w:t>
      </w:r>
      <w:r w:rsidRPr="007E5DD3">
        <w:rPr>
          <w:rFonts w:hint="cs"/>
          <w:rtl/>
        </w:rPr>
        <w:t>עריות</w:t>
      </w:r>
      <w:r w:rsidRPr="007E5DD3">
        <w:rPr>
          <w:rtl/>
        </w:rPr>
        <w:t xml:space="preserve"> </w:t>
      </w:r>
      <w:r w:rsidRPr="007E5DD3">
        <w:rPr>
          <w:rFonts w:hint="cs"/>
          <w:rtl/>
        </w:rPr>
        <w:t>בחלוף</w:t>
      </w:r>
      <w:r w:rsidRPr="007E5DD3">
        <w:rPr>
          <w:rtl/>
        </w:rPr>
        <w:t xml:space="preserve"> </w:t>
      </w:r>
      <w:r w:rsidRPr="007E5DD3">
        <w:rPr>
          <w:rFonts w:hint="cs"/>
          <w:rtl/>
        </w:rPr>
        <w:t>שנים</w:t>
      </w:r>
      <w:r w:rsidRPr="007E5DD3">
        <w:rPr>
          <w:rtl/>
        </w:rPr>
        <w:t xml:space="preserve"> </w:t>
      </w:r>
      <w:r w:rsidRPr="007E5DD3">
        <w:rPr>
          <w:rFonts w:hint="cs"/>
          <w:rtl/>
        </w:rPr>
        <w:t xml:space="preserve">רבות, קבע המחוקק תקופת התיישנות מיוחדת במקרים של פגיעה מינית שבוצעו בקטינים בידי בן משפחה או אחראי על שלומו של קטין. </w:t>
      </w:r>
    </w:p>
    <w:p w14:paraId="30052C0C" w14:textId="43967472" w:rsidR="00DE2339" w:rsidRPr="007E5DD3" w:rsidRDefault="00DE2339" w:rsidP="00742057">
      <w:pPr>
        <w:pStyle w:val="Hesber"/>
        <w:spacing w:line="276" w:lineRule="auto"/>
        <w:rPr>
          <w:rtl/>
        </w:rPr>
      </w:pPr>
      <w:r w:rsidRPr="007E5DD3">
        <w:rPr>
          <w:rFonts w:hint="cs"/>
          <w:rtl/>
        </w:rPr>
        <w:t>ואכן, בשדה המחקרי ידוע כי נפגע</w:t>
      </w:r>
      <w:r w:rsidRPr="007E5DD3">
        <w:rPr>
          <w:rtl/>
        </w:rPr>
        <w:t xml:space="preserve"> </w:t>
      </w:r>
      <w:r w:rsidRPr="007E5DD3">
        <w:rPr>
          <w:rFonts w:hint="cs"/>
          <w:rtl/>
        </w:rPr>
        <w:t>גילוי</w:t>
      </w:r>
      <w:r w:rsidRPr="007E5DD3">
        <w:rPr>
          <w:rtl/>
        </w:rPr>
        <w:t xml:space="preserve"> </w:t>
      </w:r>
      <w:r w:rsidRPr="007E5DD3">
        <w:rPr>
          <w:rFonts w:hint="cs"/>
          <w:rtl/>
        </w:rPr>
        <w:t>עריות</w:t>
      </w:r>
      <w:r w:rsidRPr="007E5DD3">
        <w:rPr>
          <w:rtl/>
        </w:rPr>
        <w:t xml:space="preserve"> </w:t>
      </w:r>
      <w:r w:rsidRPr="007E5DD3">
        <w:rPr>
          <w:rFonts w:hint="cs"/>
          <w:rtl/>
        </w:rPr>
        <w:t>מתמודד</w:t>
      </w:r>
      <w:r w:rsidRPr="007E5DD3">
        <w:rPr>
          <w:rtl/>
        </w:rPr>
        <w:t xml:space="preserve"> </w:t>
      </w:r>
      <w:r w:rsidRPr="007E5DD3">
        <w:rPr>
          <w:rFonts w:hint="cs"/>
          <w:rtl/>
        </w:rPr>
        <w:t>עם</w:t>
      </w:r>
      <w:r w:rsidRPr="007E5DD3">
        <w:rPr>
          <w:rtl/>
        </w:rPr>
        <w:t xml:space="preserve"> </w:t>
      </w:r>
      <w:r w:rsidRPr="007E5DD3">
        <w:rPr>
          <w:rFonts w:hint="cs"/>
          <w:rtl/>
        </w:rPr>
        <w:t>מנגנון</w:t>
      </w:r>
      <w:r w:rsidRPr="007E5DD3">
        <w:rPr>
          <w:rtl/>
        </w:rPr>
        <w:t xml:space="preserve"> </w:t>
      </w:r>
      <w:r w:rsidRPr="007E5DD3">
        <w:rPr>
          <w:rFonts w:hint="cs"/>
          <w:rtl/>
        </w:rPr>
        <w:t>הבשלה</w:t>
      </w:r>
      <w:r w:rsidRPr="007E5DD3">
        <w:rPr>
          <w:rtl/>
        </w:rPr>
        <w:t xml:space="preserve"> </w:t>
      </w:r>
      <w:r w:rsidRPr="007E5DD3">
        <w:rPr>
          <w:rFonts w:hint="cs"/>
          <w:rtl/>
        </w:rPr>
        <w:t>מורכב</w:t>
      </w:r>
      <w:r w:rsidRPr="007E5DD3">
        <w:rPr>
          <w:rtl/>
        </w:rPr>
        <w:t xml:space="preserve">, </w:t>
      </w:r>
      <w:r w:rsidRPr="007E5DD3">
        <w:rPr>
          <w:rFonts w:hint="cs"/>
          <w:rtl/>
        </w:rPr>
        <w:t>בעל</w:t>
      </w:r>
      <w:r w:rsidRPr="007E5DD3">
        <w:rPr>
          <w:rtl/>
        </w:rPr>
        <w:t xml:space="preserve"> </w:t>
      </w:r>
      <w:r w:rsidRPr="007E5DD3">
        <w:rPr>
          <w:rFonts w:hint="cs"/>
          <w:rtl/>
        </w:rPr>
        <w:t>מספר</w:t>
      </w:r>
      <w:r w:rsidRPr="007E5DD3">
        <w:rPr>
          <w:rtl/>
        </w:rPr>
        <w:t xml:space="preserve"> </w:t>
      </w:r>
      <w:r w:rsidRPr="007E5DD3">
        <w:rPr>
          <w:rFonts w:hint="cs"/>
          <w:rtl/>
        </w:rPr>
        <w:t>שלבים</w:t>
      </w:r>
      <w:r w:rsidRPr="007E5DD3">
        <w:rPr>
          <w:rtl/>
        </w:rPr>
        <w:t xml:space="preserve">, </w:t>
      </w:r>
      <w:r w:rsidRPr="007E5DD3">
        <w:rPr>
          <w:rFonts w:hint="cs"/>
          <w:rtl/>
        </w:rPr>
        <w:t>בטרם</w:t>
      </w:r>
      <w:r w:rsidRPr="007E5DD3">
        <w:rPr>
          <w:rtl/>
        </w:rPr>
        <w:t xml:space="preserve"> </w:t>
      </w:r>
      <w:r w:rsidRPr="007E5DD3">
        <w:rPr>
          <w:rFonts w:hint="cs"/>
          <w:rtl/>
        </w:rPr>
        <w:t>יוכל</w:t>
      </w:r>
      <w:r w:rsidRPr="007E5DD3">
        <w:rPr>
          <w:rtl/>
        </w:rPr>
        <w:t xml:space="preserve"> </w:t>
      </w:r>
      <w:r w:rsidRPr="007E5DD3">
        <w:rPr>
          <w:rFonts w:hint="cs"/>
          <w:rtl/>
        </w:rPr>
        <w:t>לפנות</w:t>
      </w:r>
      <w:r w:rsidRPr="007E5DD3">
        <w:rPr>
          <w:rtl/>
        </w:rPr>
        <w:t xml:space="preserve"> </w:t>
      </w:r>
      <w:r w:rsidRPr="007E5DD3">
        <w:rPr>
          <w:rFonts w:hint="cs"/>
          <w:rtl/>
        </w:rPr>
        <w:t>בהגשת</w:t>
      </w:r>
      <w:r w:rsidRPr="007E5DD3">
        <w:rPr>
          <w:rtl/>
        </w:rPr>
        <w:t xml:space="preserve"> </w:t>
      </w:r>
      <w:r w:rsidRPr="007E5DD3">
        <w:rPr>
          <w:rFonts w:hint="cs"/>
          <w:rtl/>
        </w:rPr>
        <w:t>תלונה</w:t>
      </w:r>
      <w:r w:rsidRPr="007E5DD3">
        <w:rPr>
          <w:rtl/>
        </w:rPr>
        <w:t xml:space="preserve">, </w:t>
      </w:r>
      <w:r w:rsidRPr="007E5DD3">
        <w:rPr>
          <w:rFonts w:hint="cs"/>
          <w:rtl/>
        </w:rPr>
        <w:t>כאשר לעתים</w:t>
      </w:r>
      <w:r w:rsidRPr="007E5DD3">
        <w:rPr>
          <w:rtl/>
        </w:rPr>
        <w:t xml:space="preserve"> </w:t>
      </w:r>
      <w:r w:rsidRPr="007E5DD3">
        <w:rPr>
          <w:rFonts w:hint="cs"/>
          <w:rtl/>
        </w:rPr>
        <w:t>מדובר בתהליך</w:t>
      </w:r>
      <w:r w:rsidRPr="007E5DD3">
        <w:rPr>
          <w:rtl/>
        </w:rPr>
        <w:t xml:space="preserve"> </w:t>
      </w:r>
      <w:r w:rsidRPr="007E5DD3">
        <w:rPr>
          <w:rFonts w:hint="cs"/>
          <w:rtl/>
        </w:rPr>
        <w:t>בן</w:t>
      </w:r>
      <w:r w:rsidRPr="007E5DD3">
        <w:rPr>
          <w:rtl/>
        </w:rPr>
        <w:t xml:space="preserve"> </w:t>
      </w:r>
      <w:r w:rsidRPr="007E5DD3">
        <w:rPr>
          <w:rFonts w:hint="cs"/>
          <w:rtl/>
        </w:rPr>
        <w:t>עשרות</w:t>
      </w:r>
      <w:r w:rsidRPr="007E5DD3">
        <w:rPr>
          <w:rtl/>
        </w:rPr>
        <w:t xml:space="preserve"> </w:t>
      </w:r>
      <w:r w:rsidRPr="007E5DD3">
        <w:rPr>
          <w:rFonts w:hint="cs"/>
          <w:rtl/>
        </w:rPr>
        <w:t xml:space="preserve">שנים. בפגיעה מינית שבוצעה בידי בן משפחה קרוב, קיים קושי מיוחד בדיווח, הנובע מעצם יחסי הקרבה והתלות המאפיינים את התא המשפחתי. נורמות של ציות למשפחה נמנות גם הן </w:t>
      </w:r>
      <w:r w:rsidR="00253E61">
        <w:rPr>
          <w:rFonts w:hint="cs"/>
          <w:rtl/>
        </w:rPr>
        <w:t>עם</w:t>
      </w:r>
      <w:r w:rsidRPr="007E5DD3">
        <w:rPr>
          <w:rFonts w:hint="cs"/>
          <w:rtl/>
        </w:rPr>
        <w:t xml:space="preserve"> אותם גורמים המוכרים ככאלו המעכבים דיווח במקרים של פגיעה בתוך המשפחה. עבירות</w:t>
      </w:r>
      <w:r w:rsidRPr="007E5DD3">
        <w:rPr>
          <w:rtl/>
        </w:rPr>
        <w:t xml:space="preserve"> </w:t>
      </w:r>
      <w:r w:rsidRPr="007E5DD3">
        <w:rPr>
          <w:rFonts w:hint="cs"/>
          <w:rtl/>
        </w:rPr>
        <w:t>של</w:t>
      </w:r>
      <w:r w:rsidRPr="007E5DD3">
        <w:rPr>
          <w:rtl/>
        </w:rPr>
        <w:t xml:space="preserve"> </w:t>
      </w:r>
      <w:r w:rsidRPr="007E5DD3">
        <w:rPr>
          <w:rFonts w:hint="cs"/>
          <w:rtl/>
        </w:rPr>
        <w:t>התעללות</w:t>
      </w:r>
      <w:r w:rsidRPr="007E5DD3">
        <w:rPr>
          <w:rtl/>
        </w:rPr>
        <w:t xml:space="preserve"> </w:t>
      </w:r>
      <w:r w:rsidRPr="007E5DD3">
        <w:rPr>
          <w:rFonts w:hint="cs"/>
          <w:rtl/>
        </w:rPr>
        <w:t>מינית</w:t>
      </w:r>
      <w:r w:rsidRPr="007E5DD3">
        <w:rPr>
          <w:rtl/>
        </w:rPr>
        <w:t xml:space="preserve"> </w:t>
      </w:r>
      <w:r w:rsidRPr="007E5DD3">
        <w:rPr>
          <w:rFonts w:hint="cs"/>
          <w:rtl/>
        </w:rPr>
        <w:t>בקטינים</w:t>
      </w:r>
      <w:r w:rsidRPr="007E5DD3">
        <w:rPr>
          <w:rtl/>
        </w:rPr>
        <w:t xml:space="preserve"> </w:t>
      </w:r>
      <w:r w:rsidRPr="007E5DD3">
        <w:rPr>
          <w:rFonts w:hint="cs"/>
          <w:rtl/>
        </w:rPr>
        <w:t>על</w:t>
      </w:r>
      <w:r w:rsidRPr="007E5DD3">
        <w:rPr>
          <w:rtl/>
        </w:rPr>
        <w:t xml:space="preserve"> </w:t>
      </w:r>
      <w:r w:rsidRPr="007E5DD3">
        <w:rPr>
          <w:rFonts w:hint="cs"/>
          <w:rtl/>
        </w:rPr>
        <w:t>ידי</w:t>
      </w:r>
      <w:r w:rsidRPr="007E5DD3">
        <w:rPr>
          <w:rtl/>
        </w:rPr>
        <w:t xml:space="preserve"> </w:t>
      </w:r>
      <w:r w:rsidRPr="007E5DD3">
        <w:rPr>
          <w:rFonts w:hint="cs"/>
          <w:rtl/>
        </w:rPr>
        <w:t>בן</w:t>
      </w:r>
      <w:r w:rsidRPr="007E5DD3">
        <w:rPr>
          <w:rtl/>
        </w:rPr>
        <w:t xml:space="preserve"> </w:t>
      </w:r>
      <w:r w:rsidRPr="007E5DD3">
        <w:rPr>
          <w:rFonts w:hint="cs"/>
          <w:rtl/>
        </w:rPr>
        <w:t>משפחה</w:t>
      </w:r>
      <w:r w:rsidRPr="007E5DD3">
        <w:rPr>
          <w:rtl/>
        </w:rPr>
        <w:t xml:space="preserve"> </w:t>
      </w:r>
      <w:r w:rsidRPr="007E5DD3">
        <w:rPr>
          <w:rFonts w:hint="cs"/>
          <w:rtl/>
        </w:rPr>
        <w:t>יוצרת</w:t>
      </w:r>
      <w:r w:rsidRPr="007E5DD3">
        <w:rPr>
          <w:rtl/>
        </w:rPr>
        <w:t xml:space="preserve"> </w:t>
      </w:r>
      <w:r w:rsidRPr="007E5DD3">
        <w:rPr>
          <w:rFonts w:hint="cs"/>
          <w:rtl/>
        </w:rPr>
        <w:t>פגיעה</w:t>
      </w:r>
      <w:r w:rsidRPr="007E5DD3">
        <w:rPr>
          <w:rtl/>
        </w:rPr>
        <w:t xml:space="preserve"> </w:t>
      </w:r>
      <w:r w:rsidRPr="007E5DD3">
        <w:rPr>
          <w:rFonts w:hint="cs"/>
          <w:rtl/>
        </w:rPr>
        <w:t>קשה</w:t>
      </w:r>
      <w:r w:rsidRPr="007E5DD3">
        <w:rPr>
          <w:rtl/>
        </w:rPr>
        <w:t xml:space="preserve">, </w:t>
      </w:r>
      <w:r w:rsidRPr="007E5DD3">
        <w:rPr>
          <w:rFonts w:hint="cs"/>
          <w:rtl/>
        </w:rPr>
        <w:t>הנמשכת</w:t>
      </w:r>
      <w:r w:rsidRPr="007E5DD3">
        <w:rPr>
          <w:rtl/>
        </w:rPr>
        <w:t xml:space="preserve"> </w:t>
      </w:r>
      <w:r w:rsidRPr="007E5DD3">
        <w:rPr>
          <w:rFonts w:hint="cs"/>
          <w:rtl/>
        </w:rPr>
        <w:t>לרוב</w:t>
      </w:r>
      <w:r w:rsidRPr="007E5DD3">
        <w:rPr>
          <w:rtl/>
        </w:rPr>
        <w:t xml:space="preserve"> </w:t>
      </w:r>
      <w:r w:rsidRPr="007E5DD3">
        <w:rPr>
          <w:rFonts w:hint="cs"/>
          <w:rtl/>
        </w:rPr>
        <w:t>על פני כל</w:t>
      </w:r>
      <w:r w:rsidRPr="007E5DD3">
        <w:rPr>
          <w:rtl/>
        </w:rPr>
        <w:t xml:space="preserve"> </w:t>
      </w:r>
      <w:r w:rsidRPr="007E5DD3">
        <w:rPr>
          <w:rFonts w:hint="cs"/>
          <w:rtl/>
        </w:rPr>
        <w:t>תקופת</w:t>
      </w:r>
      <w:r w:rsidRPr="007E5DD3">
        <w:rPr>
          <w:rtl/>
        </w:rPr>
        <w:t xml:space="preserve"> </w:t>
      </w:r>
      <w:r w:rsidRPr="007E5DD3">
        <w:rPr>
          <w:rFonts w:hint="cs"/>
          <w:rtl/>
        </w:rPr>
        <w:t>חייו</w:t>
      </w:r>
      <w:r w:rsidRPr="007E5DD3">
        <w:rPr>
          <w:rtl/>
        </w:rPr>
        <w:t xml:space="preserve"> </w:t>
      </w:r>
      <w:r w:rsidRPr="007E5DD3">
        <w:rPr>
          <w:rFonts w:hint="cs"/>
          <w:rtl/>
        </w:rPr>
        <w:t>של</w:t>
      </w:r>
      <w:r w:rsidRPr="007E5DD3">
        <w:rPr>
          <w:rtl/>
        </w:rPr>
        <w:t xml:space="preserve"> </w:t>
      </w:r>
      <w:r w:rsidRPr="007E5DD3">
        <w:rPr>
          <w:rFonts w:hint="cs"/>
          <w:rtl/>
        </w:rPr>
        <w:t>נפגע</w:t>
      </w:r>
      <w:r w:rsidRPr="007E5DD3">
        <w:rPr>
          <w:rtl/>
        </w:rPr>
        <w:t xml:space="preserve"> </w:t>
      </w:r>
      <w:r w:rsidRPr="007E5DD3">
        <w:rPr>
          <w:rFonts w:hint="cs"/>
          <w:rtl/>
        </w:rPr>
        <w:t>ובכל</w:t>
      </w:r>
      <w:r w:rsidRPr="007E5DD3">
        <w:rPr>
          <w:rtl/>
        </w:rPr>
        <w:t xml:space="preserve"> </w:t>
      </w:r>
      <w:r w:rsidRPr="007E5DD3">
        <w:rPr>
          <w:rFonts w:hint="cs"/>
          <w:rtl/>
        </w:rPr>
        <w:t>מעגלי</w:t>
      </w:r>
      <w:r w:rsidRPr="007E5DD3">
        <w:rPr>
          <w:rtl/>
        </w:rPr>
        <w:t xml:space="preserve"> </w:t>
      </w:r>
      <w:r w:rsidRPr="007E5DD3">
        <w:rPr>
          <w:rFonts w:hint="cs"/>
          <w:rtl/>
        </w:rPr>
        <w:t>החיים.</w:t>
      </w:r>
    </w:p>
    <w:p w14:paraId="51778EB7" w14:textId="77777777" w:rsidR="00DE2339" w:rsidRPr="007E5DD3" w:rsidRDefault="00DE2339" w:rsidP="00742057">
      <w:pPr>
        <w:pStyle w:val="Hesber"/>
        <w:spacing w:line="276" w:lineRule="auto"/>
        <w:rPr>
          <w:rtl/>
        </w:rPr>
      </w:pPr>
      <w:r w:rsidRPr="007E5DD3">
        <w:rPr>
          <w:rFonts w:hint="cs"/>
          <w:rtl/>
        </w:rPr>
        <w:t>לפי המצב הקיים בחוק כיום, עבירות מין שבוצעו בקטינים על ידי בני דודים מוחרגות ואינן נכללות בתוך תקופת ההתיישנות המיוחדת הקבועה בחוק, זאת על אף שאין הבדל מהותי בין מנגנון ההבשלה הנדרש להגשת תלונה במקרים אלו ביחס לפגיעות של בני משפחה אחרים.</w:t>
      </w:r>
    </w:p>
    <w:p w14:paraId="72AAF1D2" w14:textId="77777777" w:rsidR="00DE2339" w:rsidRPr="007E5DD3" w:rsidRDefault="00DE2339" w:rsidP="00742057">
      <w:pPr>
        <w:pStyle w:val="Hesber"/>
        <w:spacing w:line="276" w:lineRule="auto"/>
        <w:rPr>
          <w:rtl/>
        </w:rPr>
      </w:pPr>
      <w:r w:rsidRPr="007E5DD3">
        <w:rPr>
          <w:rtl/>
        </w:rPr>
        <w:t xml:space="preserve"> </w:t>
      </w:r>
      <w:r w:rsidRPr="007E5DD3">
        <w:rPr>
          <w:rFonts w:hint="cs"/>
          <w:rtl/>
        </w:rPr>
        <w:t>על</w:t>
      </w:r>
      <w:r w:rsidRPr="007E5DD3">
        <w:rPr>
          <w:rtl/>
        </w:rPr>
        <w:t xml:space="preserve"> </w:t>
      </w:r>
      <w:r w:rsidRPr="007E5DD3">
        <w:rPr>
          <w:rFonts w:hint="cs"/>
          <w:rtl/>
        </w:rPr>
        <w:t>פי</w:t>
      </w:r>
      <w:r w:rsidRPr="007E5DD3">
        <w:rPr>
          <w:rtl/>
        </w:rPr>
        <w:t xml:space="preserve"> </w:t>
      </w:r>
      <w:r w:rsidRPr="007E5DD3">
        <w:rPr>
          <w:rFonts w:hint="cs"/>
          <w:rtl/>
        </w:rPr>
        <w:t>נתוני</w:t>
      </w:r>
      <w:r w:rsidRPr="007E5DD3">
        <w:rPr>
          <w:rtl/>
        </w:rPr>
        <w:t xml:space="preserve"> </w:t>
      </w:r>
      <w:r w:rsidRPr="007E5DD3">
        <w:rPr>
          <w:rFonts w:hint="cs"/>
          <w:rtl/>
        </w:rPr>
        <w:t>מרכזי</w:t>
      </w:r>
      <w:r w:rsidRPr="007E5DD3">
        <w:rPr>
          <w:rtl/>
        </w:rPr>
        <w:t xml:space="preserve"> </w:t>
      </w:r>
      <w:r w:rsidRPr="007E5DD3">
        <w:rPr>
          <w:rFonts w:hint="cs"/>
          <w:rtl/>
        </w:rPr>
        <w:t>הסיוע</w:t>
      </w:r>
      <w:r w:rsidRPr="007E5DD3">
        <w:rPr>
          <w:rtl/>
        </w:rPr>
        <w:t xml:space="preserve"> </w:t>
      </w:r>
      <w:r w:rsidRPr="007E5DD3">
        <w:rPr>
          <w:rFonts w:hint="cs"/>
          <w:rtl/>
        </w:rPr>
        <w:t>הפועלים</w:t>
      </w:r>
      <w:r w:rsidRPr="007E5DD3">
        <w:rPr>
          <w:rtl/>
        </w:rPr>
        <w:t xml:space="preserve"> </w:t>
      </w:r>
      <w:r w:rsidRPr="007E5DD3">
        <w:rPr>
          <w:rFonts w:hint="cs"/>
          <w:rtl/>
        </w:rPr>
        <w:t>ברחבי</w:t>
      </w:r>
      <w:r w:rsidRPr="007E5DD3">
        <w:rPr>
          <w:rtl/>
        </w:rPr>
        <w:t xml:space="preserve"> </w:t>
      </w:r>
      <w:r w:rsidRPr="007E5DD3">
        <w:rPr>
          <w:rFonts w:hint="cs"/>
          <w:rtl/>
        </w:rPr>
        <w:t>הארץ</w:t>
      </w:r>
      <w:r w:rsidRPr="007E5DD3">
        <w:rPr>
          <w:rtl/>
        </w:rPr>
        <w:t xml:space="preserve"> </w:t>
      </w:r>
      <w:r w:rsidRPr="007E5DD3">
        <w:rPr>
          <w:rFonts w:hint="cs"/>
          <w:rtl/>
        </w:rPr>
        <w:t>ומקבלים</w:t>
      </w:r>
      <w:r w:rsidRPr="007E5DD3">
        <w:rPr>
          <w:rtl/>
        </w:rPr>
        <w:t xml:space="preserve"> </w:t>
      </w:r>
      <w:r w:rsidRPr="007E5DD3">
        <w:rPr>
          <w:rFonts w:hint="cs"/>
          <w:rtl/>
        </w:rPr>
        <w:t>עשרות</w:t>
      </w:r>
      <w:r w:rsidRPr="007E5DD3">
        <w:rPr>
          <w:rtl/>
        </w:rPr>
        <w:t xml:space="preserve"> </w:t>
      </w:r>
      <w:r w:rsidRPr="007E5DD3">
        <w:rPr>
          <w:rFonts w:hint="cs"/>
          <w:rtl/>
        </w:rPr>
        <w:t>אלפי</w:t>
      </w:r>
      <w:r w:rsidRPr="007E5DD3">
        <w:rPr>
          <w:rtl/>
        </w:rPr>
        <w:t xml:space="preserve"> </w:t>
      </w:r>
      <w:r w:rsidRPr="007E5DD3">
        <w:rPr>
          <w:rFonts w:hint="cs"/>
          <w:rtl/>
        </w:rPr>
        <w:t>פניות</w:t>
      </w:r>
      <w:r w:rsidRPr="007E5DD3">
        <w:rPr>
          <w:rtl/>
        </w:rPr>
        <w:t xml:space="preserve"> </w:t>
      </w:r>
      <w:r w:rsidRPr="007E5DD3">
        <w:rPr>
          <w:rFonts w:hint="cs"/>
          <w:rtl/>
        </w:rPr>
        <w:t>בשנה</w:t>
      </w:r>
      <w:r w:rsidRPr="007E5DD3">
        <w:rPr>
          <w:rtl/>
        </w:rPr>
        <w:t xml:space="preserve">, </w:t>
      </w:r>
      <w:r w:rsidRPr="007E5DD3">
        <w:rPr>
          <w:rFonts w:hint="cs"/>
          <w:rtl/>
        </w:rPr>
        <w:t>מדי</w:t>
      </w:r>
      <w:r w:rsidRPr="007E5DD3">
        <w:rPr>
          <w:rtl/>
        </w:rPr>
        <w:t xml:space="preserve"> </w:t>
      </w:r>
      <w:r w:rsidRPr="007E5DD3">
        <w:rPr>
          <w:rFonts w:hint="cs"/>
          <w:rtl/>
        </w:rPr>
        <w:t>שנה</w:t>
      </w:r>
      <w:r w:rsidRPr="007E5DD3">
        <w:rPr>
          <w:rtl/>
        </w:rPr>
        <w:t xml:space="preserve"> </w:t>
      </w:r>
      <w:r w:rsidRPr="007E5DD3">
        <w:rPr>
          <w:rFonts w:hint="cs"/>
          <w:rtl/>
        </w:rPr>
        <w:t>נפגעים קטינים רבים</w:t>
      </w:r>
      <w:r w:rsidRPr="007E5DD3">
        <w:rPr>
          <w:rtl/>
        </w:rPr>
        <w:t xml:space="preserve"> </w:t>
      </w:r>
      <w:r w:rsidRPr="007E5DD3">
        <w:rPr>
          <w:rFonts w:hint="cs"/>
          <w:rtl/>
        </w:rPr>
        <w:t>בעבירות מין שבוצעו</w:t>
      </w:r>
      <w:r w:rsidRPr="007E5DD3">
        <w:rPr>
          <w:rtl/>
        </w:rPr>
        <w:t xml:space="preserve"> </w:t>
      </w:r>
      <w:r w:rsidRPr="007E5DD3">
        <w:rPr>
          <w:rFonts w:hint="cs"/>
          <w:rtl/>
        </w:rPr>
        <w:t>על</w:t>
      </w:r>
      <w:r w:rsidRPr="007E5DD3">
        <w:rPr>
          <w:rtl/>
        </w:rPr>
        <w:t xml:space="preserve"> </w:t>
      </w:r>
      <w:r w:rsidRPr="007E5DD3">
        <w:rPr>
          <w:rFonts w:hint="cs"/>
          <w:rtl/>
        </w:rPr>
        <w:t>ידי</w:t>
      </w:r>
      <w:r w:rsidRPr="007E5DD3">
        <w:rPr>
          <w:rtl/>
        </w:rPr>
        <w:t xml:space="preserve"> </w:t>
      </w:r>
      <w:r w:rsidRPr="007E5DD3">
        <w:rPr>
          <w:rFonts w:hint="cs"/>
          <w:rtl/>
        </w:rPr>
        <w:t>בני</w:t>
      </w:r>
      <w:r w:rsidRPr="007E5DD3">
        <w:rPr>
          <w:rtl/>
        </w:rPr>
        <w:t xml:space="preserve"> </w:t>
      </w:r>
      <w:r w:rsidRPr="007E5DD3">
        <w:rPr>
          <w:rFonts w:hint="cs"/>
          <w:rtl/>
        </w:rPr>
        <w:t>דודיהם. מקרים רבים אינם מדווחים לרשויות החוק ואינם מגיעים לגדרו של ההליך המשפטי, בין היתר, בשל</w:t>
      </w:r>
      <w:r w:rsidRPr="007E5DD3">
        <w:rPr>
          <w:rtl/>
        </w:rPr>
        <w:t xml:space="preserve"> </w:t>
      </w:r>
      <w:r w:rsidRPr="007E5DD3">
        <w:rPr>
          <w:rFonts w:hint="cs"/>
          <w:rtl/>
        </w:rPr>
        <w:t>מוסד</w:t>
      </w:r>
      <w:r w:rsidRPr="007E5DD3">
        <w:rPr>
          <w:rtl/>
        </w:rPr>
        <w:t xml:space="preserve"> </w:t>
      </w:r>
      <w:r w:rsidRPr="007E5DD3">
        <w:rPr>
          <w:rFonts w:hint="cs"/>
          <w:rtl/>
        </w:rPr>
        <w:t>ההתיישנות</w:t>
      </w:r>
      <w:r w:rsidRPr="007E5DD3">
        <w:rPr>
          <w:rtl/>
        </w:rPr>
        <w:t xml:space="preserve"> </w:t>
      </w:r>
      <w:r w:rsidRPr="007E5DD3">
        <w:rPr>
          <w:rFonts w:hint="cs"/>
          <w:rtl/>
        </w:rPr>
        <w:t>המהווה</w:t>
      </w:r>
      <w:r w:rsidRPr="007E5DD3">
        <w:rPr>
          <w:rtl/>
        </w:rPr>
        <w:t xml:space="preserve"> </w:t>
      </w:r>
      <w:r w:rsidRPr="007E5DD3">
        <w:rPr>
          <w:rFonts w:hint="cs"/>
          <w:rtl/>
        </w:rPr>
        <w:t>חסם</w:t>
      </w:r>
      <w:r w:rsidRPr="007E5DD3">
        <w:rPr>
          <w:rtl/>
        </w:rPr>
        <w:t xml:space="preserve"> </w:t>
      </w:r>
      <w:r w:rsidRPr="007E5DD3">
        <w:rPr>
          <w:rFonts w:hint="cs"/>
          <w:rtl/>
        </w:rPr>
        <w:t>משמעותי</w:t>
      </w:r>
      <w:r w:rsidRPr="007E5DD3">
        <w:rPr>
          <w:rtl/>
        </w:rPr>
        <w:t xml:space="preserve"> </w:t>
      </w:r>
      <w:r w:rsidRPr="007E5DD3">
        <w:rPr>
          <w:rFonts w:hint="cs"/>
          <w:rtl/>
        </w:rPr>
        <w:t>בעניין</w:t>
      </w:r>
      <w:r w:rsidRPr="007E5DD3">
        <w:rPr>
          <w:rtl/>
        </w:rPr>
        <w:t xml:space="preserve"> </w:t>
      </w:r>
      <w:r w:rsidRPr="007E5DD3">
        <w:rPr>
          <w:rFonts w:hint="cs"/>
          <w:rtl/>
        </w:rPr>
        <w:t>זה</w:t>
      </w:r>
      <w:r w:rsidRPr="007E5DD3">
        <w:rPr>
          <w:rtl/>
        </w:rPr>
        <w:t xml:space="preserve">. </w:t>
      </w:r>
    </w:p>
    <w:p w14:paraId="230C0259" w14:textId="77777777" w:rsidR="00DE2339" w:rsidRPr="007E5DD3" w:rsidRDefault="00DE2339" w:rsidP="00742057">
      <w:pPr>
        <w:pStyle w:val="Hesber"/>
        <w:spacing w:line="276" w:lineRule="auto"/>
        <w:rPr>
          <w:rtl/>
        </w:rPr>
      </w:pPr>
      <w:r w:rsidRPr="007E5DD3">
        <w:rPr>
          <w:rFonts w:hint="cs"/>
          <w:rtl/>
        </w:rPr>
        <w:t>על</w:t>
      </w:r>
      <w:r w:rsidRPr="007E5DD3">
        <w:rPr>
          <w:rtl/>
        </w:rPr>
        <w:t xml:space="preserve"> </w:t>
      </w:r>
      <w:r w:rsidRPr="007E5DD3">
        <w:rPr>
          <w:rFonts w:hint="cs"/>
          <w:rtl/>
        </w:rPr>
        <w:t>רקע</w:t>
      </w:r>
      <w:r w:rsidRPr="007E5DD3">
        <w:rPr>
          <w:rtl/>
        </w:rPr>
        <w:t xml:space="preserve"> </w:t>
      </w:r>
      <w:r w:rsidRPr="007E5DD3">
        <w:rPr>
          <w:rFonts w:hint="cs"/>
          <w:rtl/>
        </w:rPr>
        <w:t>זה</w:t>
      </w:r>
      <w:r w:rsidRPr="007E5DD3">
        <w:rPr>
          <w:rtl/>
        </w:rPr>
        <w:t xml:space="preserve"> </w:t>
      </w:r>
      <w:r w:rsidRPr="007E5DD3">
        <w:rPr>
          <w:rFonts w:hint="cs"/>
          <w:rtl/>
        </w:rPr>
        <w:t>מוגשת</w:t>
      </w:r>
      <w:r w:rsidRPr="007E5DD3">
        <w:rPr>
          <w:rtl/>
        </w:rPr>
        <w:t xml:space="preserve"> </w:t>
      </w:r>
      <w:r w:rsidRPr="007E5DD3">
        <w:rPr>
          <w:rFonts w:hint="cs"/>
          <w:rtl/>
        </w:rPr>
        <w:t>הצעת</w:t>
      </w:r>
      <w:r w:rsidRPr="007E5DD3">
        <w:rPr>
          <w:rtl/>
        </w:rPr>
        <w:t xml:space="preserve"> </w:t>
      </w:r>
      <w:r w:rsidRPr="007E5DD3">
        <w:rPr>
          <w:rFonts w:hint="cs"/>
          <w:rtl/>
        </w:rPr>
        <w:t>חוק</w:t>
      </w:r>
      <w:r w:rsidRPr="007E5DD3">
        <w:rPr>
          <w:rtl/>
        </w:rPr>
        <w:t xml:space="preserve"> </w:t>
      </w:r>
      <w:r w:rsidRPr="007E5DD3">
        <w:rPr>
          <w:rFonts w:hint="cs"/>
          <w:rtl/>
        </w:rPr>
        <w:t>זו</w:t>
      </w:r>
      <w:r w:rsidRPr="007E5DD3">
        <w:rPr>
          <w:rtl/>
        </w:rPr>
        <w:t xml:space="preserve"> </w:t>
      </w:r>
      <w:r w:rsidRPr="007E5DD3">
        <w:rPr>
          <w:rFonts w:hint="cs"/>
          <w:rtl/>
        </w:rPr>
        <w:t>המבקשת</w:t>
      </w:r>
      <w:r w:rsidRPr="007E5DD3">
        <w:rPr>
          <w:rtl/>
        </w:rPr>
        <w:t xml:space="preserve"> </w:t>
      </w:r>
      <w:r w:rsidRPr="007E5DD3">
        <w:rPr>
          <w:rFonts w:hint="cs"/>
          <w:rtl/>
        </w:rPr>
        <w:t>להשוות</w:t>
      </w:r>
      <w:r w:rsidRPr="007E5DD3">
        <w:rPr>
          <w:rtl/>
        </w:rPr>
        <w:t xml:space="preserve"> </w:t>
      </w:r>
      <w:r w:rsidRPr="007E5DD3">
        <w:rPr>
          <w:rFonts w:hint="cs"/>
          <w:rtl/>
        </w:rPr>
        <w:t>את</w:t>
      </w:r>
      <w:r w:rsidRPr="007E5DD3">
        <w:rPr>
          <w:rtl/>
        </w:rPr>
        <w:t xml:space="preserve"> </w:t>
      </w:r>
      <w:r w:rsidRPr="007E5DD3">
        <w:rPr>
          <w:rFonts w:hint="cs"/>
          <w:rtl/>
        </w:rPr>
        <w:t>תקופת</w:t>
      </w:r>
      <w:r w:rsidRPr="007E5DD3">
        <w:rPr>
          <w:rtl/>
        </w:rPr>
        <w:t xml:space="preserve"> </w:t>
      </w:r>
      <w:r w:rsidRPr="007E5DD3">
        <w:rPr>
          <w:rFonts w:hint="cs"/>
          <w:rtl/>
        </w:rPr>
        <w:t>ההתיישנות</w:t>
      </w:r>
      <w:r w:rsidRPr="007E5DD3">
        <w:rPr>
          <w:rtl/>
        </w:rPr>
        <w:t xml:space="preserve"> </w:t>
      </w:r>
      <w:r w:rsidRPr="007E5DD3">
        <w:rPr>
          <w:rFonts w:hint="cs"/>
          <w:rtl/>
        </w:rPr>
        <w:t>על</w:t>
      </w:r>
      <w:r w:rsidRPr="007E5DD3">
        <w:rPr>
          <w:rtl/>
        </w:rPr>
        <w:t xml:space="preserve"> </w:t>
      </w:r>
      <w:r w:rsidRPr="007E5DD3">
        <w:rPr>
          <w:rFonts w:hint="cs"/>
          <w:rtl/>
        </w:rPr>
        <w:t>פגיעות</w:t>
      </w:r>
      <w:r w:rsidRPr="007E5DD3">
        <w:rPr>
          <w:rtl/>
        </w:rPr>
        <w:t xml:space="preserve"> </w:t>
      </w:r>
      <w:r w:rsidRPr="007E5DD3">
        <w:rPr>
          <w:rFonts w:hint="cs"/>
          <w:rtl/>
        </w:rPr>
        <w:t>מיניות</w:t>
      </w:r>
      <w:r w:rsidRPr="007E5DD3">
        <w:rPr>
          <w:rtl/>
        </w:rPr>
        <w:t xml:space="preserve"> </w:t>
      </w:r>
      <w:r w:rsidRPr="007E5DD3">
        <w:rPr>
          <w:rFonts w:hint="cs"/>
          <w:rtl/>
        </w:rPr>
        <w:t>במשפחה</w:t>
      </w:r>
      <w:r w:rsidRPr="007E5DD3">
        <w:rPr>
          <w:rtl/>
        </w:rPr>
        <w:t xml:space="preserve"> </w:t>
      </w:r>
      <w:r w:rsidRPr="007E5DD3">
        <w:rPr>
          <w:rFonts w:hint="cs"/>
          <w:rtl/>
        </w:rPr>
        <w:t>כך</w:t>
      </w:r>
      <w:r w:rsidRPr="007E5DD3">
        <w:rPr>
          <w:rtl/>
        </w:rPr>
        <w:t xml:space="preserve"> </w:t>
      </w:r>
      <w:r w:rsidRPr="007E5DD3">
        <w:rPr>
          <w:rFonts w:hint="cs"/>
          <w:rtl/>
        </w:rPr>
        <w:t>שיחולו</w:t>
      </w:r>
      <w:r w:rsidRPr="007E5DD3">
        <w:rPr>
          <w:rtl/>
        </w:rPr>
        <w:t xml:space="preserve"> </w:t>
      </w:r>
      <w:r w:rsidRPr="007E5DD3">
        <w:rPr>
          <w:rFonts w:hint="cs"/>
          <w:rtl/>
        </w:rPr>
        <w:t>גם</w:t>
      </w:r>
      <w:r w:rsidRPr="007E5DD3">
        <w:rPr>
          <w:rtl/>
        </w:rPr>
        <w:t xml:space="preserve"> </w:t>
      </w:r>
      <w:r w:rsidRPr="007E5DD3">
        <w:rPr>
          <w:rFonts w:hint="cs"/>
          <w:rtl/>
        </w:rPr>
        <w:t>על</w:t>
      </w:r>
      <w:r w:rsidRPr="007E5DD3">
        <w:rPr>
          <w:rtl/>
        </w:rPr>
        <w:t xml:space="preserve"> </w:t>
      </w:r>
      <w:r w:rsidRPr="007E5DD3">
        <w:rPr>
          <w:rFonts w:hint="cs"/>
          <w:rtl/>
        </w:rPr>
        <w:t>פגיעות</w:t>
      </w:r>
      <w:r w:rsidRPr="007E5DD3">
        <w:rPr>
          <w:rtl/>
        </w:rPr>
        <w:t xml:space="preserve"> </w:t>
      </w:r>
      <w:r w:rsidRPr="007E5DD3">
        <w:rPr>
          <w:rFonts w:hint="cs"/>
          <w:rtl/>
        </w:rPr>
        <w:t>שבוצעו</w:t>
      </w:r>
      <w:r w:rsidRPr="007E5DD3">
        <w:rPr>
          <w:rtl/>
        </w:rPr>
        <w:t xml:space="preserve"> </w:t>
      </w:r>
      <w:r w:rsidRPr="007E5DD3">
        <w:rPr>
          <w:rFonts w:hint="cs"/>
          <w:rtl/>
        </w:rPr>
        <w:t>בידי</w:t>
      </w:r>
      <w:r w:rsidRPr="007E5DD3">
        <w:rPr>
          <w:rtl/>
        </w:rPr>
        <w:t xml:space="preserve"> </w:t>
      </w:r>
      <w:r w:rsidRPr="007E5DD3">
        <w:rPr>
          <w:rFonts w:hint="cs"/>
          <w:rtl/>
        </w:rPr>
        <w:t>בני דודים</w:t>
      </w:r>
      <w:r w:rsidRPr="007E5DD3">
        <w:rPr>
          <w:rtl/>
        </w:rPr>
        <w:t>.</w:t>
      </w:r>
    </w:p>
    <w:p w14:paraId="1EC2C9F4" w14:textId="3B6864B4" w:rsidR="00DE2339" w:rsidRDefault="00DE2339" w:rsidP="00742057">
      <w:pPr>
        <w:pStyle w:val="Hesber"/>
        <w:spacing w:line="276" w:lineRule="auto"/>
        <w:rPr>
          <w:rtl/>
        </w:rPr>
      </w:pPr>
      <w:r w:rsidRPr="007E5DD3">
        <w:rPr>
          <w:rFonts w:hint="cs"/>
          <w:rtl/>
        </w:rPr>
        <w:t xml:space="preserve"> הצעת</w:t>
      </w:r>
      <w:r w:rsidRPr="007E5DD3">
        <w:rPr>
          <w:rtl/>
        </w:rPr>
        <w:t xml:space="preserve"> </w:t>
      </w:r>
      <w:r w:rsidRPr="007E5DD3">
        <w:rPr>
          <w:rFonts w:hint="cs"/>
          <w:rtl/>
        </w:rPr>
        <w:t>החוק</w:t>
      </w:r>
      <w:r w:rsidRPr="007E5DD3">
        <w:rPr>
          <w:rtl/>
        </w:rPr>
        <w:t xml:space="preserve"> </w:t>
      </w:r>
      <w:r w:rsidR="00253E61">
        <w:rPr>
          <w:rFonts w:hint="cs"/>
          <w:rtl/>
        </w:rPr>
        <w:t xml:space="preserve">נכתבה בסיוע </w:t>
      </w:r>
      <w:bookmarkStart w:id="8" w:name="_GoBack"/>
      <w:bookmarkEnd w:id="8"/>
      <w:r w:rsidRPr="007E5DD3">
        <w:rPr>
          <w:rFonts w:hint="cs"/>
          <w:rtl/>
        </w:rPr>
        <w:t>איגוד</w:t>
      </w:r>
      <w:r w:rsidRPr="007E5DD3">
        <w:rPr>
          <w:rtl/>
        </w:rPr>
        <w:t xml:space="preserve"> </w:t>
      </w:r>
      <w:r w:rsidRPr="007E5DD3">
        <w:rPr>
          <w:rFonts w:hint="cs"/>
          <w:rtl/>
        </w:rPr>
        <w:t>מרכזי</w:t>
      </w:r>
      <w:r w:rsidRPr="007E5DD3">
        <w:rPr>
          <w:rtl/>
        </w:rPr>
        <w:t xml:space="preserve"> </w:t>
      </w:r>
      <w:r w:rsidRPr="007E5DD3">
        <w:rPr>
          <w:rFonts w:hint="cs"/>
          <w:rtl/>
        </w:rPr>
        <w:t>הסיוע</w:t>
      </w:r>
      <w:r w:rsidRPr="007E5DD3">
        <w:rPr>
          <w:rtl/>
        </w:rPr>
        <w:t xml:space="preserve"> </w:t>
      </w:r>
      <w:r w:rsidRPr="007E5DD3">
        <w:rPr>
          <w:rFonts w:hint="cs"/>
          <w:rtl/>
        </w:rPr>
        <w:t>לנפגעות</w:t>
      </w:r>
      <w:r w:rsidRPr="007E5DD3">
        <w:rPr>
          <w:rtl/>
        </w:rPr>
        <w:t xml:space="preserve"> </w:t>
      </w:r>
      <w:r w:rsidRPr="007E5DD3">
        <w:rPr>
          <w:rFonts w:hint="cs"/>
          <w:rtl/>
        </w:rPr>
        <w:t>ולנפגעי</w:t>
      </w:r>
      <w:r w:rsidRPr="007E5DD3">
        <w:rPr>
          <w:rtl/>
        </w:rPr>
        <w:t xml:space="preserve"> </w:t>
      </w:r>
      <w:r w:rsidRPr="007E5DD3">
        <w:rPr>
          <w:rFonts w:hint="cs"/>
          <w:rtl/>
        </w:rPr>
        <w:t>תקיפה</w:t>
      </w:r>
      <w:r w:rsidRPr="007E5DD3">
        <w:rPr>
          <w:rtl/>
        </w:rPr>
        <w:t xml:space="preserve"> </w:t>
      </w:r>
      <w:r w:rsidRPr="007E5DD3">
        <w:rPr>
          <w:rFonts w:hint="cs"/>
          <w:rtl/>
        </w:rPr>
        <w:t>מינית</w:t>
      </w:r>
      <w:r w:rsidRPr="007E5DD3">
        <w:rPr>
          <w:rtl/>
        </w:rPr>
        <w:t>.</w:t>
      </w:r>
    </w:p>
    <w:p w14:paraId="299E0934" w14:textId="77777777" w:rsidR="00742057" w:rsidRDefault="00742057" w:rsidP="00742057">
      <w:pPr>
        <w:pStyle w:val="Hesber"/>
        <w:spacing w:line="276" w:lineRule="auto"/>
        <w:rPr>
          <w:rtl/>
        </w:rPr>
      </w:pPr>
    </w:p>
    <w:p w14:paraId="7CAD34FB" w14:textId="77777777" w:rsidR="00253E61" w:rsidRPr="00D73212" w:rsidRDefault="00253E61" w:rsidP="00742057">
      <w:pPr>
        <w:pStyle w:val="Hesber"/>
        <w:spacing w:line="240" w:lineRule="auto"/>
        <w:rPr>
          <w:color w:val="auto"/>
          <w:rtl/>
          <w:lang w:eastAsia="en-US"/>
        </w:rPr>
      </w:pPr>
      <w:r w:rsidRPr="00D73212">
        <w:rPr>
          <w:color w:val="auto"/>
          <w:rtl/>
          <w:lang w:eastAsia="en-US"/>
        </w:rPr>
        <w:t>---------------------------------</w:t>
      </w:r>
    </w:p>
    <w:p w14:paraId="1BD6898E" w14:textId="77777777" w:rsidR="00253E61" w:rsidRPr="00D73212" w:rsidRDefault="00253E61" w:rsidP="00742057">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067D68B" w14:textId="77777777" w:rsidR="00253E61" w:rsidRPr="00D73212" w:rsidRDefault="00253E61" w:rsidP="00742057">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583B054" w14:textId="4A32FE71" w:rsidR="00253E61" w:rsidRPr="007E5DD3" w:rsidRDefault="00253E61" w:rsidP="00742057">
      <w:pPr>
        <w:pStyle w:val="Hesber"/>
        <w:spacing w:line="240" w:lineRule="auto"/>
        <w:rPr>
          <w:rtl/>
        </w:rPr>
      </w:pPr>
      <w:r>
        <w:rPr>
          <w:rFonts w:hint="cs"/>
          <w:color w:val="auto"/>
          <w:rtl/>
          <w:lang w:eastAsia="en-US"/>
        </w:rPr>
        <w:t>כ"ב בשבט</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7F6961CB" w14:textId="6BCF0A5B" w:rsidR="00E13C27" w:rsidRPr="00DE2339" w:rsidRDefault="00E13C27" w:rsidP="00DE2339">
      <w:pPr>
        <w:rPr>
          <w:rtl/>
        </w:rPr>
      </w:pPr>
    </w:p>
    <w:sectPr w:rsidR="00E13C27" w:rsidRPr="00DE233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742057">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6340A0B" w14:textId="3E86C0D9" w:rsidR="00253E61" w:rsidRDefault="00253E61">
      <w:pPr>
        <w:pStyle w:val="a4"/>
        <w:rPr>
          <w:rtl/>
        </w:rPr>
      </w:pPr>
      <w:r>
        <w:rPr>
          <w:rStyle w:val="a5"/>
        </w:rPr>
        <w:footnoteRef/>
      </w:r>
      <w:r>
        <w:rPr>
          <w:rtl/>
        </w:rPr>
        <w:t xml:space="preserve"> </w:t>
      </w:r>
      <w:r>
        <w:rPr>
          <w:rFonts w:hint="cs"/>
          <w:rtl/>
        </w:rPr>
        <w:t>סח התשל"ז,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9845FD"/>
    <w:multiLevelType w:val="hybridMultilevel"/>
    <w:tmpl w:val="406A8C02"/>
    <w:lvl w:ilvl="0" w:tplc="A0FEBB48">
      <w:start w:val="1"/>
      <w:numFmt w:val="decimal"/>
      <w:lvlText w:val="(%1)"/>
      <w:lvlJc w:val="left"/>
      <w:pPr>
        <w:ind w:left="1800" w:hanging="360"/>
      </w:pPr>
      <w:rPr>
        <w:rFonts w:ascii="Hadasa Roso SL" w:eastAsia="MS Mincho" w:hAnsi="Hadasa Roso SL"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3E61"/>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42057"/>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700A"/>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E6D73"/>
    <w:rsid w:val="00BF148D"/>
    <w:rsid w:val="00C23B1A"/>
    <w:rsid w:val="00C310EB"/>
    <w:rsid w:val="00C9176A"/>
    <w:rsid w:val="00CA3C0E"/>
    <w:rsid w:val="00CF1AA2"/>
    <w:rsid w:val="00D17774"/>
    <w:rsid w:val="00D63620"/>
    <w:rsid w:val="00D8410D"/>
    <w:rsid w:val="00D867D7"/>
    <w:rsid w:val="00DB7060"/>
    <w:rsid w:val="00DE2339"/>
    <w:rsid w:val="00DE3153"/>
    <w:rsid w:val="00E06736"/>
    <w:rsid w:val="00E13C27"/>
    <w:rsid w:val="00E307FA"/>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F74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4D92E18-3DF0-49A6-B7F7-65364685F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248CC-9971-4836-9C94-F1660778A546}"/>
</file>

<file path=customXml/itemProps2.xml><?xml version="1.0" encoding="utf-8"?>
<ds:datastoreItem xmlns:ds="http://schemas.openxmlformats.org/officeDocument/2006/customXml" ds:itemID="{88F4AFE3-9455-419C-8851-785A55F44517}">
  <ds:schemaRefs>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CF8AD3F-1991-48BD-89D4-C9A0FAE5F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337</Words>
  <Characters>1685</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6</cp:revision>
  <cp:lastPrinted>2016-01-28T10:09:00Z</cp:lastPrinted>
  <dcterms:created xsi:type="dcterms:W3CDTF">2015-04-20T09:58:00Z</dcterms:created>
  <dcterms:modified xsi:type="dcterms:W3CDTF">2016-01-28T10:09:00Z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2012673</vt:r8>
  </property>
</Properties>
</file>