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931" w:rsidRDefault="00E40931" w:rsidP="0017047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David"/>
          <w:b/>
          <w:bCs/>
          <w:sz w:val="32"/>
          <w:szCs w:val="32"/>
          <w:rtl/>
        </w:rPr>
      </w:pPr>
      <w:r w:rsidRPr="00C0509A">
        <w:rPr>
          <w:rFonts w:ascii="Arial" w:eastAsia="Times New Roman" w:hAnsi="Arial" w:cs="David" w:hint="cs"/>
          <w:b/>
          <w:bCs/>
          <w:sz w:val="32"/>
          <w:szCs w:val="32"/>
          <w:rtl/>
        </w:rPr>
        <w:t>המועצה הציבורית להגנת הפרטיות</w:t>
      </w:r>
    </w:p>
    <w:p w:rsidR="002D5EE9" w:rsidRPr="009D65BA" w:rsidRDefault="002D5EE9" w:rsidP="0017047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David"/>
          <w:b/>
          <w:bCs/>
          <w:sz w:val="24"/>
          <w:szCs w:val="24"/>
          <w:rtl/>
        </w:rPr>
      </w:pPr>
    </w:p>
    <w:p w:rsidR="00C0509A" w:rsidRPr="009D65BA" w:rsidRDefault="009D65BA" w:rsidP="009D65BA">
      <w:pPr>
        <w:spacing w:before="100" w:beforeAutospacing="1" w:after="100" w:afterAutospacing="1" w:line="240" w:lineRule="auto"/>
        <w:ind w:left="5760" w:firstLine="720"/>
        <w:jc w:val="both"/>
        <w:rPr>
          <w:rFonts w:ascii="Arial" w:eastAsia="Times New Roman" w:hAnsi="Arial" w:cs="David"/>
          <w:b/>
          <w:bCs/>
          <w:sz w:val="24"/>
          <w:szCs w:val="24"/>
          <w:rtl/>
        </w:rPr>
      </w:pPr>
      <w:r w:rsidRPr="009D65BA">
        <w:rPr>
          <w:rFonts w:ascii="Arial" w:eastAsia="Times New Roman" w:hAnsi="Arial" w:cs="David" w:hint="cs"/>
          <w:b/>
          <w:bCs/>
          <w:sz w:val="24"/>
          <w:szCs w:val="24"/>
          <w:rtl/>
        </w:rPr>
        <w:t>11.12.</w:t>
      </w:r>
      <w:r w:rsidR="000C0063">
        <w:rPr>
          <w:rFonts w:ascii="Arial" w:eastAsia="Times New Roman" w:hAnsi="Arial" w:cs="David" w:hint="cs"/>
          <w:b/>
          <w:bCs/>
          <w:sz w:val="24"/>
          <w:szCs w:val="24"/>
          <w:rtl/>
        </w:rPr>
        <w:t>20</w:t>
      </w:r>
      <w:r w:rsidRPr="009D65BA">
        <w:rPr>
          <w:rFonts w:ascii="Arial" w:eastAsia="Times New Roman" w:hAnsi="Arial" w:cs="David" w:hint="cs"/>
          <w:b/>
          <w:bCs/>
          <w:sz w:val="24"/>
          <w:szCs w:val="24"/>
          <w:rtl/>
        </w:rPr>
        <w:t>16</w:t>
      </w:r>
      <w:r>
        <w:rPr>
          <w:rFonts w:ascii="Arial" w:eastAsia="Times New Roman" w:hAnsi="Arial" w:cs="David"/>
          <w:b/>
          <w:bCs/>
          <w:sz w:val="24"/>
          <w:szCs w:val="24"/>
          <w:rtl/>
        </w:rPr>
        <w:tab/>
      </w:r>
      <w:r>
        <w:rPr>
          <w:rFonts w:ascii="Arial" w:eastAsia="Times New Roman" w:hAnsi="Arial" w:cs="David"/>
          <w:b/>
          <w:bCs/>
          <w:sz w:val="24"/>
          <w:szCs w:val="24"/>
          <w:rtl/>
        </w:rPr>
        <w:tab/>
      </w:r>
      <w:r w:rsidRPr="009D65BA">
        <w:rPr>
          <w:rFonts w:ascii="Arial" w:eastAsia="Times New Roman" w:hAnsi="Arial" w:cs="David" w:hint="cs"/>
          <w:b/>
          <w:bCs/>
          <w:sz w:val="24"/>
          <w:szCs w:val="24"/>
          <w:rtl/>
        </w:rPr>
        <w:t>י"א כסלו תשע"ז</w:t>
      </w:r>
    </w:p>
    <w:p w:rsidR="0017047E" w:rsidRPr="0017047E" w:rsidRDefault="0017047E" w:rsidP="00B556D9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 w:rsidRPr="0017047E">
        <w:rPr>
          <w:rFonts w:ascii="Arial" w:eastAsia="Times New Roman" w:hAnsi="Arial" w:cs="David" w:hint="cs"/>
          <w:sz w:val="24"/>
          <w:szCs w:val="24"/>
          <w:rtl/>
        </w:rPr>
        <w:t>לכבוד</w:t>
      </w:r>
      <w:r w:rsidR="00B556D9">
        <w:rPr>
          <w:rFonts w:ascii="Arial" w:eastAsia="Times New Roman" w:hAnsi="Arial" w:cs="David" w:hint="cs"/>
          <w:sz w:val="24"/>
          <w:szCs w:val="24"/>
          <w:rtl/>
        </w:rPr>
        <w:t xml:space="preserve"> עו"ד</w:t>
      </w:r>
      <w:r w:rsidR="00B556D9" w:rsidRPr="0017047E">
        <w:rPr>
          <w:rFonts w:ascii="Arial" w:eastAsia="Times New Roman" w:hAnsi="Arial" w:cs="David" w:hint="cs"/>
          <w:sz w:val="24"/>
          <w:szCs w:val="24"/>
          <w:rtl/>
        </w:rPr>
        <w:t xml:space="preserve"> </w:t>
      </w:r>
      <w:r w:rsidRPr="0017047E">
        <w:rPr>
          <w:rFonts w:ascii="Arial" w:eastAsia="Times New Roman" w:hAnsi="Arial" w:cs="David" w:hint="cs"/>
          <w:sz w:val="24"/>
          <w:szCs w:val="24"/>
          <w:rtl/>
        </w:rPr>
        <w:t>יהודה זמרת</w:t>
      </w:r>
      <w:r w:rsidR="0037318A">
        <w:rPr>
          <w:rFonts w:ascii="Arial" w:eastAsia="Times New Roman" w:hAnsi="Arial" w:cs="David" w:hint="cs"/>
          <w:sz w:val="24"/>
          <w:szCs w:val="24"/>
          <w:rtl/>
        </w:rPr>
        <w:t xml:space="preserve">, </w:t>
      </w:r>
      <w:r w:rsidRPr="0017047E">
        <w:rPr>
          <w:rFonts w:ascii="Arial" w:eastAsia="Times New Roman" w:hAnsi="Arial" w:cs="David" w:hint="cs"/>
          <w:sz w:val="24"/>
          <w:szCs w:val="24"/>
          <w:rtl/>
        </w:rPr>
        <w:t>היועץ המשפטי למשרד הפנים</w:t>
      </w:r>
    </w:p>
    <w:p w:rsidR="00E40931" w:rsidRPr="00C0509A" w:rsidRDefault="00470F98" w:rsidP="00D94B8A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b/>
          <w:bCs/>
          <w:sz w:val="24"/>
          <w:szCs w:val="24"/>
          <w:rtl/>
        </w:rPr>
      </w:pPr>
      <w:r w:rsidRPr="00C0509A">
        <w:rPr>
          <w:rFonts w:ascii="Arial" w:eastAsia="Times New Roman" w:hAnsi="Arial" w:cs="David" w:hint="cs"/>
          <w:b/>
          <w:bCs/>
          <w:sz w:val="24"/>
          <w:szCs w:val="24"/>
          <w:u w:val="single"/>
          <w:rtl/>
        </w:rPr>
        <w:t>הנדון:</w:t>
      </w:r>
      <w:r w:rsidRPr="00C0509A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 הערות המועצה </w:t>
      </w:r>
      <w:r w:rsidR="00C0509A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הציבורית להגנת הפרטיות </w:t>
      </w:r>
      <w:r w:rsidRPr="00C0509A">
        <w:rPr>
          <w:rFonts w:ascii="Arial" w:eastAsia="Times New Roman" w:hAnsi="Arial" w:cs="David" w:hint="cs"/>
          <w:b/>
          <w:bCs/>
          <w:sz w:val="24"/>
          <w:szCs w:val="24"/>
          <w:rtl/>
        </w:rPr>
        <w:t>לתזכיר חוק הכללת אמצעי זיהוי ביומטריים ונתוני זיהוי ביומטריים במסמכי זיהוי ובמאגר מידע (תיקון מ' ...), התשע"ז-2016</w:t>
      </w:r>
      <w:r w:rsidR="00761A10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 (להלן: "התזכיר")</w:t>
      </w:r>
    </w:p>
    <w:p w:rsidR="00470F98" w:rsidRDefault="00C0509A" w:rsidP="0037318A">
      <w:pPr>
        <w:tabs>
          <w:tab w:val="left" w:pos="3347"/>
          <w:tab w:val="center" w:pos="4156"/>
        </w:tabs>
        <w:spacing w:before="360" w:after="120" w:line="360" w:lineRule="auto"/>
        <w:jc w:val="both"/>
        <w:rPr>
          <w:rFonts w:cs="David"/>
          <w:sz w:val="24"/>
          <w:szCs w:val="24"/>
          <w:rtl/>
        </w:rPr>
      </w:pPr>
      <w:r w:rsidRPr="004D2745">
        <w:rPr>
          <w:rFonts w:cs="David" w:hint="cs"/>
          <w:sz w:val="24"/>
          <w:szCs w:val="24"/>
          <w:rtl/>
        </w:rPr>
        <w:t xml:space="preserve">המועצה </w:t>
      </w:r>
      <w:r>
        <w:rPr>
          <w:rFonts w:cs="David" w:hint="cs"/>
          <w:sz w:val="24"/>
          <w:szCs w:val="24"/>
          <w:rtl/>
        </w:rPr>
        <w:t xml:space="preserve">הציבורית </w:t>
      </w:r>
      <w:r w:rsidRPr="004D2745">
        <w:rPr>
          <w:rFonts w:cs="David" w:hint="cs"/>
          <w:sz w:val="24"/>
          <w:szCs w:val="24"/>
          <w:rtl/>
        </w:rPr>
        <w:t>להגנת הפרטיות</w:t>
      </w:r>
      <w:r>
        <w:rPr>
          <w:rFonts w:cs="David" w:hint="cs"/>
          <w:sz w:val="24"/>
          <w:szCs w:val="24"/>
          <w:rtl/>
        </w:rPr>
        <w:t xml:space="preserve"> (להלן: "המועצה" )</w:t>
      </w:r>
      <w:r w:rsidRPr="004D2745">
        <w:rPr>
          <w:rFonts w:cs="David" w:hint="cs"/>
          <w:sz w:val="24"/>
          <w:szCs w:val="24"/>
          <w:rtl/>
        </w:rPr>
        <w:t xml:space="preserve"> </w:t>
      </w:r>
      <w:r w:rsidR="008E242A">
        <w:rPr>
          <w:rFonts w:cs="David" w:hint="cs"/>
          <w:sz w:val="24"/>
          <w:szCs w:val="24"/>
          <w:rtl/>
        </w:rPr>
        <w:t>היא גוף מומחה בנושא הפרטיות, הפועל</w:t>
      </w:r>
      <w:r w:rsidR="00761A10">
        <w:rPr>
          <w:rFonts w:cs="David" w:hint="cs"/>
          <w:sz w:val="24"/>
          <w:szCs w:val="24"/>
          <w:rtl/>
        </w:rPr>
        <w:t xml:space="preserve"> לפי חוק </w:t>
      </w:r>
      <w:r w:rsidR="008E242A">
        <w:rPr>
          <w:rFonts w:cs="David" w:hint="cs"/>
          <w:sz w:val="24"/>
          <w:szCs w:val="24"/>
          <w:rtl/>
        </w:rPr>
        <w:t xml:space="preserve"> </w:t>
      </w:r>
      <w:r w:rsidR="00761A10" w:rsidRPr="004D2745">
        <w:rPr>
          <w:rFonts w:cs="David" w:hint="cs"/>
          <w:sz w:val="24"/>
          <w:szCs w:val="24"/>
          <w:rtl/>
        </w:rPr>
        <w:t>הגנת הפרטיות, התשמ"א-1981 (</w:t>
      </w:r>
      <w:r w:rsidR="00761A10">
        <w:rPr>
          <w:rFonts w:cs="David" w:hint="cs"/>
          <w:sz w:val="24"/>
          <w:szCs w:val="24"/>
          <w:rtl/>
        </w:rPr>
        <w:t xml:space="preserve">להלן: </w:t>
      </w:r>
      <w:r w:rsidR="00761A10" w:rsidRPr="004D2745">
        <w:rPr>
          <w:rFonts w:cs="David" w:hint="cs"/>
          <w:sz w:val="24"/>
          <w:szCs w:val="24"/>
          <w:rtl/>
        </w:rPr>
        <w:t xml:space="preserve">"חוק הגנת הפרטיות") ולפי מינוי שר המשפטים. </w:t>
      </w:r>
      <w:r w:rsidR="008E242A">
        <w:rPr>
          <w:rFonts w:cs="David" w:hint="cs"/>
          <w:sz w:val="24"/>
          <w:szCs w:val="24"/>
          <w:rtl/>
        </w:rPr>
        <w:t xml:space="preserve">המועצה אמונה על קידום הגנת הפרטיות, ברוח </w:t>
      </w:r>
      <w:proofErr w:type="spellStart"/>
      <w:r w:rsidR="008E242A">
        <w:rPr>
          <w:rFonts w:cs="David" w:hint="cs"/>
          <w:sz w:val="24"/>
          <w:szCs w:val="24"/>
          <w:rtl/>
        </w:rPr>
        <w:t>מחוייבויות</w:t>
      </w:r>
      <w:proofErr w:type="spellEnd"/>
      <w:r w:rsidR="008E242A">
        <w:rPr>
          <w:rFonts w:cs="David" w:hint="cs"/>
          <w:sz w:val="24"/>
          <w:szCs w:val="24"/>
          <w:rtl/>
        </w:rPr>
        <w:t xml:space="preserve"> בינלא</w:t>
      </w:r>
      <w:r w:rsidR="00761A10">
        <w:rPr>
          <w:rFonts w:cs="David" w:hint="cs"/>
          <w:sz w:val="24"/>
          <w:szCs w:val="24"/>
          <w:rtl/>
        </w:rPr>
        <w:t xml:space="preserve">ומיות של מדינת ישראל, חוק יסוד: </w:t>
      </w:r>
      <w:r w:rsidR="008E242A">
        <w:rPr>
          <w:rFonts w:cs="David" w:hint="cs"/>
          <w:sz w:val="24"/>
          <w:szCs w:val="24"/>
          <w:rtl/>
        </w:rPr>
        <w:t>כבוד האד</w:t>
      </w:r>
      <w:r w:rsidR="00761A10">
        <w:rPr>
          <w:rFonts w:cs="David" w:hint="cs"/>
          <w:sz w:val="24"/>
          <w:szCs w:val="24"/>
          <w:rtl/>
        </w:rPr>
        <w:t xml:space="preserve">ם וחירותו, וערכיה של מדינת ישראל כמדינה יהודית ודמוקרטית. </w:t>
      </w:r>
      <w:r w:rsidRPr="004D2745">
        <w:rPr>
          <w:rFonts w:cs="David" w:hint="cs"/>
          <w:sz w:val="24"/>
          <w:szCs w:val="24"/>
          <w:rtl/>
        </w:rPr>
        <w:t xml:space="preserve">המועצה </w:t>
      </w:r>
      <w:r w:rsidR="00761A10">
        <w:rPr>
          <w:rFonts w:cs="David" w:hint="cs"/>
          <w:sz w:val="24"/>
          <w:szCs w:val="24"/>
          <w:rtl/>
        </w:rPr>
        <w:t>הינה גוף מייעץ</w:t>
      </w:r>
      <w:r w:rsidRPr="004D2745">
        <w:rPr>
          <w:rFonts w:cs="David" w:hint="cs"/>
          <w:sz w:val="24"/>
          <w:szCs w:val="24"/>
          <w:rtl/>
        </w:rPr>
        <w:t xml:space="preserve"> לשר</w:t>
      </w:r>
      <w:r w:rsidR="00B71E1F">
        <w:rPr>
          <w:rFonts w:cs="David" w:hint="cs"/>
          <w:sz w:val="24"/>
          <w:szCs w:val="24"/>
          <w:rtl/>
        </w:rPr>
        <w:t>ת</w:t>
      </w:r>
      <w:r w:rsidR="00E13AF3">
        <w:rPr>
          <w:rFonts w:cs="David" w:hint="cs"/>
          <w:sz w:val="24"/>
          <w:szCs w:val="24"/>
          <w:rtl/>
        </w:rPr>
        <w:t xml:space="preserve"> המשפטים</w:t>
      </w:r>
      <w:r w:rsidRPr="004D2745">
        <w:rPr>
          <w:rFonts w:cs="David" w:hint="cs"/>
          <w:sz w:val="24"/>
          <w:szCs w:val="24"/>
          <w:rtl/>
        </w:rPr>
        <w:t>, למשרד המשפטים, ולציבור בכללותו בנושאי פרטיות.</w:t>
      </w:r>
    </w:p>
    <w:p w:rsidR="00C0509A" w:rsidRDefault="00C0509A" w:rsidP="0037318A">
      <w:pPr>
        <w:tabs>
          <w:tab w:val="left" w:pos="3347"/>
          <w:tab w:val="center" w:pos="4156"/>
        </w:tabs>
        <w:spacing w:before="360"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עמדת המועצה</w:t>
      </w:r>
      <w:r w:rsidR="00D94B8A">
        <w:rPr>
          <w:rFonts w:cs="David" w:hint="cs"/>
          <w:sz w:val="24"/>
          <w:szCs w:val="24"/>
          <w:rtl/>
        </w:rPr>
        <w:t xml:space="preserve"> (בהרכבה הפרסונלי הקודם) </w:t>
      </w:r>
      <w:r w:rsidR="00EA3AD5">
        <w:rPr>
          <w:rFonts w:cs="David" w:hint="cs"/>
          <w:sz w:val="24"/>
          <w:szCs w:val="24"/>
          <w:rtl/>
        </w:rPr>
        <w:t>המתנגדת להקמת</w:t>
      </w:r>
      <w:r w:rsidR="00D94B8A">
        <w:rPr>
          <w:rFonts w:cs="David" w:hint="cs"/>
          <w:sz w:val="24"/>
          <w:szCs w:val="24"/>
          <w:rtl/>
        </w:rPr>
        <w:t xml:space="preserve"> המאגר הביומטרי, </w:t>
      </w:r>
      <w:r w:rsidR="00EA3AD5">
        <w:rPr>
          <w:rFonts w:cs="David" w:hint="cs"/>
          <w:sz w:val="24"/>
          <w:szCs w:val="24"/>
          <w:rtl/>
        </w:rPr>
        <w:t xml:space="preserve">הושמעה בשלבי החקיקה השונים של </w:t>
      </w:r>
      <w:r w:rsidR="00D94B8A">
        <w:rPr>
          <w:rFonts w:cs="David" w:hint="cs"/>
          <w:sz w:val="24"/>
          <w:szCs w:val="24"/>
          <w:rtl/>
        </w:rPr>
        <w:t xml:space="preserve">חוק הכללת אמצעי זיהוי ביומטריים ונתוני זיהוי ביומטריים במסמכי זיהוי </w:t>
      </w:r>
      <w:r w:rsidR="008E242A">
        <w:rPr>
          <w:rFonts w:cs="David" w:hint="cs"/>
          <w:sz w:val="24"/>
          <w:szCs w:val="24"/>
          <w:rtl/>
        </w:rPr>
        <w:t>ובמאגר מידע, תש"ע-2009 (להלן: "</w:t>
      </w:r>
      <w:r w:rsidR="00D94B8A">
        <w:rPr>
          <w:rFonts w:cs="David" w:hint="cs"/>
          <w:sz w:val="24"/>
          <w:szCs w:val="24"/>
          <w:rtl/>
        </w:rPr>
        <w:t>חוק</w:t>
      </w:r>
      <w:r w:rsidR="008E242A">
        <w:rPr>
          <w:rFonts w:cs="David" w:hint="cs"/>
          <w:sz w:val="24"/>
          <w:szCs w:val="24"/>
          <w:rtl/>
        </w:rPr>
        <w:t xml:space="preserve"> הכללת אמצעי זיהוי ביומטריים</w:t>
      </w:r>
      <w:r w:rsidR="00D94B8A">
        <w:rPr>
          <w:rFonts w:cs="David" w:hint="cs"/>
          <w:sz w:val="24"/>
          <w:szCs w:val="24"/>
          <w:rtl/>
        </w:rPr>
        <w:t xml:space="preserve">"). בתמצית, הביעה המועצה התנגדות לעצם קיומו של המאגר, נוכח הסיכון הגדול הטמון בעצם קיומו, בהקשר של חשיפה ופגיעה </w:t>
      </w:r>
      <w:r w:rsidR="00E13AF3">
        <w:rPr>
          <w:rFonts w:cs="David" w:hint="cs"/>
          <w:sz w:val="24"/>
          <w:szCs w:val="24"/>
          <w:rtl/>
        </w:rPr>
        <w:t xml:space="preserve">חמורה ובלתי מידתית </w:t>
      </w:r>
      <w:r w:rsidR="00D94B8A">
        <w:rPr>
          <w:rFonts w:cs="David" w:hint="cs"/>
          <w:sz w:val="24"/>
          <w:szCs w:val="24"/>
          <w:rtl/>
        </w:rPr>
        <w:t xml:space="preserve">בפרטיות </w:t>
      </w:r>
      <w:r w:rsidR="00EA3AD5">
        <w:rPr>
          <w:rFonts w:cs="David" w:hint="cs"/>
          <w:sz w:val="24"/>
          <w:szCs w:val="24"/>
          <w:rtl/>
        </w:rPr>
        <w:t xml:space="preserve">כלל </w:t>
      </w:r>
      <w:r w:rsidR="00FD643A">
        <w:rPr>
          <w:rFonts w:cs="David" w:hint="cs"/>
          <w:sz w:val="24"/>
          <w:szCs w:val="24"/>
          <w:rtl/>
        </w:rPr>
        <w:t>תושבי</w:t>
      </w:r>
      <w:r w:rsidR="00EA3AD5">
        <w:rPr>
          <w:rFonts w:cs="David" w:hint="cs"/>
          <w:sz w:val="24"/>
          <w:szCs w:val="24"/>
          <w:rtl/>
        </w:rPr>
        <w:t xml:space="preserve"> המדינה ונוכח קיומן של חלופות מספקות. זאת </w:t>
      </w:r>
      <w:r w:rsidR="008253A1">
        <w:rPr>
          <w:rFonts w:cs="David" w:hint="cs"/>
          <w:sz w:val="24"/>
          <w:szCs w:val="24"/>
          <w:rtl/>
        </w:rPr>
        <w:t xml:space="preserve">גם </w:t>
      </w:r>
      <w:r w:rsidR="00EA3AD5">
        <w:rPr>
          <w:rFonts w:cs="David" w:hint="cs"/>
          <w:sz w:val="24"/>
          <w:szCs w:val="24"/>
          <w:rtl/>
        </w:rPr>
        <w:t>על רקע העובדה כי מאגרים דומים</w:t>
      </w:r>
      <w:r w:rsidR="00E13AF3">
        <w:rPr>
          <w:rFonts w:cs="David" w:hint="cs"/>
          <w:sz w:val="24"/>
          <w:szCs w:val="24"/>
          <w:rtl/>
        </w:rPr>
        <w:t xml:space="preserve">, הכוללים נתונים ביומטריים של כלל </w:t>
      </w:r>
      <w:r w:rsidR="0037318A">
        <w:rPr>
          <w:rFonts w:cs="David" w:hint="cs"/>
          <w:sz w:val="24"/>
          <w:szCs w:val="24"/>
          <w:rtl/>
        </w:rPr>
        <w:t xml:space="preserve">התושבים </w:t>
      </w:r>
      <w:r w:rsidR="00E13AF3">
        <w:rPr>
          <w:rFonts w:cs="David" w:hint="cs"/>
          <w:sz w:val="24"/>
          <w:szCs w:val="24"/>
          <w:rtl/>
        </w:rPr>
        <w:t xml:space="preserve">במדינה </w:t>
      </w:r>
      <w:r w:rsidR="00EA3AD5">
        <w:rPr>
          <w:rFonts w:cs="David" w:hint="cs"/>
          <w:sz w:val="24"/>
          <w:szCs w:val="24"/>
          <w:rtl/>
        </w:rPr>
        <w:t>אינם קיימים במדינות העולם החופשי.</w:t>
      </w:r>
    </w:p>
    <w:p w:rsidR="00F9232B" w:rsidRDefault="00F9232B" w:rsidP="00761A10">
      <w:pPr>
        <w:tabs>
          <w:tab w:val="left" w:pos="3347"/>
          <w:tab w:val="center" w:pos="4156"/>
        </w:tabs>
        <w:spacing w:before="360"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ההערות מתייחסות הן לסוגית </w:t>
      </w:r>
      <w:r w:rsidR="00761A10">
        <w:rPr>
          <w:rFonts w:cs="David" w:hint="cs"/>
          <w:sz w:val="24"/>
          <w:szCs w:val="24"/>
          <w:rtl/>
        </w:rPr>
        <w:t xml:space="preserve">עצם </w:t>
      </w:r>
      <w:r>
        <w:rPr>
          <w:rFonts w:cs="David" w:hint="cs"/>
          <w:sz w:val="24"/>
          <w:szCs w:val="24"/>
          <w:rtl/>
        </w:rPr>
        <w:t xml:space="preserve">הצורך במאגר על פני אפשרויות חילופיות, </w:t>
      </w:r>
      <w:r w:rsidR="00761A10">
        <w:rPr>
          <w:rFonts w:cs="David" w:hint="cs"/>
          <w:sz w:val="24"/>
          <w:szCs w:val="24"/>
          <w:rtl/>
        </w:rPr>
        <w:t>והן להערות לגוף המאגר, בהתאם לתזכיר.</w:t>
      </w:r>
    </w:p>
    <w:p w:rsidR="007962CA" w:rsidRPr="00761A10" w:rsidRDefault="007962CA" w:rsidP="00761A10">
      <w:pPr>
        <w:tabs>
          <w:tab w:val="left" w:pos="3347"/>
          <w:tab w:val="center" w:pos="4156"/>
        </w:tabs>
        <w:spacing w:before="360" w:after="120" w:line="360" w:lineRule="auto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761A10">
        <w:rPr>
          <w:rFonts w:cs="David" w:hint="cs"/>
          <w:b/>
          <w:bCs/>
          <w:sz w:val="24"/>
          <w:szCs w:val="24"/>
          <w:u w:val="single"/>
          <w:rtl/>
        </w:rPr>
        <w:t>ה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ע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ר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ו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ת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ה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מ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ו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ע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צ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r w:rsidRPr="00761A10">
        <w:rPr>
          <w:rFonts w:cs="David" w:hint="cs"/>
          <w:b/>
          <w:bCs/>
          <w:sz w:val="24"/>
          <w:szCs w:val="24"/>
          <w:u w:val="single"/>
          <w:rtl/>
        </w:rPr>
        <w:t>ה</w:t>
      </w:r>
      <w:r w:rsidR="00761A10"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</w:p>
    <w:p w:rsidR="00D94B8A" w:rsidRPr="00263D3E" w:rsidRDefault="00263D3E" w:rsidP="00263D3E">
      <w:pPr>
        <w:tabs>
          <w:tab w:val="left" w:pos="3347"/>
          <w:tab w:val="center" w:pos="4156"/>
        </w:tabs>
        <w:spacing w:before="360" w:after="12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1. </w:t>
      </w:r>
      <w:r w:rsidRPr="00263D3E">
        <w:rPr>
          <w:rFonts w:cs="David" w:hint="cs"/>
          <w:b/>
          <w:bCs/>
          <w:sz w:val="24"/>
          <w:szCs w:val="24"/>
          <w:rtl/>
        </w:rPr>
        <w:t>פתרונות חלופיים להקמת המאגר</w:t>
      </w:r>
      <w:r>
        <w:rPr>
          <w:rFonts w:cs="David" w:hint="cs"/>
          <w:sz w:val="24"/>
          <w:szCs w:val="24"/>
          <w:rtl/>
        </w:rPr>
        <w:t xml:space="preserve"> - </w:t>
      </w:r>
      <w:r w:rsidR="00A14DE4" w:rsidRPr="00263D3E">
        <w:rPr>
          <w:rFonts w:cs="David" w:hint="cs"/>
          <w:sz w:val="24"/>
          <w:szCs w:val="24"/>
          <w:rtl/>
        </w:rPr>
        <w:t>ההתקדמות הטכנולוגית המואצת בתחום, בתקופה ארוכת השנים מאז התחלת הליכי החקיקה ועד היום, מאפשרת פתרונות אחרים</w:t>
      </w:r>
      <w:r w:rsidR="00EA3AD5" w:rsidRPr="00263D3E">
        <w:rPr>
          <w:rFonts w:cs="David" w:hint="cs"/>
          <w:sz w:val="24"/>
          <w:szCs w:val="24"/>
          <w:rtl/>
        </w:rPr>
        <w:t xml:space="preserve">. </w:t>
      </w:r>
      <w:r w:rsidR="008253A1" w:rsidRPr="00263D3E">
        <w:rPr>
          <w:rFonts w:cs="David" w:hint="cs"/>
          <w:sz w:val="24"/>
          <w:szCs w:val="24"/>
          <w:rtl/>
        </w:rPr>
        <w:t xml:space="preserve">מחד, </w:t>
      </w:r>
      <w:r w:rsidR="00EA3AD5" w:rsidRPr="00263D3E">
        <w:rPr>
          <w:rFonts w:cs="David" w:hint="cs"/>
          <w:sz w:val="24"/>
          <w:szCs w:val="24"/>
          <w:rtl/>
        </w:rPr>
        <w:t>פתרונות</w:t>
      </w:r>
      <w:r w:rsidR="00FD643A" w:rsidRPr="00263D3E">
        <w:rPr>
          <w:rFonts w:cs="David" w:hint="cs"/>
          <w:sz w:val="24"/>
          <w:szCs w:val="24"/>
          <w:rtl/>
        </w:rPr>
        <w:t xml:space="preserve"> אלה </w:t>
      </w:r>
      <w:r w:rsidR="00D94B66" w:rsidRPr="00263D3E">
        <w:rPr>
          <w:rFonts w:cs="David" w:hint="cs"/>
          <w:sz w:val="24"/>
          <w:szCs w:val="24"/>
          <w:rtl/>
        </w:rPr>
        <w:t xml:space="preserve">אינם מהווים איום כה מהותי </w:t>
      </w:r>
      <w:r w:rsidR="00E13AF3">
        <w:rPr>
          <w:rFonts w:cs="David" w:hint="cs"/>
          <w:sz w:val="24"/>
          <w:szCs w:val="24"/>
          <w:rtl/>
        </w:rPr>
        <w:t>כמו ה</w:t>
      </w:r>
      <w:r w:rsidR="00A14DE4" w:rsidRPr="00263D3E">
        <w:rPr>
          <w:rFonts w:cs="David" w:hint="cs"/>
          <w:sz w:val="24"/>
          <w:szCs w:val="24"/>
          <w:rtl/>
        </w:rPr>
        <w:t xml:space="preserve">נזק </w:t>
      </w:r>
      <w:r w:rsidR="00E13AF3">
        <w:rPr>
          <w:rFonts w:cs="David" w:hint="cs"/>
          <w:sz w:val="24"/>
          <w:szCs w:val="24"/>
          <w:rtl/>
        </w:rPr>
        <w:t>ה</w:t>
      </w:r>
      <w:r w:rsidR="00A14DE4" w:rsidRPr="00263D3E">
        <w:rPr>
          <w:rFonts w:cs="David" w:hint="cs"/>
          <w:sz w:val="24"/>
          <w:szCs w:val="24"/>
          <w:rtl/>
        </w:rPr>
        <w:t xml:space="preserve">אפשרי </w:t>
      </w:r>
      <w:r w:rsidR="00E13AF3">
        <w:rPr>
          <w:rFonts w:cs="David" w:hint="cs"/>
          <w:sz w:val="24"/>
          <w:szCs w:val="24"/>
          <w:rtl/>
        </w:rPr>
        <w:t>כתוצאה מ</w:t>
      </w:r>
      <w:r w:rsidR="00A14DE4" w:rsidRPr="00263D3E">
        <w:rPr>
          <w:rFonts w:cs="David" w:hint="cs"/>
          <w:sz w:val="24"/>
          <w:szCs w:val="24"/>
          <w:rtl/>
        </w:rPr>
        <w:t>פריצ</w:t>
      </w:r>
      <w:r w:rsidR="00B71E1F">
        <w:rPr>
          <w:rFonts w:cs="David" w:hint="cs"/>
          <w:sz w:val="24"/>
          <w:szCs w:val="24"/>
          <w:rtl/>
        </w:rPr>
        <w:t>ה</w:t>
      </w:r>
      <w:r w:rsidR="00A14DE4" w:rsidRPr="00263D3E">
        <w:rPr>
          <w:rFonts w:cs="David" w:hint="cs"/>
          <w:sz w:val="24"/>
          <w:szCs w:val="24"/>
          <w:rtl/>
        </w:rPr>
        <w:t xml:space="preserve"> </w:t>
      </w:r>
      <w:r w:rsidR="00E13AF3">
        <w:rPr>
          <w:rFonts w:cs="David" w:hint="cs"/>
          <w:sz w:val="24"/>
          <w:szCs w:val="24"/>
          <w:rtl/>
        </w:rPr>
        <w:t>ל</w:t>
      </w:r>
      <w:r w:rsidR="00A14DE4" w:rsidRPr="00263D3E">
        <w:rPr>
          <w:rFonts w:cs="David" w:hint="cs"/>
          <w:sz w:val="24"/>
          <w:szCs w:val="24"/>
          <w:rtl/>
        </w:rPr>
        <w:t>מאגר</w:t>
      </w:r>
      <w:r w:rsidR="00E13AF3">
        <w:rPr>
          <w:rFonts w:cs="David" w:hint="cs"/>
          <w:sz w:val="24"/>
          <w:szCs w:val="24"/>
          <w:rtl/>
        </w:rPr>
        <w:t>, או משימוש בלתי מורשה בו</w:t>
      </w:r>
      <w:r w:rsidR="008253A1" w:rsidRPr="00263D3E">
        <w:rPr>
          <w:rFonts w:cs="David" w:hint="cs"/>
          <w:sz w:val="24"/>
          <w:szCs w:val="24"/>
          <w:rtl/>
        </w:rPr>
        <w:t>.</w:t>
      </w:r>
      <w:r w:rsidR="00A14DE4" w:rsidRPr="00263D3E">
        <w:rPr>
          <w:rFonts w:cs="David" w:hint="cs"/>
          <w:sz w:val="24"/>
          <w:szCs w:val="24"/>
          <w:rtl/>
        </w:rPr>
        <w:t xml:space="preserve"> </w:t>
      </w:r>
      <w:r w:rsidR="00D94B66" w:rsidRPr="00263D3E">
        <w:rPr>
          <w:rFonts w:cs="David" w:hint="cs"/>
          <w:sz w:val="24"/>
          <w:szCs w:val="24"/>
          <w:rtl/>
        </w:rPr>
        <w:t xml:space="preserve">מאידך, </w:t>
      </w:r>
      <w:r w:rsidR="008253A1" w:rsidRPr="00263D3E">
        <w:rPr>
          <w:rFonts w:cs="David" w:hint="cs"/>
          <w:sz w:val="24"/>
          <w:szCs w:val="24"/>
          <w:rtl/>
        </w:rPr>
        <w:t xml:space="preserve">הם </w:t>
      </w:r>
      <w:r w:rsidR="00A14DE4" w:rsidRPr="00263D3E">
        <w:rPr>
          <w:rFonts w:cs="David" w:hint="cs"/>
          <w:sz w:val="24"/>
          <w:szCs w:val="24"/>
          <w:rtl/>
        </w:rPr>
        <w:t>מספקים את התוצאה הדרושה של תכליות חוק</w:t>
      </w:r>
      <w:r w:rsidR="00B060A1">
        <w:rPr>
          <w:rFonts w:cs="David" w:hint="cs"/>
          <w:sz w:val="24"/>
          <w:szCs w:val="24"/>
          <w:rtl/>
        </w:rPr>
        <w:t xml:space="preserve"> הכללת אמצעי זיהוי ביומטריים</w:t>
      </w:r>
      <w:r w:rsidR="00A14DE4" w:rsidRPr="00263D3E">
        <w:rPr>
          <w:rFonts w:cs="David" w:hint="cs"/>
          <w:sz w:val="24"/>
          <w:szCs w:val="24"/>
          <w:rtl/>
        </w:rPr>
        <w:t xml:space="preserve">, קרי, מניעת הרכשה כפולה של תעודות זהות ודרכונים, </w:t>
      </w:r>
      <w:r w:rsidR="00FD643A" w:rsidRPr="00263D3E">
        <w:rPr>
          <w:rFonts w:cs="David" w:hint="cs"/>
          <w:sz w:val="24"/>
          <w:szCs w:val="24"/>
          <w:rtl/>
        </w:rPr>
        <w:t>זיהוי ואימות הזהות באופן ש</w:t>
      </w:r>
      <w:r w:rsidR="00E13AF3">
        <w:rPr>
          <w:rFonts w:cs="David" w:hint="cs"/>
          <w:sz w:val="24"/>
          <w:szCs w:val="24"/>
          <w:rtl/>
        </w:rPr>
        <w:t>י</w:t>
      </w:r>
      <w:r w:rsidR="00FD643A" w:rsidRPr="00263D3E">
        <w:rPr>
          <w:rFonts w:cs="David" w:hint="cs"/>
          <w:sz w:val="24"/>
          <w:szCs w:val="24"/>
          <w:rtl/>
        </w:rPr>
        <w:t xml:space="preserve">מנע זיוף ושימוש בזהות אחרת </w:t>
      </w:r>
      <w:r w:rsidR="00A14DE4" w:rsidRPr="00263D3E">
        <w:rPr>
          <w:rFonts w:cs="David" w:hint="cs"/>
          <w:sz w:val="24"/>
          <w:szCs w:val="24"/>
          <w:rtl/>
        </w:rPr>
        <w:t>ושמירת שלום ובטחון הציבור במסגרת התכליות המשטרתיות והב</w:t>
      </w:r>
      <w:r w:rsidR="00EA3AD5" w:rsidRPr="00263D3E">
        <w:rPr>
          <w:rFonts w:cs="David" w:hint="cs"/>
          <w:sz w:val="24"/>
          <w:szCs w:val="24"/>
          <w:rtl/>
        </w:rPr>
        <w:t>י</w:t>
      </w:r>
      <w:r w:rsidR="00A14DE4" w:rsidRPr="00263D3E">
        <w:rPr>
          <w:rFonts w:cs="David" w:hint="cs"/>
          <w:sz w:val="24"/>
          <w:szCs w:val="24"/>
          <w:rtl/>
        </w:rPr>
        <w:t>טחוניות.</w:t>
      </w:r>
    </w:p>
    <w:p w:rsidR="00D94B66" w:rsidRDefault="00D94B66" w:rsidP="00FD64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אפשרות אחת היא </w:t>
      </w:r>
      <w:r w:rsidRPr="00FD643A">
        <w:rPr>
          <w:rFonts w:cs="David" w:hint="cs"/>
          <w:sz w:val="24"/>
          <w:szCs w:val="24"/>
          <w:u w:val="single"/>
          <w:rtl/>
        </w:rPr>
        <w:t xml:space="preserve">שיטת </w:t>
      </w:r>
      <w:proofErr w:type="spellStart"/>
      <w:r w:rsidRPr="00FD643A">
        <w:rPr>
          <w:rFonts w:cs="David" w:hint="cs"/>
          <w:sz w:val="24"/>
          <w:szCs w:val="24"/>
          <w:u w:val="single"/>
          <w:rtl/>
        </w:rPr>
        <w:t>ההתממה</w:t>
      </w:r>
      <w:proofErr w:type="spellEnd"/>
      <w:r w:rsidR="000043C2">
        <w:rPr>
          <w:rFonts w:cs="David" w:hint="cs"/>
          <w:sz w:val="24"/>
          <w:szCs w:val="24"/>
          <w:u w:val="single"/>
          <w:rtl/>
        </w:rPr>
        <w:t xml:space="preserve"> </w:t>
      </w:r>
      <w:r w:rsidRPr="00FD643A">
        <w:rPr>
          <w:rFonts w:cs="David" w:hint="cs"/>
          <w:sz w:val="24"/>
          <w:szCs w:val="24"/>
          <w:u w:val="single"/>
          <w:rtl/>
        </w:rPr>
        <w:t xml:space="preserve">- </w:t>
      </w:r>
      <w:proofErr w:type="spellStart"/>
      <w:r w:rsidRPr="00FD643A">
        <w:rPr>
          <w:rFonts w:cs="David" w:hint="cs"/>
          <w:sz w:val="24"/>
          <w:szCs w:val="24"/>
          <w:u w:val="single"/>
          <w:rtl/>
        </w:rPr>
        <w:t>אנומיזציה</w:t>
      </w:r>
      <w:proofErr w:type="spellEnd"/>
      <w:r>
        <w:rPr>
          <w:rFonts w:cs="David" w:hint="cs"/>
          <w:sz w:val="24"/>
          <w:szCs w:val="24"/>
          <w:rtl/>
        </w:rPr>
        <w:t xml:space="preserve"> במסגרת המאגר. </w:t>
      </w:r>
      <w:r w:rsidRPr="00470F98">
        <w:rPr>
          <w:rFonts w:ascii="Times New Roman" w:eastAsia="Times New Roman" w:hAnsi="Times New Roman" w:cs="David"/>
          <w:sz w:val="24"/>
          <w:szCs w:val="24"/>
          <w:rtl/>
        </w:rPr>
        <w:t xml:space="preserve">פתרונות קיימים ורלוונטיים </w:t>
      </w:r>
      <w:r w:rsidR="00E13AF3">
        <w:rPr>
          <w:rFonts w:ascii="Times New Roman" w:eastAsia="Times New Roman" w:hAnsi="Times New Roman" w:cs="David" w:hint="cs"/>
          <w:sz w:val="24"/>
          <w:szCs w:val="24"/>
          <w:rtl/>
        </w:rPr>
        <w:t xml:space="preserve">המאמצים </w:t>
      </w:r>
      <w:r w:rsidR="000043C2">
        <w:rPr>
          <w:rFonts w:ascii="Times New Roman" w:eastAsia="Times New Roman" w:hAnsi="Times New Roman" w:cs="David" w:hint="cs"/>
          <w:sz w:val="24"/>
          <w:szCs w:val="24"/>
          <w:rtl/>
        </w:rPr>
        <w:t xml:space="preserve">טכניקות </w:t>
      </w:r>
      <w:r w:rsidR="00E13AF3">
        <w:rPr>
          <w:rFonts w:ascii="Times New Roman" w:eastAsia="Times New Roman" w:hAnsi="Times New Roman" w:cs="David" w:hint="cs"/>
          <w:sz w:val="24"/>
          <w:szCs w:val="24"/>
          <w:rtl/>
        </w:rPr>
        <w:t xml:space="preserve">כדוגמת: </w:t>
      </w:r>
      <w:r w:rsidRPr="00470F98">
        <w:rPr>
          <w:rFonts w:ascii="Times New Roman" w:eastAsia="Times New Roman" w:hAnsi="Times New Roman" w:cs="David"/>
          <w:sz w:val="24"/>
          <w:szCs w:val="24"/>
        </w:rPr>
        <w:t xml:space="preserve">k-anonymity </w:t>
      </w:r>
      <w:r w:rsidR="00FD643A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Pr="00470F98">
        <w:rPr>
          <w:rFonts w:ascii="Times New Roman" w:eastAsia="Times New Roman" w:hAnsi="Times New Roman" w:cs="David"/>
          <w:sz w:val="24"/>
          <w:szCs w:val="24"/>
          <w:rtl/>
        </w:rPr>
        <w:t>י</w:t>
      </w:r>
      <w:r w:rsidR="00FD643A">
        <w:rPr>
          <w:rFonts w:ascii="Times New Roman" w:eastAsia="Times New Roman" w:hAnsi="Times New Roman" w:cs="David" w:hint="cs"/>
          <w:sz w:val="24"/>
          <w:szCs w:val="24"/>
          <w:rtl/>
        </w:rPr>
        <w:t>ו</w:t>
      </w:r>
      <w:r w:rsidR="00FD643A">
        <w:rPr>
          <w:rFonts w:ascii="Times New Roman" w:eastAsia="Times New Roman" w:hAnsi="Times New Roman" w:cs="David"/>
          <w:sz w:val="24"/>
          <w:szCs w:val="24"/>
          <w:rtl/>
        </w:rPr>
        <w:t>כ</w:t>
      </w:r>
      <w:r w:rsidRPr="00470F98">
        <w:rPr>
          <w:rFonts w:ascii="Times New Roman" w:eastAsia="Times New Roman" w:hAnsi="Times New Roman" w:cs="David"/>
          <w:sz w:val="24"/>
          <w:szCs w:val="24"/>
          <w:rtl/>
        </w:rPr>
        <w:t>לו למנוע זיוף אך ללא שמירת כל הנתונים הביומטריים במאגר</w:t>
      </w:r>
      <w:r w:rsidRPr="00470F98">
        <w:rPr>
          <w:rFonts w:ascii="Times New Roman" w:eastAsia="Times New Roman" w:hAnsi="Times New Roman" w:cs="David"/>
          <w:sz w:val="24"/>
          <w:szCs w:val="24"/>
        </w:rPr>
        <w:t>.</w:t>
      </w:r>
      <w:r w:rsidR="000043C2">
        <w:rPr>
          <w:rStyle w:val="a6"/>
          <w:rFonts w:ascii="Times New Roman" w:eastAsia="Times New Roman" w:hAnsi="Times New Roman" w:cs="David"/>
          <w:sz w:val="24"/>
          <w:szCs w:val="24"/>
          <w:rtl/>
        </w:rPr>
        <w:footnoteReference w:id="1"/>
      </w:r>
    </w:p>
    <w:p w:rsidR="00FD643A" w:rsidRPr="00FB616E" w:rsidRDefault="00FB616E" w:rsidP="00B060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>2.</w:t>
      </w:r>
      <w:r w:rsidR="00263D3E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513E9E" w:rsidRPr="00F9232B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 xml:space="preserve">דיווח </w:t>
      </w:r>
      <w:r w:rsidR="0037318A" w:rsidRPr="00F9232B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>ל</w:t>
      </w:r>
      <w:r w:rsidR="0037318A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>תושב</w:t>
      </w:r>
      <w:r w:rsidR="00B060A1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 xml:space="preserve"> </w:t>
      </w:r>
      <w:r w:rsidR="00513E9E" w:rsidRPr="00FB616E">
        <w:rPr>
          <w:rFonts w:ascii="Times New Roman" w:eastAsia="Times New Roman" w:hAnsi="Times New Roman" w:cs="David" w:hint="cs"/>
          <w:sz w:val="24"/>
          <w:szCs w:val="24"/>
          <w:rtl/>
        </w:rPr>
        <w:t xml:space="preserve">- </w:t>
      </w:r>
      <w:r w:rsidR="00FD643A" w:rsidRPr="00FB616E">
        <w:rPr>
          <w:rFonts w:ascii="Times New Roman" w:eastAsia="Times New Roman" w:hAnsi="Times New Roman" w:cs="David" w:hint="cs"/>
          <w:sz w:val="24"/>
          <w:szCs w:val="24"/>
          <w:rtl/>
        </w:rPr>
        <w:t xml:space="preserve">חסרים מנגנונים המאפשרים </w:t>
      </w:r>
      <w:r w:rsidR="0037318A" w:rsidRPr="00FB616E">
        <w:rPr>
          <w:rFonts w:ascii="Times New Roman" w:eastAsia="Times New Roman" w:hAnsi="Times New Roman" w:cs="David" w:hint="cs"/>
          <w:sz w:val="24"/>
          <w:szCs w:val="24"/>
          <w:rtl/>
        </w:rPr>
        <w:t>ל</w:t>
      </w:r>
      <w:r w:rsidR="0037318A">
        <w:rPr>
          <w:rFonts w:ascii="Times New Roman" w:eastAsia="Times New Roman" w:hAnsi="Times New Roman" w:cs="David" w:hint="cs"/>
          <w:sz w:val="24"/>
          <w:szCs w:val="24"/>
          <w:rtl/>
        </w:rPr>
        <w:t xml:space="preserve">תושב </w:t>
      </w:r>
      <w:r w:rsidR="00432461">
        <w:rPr>
          <w:rFonts w:ascii="Times New Roman" w:eastAsia="Times New Roman" w:hAnsi="Times New Roman" w:cs="David" w:hint="cs"/>
          <w:sz w:val="24"/>
          <w:szCs w:val="24"/>
          <w:rtl/>
        </w:rPr>
        <w:t>ידיעה ושליטה מינימלית</w:t>
      </w:r>
      <w:r w:rsidR="007F37B3">
        <w:rPr>
          <w:rFonts w:ascii="Times New Roman" w:eastAsia="Times New Roman" w:hAnsi="Times New Roman" w:cs="David" w:hint="cs"/>
          <w:sz w:val="24"/>
          <w:szCs w:val="24"/>
          <w:rtl/>
        </w:rPr>
        <w:t>,</w:t>
      </w:r>
      <w:r w:rsidR="00FD643A" w:rsidRPr="00FB616E">
        <w:rPr>
          <w:rFonts w:ascii="Times New Roman" w:eastAsia="Times New Roman" w:hAnsi="Times New Roman" w:cs="David" w:hint="cs"/>
          <w:sz w:val="24"/>
          <w:szCs w:val="24"/>
          <w:rtl/>
        </w:rPr>
        <w:t xml:space="preserve"> כגון זכות לדעת איזה מידע קיים עליו, מי ניגש למידע, מתי </w:t>
      </w:r>
      <w:proofErr w:type="spellStart"/>
      <w:r w:rsidR="007962CA" w:rsidRPr="00FB616E">
        <w:rPr>
          <w:rFonts w:ascii="Times New Roman" w:eastAsia="Times New Roman" w:hAnsi="Times New Roman" w:cs="David" w:hint="cs"/>
          <w:sz w:val="24"/>
          <w:szCs w:val="24"/>
          <w:rtl/>
        </w:rPr>
        <w:t>היתה</w:t>
      </w:r>
      <w:proofErr w:type="spellEnd"/>
      <w:r w:rsidR="007962CA" w:rsidRPr="00FB616E">
        <w:rPr>
          <w:rFonts w:ascii="Times New Roman" w:eastAsia="Times New Roman" w:hAnsi="Times New Roman" w:cs="David" w:hint="cs"/>
          <w:sz w:val="24"/>
          <w:szCs w:val="24"/>
          <w:rtl/>
        </w:rPr>
        <w:t xml:space="preserve"> גישה למידע. זכות זו נובעת </w:t>
      </w:r>
      <w:r w:rsidR="00FD643A" w:rsidRPr="00FB616E">
        <w:rPr>
          <w:rFonts w:ascii="Times New Roman" w:eastAsia="Times New Roman" w:hAnsi="Times New Roman" w:cs="David" w:hint="cs"/>
          <w:sz w:val="24"/>
          <w:szCs w:val="24"/>
          <w:rtl/>
        </w:rPr>
        <w:t xml:space="preserve">מעקרון ה- </w:t>
      </w:r>
      <w:r w:rsidR="00FD643A" w:rsidRPr="00FB616E">
        <w:rPr>
          <w:rFonts w:ascii="Times New Roman" w:eastAsia="Times New Roman" w:hAnsi="Times New Roman" w:cs="David" w:hint="cs"/>
          <w:sz w:val="24"/>
          <w:szCs w:val="24"/>
        </w:rPr>
        <w:t>FAIR INFORMATION PRACTICEES</w:t>
      </w:r>
      <w:r w:rsidR="00FD643A" w:rsidRPr="00FB616E">
        <w:rPr>
          <w:rFonts w:ascii="Times New Roman" w:eastAsia="Times New Roman" w:hAnsi="Times New Roman" w:cs="David" w:hint="cs"/>
          <w:sz w:val="24"/>
          <w:szCs w:val="24"/>
          <w:rtl/>
        </w:rPr>
        <w:t xml:space="preserve">, של </w:t>
      </w:r>
      <w:r w:rsidR="00FD643A" w:rsidRPr="00FB616E">
        <w:rPr>
          <w:rFonts w:ascii="Times New Roman" w:eastAsia="Times New Roman" w:hAnsi="Times New Roman" w:cs="David" w:hint="cs"/>
          <w:sz w:val="24"/>
          <w:szCs w:val="24"/>
        </w:rPr>
        <w:t>ACCESS AND RECOURSE</w:t>
      </w:r>
      <w:r w:rsidR="00FD643A" w:rsidRPr="00FB616E">
        <w:rPr>
          <w:rFonts w:ascii="Times New Roman" w:eastAsia="Times New Roman" w:hAnsi="Times New Roman" w:cs="David" w:hint="cs"/>
          <w:sz w:val="24"/>
          <w:szCs w:val="24"/>
          <w:rtl/>
        </w:rPr>
        <w:t>.</w:t>
      </w:r>
    </w:p>
    <w:p w:rsidR="00FD643A" w:rsidRDefault="00FD643A" w:rsidP="00B71E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אמנם קבועה בסעיף 5(ג) לחוק </w:t>
      </w:r>
      <w:r w:rsidR="00B060A1">
        <w:rPr>
          <w:rFonts w:cs="David" w:hint="cs"/>
          <w:sz w:val="24"/>
          <w:szCs w:val="24"/>
          <w:rtl/>
        </w:rPr>
        <w:t>הכללת אמצעי זיהוי ביומטריים</w:t>
      </w:r>
      <w:r w:rsidR="00B060A1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>חו</w:t>
      </w:r>
      <w:r w:rsidR="007962CA">
        <w:rPr>
          <w:rFonts w:ascii="Times New Roman" w:eastAsia="Times New Roman" w:hAnsi="Times New Roman" w:cs="David" w:hint="cs"/>
          <w:sz w:val="24"/>
          <w:szCs w:val="24"/>
          <w:rtl/>
        </w:rPr>
        <w:t>בת דיווח של השר לכנסת בדבר העברת מידע לפי סעיף 5(ג) לחוק, אך לא נקבעה זכות אישית לאדם שהועבר עליו מידע. מנגנון מסוג זה נקבע בהצעת חוק נתוני אשראי, התשע"ו-201</w:t>
      </w:r>
      <w:r w:rsidR="00B71E1F">
        <w:rPr>
          <w:rFonts w:ascii="Times New Roman" w:eastAsia="Times New Roman" w:hAnsi="Times New Roman" w:cs="David" w:hint="cs"/>
          <w:sz w:val="24"/>
          <w:szCs w:val="24"/>
          <w:rtl/>
        </w:rPr>
        <w:t>5</w:t>
      </w:r>
      <w:r w:rsidR="007962CA">
        <w:rPr>
          <w:rFonts w:ascii="Times New Roman" w:eastAsia="Times New Roman" w:hAnsi="Times New Roman" w:cs="David" w:hint="cs"/>
          <w:sz w:val="24"/>
          <w:szCs w:val="24"/>
          <w:rtl/>
        </w:rPr>
        <w:t>.</w:t>
      </w:r>
    </w:p>
    <w:p w:rsidR="00263D3E" w:rsidRDefault="00513E9E" w:rsidP="00263D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>3.</w:t>
      </w:r>
      <w:r w:rsidR="00263D3E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301D1C" w:rsidRPr="00301D1C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 xml:space="preserve">תנאי סף </w:t>
      </w:r>
      <w:r w:rsidR="00301D1C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 xml:space="preserve">טכנולוגיים </w:t>
      </w:r>
      <w:r w:rsidR="00301D1C" w:rsidRPr="00301D1C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>להקמת המאגר -</w:t>
      </w:r>
      <w:r w:rsidR="00301D1C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263D3E">
        <w:rPr>
          <w:rFonts w:ascii="Times New Roman" w:eastAsia="Times New Roman" w:hAnsi="Times New Roman" w:cs="David" w:hint="cs"/>
          <w:sz w:val="24"/>
          <w:szCs w:val="24"/>
          <w:rtl/>
        </w:rPr>
        <w:t>ככל שיוקם המאגר, הרי טרם הקמתו וכתנאי לכך, יש להגדיר במפורש הגדרה מקצועית מחייבת, שגמישותה תותאם להתקדמות הטכנולוגיה, זאת בתחומים הבאים:</w:t>
      </w:r>
    </w:p>
    <w:p w:rsidR="00263D3E" w:rsidRDefault="00263D3E" w:rsidP="00761A10">
      <w:pPr>
        <w:ind w:left="720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א. </w:t>
      </w:r>
      <w:r w:rsidR="00FB616E" w:rsidRPr="00EF4B46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>הצפנת המאגר</w:t>
      </w:r>
      <w:r w:rsidR="00FB616E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FB616E">
        <w:rPr>
          <w:rFonts w:ascii="Times New Roman" w:eastAsia="Times New Roman" w:hAnsi="Times New Roman" w:cs="David"/>
          <w:sz w:val="24"/>
          <w:szCs w:val="24"/>
          <w:rtl/>
        </w:rPr>
        <w:t>–</w:t>
      </w:r>
      <w:r w:rsidR="00EF4B46">
        <w:rPr>
          <w:rFonts w:ascii="Times New Roman" w:eastAsia="Times New Roman" w:hAnsi="Times New Roman" w:cs="David" w:hint="cs"/>
          <w:sz w:val="24"/>
          <w:szCs w:val="24"/>
          <w:rtl/>
        </w:rPr>
        <w:t xml:space="preserve"> ההגדרה בחוק מאוד כללית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>:</w:t>
      </w:r>
      <w:r w:rsidR="00470F98" w:rsidRPr="00470F98">
        <w:rPr>
          <w:rFonts w:ascii="Times New Roman" w:eastAsia="Times New Roman" w:hAnsi="Times New Roman" w:cs="David"/>
          <w:sz w:val="24"/>
          <w:szCs w:val="24"/>
          <w:rtl/>
        </w:rPr>
        <w:t xml:space="preserve"> ״המאגר הביומטרי</w:t>
      </w:r>
      <w:r w:rsidR="00EF4B46">
        <w:rPr>
          <w:rFonts w:ascii="Times New Roman" w:eastAsia="Times New Roman" w:hAnsi="Times New Roman" w:cs="David"/>
          <w:sz w:val="24"/>
          <w:szCs w:val="24"/>
          <w:rtl/>
        </w:rPr>
        <w:t xml:space="preserve"> יישמר באופן מוצפ</w:t>
      </w:r>
      <w:r w:rsidR="00EF4B46">
        <w:rPr>
          <w:rFonts w:ascii="Times New Roman" w:eastAsia="Times New Roman" w:hAnsi="Times New Roman" w:cs="David" w:hint="cs"/>
          <w:sz w:val="24"/>
          <w:szCs w:val="24"/>
          <w:rtl/>
        </w:rPr>
        <w:t>ן,</w:t>
      </w:r>
      <w:r w:rsidR="008253A1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470F98" w:rsidRPr="00470F98">
        <w:rPr>
          <w:rFonts w:ascii="Times New Roman" w:eastAsia="Times New Roman" w:hAnsi="Times New Roman" w:cs="David"/>
          <w:sz w:val="24"/>
          <w:szCs w:val="24"/>
          <w:rtl/>
        </w:rPr>
        <w:t>בנפרד מכל מידע אחר ולא יכלול פרטי רישום של התושב כמשמעותם בחוק המרשם או כל פרט מזהה אחר</w:t>
      </w:r>
      <w:r w:rsidR="00470F98" w:rsidRPr="00470F98">
        <w:rPr>
          <w:rFonts w:ascii="Times New Roman" w:eastAsia="Times New Roman" w:hAnsi="Times New Roman" w:cs="David"/>
          <w:sz w:val="24"/>
          <w:szCs w:val="24"/>
        </w:rPr>
        <w:t>.</w:t>
      </w:r>
      <w:r w:rsidR="00470F98" w:rsidRPr="00470F98">
        <w:rPr>
          <w:rFonts w:ascii="Times New Roman" w:eastAsia="Times New Roman" w:hAnsi="Times New Roman" w:cs="David"/>
          <w:sz w:val="24"/>
          <w:szCs w:val="24"/>
          <w:rtl/>
        </w:rPr>
        <w:t>״</w:t>
      </w:r>
    </w:p>
    <w:p w:rsidR="00470F98" w:rsidRDefault="008253A1" w:rsidP="00B060A1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נוכח רגישותו המיוחדת של המאגר, אין להקימו ללא קביעת סטנדרטים מוגדרים </w:t>
      </w:r>
      <w:r w:rsidR="00EF4B46">
        <w:rPr>
          <w:rFonts w:ascii="Times New Roman" w:eastAsia="Times New Roman" w:hAnsi="Times New Roman" w:cs="David" w:hint="cs"/>
          <w:sz w:val="24"/>
          <w:szCs w:val="24"/>
          <w:rtl/>
        </w:rPr>
        <w:t>ומחייבים להצפנתו</w:t>
      </w:r>
      <w:r w:rsidR="00B060A1">
        <w:rPr>
          <w:rFonts w:ascii="Times New Roman" w:eastAsia="Times New Roman" w:hAnsi="Times New Roman" w:cs="David" w:hint="cs"/>
          <w:sz w:val="24"/>
          <w:szCs w:val="24"/>
          <w:rtl/>
        </w:rPr>
        <w:t xml:space="preserve">. 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>כגון:</w:t>
      </w:r>
      <w:r>
        <w:rPr>
          <w:rFonts w:ascii="Times New Roman" w:eastAsia="Times New Roman" w:hAnsi="Times New Roman" w:cs="David"/>
          <w:sz w:val="24"/>
          <w:szCs w:val="24"/>
          <w:rtl/>
        </w:rPr>
        <w:t xml:space="preserve"> חוזק מפתחות ההצפ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נה; </w:t>
      </w:r>
      <w:r w:rsidR="00470F98" w:rsidRPr="00470F98">
        <w:rPr>
          <w:rFonts w:ascii="Times New Roman" w:eastAsia="Times New Roman" w:hAnsi="Times New Roman" w:cs="David"/>
          <w:sz w:val="24"/>
          <w:szCs w:val="24"/>
          <w:rtl/>
        </w:rPr>
        <w:t>היכן מתבצעת ההצפנה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- </w:t>
      </w:r>
      <w:r w:rsidR="00470F98" w:rsidRPr="00470F98">
        <w:rPr>
          <w:rFonts w:ascii="Times New Roman" w:eastAsia="Times New Roman" w:hAnsi="Times New Roman" w:cs="David"/>
          <w:sz w:val="24"/>
          <w:szCs w:val="24"/>
          <w:rtl/>
        </w:rPr>
        <w:t>בשרתי המאגר או בתחנות בהן מבצעים את ההרכשה הביומטר</w:t>
      </w:r>
      <w:r>
        <w:rPr>
          <w:rFonts w:ascii="Times New Roman" w:eastAsia="Times New Roman" w:hAnsi="Times New Roman" w:cs="David"/>
          <w:sz w:val="24"/>
          <w:szCs w:val="24"/>
          <w:rtl/>
        </w:rPr>
        <w:t>י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>ת</w:t>
      </w:r>
      <w:r w:rsidR="00B71E1F">
        <w:rPr>
          <w:rFonts w:ascii="Times New Roman" w:eastAsia="Times New Roman" w:hAnsi="Times New Roman" w:cs="David" w:hint="cs"/>
          <w:sz w:val="24"/>
          <w:szCs w:val="24"/>
          <w:rtl/>
        </w:rPr>
        <w:t>;</w:t>
      </w:r>
      <w:r w:rsidR="00746E7D">
        <w:rPr>
          <w:rFonts w:ascii="Times New Roman" w:eastAsia="Times New Roman" w:hAnsi="Times New Roman" w:cs="David" w:hint="cs"/>
          <w:sz w:val="24"/>
          <w:szCs w:val="24"/>
          <w:rtl/>
        </w:rPr>
        <w:t xml:space="preserve"> שיטות </w:t>
      </w:r>
      <w:r w:rsidR="00B71E1F">
        <w:rPr>
          <w:rFonts w:ascii="Times New Roman" w:eastAsia="Times New Roman" w:hAnsi="Times New Roman" w:cs="David" w:hint="cs"/>
          <w:sz w:val="24"/>
          <w:szCs w:val="24"/>
          <w:rtl/>
        </w:rPr>
        <w:t xml:space="preserve">ההצפנה, </w:t>
      </w:r>
      <w:r w:rsidR="00746E7D">
        <w:rPr>
          <w:rFonts w:ascii="Times New Roman" w:eastAsia="Times New Roman" w:hAnsi="Times New Roman" w:cs="David" w:hint="cs"/>
          <w:sz w:val="24"/>
          <w:szCs w:val="24"/>
          <w:rtl/>
        </w:rPr>
        <w:t>כדוגמת קידוד מתחלף</w:t>
      </w:r>
      <w:r w:rsidR="00B71E1F">
        <w:rPr>
          <w:rFonts w:ascii="Times New Roman" w:eastAsia="Times New Roman" w:hAnsi="Times New Roman" w:cs="David" w:hint="cs"/>
          <w:sz w:val="24"/>
          <w:szCs w:val="24"/>
          <w:rtl/>
        </w:rPr>
        <w:t>;</w:t>
      </w:r>
      <w:r w:rsidR="00746E7D">
        <w:rPr>
          <w:rFonts w:ascii="Times New Roman" w:eastAsia="Times New Roman" w:hAnsi="Times New Roman" w:cs="David" w:hint="cs"/>
          <w:sz w:val="24"/>
          <w:szCs w:val="24"/>
          <w:rtl/>
        </w:rPr>
        <w:t xml:space="preserve"> כללים לאבטחת הגישה למפתחות ההצפנה</w:t>
      </w:r>
      <w:r w:rsidR="00B71E1F">
        <w:rPr>
          <w:rFonts w:ascii="Times New Roman" w:eastAsia="Times New Roman" w:hAnsi="Times New Roman" w:cs="David" w:hint="cs"/>
          <w:sz w:val="24"/>
          <w:szCs w:val="24"/>
          <w:rtl/>
        </w:rPr>
        <w:t xml:space="preserve">; </w:t>
      </w:r>
      <w:r w:rsidR="00746E7D">
        <w:rPr>
          <w:rFonts w:ascii="Times New Roman" w:eastAsia="Times New Roman" w:hAnsi="Times New Roman" w:cs="David" w:hint="cs"/>
          <w:sz w:val="24"/>
          <w:szCs w:val="24"/>
          <w:rtl/>
        </w:rPr>
        <w:t>חובת התעדכנות שוטפת בנושא שיטות למעקף הצפנת מידע ויישום אמצעי הגנה הולמים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ועוד.</w:t>
      </w:r>
      <w:r w:rsidR="00470F98" w:rsidRPr="00470F98">
        <w:rPr>
          <w:rFonts w:ascii="Times New Roman" w:eastAsia="Times New Roman" w:hAnsi="Times New Roman" w:cs="David"/>
          <w:sz w:val="24"/>
          <w:szCs w:val="24"/>
        </w:rPr>
        <w:t xml:space="preserve"> </w:t>
      </w:r>
    </w:p>
    <w:p w:rsidR="008253A1" w:rsidRDefault="00263D3E" w:rsidP="00761A10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ב. </w:t>
      </w:r>
      <w:r w:rsidR="008253A1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Pr="00263D3E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>תמונת פנים באיכות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8253A1" w:rsidRPr="00EF4B46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>פחותה</w:t>
      </w:r>
      <w:r w:rsidR="00EF4B46">
        <w:rPr>
          <w:rFonts w:ascii="Times New Roman" w:eastAsia="Times New Roman" w:hAnsi="Times New Roman" w:cs="David"/>
          <w:sz w:val="24"/>
          <w:szCs w:val="24"/>
          <w:rtl/>
        </w:rPr>
        <w:t>–</w:t>
      </w:r>
      <w:r w:rsidR="00EF4B46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ההגדרה הכללית שבסעיף ההגדרות בחוק </w:t>
      </w:r>
      <w:r w:rsidR="00EF4B46">
        <w:rPr>
          <w:rFonts w:ascii="Times New Roman" w:eastAsia="Times New Roman" w:hAnsi="Times New Roman" w:cs="David" w:hint="cs"/>
          <w:sz w:val="24"/>
          <w:szCs w:val="24"/>
          <w:rtl/>
        </w:rPr>
        <w:t>דורשת הגדרה מקצועית מחייבת, שגמישותה תותאם להתקדמות הטכנולוגיה, זאת טרם הקמת המאגר.</w:t>
      </w:r>
    </w:p>
    <w:p w:rsidR="00470F98" w:rsidRPr="00470F98" w:rsidRDefault="008253A1" w:rsidP="00263D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4. </w:t>
      </w:r>
      <w:r w:rsidRPr="00EF4B46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>סמכויות הממונה על הפרטיות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David"/>
          <w:sz w:val="24"/>
          <w:szCs w:val="24"/>
          <w:rtl/>
        </w:rPr>
        <w:t>–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יש לעגן בחקיקה את סמכויות הממונה על הפרטיות. לא ניתן לה</w:t>
      </w:r>
      <w:r w:rsidR="00263D3E">
        <w:rPr>
          <w:rFonts w:ascii="Times New Roman" w:eastAsia="Times New Roman" w:hAnsi="Times New Roman" w:cs="David" w:hint="cs"/>
          <w:sz w:val="24"/>
          <w:szCs w:val="24"/>
          <w:rtl/>
        </w:rPr>
        <w:t>פריז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בחשיבותו של התפקיד בהקשר רגיש זה. לפיכך</w:t>
      </w:r>
      <w:r w:rsidR="00263D3E">
        <w:rPr>
          <w:rFonts w:ascii="Times New Roman" w:eastAsia="Times New Roman" w:hAnsi="Times New Roman" w:cs="David" w:hint="cs"/>
          <w:sz w:val="24"/>
          <w:szCs w:val="24"/>
          <w:rtl/>
        </w:rPr>
        <w:t>,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תפקידו, סמכויותיו וכוחו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</w:rPr>
        <w:t>האכיפתי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של הממונה צריכים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</w:rPr>
        <w:t>להקבע</w:t>
      </w:r>
      <w:proofErr w:type="spellEnd"/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במפורש ובמפורט בחקיקה.</w:t>
      </w:r>
      <w:r w:rsidR="00746E7D">
        <w:rPr>
          <w:rFonts w:ascii="Times New Roman" w:eastAsia="Times New Roman" w:hAnsi="Times New Roman" w:cs="David" w:hint="cs"/>
          <w:sz w:val="24"/>
          <w:szCs w:val="24"/>
          <w:rtl/>
        </w:rPr>
        <w:t xml:space="preserve"> ראו לעניין זה את סעיף 18(ב) לחוק נתוני אשראי, </w:t>
      </w:r>
      <w:proofErr w:type="spellStart"/>
      <w:r w:rsidR="00746E7D">
        <w:rPr>
          <w:rFonts w:ascii="Times New Roman" w:eastAsia="Times New Roman" w:hAnsi="Times New Roman" w:cs="David" w:hint="cs"/>
          <w:sz w:val="24"/>
          <w:szCs w:val="24"/>
          <w:rtl/>
        </w:rPr>
        <w:t>התשע"ו</w:t>
      </w:r>
      <w:proofErr w:type="spellEnd"/>
      <w:r w:rsidR="00746E7D">
        <w:rPr>
          <w:rFonts w:ascii="Times New Roman" w:eastAsia="Times New Roman" w:hAnsi="Times New Roman" w:cs="David" w:hint="cs"/>
          <w:sz w:val="24"/>
          <w:szCs w:val="24"/>
          <w:rtl/>
        </w:rPr>
        <w:t xml:space="preserve"> </w:t>
      </w:r>
      <w:r w:rsidR="00746E7D">
        <w:rPr>
          <w:rFonts w:ascii="Times New Roman" w:eastAsia="Times New Roman" w:hAnsi="Times New Roman" w:cs="David"/>
          <w:sz w:val="24"/>
          <w:szCs w:val="24"/>
          <w:rtl/>
        </w:rPr>
        <w:t>–</w:t>
      </w:r>
      <w:r w:rsidR="00746E7D">
        <w:rPr>
          <w:rFonts w:ascii="Times New Roman" w:eastAsia="Times New Roman" w:hAnsi="Times New Roman" w:cs="David" w:hint="cs"/>
          <w:sz w:val="24"/>
          <w:szCs w:val="24"/>
          <w:rtl/>
        </w:rPr>
        <w:t xml:space="preserve"> 2016. </w:t>
      </w:r>
    </w:p>
    <w:p w:rsidR="006D7B3D" w:rsidRDefault="00301D1C" w:rsidP="00761A10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>
        <w:rPr>
          <w:rFonts w:ascii="Arial" w:eastAsia="Times New Roman" w:hAnsi="Arial" w:cs="David" w:hint="cs"/>
          <w:sz w:val="24"/>
          <w:szCs w:val="24"/>
          <w:rtl/>
        </w:rPr>
        <w:t xml:space="preserve">5. </w:t>
      </w:r>
      <w:r w:rsidRPr="006D3A8A">
        <w:rPr>
          <w:rFonts w:ascii="Arial" w:eastAsia="Times New Roman" w:hAnsi="Arial" w:cs="David" w:hint="cs"/>
          <w:b/>
          <w:bCs/>
          <w:sz w:val="24"/>
          <w:szCs w:val="24"/>
          <w:rtl/>
        </w:rPr>
        <w:t>טביעת אצבע</w:t>
      </w:r>
      <w:r w:rsidR="00746E7D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 </w:t>
      </w:r>
      <w:r w:rsidR="002C4869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- </w:t>
      </w:r>
      <w:r w:rsidR="00761A10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 </w:t>
      </w:r>
      <w:r w:rsidR="006D7B3D" w:rsidRPr="0037318A">
        <w:rPr>
          <w:rFonts w:ascii="Arial" w:eastAsia="Times New Roman" w:hAnsi="Arial" w:cs="David" w:hint="eastAsia"/>
          <w:sz w:val="24"/>
          <w:szCs w:val="24"/>
          <w:rtl/>
        </w:rPr>
        <w:t>המועצה</w:t>
      </w:r>
      <w:r w:rsidR="006D7B3D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 </w:t>
      </w:r>
      <w:r w:rsidR="006D7B3D">
        <w:rPr>
          <w:rFonts w:ascii="Arial" w:eastAsia="Times New Roman" w:hAnsi="Arial" w:cs="David" w:hint="cs"/>
          <w:sz w:val="24"/>
          <w:szCs w:val="24"/>
          <w:rtl/>
        </w:rPr>
        <w:t>סבורה שעמדת המדינה לפיה היא יכולה להסתפק בתמונת פנים בלבד ללא טביעת אצבע, מנביעה את המסקנה שיש להימנע לחלוטין משילוב טביעות האצבע במאגר.</w:t>
      </w:r>
    </w:p>
    <w:p w:rsidR="006D7B3D" w:rsidRPr="003F7F2B" w:rsidRDefault="006D7B3D" w:rsidP="006D7B3D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>
        <w:rPr>
          <w:rFonts w:ascii="Arial" w:eastAsia="Times New Roman" w:hAnsi="Arial" w:cs="David" w:hint="cs"/>
          <w:sz w:val="24"/>
          <w:szCs w:val="24"/>
          <w:rtl/>
        </w:rPr>
        <w:t>על פי עקרונות ה"תכנון לפרטיות" ו"פרטיות כברירת מחדל" -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Pr="00E40931">
        <w:rPr>
          <w:rFonts w:ascii="Times New Roman" w:eastAsia="Times New Roman" w:hAnsi="Times New Roman" w:cs="David"/>
          <w:sz w:val="24"/>
          <w:szCs w:val="24"/>
        </w:rPr>
        <w:t>Privacy by Design</w:t>
      </w:r>
      <w:r>
        <w:rPr>
          <w:rFonts w:ascii="Times New Roman" w:eastAsia="Times New Roman" w:hAnsi="Times New Roman" w:cs="David"/>
          <w:sz w:val="24"/>
          <w:szCs w:val="24"/>
        </w:rPr>
        <w:t xml:space="preserve"> and by Default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 </w:t>
      </w:r>
      <w:r>
        <w:rPr>
          <w:rFonts w:ascii="Arial" w:eastAsia="Times New Roman" w:hAnsi="Arial" w:cs="David"/>
          <w:sz w:val="24"/>
          <w:szCs w:val="24"/>
          <w:rtl/>
        </w:rPr>
        <w:t>–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 הידועים ומקובלים בעולם ובארץ</w:t>
      </w:r>
      <w:r w:rsidR="00A41ED0">
        <w:rPr>
          <w:rStyle w:val="a6"/>
          <w:rFonts w:ascii="Arial" w:eastAsia="Times New Roman" w:hAnsi="Arial" w:cs="David"/>
          <w:sz w:val="24"/>
          <w:szCs w:val="24"/>
          <w:rtl/>
        </w:rPr>
        <w:footnoteReference w:id="2"/>
      </w:r>
      <w:r>
        <w:rPr>
          <w:rFonts w:ascii="Arial" w:eastAsia="Times New Roman" w:hAnsi="Arial" w:cs="David" w:hint="cs"/>
          <w:sz w:val="24"/>
          <w:szCs w:val="24"/>
          <w:rtl/>
        </w:rPr>
        <w:t>: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 (1) </w:t>
      </w:r>
      <w:r>
        <w:rPr>
          <w:rFonts w:ascii="Arial" w:eastAsia="Times New Roman" w:hAnsi="Arial" w:cs="David"/>
          <w:sz w:val="24"/>
          <w:szCs w:val="24"/>
          <w:rtl/>
        </w:rPr>
        <w:t xml:space="preserve">ברירת המחדל תהיה זו </w:t>
      </w:r>
      <w:r>
        <w:rPr>
          <w:rFonts w:ascii="Arial" w:eastAsia="Times New Roman" w:hAnsi="Arial" w:cs="David" w:hint="cs"/>
          <w:sz w:val="24"/>
          <w:szCs w:val="24"/>
          <w:rtl/>
        </w:rPr>
        <w:t>ה</w:t>
      </w:r>
      <w:r w:rsidRPr="00E40931">
        <w:rPr>
          <w:rFonts w:ascii="Arial" w:eastAsia="Times New Roman" w:hAnsi="Arial" w:cs="David"/>
          <w:sz w:val="24"/>
          <w:szCs w:val="24"/>
          <w:rtl/>
        </w:rPr>
        <w:t>פוגעת כמה שפחות בפרטיות</w:t>
      </w:r>
      <w:r w:rsidR="0041088F">
        <w:rPr>
          <w:rFonts w:ascii="Arial" w:eastAsia="Times New Roman" w:hAnsi="Arial" w:cs="David" w:hint="cs"/>
          <w:sz w:val="24"/>
          <w:szCs w:val="24"/>
          <w:rtl/>
        </w:rPr>
        <w:t>.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 בכך הולם עיקרון זה את מבחן הפגיעה הפחותה שעוגן היטב בפסיקה הישראלית בקשר עם בחינת מידתיות הפגיעה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. 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עקרונות אלה נדרשים בשוק העסקי </w:t>
      </w:r>
      <w:r>
        <w:rPr>
          <w:rFonts w:ascii="Arial" w:eastAsia="Times New Roman" w:hAnsi="Arial" w:cs="David"/>
          <w:sz w:val="24"/>
          <w:szCs w:val="24"/>
          <w:rtl/>
        </w:rPr>
        <w:t>–</w:t>
      </w:r>
      <w:r>
        <w:rPr>
          <w:rFonts w:ascii="Arial" w:eastAsia="Times New Roman" w:hAnsi="Arial" w:cs="David" w:hint="cs"/>
          <w:sz w:val="24"/>
          <w:szCs w:val="24"/>
          <w:rtl/>
        </w:rPr>
        <w:t>פרטי,</w:t>
      </w:r>
      <w:r w:rsidR="0041088F">
        <w:rPr>
          <w:rFonts w:ascii="Arial" w:eastAsia="Times New Roman" w:hAnsi="Arial" w:cs="David" w:hint="cs"/>
          <w:sz w:val="24"/>
          <w:szCs w:val="24"/>
          <w:rtl/>
        </w:rPr>
        <w:t xml:space="preserve"> והם נכונים לא פחות עבור המדינה; ו -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 (</w:t>
      </w:r>
      <w:r w:rsidR="0041088F">
        <w:rPr>
          <w:rFonts w:ascii="Arial" w:eastAsia="Times New Roman" w:hAnsi="Arial" w:cs="David" w:hint="cs"/>
          <w:sz w:val="24"/>
          <w:szCs w:val="24"/>
          <w:rtl/>
        </w:rPr>
        <w:t>2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) </w:t>
      </w:r>
      <w:r w:rsidR="0041088F">
        <w:rPr>
          <w:rFonts w:ascii="Arial" w:eastAsia="Times New Roman" w:hAnsi="Arial" w:cs="David" w:hint="cs"/>
          <w:sz w:val="24"/>
          <w:szCs w:val="24"/>
          <w:rtl/>
        </w:rPr>
        <w:t xml:space="preserve">יש </w:t>
      </w:r>
      <w:r>
        <w:rPr>
          <w:rFonts w:ascii="Arial" w:eastAsia="Times New Roman" w:hAnsi="Arial" w:cs="David" w:hint="cs"/>
          <w:sz w:val="24"/>
          <w:szCs w:val="24"/>
          <w:rtl/>
        </w:rPr>
        <w:t>לאסוף את מינימום המידע הדרוש, בהתאם לעיקרון "מזעור המידע" (</w:t>
      </w:r>
      <w:r>
        <w:rPr>
          <w:rFonts w:ascii="Arial" w:eastAsia="Times New Roman" w:hAnsi="Arial" w:cs="David"/>
          <w:sz w:val="24"/>
          <w:szCs w:val="24"/>
        </w:rPr>
        <w:t>Data Minimization</w:t>
      </w:r>
      <w:r>
        <w:rPr>
          <w:rFonts w:ascii="Arial" w:eastAsia="Times New Roman" w:hAnsi="Arial" w:cs="David" w:hint="cs"/>
          <w:sz w:val="24"/>
          <w:szCs w:val="24"/>
          <w:rtl/>
        </w:rPr>
        <w:t>) המהווה נדבך חשוב וידוע בעולם המודרני של הגנת הפרטיות</w:t>
      </w:r>
      <w:r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, 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כחלק מתפיסת התכנון לפרטיות. </w:t>
      </w:r>
    </w:p>
    <w:p w:rsidR="0041088F" w:rsidRDefault="0041088F" w:rsidP="00761A10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>
        <w:rPr>
          <w:rFonts w:ascii="Arial" w:eastAsia="Times New Roman" w:hAnsi="Arial" w:cs="David" w:hint="cs"/>
          <w:sz w:val="24"/>
          <w:szCs w:val="24"/>
          <w:rtl/>
        </w:rPr>
        <w:t>אם לא תתקבל הדעה שיש להימנע לחלוטין מהעברת טביעות האצבע למאגר הביומטרי, הרי שבהתאם לעקרונות ה"תכנון לפרטיות" ו"פרטיות כברירת מחדל" יש לאפשר ל</w:t>
      </w:r>
      <w:r w:rsidR="0037318A">
        <w:rPr>
          <w:rFonts w:ascii="Arial" w:eastAsia="Times New Roman" w:hAnsi="Arial" w:cs="David" w:hint="cs"/>
          <w:sz w:val="24"/>
          <w:szCs w:val="24"/>
          <w:rtl/>
        </w:rPr>
        <w:t>תושב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 בחירה </w:t>
      </w:r>
      <w:proofErr w:type="spellStart"/>
      <w:r>
        <w:rPr>
          <w:rFonts w:ascii="Arial" w:eastAsia="Times New Roman" w:hAnsi="Arial" w:cs="David" w:hint="cs"/>
          <w:sz w:val="24"/>
          <w:szCs w:val="24"/>
          <w:rtl/>
        </w:rPr>
        <w:t>אמיתית</w:t>
      </w:r>
      <w:proofErr w:type="spellEnd"/>
      <w:r>
        <w:rPr>
          <w:rFonts w:ascii="Arial" w:eastAsia="Times New Roman" w:hAnsi="Arial" w:cs="David" w:hint="cs"/>
          <w:sz w:val="24"/>
          <w:szCs w:val="24"/>
          <w:rtl/>
        </w:rPr>
        <w:t xml:space="preserve"> כדלקמן: 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 </w:t>
      </w:r>
    </w:p>
    <w:p w:rsidR="002C4869" w:rsidRPr="00761A10" w:rsidRDefault="002C4869" w:rsidP="003766F6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b/>
          <w:bCs/>
          <w:sz w:val="24"/>
          <w:szCs w:val="24"/>
          <w:rtl/>
        </w:rPr>
      </w:pPr>
      <w:r w:rsidRPr="002C4869">
        <w:rPr>
          <w:rFonts w:ascii="Arial" w:eastAsia="Times New Roman" w:hAnsi="Arial" w:cs="David" w:hint="cs"/>
          <w:sz w:val="24"/>
          <w:szCs w:val="24"/>
          <w:rtl/>
        </w:rPr>
        <w:t xml:space="preserve">מנגנון </w:t>
      </w:r>
      <w:r w:rsidR="00746E7D">
        <w:rPr>
          <w:rFonts w:ascii="Arial" w:eastAsia="Times New Roman" w:hAnsi="Arial" w:cs="David" w:hint="cs"/>
          <w:sz w:val="24"/>
          <w:szCs w:val="24"/>
          <w:rtl/>
        </w:rPr>
        <w:t xml:space="preserve">הזנת </w:t>
      </w:r>
      <w:r w:rsidRPr="002C4869">
        <w:rPr>
          <w:rFonts w:ascii="Arial" w:eastAsia="Times New Roman" w:hAnsi="Arial" w:cs="David" w:hint="cs"/>
          <w:sz w:val="24"/>
          <w:szCs w:val="24"/>
          <w:rtl/>
        </w:rPr>
        <w:t>טב</w:t>
      </w:r>
      <w:r w:rsidR="00746E7D">
        <w:rPr>
          <w:rFonts w:ascii="Arial" w:eastAsia="Times New Roman" w:hAnsi="Arial" w:cs="David" w:hint="cs"/>
          <w:sz w:val="24"/>
          <w:szCs w:val="24"/>
          <w:rtl/>
        </w:rPr>
        <w:t>י</w:t>
      </w:r>
      <w:r w:rsidRPr="002C4869">
        <w:rPr>
          <w:rFonts w:ascii="Arial" w:eastAsia="Times New Roman" w:hAnsi="Arial" w:cs="David" w:hint="cs"/>
          <w:sz w:val="24"/>
          <w:szCs w:val="24"/>
          <w:rtl/>
        </w:rPr>
        <w:t xml:space="preserve">עת אצבע </w:t>
      </w:r>
      <w:r w:rsidR="00746E7D">
        <w:rPr>
          <w:rFonts w:ascii="Arial" w:eastAsia="Times New Roman" w:hAnsi="Arial" w:cs="David" w:hint="cs"/>
          <w:sz w:val="24"/>
          <w:szCs w:val="24"/>
          <w:rtl/>
        </w:rPr>
        <w:t xml:space="preserve">של אדם למאגר הביומטרי </w:t>
      </w:r>
      <w:r w:rsidRPr="002C4869">
        <w:rPr>
          <w:rFonts w:ascii="Arial" w:eastAsia="Times New Roman" w:hAnsi="Arial" w:cs="David" w:hint="cs"/>
          <w:sz w:val="24"/>
          <w:szCs w:val="24"/>
          <w:rtl/>
        </w:rPr>
        <w:t>צריך להיות</w:t>
      </w:r>
      <w:r w:rsidR="00746E7D">
        <w:rPr>
          <w:rFonts w:ascii="Arial" w:eastAsia="Times New Roman" w:hAnsi="Arial" w:cs="David" w:hint="cs"/>
          <w:sz w:val="24"/>
          <w:szCs w:val="24"/>
          <w:rtl/>
        </w:rPr>
        <w:t xml:space="preserve"> מותנה בקבלת </w:t>
      </w:r>
      <w:r w:rsidR="00746E7D" w:rsidRPr="0037318A">
        <w:rPr>
          <w:rFonts w:ascii="Arial" w:eastAsia="Times New Roman" w:hAnsi="Arial" w:cs="David" w:hint="eastAsia"/>
          <w:sz w:val="24"/>
          <w:szCs w:val="24"/>
          <w:u w:val="single"/>
          <w:rtl/>
        </w:rPr>
        <w:t>הסכמתו</w:t>
      </w:r>
      <w:r w:rsidR="00746E7D" w:rsidRPr="0037318A">
        <w:rPr>
          <w:rFonts w:ascii="Arial" w:eastAsia="Times New Roman" w:hAnsi="Arial" w:cs="David"/>
          <w:sz w:val="24"/>
          <w:szCs w:val="24"/>
          <w:u w:val="single"/>
          <w:rtl/>
        </w:rPr>
        <w:t xml:space="preserve"> </w:t>
      </w:r>
      <w:r w:rsidR="00746E7D" w:rsidRPr="0037318A">
        <w:rPr>
          <w:rFonts w:ascii="Arial" w:eastAsia="Times New Roman" w:hAnsi="Arial" w:cs="David" w:hint="eastAsia"/>
          <w:sz w:val="24"/>
          <w:szCs w:val="24"/>
          <w:u w:val="single"/>
          <w:rtl/>
        </w:rPr>
        <w:t>מדעת</w:t>
      </w:r>
      <w:r w:rsidR="00746E7D" w:rsidRPr="0037318A">
        <w:rPr>
          <w:rFonts w:ascii="Arial" w:eastAsia="Times New Roman" w:hAnsi="Arial" w:cs="David"/>
          <w:sz w:val="24"/>
          <w:szCs w:val="24"/>
          <w:u w:val="single"/>
          <w:rtl/>
        </w:rPr>
        <w:t xml:space="preserve"> </w:t>
      </w:r>
      <w:r w:rsidR="00746E7D" w:rsidRPr="0037318A">
        <w:rPr>
          <w:rFonts w:ascii="Arial" w:eastAsia="Times New Roman" w:hAnsi="Arial" w:cs="David" w:hint="eastAsia"/>
          <w:sz w:val="24"/>
          <w:szCs w:val="24"/>
          <w:u w:val="single"/>
          <w:rtl/>
        </w:rPr>
        <w:t>ומראש</w:t>
      </w:r>
      <w:r w:rsidR="00746E7D">
        <w:rPr>
          <w:rFonts w:ascii="Arial" w:eastAsia="Times New Roman" w:hAnsi="Arial" w:cs="David" w:hint="cs"/>
          <w:sz w:val="24"/>
          <w:szCs w:val="24"/>
          <w:rtl/>
        </w:rPr>
        <w:t xml:space="preserve">, דהיינו הסכמה בשיטת </w:t>
      </w:r>
      <w:r w:rsidR="006D3A8A" w:rsidRPr="002C4869">
        <w:rPr>
          <w:rFonts w:ascii="Arial" w:eastAsia="Times New Roman" w:hAnsi="Arial" w:cs="David" w:hint="cs"/>
          <w:sz w:val="24"/>
          <w:szCs w:val="24"/>
        </w:rPr>
        <w:t>OPT-IN</w:t>
      </w:r>
      <w:r w:rsidR="00746E7D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 </w:t>
      </w:r>
      <w:r w:rsidR="00746E7D">
        <w:rPr>
          <w:rFonts w:ascii="Arial" w:eastAsia="Times New Roman" w:hAnsi="Arial" w:cs="David" w:hint="cs"/>
          <w:sz w:val="24"/>
          <w:szCs w:val="24"/>
          <w:rtl/>
        </w:rPr>
        <w:t xml:space="preserve">ולא על דרך ברירת המחדל בשיטת </w:t>
      </w:r>
      <w:r w:rsidR="00746E7D">
        <w:rPr>
          <w:rFonts w:ascii="Arial" w:eastAsia="Times New Roman" w:hAnsi="Arial" w:cs="David"/>
          <w:sz w:val="24"/>
          <w:szCs w:val="24"/>
        </w:rPr>
        <w:t>OPT-OUT</w:t>
      </w:r>
      <w:r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. </w:t>
      </w:r>
      <w:r w:rsidR="00746E7D">
        <w:rPr>
          <w:rFonts w:ascii="Arial" w:eastAsia="Times New Roman" w:hAnsi="Arial" w:cs="David" w:hint="cs"/>
          <w:sz w:val="24"/>
          <w:szCs w:val="24"/>
          <w:rtl/>
        </w:rPr>
        <w:t>קבלת הסכמה מדעת מראש לשילוב טביעות האצבע במאגר עומדת במבחנים הנדרשים לבחינת מידתיות הפגיעה בפרטיות. בכלל זה, מנגנון כזה עומד בדרישת ההסכמה מדע</w:t>
      </w:r>
      <w:r w:rsidR="003766F6">
        <w:rPr>
          <w:rFonts w:ascii="Arial" w:eastAsia="Times New Roman" w:hAnsi="Arial" w:cs="David" w:hint="cs"/>
          <w:sz w:val="24"/>
          <w:szCs w:val="24"/>
          <w:rtl/>
        </w:rPr>
        <w:t>ת לפי סעיף 3 לחוק הגנת הפרטיות</w:t>
      </w:r>
      <w:r w:rsidR="00746E7D">
        <w:rPr>
          <w:rFonts w:ascii="Arial" w:eastAsia="Times New Roman" w:hAnsi="Arial" w:cs="David" w:hint="cs"/>
          <w:sz w:val="24"/>
          <w:szCs w:val="24"/>
          <w:rtl/>
        </w:rPr>
        <w:t xml:space="preserve">, הוא עומד אף </w:t>
      </w:r>
      <w:r w:rsidR="006D7B3D">
        <w:rPr>
          <w:rFonts w:ascii="Arial" w:eastAsia="Times New Roman" w:hAnsi="Arial" w:cs="David" w:hint="cs"/>
          <w:sz w:val="24"/>
          <w:szCs w:val="24"/>
          <w:rtl/>
        </w:rPr>
        <w:t xml:space="preserve">בעקרונות המקובלים בארץ ובעולם </w:t>
      </w:r>
      <w:r w:rsidR="00746E7D">
        <w:rPr>
          <w:rFonts w:ascii="Arial" w:eastAsia="Times New Roman" w:hAnsi="Arial" w:cs="David" w:hint="cs"/>
          <w:sz w:val="24"/>
          <w:szCs w:val="24"/>
          <w:rtl/>
        </w:rPr>
        <w:t xml:space="preserve">להגנת הפרטיות  </w:t>
      </w:r>
      <w:r w:rsidR="006D7B3D">
        <w:rPr>
          <w:rFonts w:ascii="Arial" w:eastAsia="Times New Roman" w:hAnsi="Arial" w:cs="David" w:hint="cs"/>
          <w:sz w:val="24"/>
          <w:szCs w:val="24"/>
          <w:rtl/>
        </w:rPr>
        <w:t>של "תכנון לפרטיות" ושל "פרטיות כברירת מחדל" (</w:t>
      </w:r>
      <w:r w:rsidR="006D7B3D">
        <w:rPr>
          <w:rFonts w:ascii="Arial" w:eastAsia="Times New Roman" w:hAnsi="Arial" w:cs="David"/>
          <w:sz w:val="24"/>
          <w:szCs w:val="24"/>
        </w:rPr>
        <w:t>Privacy by Design and by Default</w:t>
      </w:r>
      <w:r w:rsidR="0041088F">
        <w:rPr>
          <w:rFonts w:ascii="Arial" w:eastAsia="Times New Roman" w:hAnsi="Arial" w:cs="David" w:hint="cs"/>
          <w:sz w:val="24"/>
          <w:szCs w:val="24"/>
          <w:rtl/>
        </w:rPr>
        <w:t xml:space="preserve">), כיוון שברירת המחדל לפיה טביעות האצבע לא תשולבנה בתוך המאגר היא הפוגעת פחות בפרטיות. </w:t>
      </w:r>
    </w:p>
    <w:p w:rsidR="006D3A8A" w:rsidRPr="00E40931" w:rsidRDefault="006D3A8A" w:rsidP="006D3A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</w:rPr>
      </w:pPr>
      <w:r>
        <w:rPr>
          <w:rFonts w:ascii="Arial" w:eastAsia="Times New Roman" w:hAnsi="Arial" w:cs="David" w:hint="cs"/>
          <w:sz w:val="24"/>
          <w:szCs w:val="24"/>
          <w:rtl/>
        </w:rPr>
        <w:t xml:space="preserve">לפיכך, </w:t>
      </w:r>
      <w:r w:rsidRPr="00E40931">
        <w:rPr>
          <w:rFonts w:ascii="Arial" w:eastAsia="Times New Roman" w:hAnsi="Arial" w:cs="David"/>
          <w:sz w:val="24"/>
          <w:szCs w:val="24"/>
          <w:rtl/>
        </w:rPr>
        <w:t>במקום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 המנגנון המוצע של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Pr="00E40931">
        <w:rPr>
          <w:rFonts w:ascii="Times New Roman" w:eastAsia="Times New Roman" w:hAnsi="Times New Roman" w:cs="David"/>
          <w:sz w:val="24"/>
          <w:szCs w:val="24"/>
        </w:rPr>
        <w:t>Opt-Out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 למאגר טביעות האצבע,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 יש להנהיג את המנגנון של 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Pr="006D3A8A">
        <w:rPr>
          <w:rFonts w:ascii="Times New Roman" w:eastAsia="Times New Roman" w:hAnsi="Times New Roman" w:cs="David"/>
          <w:b/>
          <w:bCs/>
          <w:sz w:val="24"/>
          <w:szCs w:val="24"/>
        </w:rPr>
        <w:t>Opt-In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. </w:t>
      </w:r>
      <w:r>
        <w:rPr>
          <w:rFonts w:ascii="Arial" w:eastAsia="Times New Roman" w:hAnsi="Arial" w:cs="David" w:hint="cs"/>
          <w:sz w:val="24"/>
          <w:szCs w:val="24"/>
          <w:rtl/>
        </w:rPr>
        <w:t xml:space="preserve">קרי, ברירת המחדל 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תהיה </w:t>
      </w:r>
      <w:r w:rsidRPr="00E40931">
        <w:rPr>
          <w:rFonts w:ascii="Times New Roman" w:eastAsia="Times New Roman" w:hAnsi="Times New Roman" w:cs="David"/>
          <w:sz w:val="24"/>
          <w:szCs w:val="24"/>
        </w:rPr>
        <w:t>Opt-In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, בהתאם לעקרון של </w:t>
      </w:r>
      <w:r w:rsidRPr="00E40931">
        <w:rPr>
          <w:rFonts w:ascii="Times New Roman" w:eastAsia="Times New Roman" w:hAnsi="Times New Roman" w:cs="David"/>
          <w:sz w:val="24"/>
          <w:szCs w:val="24"/>
        </w:rPr>
        <w:t>Data Minimization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. במסגרת זו, תוצג לאזרח בחירה אם רצונו למסור את טביעת האצבע שלו למאגר, כשבמצב </w:t>
      </w:r>
      <w:r w:rsidR="0041088F">
        <w:rPr>
          <w:rFonts w:ascii="Arial" w:eastAsia="Times New Roman" w:hAnsi="Arial" w:cs="David" w:hint="cs"/>
          <w:sz w:val="24"/>
          <w:szCs w:val="24"/>
          <w:rtl/>
        </w:rPr>
        <w:t>ברירת המחדל</w:t>
      </w:r>
      <w:r w:rsidRPr="00E40931">
        <w:rPr>
          <w:rFonts w:ascii="Arial" w:eastAsia="Times New Roman" w:hAnsi="Arial" w:cs="David"/>
          <w:sz w:val="24"/>
          <w:szCs w:val="24"/>
          <w:rtl/>
        </w:rPr>
        <w:t xml:space="preserve">, </w:t>
      </w:r>
      <w:r w:rsidR="0041088F">
        <w:rPr>
          <w:rFonts w:ascii="Arial" w:eastAsia="Times New Roman" w:hAnsi="Arial" w:cs="David" w:hint="cs"/>
          <w:sz w:val="24"/>
          <w:szCs w:val="24"/>
          <w:rtl/>
        </w:rPr>
        <w:t>טביעות האצבע לא תשולבנה במאגר</w:t>
      </w:r>
      <w:r>
        <w:rPr>
          <w:rFonts w:ascii="Arial" w:eastAsia="Times New Roman" w:hAnsi="Arial" w:cs="David" w:hint="cs"/>
          <w:sz w:val="24"/>
          <w:szCs w:val="24"/>
          <w:rtl/>
        </w:rPr>
        <w:t>.</w:t>
      </w:r>
    </w:p>
    <w:p w:rsidR="002C4869" w:rsidRDefault="0041088F" w:rsidP="009A67F8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>
        <w:rPr>
          <w:rFonts w:ascii="Arial" w:eastAsia="Times New Roman" w:hAnsi="Arial" w:cs="David" w:hint="cs"/>
          <w:sz w:val="24"/>
          <w:szCs w:val="24"/>
          <w:rtl/>
        </w:rPr>
        <w:t>יש להדגיש את החשיבות של קבלת</w:t>
      </w:r>
      <w:r w:rsidR="00E40931" w:rsidRPr="00E40931">
        <w:rPr>
          <w:rFonts w:ascii="Arial" w:eastAsia="Times New Roman" w:hAnsi="Arial" w:cs="David"/>
          <w:sz w:val="24"/>
          <w:szCs w:val="24"/>
          <w:rtl/>
        </w:rPr>
        <w:t xml:space="preserve"> </w:t>
      </w:r>
      <w:r>
        <w:rPr>
          <w:rFonts w:ascii="Arial" w:eastAsia="Times New Roman" w:hAnsi="Arial" w:cs="David" w:hint="cs"/>
          <w:b/>
          <w:bCs/>
          <w:sz w:val="24"/>
          <w:szCs w:val="24"/>
          <w:rtl/>
        </w:rPr>
        <w:t>ה</w:t>
      </w:r>
      <w:r w:rsidR="00E40931" w:rsidRPr="006D3A8A">
        <w:rPr>
          <w:rFonts w:ascii="Arial" w:eastAsia="Times New Roman" w:hAnsi="Arial" w:cs="David"/>
          <w:b/>
          <w:bCs/>
          <w:sz w:val="24"/>
          <w:szCs w:val="24"/>
          <w:rtl/>
        </w:rPr>
        <w:t>הסכמה מדעת</w:t>
      </w:r>
      <w:r w:rsidR="002C4869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, </w:t>
      </w:r>
      <w:r w:rsidR="002C4869" w:rsidRPr="002C4869">
        <w:rPr>
          <w:rFonts w:ascii="Arial" w:eastAsia="Times New Roman" w:hAnsi="Arial" w:cs="David" w:hint="cs"/>
          <w:sz w:val="24"/>
          <w:szCs w:val="24"/>
          <w:rtl/>
        </w:rPr>
        <w:t>בהתאם להגדרה בסעיף 3 לחוק הגנת הפרטיות</w:t>
      </w:r>
      <w:r w:rsidR="009A67F8">
        <w:rPr>
          <w:rFonts w:ascii="Arial" w:eastAsia="Times New Roman" w:hAnsi="Arial" w:cs="David" w:hint="cs"/>
          <w:sz w:val="24"/>
          <w:szCs w:val="24"/>
          <w:rtl/>
        </w:rPr>
        <w:t>.</w:t>
      </w:r>
      <w:r w:rsidR="006D3A8A" w:rsidRPr="002C4869">
        <w:rPr>
          <w:rFonts w:ascii="Arial" w:eastAsia="Times New Roman" w:hAnsi="Arial" w:cs="David" w:hint="cs"/>
          <w:sz w:val="24"/>
          <w:szCs w:val="24"/>
          <w:rtl/>
        </w:rPr>
        <w:t xml:space="preserve"> </w:t>
      </w:r>
      <w:r w:rsidR="002C4869">
        <w:rPr>
          <w:rFonts w:ascii="Arial" w:eastAsia="Times New Roman" w:hAnsi="Arial" w:cs="David" w:hint="cs"/>
          <w:sz w:val="24"/>
          <w:szCs w:val="24"/>
          <w:rtl/>
        </w:rPr>
        <w:t xml:space="preserve">חשיבות ההסכמה מדעת היא שבידי האדם המסכים לפגיעה בפרטיות יהיה מידע, הדרוש לו, באופן  סביר, כדי להחליט האם להסכים או לא, והמידע </w:t>
      </w:r>
      <w:proofErr w:type="spellStart"/>
      <w:r w:rsidR="002C4869">
        <w:rPr>
          <w:rFonts w:ascii="Arial" w:eastAsia="Times New Roman" w:hAnsi="Arial" w:cs="David" w:hint="cs"/>
          <w:sz w:val="24"/>
          <w:szCs w:val="24"/>
          <w:rtl/>
        </w:rPr>
        <w:t>ימסר</w:t>
      </w:r>
      <w:proofErr w:type="spellEnd"/>
      <w:r w:rsidR="002C4869">
        <w:rPr>
          <w:rFonts w:ascii="Arial" w:eastAsia="Times New Roman" w:hAnsi="Arial" w:cs="David" w:hint="cs"/>
          <w:sz w:val="24"/>
          <w:szCs w:val="24"/>
          <w:rtl/>
        </w:rPr>
        <w:t xml:space="preserve"> לו בצורה מובנת. </w:t>
      </w:r>
    </w:p>
    <w:p w:rsidR="00E40931" w:rsidRPr="003766F6" w:rsidRDefault="002C4869" w:rsidP="002C4869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 w:rsidRPr="003766F6">
        <w:rPr>
          <w:rFonts w:ascii="Arial" w:eastAsia="Times New Roman" w:hAnsi="Arial" w:cs="David" w:hint="eastAsia"/>
          <w:sz w:val="24"/>
          <w:szCs w:val="24"/>
          <w:rtl/>
        </w:rPr>
        <w:t>היישום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Pr="003766F6">
        <w:rPr>
          <w:rFonts w:ascii="Arial" w:eastAsia="Times New Roman" w:hAnsi="Arial" w:cs="David" w:hint="eastAsia"/>
          <w:sz w:val="24"/>
          <w:szCs w:val="24"/>
          <w:rtl/>
        </w:rPr>
        <w:t>המעשי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Pr="003766F6">
        <w:rPr>
          <w:rFonts w:ascii="Arial" w:eastAsia="Times New Roman" w:hAnsi="Arial" w:cs="David" w:hint="eastAsia"/>
          <w:sz w:val="24"/>
          <w:szCs w:val="24"/>
          <w:rtl/>
        </w:rPr>
        <w:t>של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Pr="003766F6">
        <w:rPr>
          <w:rFonts w:ascii="Arial" w:eastAsia="Times New Roman" w:hAnsi="Arial" w:cs="David" w:hint="eastAsia"/>
          <w:sz w:val="24"/>
          <w:szCs w:val="24"/>
          <w:rtl/>
        </w:rPr>
        <w:t>כלל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Pr="003766F6">
        <w:rPr>
          <w:rFonts w:ascii="Arial" w:eastAsia="Times New Roman" w:hAnsi="Arial" w:cs="David" w:hint="eastAsia"/>
          <w:sz w:val="24"/>
          <w:szCs w:val="24"/>
          <w:rtl/>
        </w:rPr>
        <w:t>זה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, </w:t>
      </w:r>
      <w:r w:rsidRPr="003766F6">
        <w:rPr>
          <w:rFonts w:ascii="Arial" w:eastAsia="Times New Roman" w:hAnsi="Arial" w:cs="David" w:hint="eastAsia"/>
          <w:sz w:val="24"/>
          <w:szCs w:val="24"/>
          <w:rtl/>
        </w:rPr>
        <w:t>צריך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Pr="003766F6">
        <w:rPr>
          <w:rFonts w:ascii="Arial" w:eastAsia="Times New Roman" w:hAnsi="Arial" w:cs="David" w:hint="eastAsia"/>
          <w:sz w:val="24"/>
          <w:szCs w:val="24"/>
          <w:rtl/>
        </w:rPr>
        <w:t>לבוא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, </w:t>
      </w:r>
      <w:r w:rsidRPr="003766F6">
        <w:rPr>
          <w:rFonts w:ascii="Arial" w:eastAsia="Times New Roman" w:hAnsi="Arial" w:cs="David" w:hint="eastAsia"/>
          <w:sz w:val="24"/>
          <w:szCs w:val="24"/>
          <w:rtl/>
        </w:rPr>
        <w:t>בין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Pr="003766F6">
        <w:rPr>
          <w:rFonts w:ascii="Arial" w:eastAsia="Times New Roman" w:hAnsi="Arial" w:cs="David" w:hint="eastAsia"/>
          <w:sz w:val="24"/>
          <w:szCs w:val="24"/>
          <w:rtl/>
        </w:rPr>
        <w:t>היתר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, </w:t>
      </w:r>
      <w:r w:rsidRPr="003766F6">
        <w:rPr>
          <w:rFonts w:ascii="Arial" w:eastAsia="Times New Roman" w:hAnsi="Arial" w:cs="David" w:hint="eastAsia"/>
          <w:sz w:val="24"/>
          <w:szCs w:val="24"/>
          <w:rtl/>
        </w:rPr>
        <w:t>ב</w:t>
      </w:r>
      <w:r w:rsidR="00E40931" w:rsidRPr="003766F6">
        <w:rPr>
          <w:rFonts w:ascii="Arial" w:eastAsia="Times New Roman" w:hAnsi="Arial" w:cs="David"/>
          <w:sz w:val="24"/>
          <w:szCs w:val="24"/>
          <w:rtl/>
        </w:rPr>
        <w:t xml:space="preserve">מסמך </w:t>
      </w:r>
      <w:r w:rsidR="006D3A8A" w:rsidRPr="003766F6">
        <w:rPr>
          <w:rFonts w:ascii="Arial" w:eastAsia="Times New Roman" w:hAnsi="Arial" w:cs="David" w:hint="eastAsia"/>
          <w:sz w:val="24"/>
          <w:szCs w:val="24"/>
          <w:rtl/>
        </w:rPr>
        <w:t>שהתושב</w:t>
      </w:r>
      <w:r w:rsidR="00E40931" w:rsidRPr="003766F6">
        <w:rPr>
          <w:rFonts w:ascii="Arial" w:eastAsia="Times New Roman" w:hAnsi="Arial" w:cs="David"/>
          <w:sz w:val="24"/>
          <w:szCs w:val="24"/>
          <w:rtl/>
        </w:rPr>
        <w:t xml:space="preserve"> יפגוש ב</w:t>
      </w:r>
      <w:r w:rsidR="006D3A8A" w:rsidRPr="003766F6">
        <w:rPr>
          <w:rFonts w:ascii="Arial" w:eastAsia="Times New Roman" w:hAnsi="Arial" w:cs="David" w:hint="eastAsia"/>
          <w:sz w:val="24"/>
          <w:szCs w:val="24"/>
          <w:rtl/>
        </w:rPr>
        <w:t>בואו</w:t>
      </w:r>
      <w:r w:rsidR="006D3A8A" w:rsidRPr="003766F6">
        <w:rPr>
          <w:rFonts w:ascii="Arial" w:eastAsia="Times New Roman" w:hAnsi="Arial" w:cs="David"/>
          <w:sz w:val="24"/>
          <w:szCs w:val="24"/>
          <w:rtl/>
        </w:rPr>
        <w:t xml:space="preserve"> </w:t>
      </w:r>
      <w:r w:rsidR="006D3A8A" w:rsidRPr="003766F6">
        <w:rPr>
          <w:rFonts w:ascii="Arial" w:eastAsia="Times New Roman" w:hAnsi="Arial" w:cs="David" w:hint="eastAsia"/>
          <w:sz w:val="24"/>
          <w:szCs w:val="24"/>
          <w:rtl/>
        </w:rPr>
        <w:t>ל</w:t>
      </w:r>
      <w:r w:rsidR="006D3A8A" w:rsidRPr="003766F6">
        <w:rPr>
          <w:rFonts w:ascii="Arial" w:eastAsia="Times New Roman" w:hAnsi="Arial" w:cs="David"/>
          <w:sz w:val="24"/>
          <w:szCs w:val="24"/>
          <w:rtl/>
        </w:rPr>
        <w:t xml:space="preserve">משרד הפנים </w:t>
      </w:r>
      <w:r w:rsidR="006D3A8A" w:rsidRPr="003766F6">
        <w:rPr>
          <w:rFonts w:ascii="Arial" w:eastAsia="Times New Roman" w:hAnsi="Arial" w:cs="David" w:hint="eastAsia"/>
          <w:sz w:val="24"/>
          <w:szCs w:val="24"/>
          <w:rtl/>
        </w:rPr>
        <w:t>ואשר</w:t>
      </w:r>
      <w:r w:rsidR="006D3A8A" w:rsidRPr="003766F6">
        <w:rPr>
          <w:rFonts w:ascii="Arial" w:eastAsia="Times New Roman" w:hAnsi="Arial" w:cs="David"/>
          <w:sz w:val="24"/>
          <w:szCs w:val="24"/>
          <w:rtl/>
        </w:rPr>
        <w:t xml:space="preserve"> יפרט את הברירות </w:t>
      </w:r>
      <w:r w:rsidR="006D3A8A" w:rsidRPr="003766F6">
        <w:rPr>
          <w:rFonts w:ascii="Arial" w:eastAsia="Times New Roman" w:hAnsi="Arial" w:cs="David" w:hint="eastAsia"/>
          <w:sz w:val="24"/>
          <w:szCs w:val="24"/>
          <w:rtl/>
        </w:rPr>
        <w:t>ה</w:t>
      </w:r>
      <w:r w:rsidR="00E40931" w:rsidRPr="003766F6">
        <w:rPr>
          <w:rFonts w:ascii="Arial" w:eastAsia="Times New Roman" w:hAnsi="Arial" w:cs="David"/>
          <w:sz w:val="24"/>
          <w:szCs w:val="24"/>
          <w:rtl/>
        </w:rPr>
        <w:t>עומדות בפניו</w:t>
      </w:r>
      <w:r w:rsidRPr="003766F6">
        <w:rPr>
          <w:rFonts w:ascii="Arial" w:eastAsia="Times New Roman" w:hAnsi="Arial" w:cs="David"/>
          <w:sz w:val="24"/>
          <w:szCs w:val="24"/>
          <w:rtl/>
        </w:rPr>
        <w:t xml:space="preserve">. </w:t>
      </w:r>
      <w:r w:rsidR="006D3A8A" w:rsidRPr="003766F6">
        <w:rPr>
          <w:rFonts w:ascii="Arial" w:eastAsia="Times New Roman" w:hAnsi="Arial" w:cs="David" w:hint="eastAsia"/>
          <w:sz w:val="24"/>
          <w:szCs w:val="24"/>
          <w:rtl/>
        </w:rPr>
        <w:t>דהיינו</w:t>
      </w:r>
      <w:r w:rsidR="006D3A8A" w:rsidRPr="003766F6">
        <w:rPr>
          <w:rFonts w:ascii="Arial" w:eastAsia="Times New Roman" w:hAnsi="Arial" w:cs="David"/>
          <w:sz w:val="24"/>
          <w:szCs w:val="24"/>
          <w:rtl/>
        </w:rPr>
        <w:t xml:space="preserve">, </w:t>
      </w:r>
      <w:r w:rsidR="00E40931" w:rsidRPr="003766F6">
        <w:rPr>
          <w:rFonts w:ascii="Arial" w:eastAsia="Times New Roman" w:hAnsi="Arial" w:cs="David"/>
          <w:sz w:val="24"/>
          <w:szCs w:val="24"/>
          <w:rtl/>
        </w:rPr>
        <w:t>שיהיה לו ברור מה הברירות שלו כשהוא ניגש לקבל החלטה.</w:t>
      </w:r>
      <w:r w:rsidR="0041088F" w:rsidRPr="003766F6">
        <w:rPr>
          <w:rFonts w:ascii="Arial" w:eastAsia="Times New Roman" w:hAnsi="Arial" w:cs="David" w:hint="cs"/>
          <w:sz w:val="24"/>
          <w:szCs w:val="24"/>
          <w:rtl/>
        </w:rPr>
        <w:t xml:space="preserve"> </w:t>
      </w:r>
    </w:p>
    <w:p w:rsidR="0041088F" w:rsidRPr="003766F6" w:rsidRDefault="0041088F" w:rsidP="002C4869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 w:rsidRPr="003766F6">
        <w:rPr>
          <w:rFonts w:ascii="Arial" w:eastAsia="Times New Roman" w:hAnsi="Arial" w:cs="David" w:hint="cs"/>
          <w:sz w:val="24"/>
          <w:szCs w:val="24"/>
          <w:rtl/>
        </w:rPr>
        <w:t xml:space="preserve">מסמך כזה צריך לקבל תוקף חקיקתי, במסגרת תקנות שיותקנו מכוח החוק ושכניסתן לתוקף יהווה תנאי להעברת טביעות אצבעות למאגר הביומטרי. </w:t>
      </w:r>
    </w:p>
    <w:p w:rsidR="0041088F" w:rsidRPr="003766F6" w:rsidRDefault="0041088F" w:rsidP="002C4869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 w:rsidRPr="003766F6">
        <w:rPr>
          <w:rFonts w:ascii="Arial" w:eastAsia="Times New Roman" w:hAnsi="Arial" w:cs="David" w:hint="cs"/>
          <w:sz w:val="24"/>
          <w:szCs w:val="24"/>
          <w:rtl/>
        </w:rPr>
        <w:t xml:space="preserve">המסמך צריך להיערך לא על ידי הרשות לניהול המאגר הביומטרי, אלא על ידי גוף כדוגמת </w:t>
      </w:r>
      <w:r w:rsidR="00D5576D" w:rsidRPr="003766F6">
        <w:rPr>
          <w:rFonts w:ascii="Arial" w:eastAsia="Times New Roman" w:hAnsi="Arial" w:cs="David" w:hint="cs"/>
          <w:sz w:val="24"/>
          <w:szCs w:val="24"/>
          <w:rtl/>
        </w:rPr>
        <w:t>רשם מאגרי המידע ברשות למשפט טכנולוגיה ומידע</w:t>
      </w:r>
      <w:r w:rsidRPr="003766F6">
        <w:rPr>
          <w:rFonts w:ascii="Arial" w:eastAsia="Times New Roman" w:hAnsi="Arial" w:cs="David" w:hint="cs"/>
          <w:sz w:val="24"/>
          <w:szCs w:val="24"/>
          <w:rtl/>
        </w:rPr>
        <w:t xml:space="preserve">, </w:t>
      </w:r>
      <w:r w:rsidR="00D5576D" w:rsidRPr="003766F6">
        <w:rPr>
          <w:rFonts w:ascii="Arial" w:eastAsia="Times New Roman" w:hAnsi="Arial" w:cs="David" w:hint="cs"/>
          <w:sz w:val="24"/>
          <w:szCs w:val="24"/>
          <w:rtl/>
        </w:rPr>
        <w:t xml:space="preserve">תוך התייעצות עם </w:t>
      </w:r>
      <w:r w:rsidRPr="003766F6">
        <w:rPr>
          <w:rFonts w:ascii="Arial" w:eastAsia="Times New Roman" w:hAnsi="Arial" w:cs="David" w:hint="cs"/>
          <w:sz w:val="24"/>
          <w:szCs w:val="24"/>
          <w:rtl/>
        </w:rPr>
        <w:t>המועצה להגנת הפרטיות.</w:t>
      </w:r>
    </w:p>
    <w:p w:rsidR="0041088F" w:rsidRPr="003766F6" w:rsidRDefault="0041088F" w:rsidP="002C4869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 w:rsidRPr="003766F6">
        <w:rPr>
          <w:rFonts w:ascii="Arial" w:eastAsia="Times New Roman" w:hAnsi="Arial" w:cs="David" w:hint="cs"/>
          <w:sz w:val="24"/>
          <w:szCs w:val="24"/>
          <w:rtl/>
        </w:rPr>
        <w:t xml:space="preserve">חשיבות גדולה קיימת עוד לכך שהתושב לא יפגע ולא יוצג לו מצג כאילו הוא ייפגע מעצם העובדה שטביעות האצבעות שלו לא תשולבנה במאגר הביומטרי. </w:t>
      </w:r>
    </w:p>
    <w:p w:rsidR="009A67F8" w:rsidRPr="003766F6" w:rsidRDefault="008E242A" w:rsidP="002C4869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b/>
          <w:bCs/>
          <w:sz w:val="24"/>
          <w:szCs w:val="24"/>
          <w:rtl/>
        </w:rPr>
      </w:pPr>
      <w:r w:rsidRPr="003766F6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לסיכום </w:t>
      </w:r>
      <w:proofErr w:type="spellStart"/>
      <w:r w:rsidRPr="003766F6">
        <w:rPr>
          <w:rFonts w:ascii="Arial" w:eastAsia="Times New Roman" w:hAnsi="Arial" w:cs="David" w:hint="cs"/>
          <w:b/>
          <w:bCs/>
          <w:sz w:val="24"/>
          <w:szCs w:val="24"/>
          <w:rtl/>
        </w:rPr>
        <w:t>יצויין</w:t>
      </w:r>
      <w:proofErr w:type="spellEnd"/>
      <w:r w:rsidRPr="003766F6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 כי הערות אלה א</w:t>
      </w:r>
      <w:r w:rsidR="00761A10" w:rsidRPr="003766F6">
        <w:rPr>
          <w:rFonts w:ascii="Arial" w:eastAsia="Times New Roman" w:hAnsi="Arial" w:cs="David" w:hint="cs"/>
          <w:b/>
          <w:bCs/>
          <w:sz w:val="24"/>
          <w:szCs w:val="24"/>
          <w:rtl/>
        </w:rPr>
        <w:t>ינן</w:t>
      </w:r>
      <w:r w:rsidRPr="003766F6">
        <w:rPr>
          <w:rFonts w:ascii="Arial" w:eastAsia="Times New Roman" w:hAnsi="Arial" w:cs="David" w:hint="cs"/>
          <w:b/>
          <w:bCs/>
          <w:sz w:val="24"/>
          <w:szCs w:val="24"/>
          <w:rtl/>
        </w:rPr>
        <w:t xml:space="preserve"> מהוות עמדה מלאה וסדורה, אלא כשמן כן הן, הערות ראשוניות לתזכיר.</w:t>
      </w:r>
    </w:p>
    <w:p w:rsidR="008E242A" w:rsidRDefault="008E242A" w:rsidP="002C4869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>
        <w:rPr>
          <w:rFonts w:ascii="Arial" w:eastAsia="Times New Roman" w:hAnsi="Arial" w:cs="David" w:hint="cs"/>
          <w:sz w:val="24"/>
          <w:szCs w:val="24"/>
          <w:rtl/>
        </w:rPr>
        <w:t>על החתום,</w:t>
      </w:r>
    </w:p>
    <w:p w:rsidR="008E242A" w:rsidRPr="00761A10" w:rsidRDefault="008E242A" w:rsidP="002C4869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b/>
          <w:bCs/>
          <w:sz w:val="24"/>
          <w:szCs w:val="24"/>
          <w:rtl/>
        </w:rPr>
      </w:pPr>
      <w:r w:rsidRPr="00761A10">
        <w:rPr>
          <w:rFonts w:ascii="Arial" w:eastAsia="Times New Roman" w:hAnsi="Arial" w:cs="David" w:hint="cs"/>
          <w:b/>
          <w:bCs/>
          <w:sz w:val="24"/>
          <w:szCs w:val="24"/>
          <w:rtl/>
        </w:rPr>
        <w:t>המועצה הציבורית להגנת הפרטיות</w:t>
      </w:r>
    </w:p>
    <w:p w:rsidR="008E242A" w:rsidRDefault="008E242A" w:rsidP="002C4869">
      <w:pPr>
        <w:spacing w:before="100" w:beforeAutospacing="1" w:after="100" w:afterAutospacing="1" w:line="240" w:lineRule="auto"/>
        <w:jc w:val="both"/>
        <w:rPr>
          <w:rFonts w:ascii="Arial" w:eastAsia="Times New Roman" w:hAnsi="Arial" w:cs="David"/>
          <w:sz w:val="24"/>
          <w:szCs w:val="24"/>
          <w:rtl/>
        </w:rPr>
      </w:pPr>
      <w:r>
        <w:rPr>
          <w:rFonts w:ascii="Arial" w:eastAsia="Times New Roman" w:hAnsi="Arial" w:cs="David" w:hint="cs"/>
          <w:sz w:val="24"/>
          <w:szCs w:val="24"/>
          <w:rtl/>
        </w:rPr>
        <w:t xml:space="preserve">עו"ד אורית </w:t>
      </w:r>
      <w:proofErr w:type="spellStart"/>
      <w:r>
        <w:rPr>
          <w:rFonts w:ascii="Arial" w:eastAsia="Times New Roman" w:hAnsi="Arial" w:cs="David" w:hint="cs"/>
          <w:sz w:val="24"/>
          <w:szCs w:val="24"/>
          <w:rtl/>
        </w:rPr>
        <w:t>פודמסקי</w:t>
      </w:r>
      <w:proofErr w:type="spellEnd"/>
      <w:r>
        <w:rPr>
          <w:rFonts w:ascii="Arial" w:eastAsia="Times New Roman" w:hAnsi="Arial" w:cs="David" w:hint="cs"/>
          <w:sz w:val="24"/>
          <w:szCs w:val="24"/>
          <w:rtl/>
        </w:rPr>
        <w:t>, יו"ר</w:t>
      </w:r>
    </w:p>
    <w:p w:rsidR="00ED185C" w:rsidRPr="00ED185C" w:rsidRDefault="00ED185C" w:rsidP="00ED18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ד"ר ערן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</w:rPr>
        <w:t>טוך</w:t>
      </w:r>
      <w:proofErr w:type="spellEnd"/>
    </w:p>
    <w:p w:rsidR="008E242A" w:rsidRDefault="008E242A" w:rsidP="002C48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>עו"ד דן אור</w:t>
      </w:r>
      <w:r w:rsidR="00D5576D">
        <w:rPr>
          <w:rFonts w:ascii="Times New Roman" w:eastAsia="Times New Roman" w:hAnsi="Times New Roman" w:cs="David" w:hint="cs"/>
          <w:sz w:val="24"/>
          <w:szCs w:val="24"/>
          <w:rtl/>
        </w:rPr>
        <w:t>-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>חוף</w:t>
      </w:r>
    </w:p>
    <w:p w:rsidR="008E242A" w:rsidRDefault="008E242A" w:rsidP="002C48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>עו"ד אייל זנדברג</w:t>
      </w:r>
    </w:p>
    <w:p w:rsidR="008E242A" w:rsidRPr="00E40931" w:rsidRDefault="00ED185C" w:rsidP="002C48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ד"ר </w:t>
      </w:r>
      <w:r w:rsidR="008E242A">
        <w:rPr>
          <w:rFonts w:ascii="Times New Roman" w:eastAsia="Times New Roman" w:hAnsi="Times New Roman" w:cs="David" w:hint="cs"/>
          <w:sz w:val="24"/>
          <w:szCs w:val="24"/>
          <w:rtl/>
        </w:rPr>
        <w:t>טל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 סופר</w:t>
      </w:r>
    </w:p>
    <w:p w:rsidR="006D3A8A" w:rsidRPr="00E40931" w:rsidRDefault="00E40931" w:rsidP="006D3A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</w:rPr>
      </w:pPr>
      <w:r w:rsidRPr="00E40931">
        <w:rPr>
          <w:rFonts w:ascii="Arial" w:eastAsia="Times New Roman" w:hAnsi="Arial" w:cs="David"/>
          <w:sz w:val="24"/>
          <w:szCs w:val="24"/>
          <w:rtl/>
        </w:rPr>
        <w:t> </w:t>
      </w:r>
    </w:p>
    <w:p w:rsidR="002D5EE9" w:rsidRPr="0037318A" w:rsidRDefault="002D5EE9" w:rsidP="00470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b/>
          <w:bCs/>
          <w:sz w:val="24"/>
          <w:szCs w:val="24"/>
          <w:rtl/>
        </w:rPr>
      </w:pPr>
      <w:r w:rsidRPr="0037318A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 xml:space="preserve">העתקים: </w:t>
      </w:r>
    </w:p>
    <w:p w:rsidR="00E40931" w:rsidRDefault="002D5EE9" w:rsidP="00470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>שרת המשפטים, גב' איילת שקד</w:t>
      </w:r>
    </w:p>
    <w:p w:rsidR="002D5EE9" w:rsidRDefault="002D5EE9" w:rsidP="00470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sz w:val="24"/>
          <w:szCs w:val="24"/>
          <w:rtl/>
        </w:rPr>
        <w:t>מנכ"לית משרד המש</w:t>
      </w:r>
      <w:r w:rsidR="00B556D9">
        <w:rPr>
          <w:rFonts w:ascii="Times New Roman" w:eastAsia="Times New Roman" w:hAnsi="Times New Roman" w:cs="David" w:hint="cs"/>
          <w:sz w:val="24"/>
          <w:szCs w:val="24"/>
          <w:rtl/>
        </w:rPr>
        <w:t>פ</w:t>
      </w:r>
      <w:r>
        <w:rPr>
          <w:rFonts w:ascii="Times New Roman" w:eastAsia="Times New Roman" w:hAnsi="Times New Roman" w:cs="David" w:hint="cs"/>
          <w:sz w:val="24"/>
          <w:szCs w:val="24"/>
          <w:rtl/>
        </w:rPr>
        <w:t xml:space="preserve">טים, גב' אמי </w:t>
      </w:r>
      <w:proofErr w:type="spellStart"/>
      <w:r>
        <w:rPr>
          <w:rFonts w:ascii="Times New Roman" w:eastAsia="Times New Roman" w:hAnsi="Times New Roman" w:cs="David" w:hint="cs"/>
          <w:sz w:val="24"/>
          <w:szCs w:val="24"/>
          <w:rtl/>
        </w:rPr>
        <w:t>טלמור</w:t>
      </w:r>
      <w:proofErr w:type="spellEnd"/>
    </w:p>
    <w:p w:rsidR="002D5EE9" w:rsidRPr="00E40931" w:rsidRDefault="002D5EE9" w:rsidP="00470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>
        <w:rPr>
          <w:rFonts w:ascii="Times New Roman" w:eastAsia="Times New Roman" w:hAnsi="Times New Roman" w:cs="David"/>
          <w:sz w:val="24"/>
          <w:szCs w:val="24"/>
          <w:rtl/>
        </w:rPr>
        <w:tab/>
      </w:r>
    </w:p>
    <w:p w:rsidR="00E40931" w:rsidRPr="00E40931" w:rsidRDefault="00E40931" w:rsidP="00470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 w:rsidRPr="00E40931">
        <w:rPr>
          <w:rFonts w:ascii="Arial" w:eastAsia="Times New Roman" w:hAnsi="Arial" w:cs="David"/>
          <w:sz w:val="24"/>
          <w:szCs w:val="24"/>
          <w:rtl/>
        </w:rPr>
        <w:t> </w:t>
      </w:r>
    </w:p>
    <w:p w:rsidR="00E40931" w:rsidRPr="00E40931" w:rsidRDefault="00E40931" w:rsidP="00470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 w:rsidRPr="00E40931">
        <w:rPr>
          <w:rFonts w:ascii="Arial" w:eastAsia="Times New Roman" w:hAnsi="Arial" w:cs="David"/>
          <w:sz w:val="24"/>
          <w:szCs w:val="24"/>
          <w:rtl/>
        </w:rPr>
        <w:t> </w:t>
      </w:r>
    </w:p>
    <w:p w:rsidR="00E40931" w:rsidRPr="00E40931" w:rsidRDefault="00E40931" w:rsidP="00470F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David"/>
          <w:sz w:val="24"/>
          <w:szCs w:val="24"/>
          <w:rtl/>
        </w:rPr>
      </w:pPr>
      <w:r w:rsidRPr="00E40931">
        <w:rPr>
          <w:rFonts w:ascii="Arial" w:eastAsia="Times New Roman" w:hAnsi="Arial" w:cs="David"/>
          <w:sz w:val="24"/>
          <w:szCs w:val="24"/>
          <w:rtl/>
        </w:rPr>
        <w:t> </w:t>
      </w:r>
    </w:p>
    <w:p w:rsidR="00853E87" w:rsidRPr="00470F98" w:rsidRDefault="00853E87" w:rsidP="00470F98">
      <w:pPr>
        <w:jc w:val="both"/>
        <w:rPr>
          <w:rFonts w:cs="David"/>
          <w:sz w:val="24"/>
          <w:szCs w:val="24"/>
        </w:rPr>
      </w:pPr>
    </w:p>
    <w:sectPr w:rsidR="00853E87" w:rsidRPr="00470F98" w:rsidSect="00853E8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398" w:rsidRDefault="008C0398" w:rsidP="000043C2">
      <w:pPr>
        <w:spacing w:after="0" w:line="240" w:lineRule="auto"/>
      </w:pPr>
      <w:r>
        <w:separator/>
      </w:r>
    </w:p>
  </w:endnote>
  <w:endnote w:type="continuationSeparator" w:id="0">
    <w:p w:rsidR="008C0398" w:rsidRDefault="008C0398" w:rsidP="0000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398" w:rsidRDefault="008C0398" w:rsidP="000043C2">
      <w:pPr>
        <w:spacing w:after="0" w:line="240" w:lineRule="auto"/>
      </w:pPr>
      <w:r>
        <w:separator/>
      </w:r>
    </w:p>
  </w:footnote>
  <w:footnote w:type="continuationSeparator" w:id="0">
    <w:p w:rsidR="008C0398" w:rsidRDefault="008C0398" w:rsidP="000043C2">
      <w:pPr>
        <w:spacing w:after="0" w:line="240" w:lineRule="auto"/>
      </w:pPr>
      <w:r>
        <w:continuationSeparator/>
      </w:r>
    </w:p>
  </w:footnote>
  <w:footnote w:id="1">
    <w:p w:rsidR="000043C2" w:rsidRDefault="000043C2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="007F37B3">
        <w:rPr>
          <w:rFonts w:hint="cs"/>
          <w:rtl/>
        </w:rPr>
        <w:t xml:space="preserve">וראו את הדרך שבה האיחוד האירופי, מאמץ, מעודד ומחייב שימוש בכלי </w:t>
      </w:r>
      <w:proofErr w:type="spellStart"/>
      <w:r w:rsidR="007F37B3">
        <w:rPr>
          <w:rFonts w:hint="cs"/>
          <w:rtl/>
        </w:rPr>
        <w:t>אנונימיזציה</w:t>
      </w:r>
      <w:proofErr w:type="spellEnd"/>
      <w:r w:rsidR="007F37B3">
        <w:rPr>
          <w:rFonts w:hint="cs"/>
          <w:rtl/>
        </w:rPr>
        <w:t xml:space="preserve"> ב: </w:t>
      </w:r>
      <w:r w:rsidR="007F37B3">
        <w:t>Article 29 Working Party: Opinion 05/2014 on Anonymization Techniques</w:t>
      </w:r>
      <w:r w:rsidR="007F37B3">
        <w:rPr>
          <w:rFonts w:hint="cs"/>
          <w:rtl/>
        </w:rPr>
        <w:t xml:space="preserve">. חוות הדעת זמינה לצפייה בכתובת: </w:t>
      </w:r>
      <w:hyperlink r:id="rId1" w:history="1">
        <w:r w:rsidR="007F37B3" w:rsidRPr="005E15B2">
          <w:rPr>
            <w:rStyle w:val="Hyperlink"/>
          </w:rPr>
          <w:t>http://www.cnpd.public.lu/fr/publications/groupe-art29/wp216_en.pdf</w:t>
        </w:r>
      </w:hyperlink>
      <w:r w:rsidR="007F37B3">
        <w:rPr>
          <w:rFonts w:hint="cs"/>
          <w:rtl/>
        </w:rPr>
        <w:t xml:space="preserve"> ; </w:t>
      </w:r>
    </w:p>
  </w:footnote>
  <w:footnote w:id="2">
    <w:p w:rsidR="00A41ED0" w:rsidRDefault="00A41ED0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ראו לדוגמה: </w:t>
      </w:r>
    </w:p>
    <w:p w:rsidR="00A41ED0" w:rsidRDefault="008C0398" w:rsidP="0037318A">
      <w:pPr>
        <w:pStyle w:val="a4"/>
        <w:numPr>
          <w:ilvl w:val="0"/>
          <w:numId w:val="7"/>
        </w:numPr>
        <w:rPr>
          <w:rtl/>
        </w:rPr>
      </w:pPr>
      <w:hyperlink r:id="rId2" w:history="1">
        <w:r w:rsidR="00A41ED0" w:rsidRPr="005E15B2">
          <w:rPr>
            <w:rStyle w:val="Hyperlink"/>
          </w:rPr>
          <w:t>https://secure.edps.europa.eu/EDPSWEB/webdav/site/mySite/shared/Documents/Cooperation/Conference_int/10-10-27_Jerusalem_Resolutionon_PrivacybyDesign_EN.pdf</w:t>
        </w:r>
      </w:hyperlink>
      <w:r w:rsidR="00A41ED0">
        <w:rPr>
          <w:rFonts w:hint="cs"/>
          <w:rtl/>
        </w:rPr>
        <w:t xml:space="preserve"> </w:t>
      </w:r>
    </w:p>
    <w:p w:rsidR="00A41ED0" w:rsidRDefault="008C0398" w:rsidP="0037318A">
      <w:pPr>
        <w:pStyle w:val="a4"/>
        <w:numPr>
          <w:ilvl w:val="0"/>
          <w:numId w:val="7"/>
        </w:numPr>
        <w:rPr>
          <w:rtl/>
        </w:rPr>
      </w:pPr>
      <w:hyperlink r:id="rId3" w:history="1">
        <w:r w:rsidR="00A41ED0" w:rsidRPr="005E15B2">
          <w:rPr>
            <w:rStyle w:val="Hyperlink"/>
          </w:rPr>
          <w:t>http://www.justice.gov.il/Units/ilita/Pirsumim/docsforcomments/Pages/kolkorePET.aspx</w:t>
        </w:r>
      </w:hyperlink>
      <w:r w:rsidR="00A41ED0">
        <w:rPr>
          <w:rFonts w:hint="cs"/>
          <w:rtl/>
        </w:rPr>
        <w:t xml:space="preserve"> </w:t>
      </w:r>
    </w:p>
    <w:p w:rsidR="00A41ED0" w:rsidRDefault="008C0398" w:rsidP="0037318A">
      <w:pPr>
        <w:pStyle w:val="a4"/>
        <w:numPr>
          <w:ilvl w:val="0"/>
          <w:numId w:val="7"/>
        </w:numPr>
        <w:rPr>
          <w:rtl/>
        </w:rPr>
      </w:pPr>
      <w:hyperlink r:id="rId4" w:history="1">
        <w:r w:rsidR="00A41ED0" w:rsidRPr="005E15B2">
          <w:rPr>
            <w:rStyle w:val="Hyperlink"/>
          </w:rPr>
          <w:t>http://www.justice.gov.il/Units/ilita/subjects/HaganatHapratiyut/MeidaMerasham/Hanchayot/42013.pdf</w:t>
        </w:r>
      </w:hyperlink>
      <w:r w:rsidR="00A41ED0">
        <w:rPr>
          <w:rFonts w:hint="cs"/>
          <w:rtl/>
        </w:rPr>
        <w:t xml:space="preserve"> (סעיף 3.1.2).</w:t>
      </w:r>
    </w:p>
    <w:p w:rsidR="00A41ED0" w:rsidRPr="00A41ED0" w:rsidRDefault="008C0398" w:rsidP="0037318A">
      <w:pPr>
        <w:pStyle w:val="a4"/>
        <w:numPr>
          <w:ilvl w:val="0"/>
          <w:numId w:val="7"/>
        </w:numPr>
        <w:rPr>
          <w:rtl/>
        </w:rPr>
      </w:pPr>
      <w:hyperlink r:id="rId5" w:history="1">
        <w:r w:rsidR="00A41ED0" w:rsidRPr="005E15B2">
          <w:rPr>
            <w:rStyle w:val="Hyperlink"/>
          </w:rPr>
          <w:t>http://ec.europa.eu/justice/data-protection/reform/files/regulation_oj_en.pdf</w:t>
        </w:r>
      </w:hyperlink>
      <w:r w:rsidR="00A41ED0">
        <w:rPr>
          <w:rFonts w:hint="cs"/>
          <w:rtl/>
        </w:rPr>
        <w:t xml:space="preserve"> (</w:t>
      </w:r>
      <w:r w:rsidR="00A41ED0">
        <w:t>Article 25</w:t>
      </w:r>
      <w:r w:rsidR="00A41ED0">
        <w:rPr>
          <w:rFonts w:hint="cs"/>
          <w:rtl/>
        </w:rP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A64B3"/>
    <w:multiLevelType w:val="hybridMultilevel"/>
    <w:tmpl w:val="D996DA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044E2"/>
    <w:multiLevelType w:val="hybridMultilevel"/>
    <w:tmpl w:val="05D40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A0127"/>
    <w:multiLevelType w:val="multilevel"/>
    <w:tmpl w:val="A246C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EE1871"/>
    <w:multiLevelType w:val="hybridMultilevel"/>
    <w:tmpl w:val="CEAAF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9179E"/>
    <w:multiLevelType w:val="hybridMultilevel"/>
    <w:tmpl w:val="F188B9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62524"/>
    <w:multiLevelType w:val="hybridMultilevel"/>
    <w:tmpl w:val="B8F072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E7606"/>
    <w:multiLevelType w:val="hybridMultilevel"/>
    <w:tmpl w:val="36E68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931"/>
    <w:rsid w:val="000043C2"/>
    <w:rsid w:val="000C0063"/>
    <w:rsid w:val="000D0122"/>
    <w:rsid w:val="00140579"/>
    <w:rsid w:val="0017047E"/>
    <w:rsid w:val="00263D3E"/>
    <w:rsid w:val="002C4869"/>
    <w:rsid w:val="002D5EE9"/>
    <w:rsid w:val="00301D1C"/>
    <w:rsid w:val="0037318A"/>
    <w:rsid w:val="003766F6"/>
    <w:rsid w:val="003F3E80"/>
    <w:rsid w:val="0041088F"/>
    <w:rsid w:val="00432461"/>
    <w:rsid w:val="00470F98"/>
    <w:rsid w:val="00513E9E"/>
    <w:rsid w:val="005157EC"/>
    <w:rsid w:val="006765EA"/>
    <w:rsid w:val="006D3A8A"/>
    <w:rsid w:val="006D680B"/>
    <w:rsid w:val="006D7B3D"/>
    <w:rsid w:val="006E6FCC"/>
    <w:rsid w:val="00746E7D"/>
    <w:rsid w:val="00761A10"/>
    <w:rsid w:val="007962CA"/>
    <w:rsid w:val="007A336F"/>
    <w:rsid w:val="007F37B3"/>
    <w:rsid w:val="008253A1"/>
    <w:rsid w:val="00853E87"/>
    <w:rsid w:val="008C0398"/>
    <w:rsid w:val="008E242A"/>
    <w:rsid w:val="00965A1B"/>
    <w:rsid w:val="009A67F8"/>
    <w:rsid w:val="009D65BA"/>
    <w:rsid w:val="009E7C3B"/>
    <w:rsid w:val="00A14DE4"/>
    <w:rsid w:val="00A41ED0"/>
    <w:rsid w:val="00B060A1"/>
    <w:rsid w:val="00B556D9"/>
    <w:rsid w:val="00B71E1F"/>
    <w:rsid w:val="00BC3883"/>
    <w:rsid w:val="00C0509A"/>
    <w:rsid w:val="00CA36D8"/>
    <w:rsid w:val="00D27786"/>
    <w:rsid w:val="00D5576D"/>
    <w:rsid w:val="00D94B66"/>
    <w:rsid w:val="00D94B8A"/>
    <w:rsid w:val="00E13AF3"/>
    <w:rsid w:val="00E40931"/>
    <w:rsid w:val="00EA3AD5"/>
    <w:rsid w:val="00ED185C"/>
    <w:rsid w:val="00EF4B46"/>
    <w:rsid w:val="00F01995"/>
    <w:rsid w:val="00F643EF"/>
    <w:rsid w:val="00F9232B"/>
    <w:rsid w:val="00FB616E"/>
    <w:rsid w:val="00FD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CADF5C-DC6E-419C-B35F-65DE8B5A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-6481518699098545598gmail-s1">
    <w:name w:val="m_-6481518699098545598gmail-s1"/>
    <w:basedOn w:val="a0"/>
    <w:rsid w:val="00470F98"/>
  </w:style>
  <w:style w:type="character" w:customStyle="1" w:styleId="m-6481518699098545598gmail-s2">
    <w:name w:val="m_-6481518699098545598gmail-s2"/>
    <w:basedOn w:val="a0"/>
    <w:rsid w:val="00470F98"/>
  </w:style>
  <w:style w:type="paragraph" w:customStyle="1" w:styleId="m-6481518699098545598gmail-p4">
    <w:name w:val="m_-6481518699098545598gmail-p4"/>
    <w:basedOn w:val="a"/>
    <w:rsid w:val="00470F9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B616E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0043C2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0043C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043C2"/>
    <w:rPr>
      <w:vertAlign w:val="superscript"/>
    </w:rPr>
  </w:style>
  <w:style w:type="character" w:styleId="Hyperlink">
    <w:name w:val="Hyperlink"/>
    <w:basedOn w:val="a0"/>
    <w:uiPriority w:val="99"/>
    <w:unhideWhenUsed/>
    <w:rsid w:val="007F37B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D5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2D5E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stice.gov.il/Units/ilita/Pirsumim/docsforcomments/Pages/kolkorePET.aspx" TargetMode="External"/><Relationship Id="rId2" Type="http://schemas.openxmlformats.org/officeDocument/2006/relationships/hyperlink" Target="https://secure.edps.europa.eu/EDPSWEB/webdav/site/mySite/shared/Documents/Cooperation/Conference_int/10-10-27_Jerusalem_Resolutionon_PrivacybyDesign_EN.pdf" TargetMode="External"/><Relationship Id="rId1" Type="http://schemas.openxmlformats.org/officeDocument/2006/relationships/hyperlink" Target="http://www.cnpd.public.lu/fr/publications/groupe-art29/wp216_en.pdf" TargetMode="External"/><Relationship Id="rId5" Type="http://schemas.openxmlformats.org/officeDocument/2006/relationships/hyperlink" Target="http://ec.europa.eu/justice/data-protection/reform/files/regulation_oj_en.pdf" TargetMode="External"/><Relationship Id="rId4" Type="http://schemas.openxmlformats.org/officeDocument/2006/relationships/hyperlink" Target="http://www.justice.gov.il/Units/ilita/subjects/HaganatHapratiyut/MeidaMerasham/Hanchayot/4201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60C939-9DFA-4BDC-BDCF-57012D37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BF6A2F-9DCE-4141-AA9D-019FF3BD9198}"/>
</file>

<file path=customXml/itemProps3.xml><?xml version="1.0" encoding="utf-8"?>
<ds:datastoreItem xmlns:ds="http://schemas.openxmlformats.org/officeDocument/2006/customXml" ds:itemID="{0B31C8F3-7CED-41A9-9A3E-2906763AD0C1}"/>
</file>

<file path=customXml/itemProps4.xml><?xml version="1.0" encoding="utf-8"?>
<ds:datastoreItem xmlns:ds="http://schemas.openxmlformats.org/officeDocument/2006/customXml" ds:itemID="{0D159AC5-6C44-4C72-8B41-A1144235D4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1056</Words>
  <Characters>5283</Characters>
  <Application>Microsoft Office Word</Application>
  <DocSecurity>0</DocSecurity>
  <Lines>44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orit</dc:creator>
  <cp:keywords/>
  <dc:description/>
  <cp:lastModifiedBy>נירה לאמעי</cp:lastModifiedBy>
  <cp:revision>2</cp:revision>
  <dcterms:created xsi:type="dcterms:W3CDTF">2017-01-23T08:12:00Z</dcterms:created>
  <dcterms:modified xsi:type="dcterms:W3CDTF">2017-01-23T08:12:00Z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2012675</vt:r8>
  </property>
</Properties>
</file>