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15D5B2" w14:textId="77777777" w:rsidR="00E76FD0" w:rsidRPr="0000131B" w:rsidRDefault="00E76FD0" w:rsidP="00E76FD0">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569008</w:t>
      </w:r>
      <w:bookmarkEnd w:id="0"/>
    </w:p>
    <w:p w14:paraId="27B3F5E4" w14:textId="77777777" w:rsidR="00E76FD0" w:rsidRPr="00DB7060" w:rsidRDefault="00E76FD0" w:rsidP="00E76FD0">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3DECF8C8" w14:textId="77777777" w:rsidR="00E76FD0" w:rsidRPr="00F67051" w:rsidRDefault="00E76FD0" w:rsidP="00E76FD0">
      <w:pPr>
        <w:rPr>
          <w:rFonts w:cs="David"/>
          <w:b/>
          <w:bCs/>
          <w:sz w:val="26"/>
          <w:szCs w:val="26"/>
          <w:rtl/>
        </w:rPr>
      </w:pPr>
    </w:p>
    <w:p w14:paraId="6C6319F0" w14:textId="284DF7F5" w:rsidR="00E76FD0" w:rsidRPr="00CF1AA2" w:rsidRDefault="00E76FD0" w:rsidP="000574A5">
      <w:pPr>
        <w:pStyle w:val="David"/>
        <w:spacing w:line="360" w:lineRule="auto"/>
        <w:ind w:left="1440" w:firstLine="720"/>
        <w:rPr>
          <w:b/>
          <w:bCs/>
          <w:sz w:val="16"/>
          <w:szCs w:val="16"/>
          <w:rtl/>
        </w:rPr>
      </w:pPr>
      <w:bookmarkStart w:id="2" w:name="LGS_Initiators_List"/>
      <w:r>
        <w:rPr>
          <w:b/>
          <w:bCs/>
          <w:rtl/>
        </w:rPr>
        <w:t>יוזמים:      חברי הכנסת</w:t>
      </w:r>
      <w:bookmarkEnd w:id="2"/>
      <w:r w:rsidRPr="00F67051">
        <w:rPr>
          <w:b/>
          <w:bCs/>
        </w:rPr>
        <w:tab/>
      </w:r>
      <w:bookmarkStart w:id="3" w:name="LGS_PM_Names"/>
      <w:r>
        <w:rPr>
          <w:rFonts w:hint="cs"/>
          <w:b/>
          <w:bCs/>
          <w:rtl/>
        </w:rPr>
        <w:t>יואב קיש</w:t>
      </w:r>
      <w:r w:rsidR="000574A5" w:rsidRPr="000574A5">
        <w:rPr>
          <w:rFonts w:hint="cs"/>
          <w:b/>
          <w:bCs/>
          <w:rtl/>
        </w:rPr>
        <w:t xml:space="preserve"> </w:t>
      </w:r>
      <w:r w:rsidR="000574A5">
        <w:rPr>
          <w:b/>
          <w:bCs/>
          <w:rtl/>
        </w:rPr>
        <w:tab/>
      </w:r>
      <w:r w:rsidR="000574A5">
        <w:rPr>
          <w:b/>
          <w:bCs/>
          <w:rtl/>
        </w:rPr>
        <w:tab/>
      </w:r>
      <w:r w:rsidR="000574A5">
        <w:rPr>
          <w:rFonts w:hint="cs"/>
          <w:b/>
          <w:bCs/>
          <w:rtl/>
        </w:rPr>
        <w:t>רוברט אילטוב</w:t>
      </w:r>
      <w:r>
        <w:br/>
      </w:r>
      <w:r>
        <w:rPr>
          <w:rFonts w:hint="cs"/>
          <w:b/>
          <w:bCs/>
          <w:rtl/>
        </w:rPr>
        <w:t xml:space="preserve"> </w:t>
      </w:r>
      <w:r>
        <w:tab/>
      </w:r>
      <w:r>
        <w:tab/>
      </w:r>
      <w:r>
        <w:tab/>
      </w:r>
      <w:r>
        <w:tab/>
      </w:r>
      <w:r w:rsidR="000574A5">
        <w:tab/>
      </w:r>
      <w:r>
        <w:rPr>
          <w:rFonts w:hint="cs"/>
          <w:b/>
          <w:bCs/>
          <w:rtl/>
        </w:rPr>
        <w:t>מכלוף מיקי זוהר</w:t>
      </w:r>
      <w:r w:rsidR="000574A5" w:rsidRPr="000574A5">
        <w:rPr>
          <w:rFonts w:hint="cs"/>
          <w:b/>
          <w:bCs/>
          <w:rtl/>
        </w:rPr>
        <w:t xml:space="preserve"> </w:t>
      </w:r>
      <w:r w:rsidR="000574A5">
        <w:rPr>
          <w:b/>
          <w:bCs/>
          <w:rtl/>
        </w:rPr>
        <w:tab/>
      </w:r>
      <w:r w:rsidR="000574A5">
        <w:rPr>
          <w:rFonts w:hint="cs"/>
          <w:b/>
          <w:bCs/>
          <w:rtl/>
        </w:rPr>
        <w:t>סופה לנדבר</w:t>
      </w:r>
      <w:r>
        <w:br/>
      </w:r>
      <w:r>
        <w:rPr>
          <w:rFonts w:hint="cs"/>
          <w:b/>
          <w:bCs/>
          <w:rtl/>
        </w:rPr>
        <w:t xml:space="preserve"> </w:t>
      </w:r>
      <w:r>
        <w:tab/>
      </w:r>
      <w:r>
        <w:tab/>
      </w:r>
      <w:r>
        <w:tab/>
      </w:r>
      <w:r>
        <w:tab/>
      </w:r>
      <w:r w:rsidR="000574A5">
        <w:rPr>
          <w:b/>
          <w:bCs/>
          <w:rtl/>
        </w:rPr>
        <w:tab/>
      </w:r>
      <w:r>
        <w:rPr>
          <w:rFonts w:hint="cs"/>
          <w:b/>
          <w:bCs/>
          <w:rtl/>
        </w:rPr>
        <w:t>נאוה בוקר</w:t>
      </w:r>
      <w:r w:rsidR="000574A5" w:rsidRPr="000574A5">
        <w:rPr>
          <w:rFonts w:hint="cs"/>
          <w:b/>
          <w:bCs/>
          <w:rtl/>
        </w:rPr>
        <w:t xml:space="preserve"> </w:t>
      </w:r>
      <w:r w:rsidR="000574A5">
        <w:rPr>
          <w:b/>
          <w:bCs/>
          <w:rtl/>
        </w:rPr>
        <w:tab/>
      </w:r>
      <w:r w:rsidR="000574A5">
        <w:rPr>
          <w:b/>
          <w:bCs/>
          <w:rtl/>
        </w:rPr>
        <w:tab/>
      </w:r>
      <w:r w:rsidR="000574A5">
        <w:rPr>
          <w:rFonts w:hint="cs"/>
          <w:b/>
          <w:bCs/>
          <w:rtl/>
        </w:rPr>
        <w:t>מירב בן ארי</w:t>
      </w:r>
      <w:r>
        <w:br/>
      </w:r>
      <w:r>
        <w:rPr>
          <w:rFonts w:hint="cs"/>
          <w:b/>
          <w:bCs/>
          <w:rtl/>
        </w:rPr>
        <w:t xml:space="preserve"> </w:t>
      </w:r>
      <w:r>
        <w:tab/>
      </w:r>
      <w:r>
        <w:tab/>
      </w:r>
      <w:r>
        <w:tab/>
      </w:r>
      <w:r>
        <w:tab/>
      </w:r>
      <w:r w:rsidR="000574A5">
        <w:tab/>
      </w:r>
      <w:r>
        <w:rPr>
          <w:rFonts w:hint="cs"/>
          <w:b/>
          <w:bCs/>
          <w:rtl/>
        </w:rPr>
        <w:t>דוד ביטן</w:t>
      </w:r>
      <w:r w:rsidR="000574A5" w:rsidRPr="000574A5">
        <w:rPr>
          <w:rFonts w:hint="cs"/>
          <w:b/>
          <w:bCs/>
          <w:rtl/>
        </w:rPr>
        <w:t xml:space="preserve"> </w:t>
      </w:r>
      <w:r w:rsidR="000574A5">
        <w:rPr>
          <w:b/>
          <w:bCs/>
          <w:rtl/>
        </w:rPr>
        <w:tab/>
      </w:r>
      <w:r w:rsidR="000574A5">
        <w:rPr>
          <w:b/>
          <w:bCs/>
          <w:rtl/>
        </w:rPr>
        <w:tab/>
      </w:r>
      <w:r w:rsidR="000574A5">
        <w:rPr>
          <w:rFonts w:hint="cs"/>
          <w:b/>
          <w:bCs/>
          <w:rtl/>
        </w:rPr>
        <w:t>אורי מקלב</w:t>
      </w:r>
      <w:r>
        <w:br/>
      </w:r>
      <w:r>
        <w:rPr>
          <w:rFonts w:hint="cs"/>
          <w:b/>
          <w:bCs/>
          <w:rtl/>
        </w:rPr>
        <w:t xml:space="preserve"> </w:t>
      </w:r>
      <w:r>
        <w:tab/>
      </w:r>
      <w:r>
        <w:tab/>
      </w:r>
      <w:r>
        <w:tab/>
      </w:r>
      <w:r>
        <w:tab/>
      </w:r>
      <w:r w:rsidR="000574A5">
        <w:rPr>
          <w:b/>
          <w:bCs/>
          <w:rtl/>
        </w:rPr>
        <w:tab/>
      </w:r>
      <w:r>
        <w:rPr>
          <w:rFonts w:hint="cs"/>
          <w:b/>
          <w:bCs/>
          <w:rtl/>
        </w:rPr>
        <w:t>אלי אלאלוף</w:t>
      </w:r>
      <w:r w:rsidR="000574A5" w:rsidRPr="000574A5">
        <w:rPr>
          <w:rFonts w:hint="cs"/>
          <w:b/>
          <w:bCs/>
          <w:rtl/>
        </w:rPr>
        <w:t xml:space="preserve"> </w:t>
      </w:r>
      <w:r w:rsidR="000574A5">
        <w:rPr>
          <w:b/>
          <w:bCs/>
          <w:rtl/>
        </w:rPr>
        <w:tab/>
      </w:r>
      <w:r w:rsidR="000574A5">
        <w:rPr>
          <w:b/>
          <w:bCs/>
          <w:rtl/>
        </w:rPr>
        <w:tab/>
      </w:r>
      <w:r w:rsidR="000574A5">
        <w:rPr>
          <w:rFonts w:hint="cs"/>
          <w:b/>
          <w:bCs/>
          <w:rtl/>
        </w:rPr>
        <w:t>יעקב מרגי</w:t>
      </w:r>
      <w:r>
        <w:br/>
      </w:r>
      <w:r>
        <w:rPr>
          <w:rFonts w:hint="cs"/>
          <w:b/>
          <w:bCs/>
          <w:rtl/>
        </w:rPr>
        <w:t xml:space="preserve"> </w:t>
      </w:r>
      <w:r>
        <w:tab/>
      </w:r>
      <w:r>
        <w:tab/>
      </w:r>
      <w:r>
        <w:tab/>
      </w:r>
      <w:r>
        <w:tab/>
      </w:r>
      <w:r w:rsidR="000574A5">
        <w:tab/>
      </w:r>
      <w:r>
        <w:rPr>
          <w:rFonts w:hint="cs"/>
          <w:b/>
          <w:bCs/>
          <w:rtl/>
        </w:rPr>
        <w:t>רחל עזריה</w:t>
      </w:r>
      <w:r w:rsidR="000574A5" w:rsidRPr="000574A5">
        <w:rPr>
          <w:rFonts w:hint="cs"/>
          <w:b/>
          <w:bCs/>
          <w:rtl/>
        </w:rPr>
        <w:t xml:space="preserve"> </w:t>
      </w:r>
      <w:r w:rsidR="000574A5">
        <w:rPr>
          <w:b/>
          <w:bCs/>
          <w:rtl/>
        </w:rPr>
        <w:tab/>
      </w:r>
      <w:r w:rsidR="000574A5">
        <w:rPr>
          <w:b/>
          <w:bCs/>
          <w:rtl/>
        </w:rPr>
        <w:tab/>
      </w:r>
      <w:r w:rsidR="000574A5">
        <w:rPr>
          <w:rFonts w:hint="cs"/>
          <w:b/>
          <w:bCs/>
          <w:rtl/>
        </w:rPr>
        <w:t>רויטל סויד</w:t>
      </w:r>
      <w:r>
        <w:br/>
      </w:r>
      <w:r>
        <w:rPr>
          <w:rFonts w:hint="cs"/>
          <w:b/>
          <w:bCs/>
          <w:rtl/>
        </w:rPr>
        <w:t xml:space="preserve"> </w:t>
      </w:r>
      <w:r>
        <w:tab/>
      </w:r>
      <w:r>
        <w:tab/>
      </w:r>
      <w:r>
        <w:tab/>
      </w:r>
      <w:r>
        <w:tab/>
      </w:r>
      <w:r w:rsidR="000574A5">
        <w:tab/>
      </w:r>
      <w:r>
        <w:rPr>
          <w:rFonts w:hint="cs"/>
          <w:b/>
          <w:bCs/>
          <w:rtl/>
        </w:rPr>
        <w:t>מיכל רוזין</w:t>
      </w:r>
      <w:r w:rsidR="000574A5" w:rsidRPr="000574A5">
        <w:rPr>
          <w:rFonts w:hint="cs"/>
          <w:b/>
          <w:bCs/>
          <w:rtl/>
        </w:rPr>
        <w:t xml:space="preserve"> </w:t>
      </w:r>
      <w:r w:rsidR="000574A5">
        <w:rPr>
          <w:b/>
          <w:bCs/>
          <w:rtl/>
        </w:rPr>
        <w:tab/>
      </w:r>
      <w:r w:rsidR="000574A5">
        <w:rPr>
          <w:b/>
          <w:bCs/>
          <w:rtl/>
        </w:rPr>
        <w:tab/>
      </w:r>
      <w:r w:rsidR="000574A5">
        <w:rPr>
          <w:rFonts w:hint="cs"/>
          <w:b/>
          <w:bCs/>
          <w:rtl/>
        </w:rPr>
        <w:t>דניאל עטר</w:t>
      </w:r>
      <w:r>
        <w:br/>
      </w:r>
      <w:r>
        <w:rPr>
          <w:rFonts w:hint="cs"/>
          <w:b/>
          <w:bCs/>
          <w:rtl/>
        </w:rPr>
        <w:t xml:space="preserve"> </w:t>
      </w:r>
      <w:r>
        <w:tab/>
      </w:r>
      <w:r>
        <w:tab/>
      </w:r>
      <w:r>
        <w:tab/>
      </w:r>
      <w:r>
        <w:tab/>
      </w:r>
      <w:r w:rsidR="000574A5">
        <w:rPr>
          <w:b/>
          <w:bCs/>
          <w:rtl/>
        </w:rPr>
        <w:tab/>
      </w:r>
      <w:r>
        <w:rPr>
          <w:rFonts w:hint="cs"/>
          <w:b/>
          <w:bCs/>
          <w:rtl/>
        </w:rPr>
        <w:t>ניסן סלומינסקי</w:t>
      </w:r>
      <w:r w:rsidR="000574A5" w:rsidRPr="000574A5">
        <w:rPr>
          <w:rFonts w:hint="cs"/>
          <w:b/>
          <w:bCs/>
          <w:rtl/>
        </w:rPr>
        <w:t xml:space="preserve"> </w:t>
      </w:r>
      <w:r w:rsidR="000574A5">
        <w:rPr>
          <w:b/>
          <w:bCs/>
          <w:rtl/>
        </w:rPr>
        <w:tab/>
      </w:r>
      <w:r w:rsidR="000574A5">
        <w:rPr>
          <w:rFonts w:hint="cs"/>
          <w:b/>
          <w:bCs/>
          <w:rtl/>
        </w:rPr>
        <w:t>מרב מיכאלי</w:t>
      </w:r>
      <w:r>
        <w:br/>
      </w:r>
      <w:r>
        <w:rPr>
          <w:rFonts w:hint="cs"/>
          <w:b/>
          <w:bCs/>
          <w:rtl/>
        </w:rPr>
        <w:t xml:space="preserve"> </w:t>
      </w:r>
      <w:r>
        <w:tab/>
      </w:r>
      <w:r>
        <w:tab/>
      </w:r>
      <w:r>
        <w:tab/>
      </w:r>
      <w:r>
        <w:tab/>
      </w:r>
      <w:r w:rsidR="000574A5">
        <w:rPr>
          <w:b/>
          <w:bCs/>
          <w:rtl/>
        </w:rPr>
        <w:tab/>
      </w:r>
      <w:r>
        <w:rPr>
          <w:rFonts w:hint="cs"/>
          <w:b/>
          <w:bCs/>
          <w:rtl/>
        </w:rPr>
        <w:t>חמד עמאר</w:t>
      </w:r>
      <w:r w:rsidR="000574A5" w:rsidRPr="000574A5">
        <w:rPr>
          <w:rFonts w:hint="cs"/>
          <w:b/>
          <w:bCs/>
          <w:rtl/>
        </w:rPr>
        <w:t xml:space="preserve"> </w:t>
      </w:r>
      <w:r w:rsidR="000574A5">
        <w:rPr>
          <w:b/>
          <w:bCs/>
          <w:rtl/>
        </w:rPr>
        <w:tab/>
      </w:r>
      <w:r w:rsidR="000574A5">
        <w:rPr>
          <w:b/>
          <w:bCs/>
          <w:rtl/>
        </w:rPr>
        <w:tab/>
      </w:r>
      <w:r w:rsidR="000574A5">
        <w:rPr>
          <w:rFonts w:hint="cs"/>
          <w:b/>
          <w:bCs/>
          <w:rtl/>
        </w:rPr>
        <w:t>מיקי רוזנטל</w:t>
      </w:r>
      <w:r>
        <w:br/>
      </w:r>
      <w:r>
        <w:rPr>
          <w:rFonts w:hint="cs"/>
          <w:b/>
          <w:bCs/>
          <w:rtl/>
        </w:rPr>
        <w:t xml:space="preserve"> </w:t>
      </w:r>
      <w:r>
        <w:tab/>
      </w:r>
      <w:r>
        <w:tab/>
      </w:r>
      <w:r>
        <w:tab/>
      </w:r>
      <w:r>
        <w:tab/>
      </w:r>
      <w:r w:rsidR="000574A5">
        <w:tab/>
      </w:r>
      <w:r>
        <w:rPr>
          <w:rFonts w:hint="cs"/>
          <w:b/>
          <w:bCs/>
          <w:rtl/>
        </w:rPr>
        <w:t>אורלי לוי אבקסיס</w:t>
      </w:r>
      <w:r w:rsidR="000574A5" w:rsidRPr="000574A5">
        <w:rPr>
          <w:rFonts w:hint="cs"/>
          <w:b/>
          <w:bCs/>
          <w:rtl/>
        </w:rPr>
        <w:t xml:space="preserve"> </w:t>
      </w:r>
      <w:r w:rsidR="000574A5">
        <w:rPr>
          <w:b/>
          <w:bCs/>
          <w:rtl/>
        </w:rPr>
        <w:tab/>
      </w:r>
      <w:r w:rsidR="000574A5">
        <w:rPr>
          <w:rFonts w:hint="cs"/>
          <w:b/>
          <w:bCs/>
          <w:rtl/>
        </w:rPr>
        <w:t>רועי פולקמן</w:t>
      </w:r>
      <w:r>
        <w:br/>
      </w:r>
      <w:r>
        <w:rPr>
          <w:rFonts w:hint="cs"/>
          <w:b/>
          <w:bCs/>
          <w:rtl/>
        </w:rPr>
        <w:t xml:space="preserve"> </w:t>
      </w:r>
      <w:r>
        <w:tab/>
      </w:r>
      <w:r>
        <w:tab/>
      </w:r>
      <w:r>
        <w:tab/>
      </w:r>
      <w:r>
        <w:tab/>
      </w:r>
      <w:r w:rsidR="000574A5">
        <w:tab/>
      </w:r>
      <w:r>
        <w:rPr>
          <w:rFonts w:hint="cs"/>
          <w:b/>
          <w:bCs/>
          <w:rtl/>
        </w:rPr>
        <w:t>קארין אלהרר</w:t>
      </w:r>
      <w:r w:rsidR="000574A5" w:rsidRPr="000574A5">
        <w:rPr>
          <w:rFonts w:hint="cs"/>
          <w:b/>
          <w:bCs/>
          <w:rtl/>
        </w:rPr>
        <w:t xml:space="preserve"> </w:t>
      </w:r>
      <w:r w:rsidR="000574A5">
        <w:rPr>
          <w:b/>
          <w:bCs/>
          <w:rtl/>
        </w:rPr>
        <w:tab/>
      </w:r>
      <w:r w:rsidR="000574A5">
        <w:rPr>
          <w:b/>
          <w:bCs/>
          <w:rtl/>
        </w:rPr>
        <w:tab/>
      </w:r>
      <w:r w:rsidR="000574A5">
        <w:rPr>
          <w:rFonts w:hint="cs"/>
          <w:b/>
          <w:bCs/>
          <w:rtl/>
        </w:rPr>
        <w:t>אברהם נגוסה</w:t>
      </w:r>
      <w:r>
        <w:br/>
      </w:r>
      <w:r>
        <w:rPr>
          <w:rFonts w:hint="cs"/>
          <w:b/>
          <w:bCs/>
          <w:rtl/>
        </w:rPr>
        <w:t xml:space="preserve"> </w:t>
      </w:r>
      <w:r>
        <w:tab/>
      </w:r>
      <w:r>
        <w:tab/>
      </w:r>
      <w:r>
        <w:tab/>
      </w:r>
      <w:r>
        <w:tab/>
      </w:r>
      <w:r w:rsidR="000574A5">
        <w:rPr>
          <w:b/>
          <w:bCs/>
          <w:rtl/>
        </w:rPr>
        <w:tab/>
      </w:r>
      <w:r>
        <w:rPr>
          <w:rFonts w:hint="cs"/>
          <w:b/>
          <w:bCs/>
          <w:rtl/>
        </w:rPr>
        <w:t>עיסאווי פריג'</w:t>
      </w:r>
      <w:r w:rsidR="000574A5" w:rsidRPr="000574A5">
        <w:rPr>
          <w:rFonts w:hint="cs"/>
          <w:b/>
          <w:bCs/>
          <w:rtl/>
        </w:rPr>
        <w:t xml:space="preserve"> </w:t>
      </w:r>
      <w:r w:rsidR="000574A5">
        <w:rPr>
          <w:b/>
          <w:bCs/>
          <w:rtl/>
        </w:rPr>
        <w:tab/>
      </w:r>
      <w:r w:rsidR="000574A5">
        <w:rPr>
          <w:b/>
          <w:bCs/>
          <w:rtl/>
        </w:rPr>
        <w:tab/>
      </w:r>
      <w:r w:rsidR="000574A5">
        <w:rPr>
          <w:rFonts w:hint="cs"/>
          <w:b/>
          <w:bCs/>
          <w:rtl/>
        </w:rPr>
        <w:t>מרדכי יוגב</w:t>
      </w:r>
      <w:r>
        <w:br/>
      </w:r>
      <w:r>
        <w:rPr>
          <w:rFonts w:hint="cs"/>
          <w:b/>
          <w:bCs/>
          <w:rtl/>
        </w:rPr>
        <w:t xml:space="preserve"> </w:t>
      </w:r>
      <w:r>
        <w:tab/>
      </w:r>
      <w:r>
        <w:tab/>
      </w:r>
      <w:r>
        <w:tab/>
      </w:r>
      <w:r>
        <w:tab/>
      </w:r>
      <w:r w:rsidR="000574A5">
        <w:tab/>
      </w:r>
      <w:r>
        <w:rPr>
          <w:rFonts w:hint="cs"/>
          <w:b/>
          <w:bCs/>
          <w:rtl/>
        </w:rPr>
        <w:t>עפר שלח</w:t>
      </w:r>
      <w:r w:rsidR="000574A5" w:rsidRPr="000574A5">
        <w:rPr>
          <w:rFonts w:hint="cs"/>
          <w:b/>
          <w:bCs/>
          <w:rtl/>
        </w:rPr>
        <w:t xml:space="preserve"> </w:t>
      </w:r>
      <w:r w:rsidR="000574A5">
        <w:rPr>
          <w:b/>
          <w:bCs/>
          <w:rtl/>
        </w:rPr>
        <w:tab/>
      </w:r>
      <w:r w:rsidR="000574A5">
        <w:rPr>
          <w:b/>
          <w:bCs/>
          <w:rtl/>
        </w:rPr>
        <w:tab/>
      </w:r>
      <w:r w:rsidR="000574A5">
        <w:rPr>
          <w:rFonts w:hint="cs"/>
          <w:b/>
          <w:bCs/>
          <w:rtl/>
        </w:rPr>
        <w:t>תמר זנדברג</w:t>
      </w:r>
      <w:r>
        <w:br/>
      </w:r>
      <w:r>
        <w:rPr>
          <w:rFonts w:hint="cs"/>
          <w:b/>
          <w:bCs/>
          <w:rtl/>
        </w:rPr>
        <w:t xml:space="preserve"> </w:t>
      </w:r>
      <w:r>
        <w:tab/>
      </w:r>
      <w:r>
        <w:tab/>
      </w:r>
      <w:r>
        <w:tab/>
      </w:r>
      <w:r>
        <w:tab/>
      </w:r>
      <w:r w:rsidR="000574A5">
        <w:rPr>
          <w:b/>
          <w:bCs/>
          <w:rtl/>
        </w:rPr>
        <w:tab/>
      </w:r>
      <w:r>
        <w:rPr>
          <w:rFonts w:hint="cs"/>
          <w:b/>
          <w:bCs/>
          <w:rtl/>
        </w:rPr>
        <w:t>חיים ילין</w:t>
      </w:r>
      <w:r w:rsidR="000574A5" w:rsidRPr="000574A5">
        <w:rPr>
          <w:rFonts w:hint="cs"/>
          <w:b/>
          <w:bCs/>
          <w:rtl/>
        </w:rPr>
        <w:t xml:space="preserve"> </w:t>
      </w:r>
      <w:r w:rsidR="000574A5">
        <w:rPr>
          <w:b/>
          <w:bCs/>
          <w:rtl/>
        </w:rPr>
        <w:tab/>
      </w:r>
      <w:r w:rsidR="000574A5">
        <w:rPr>
          <w:b/>
          <w:bCs/>
          <w:rtl/>
        </w:rPr>
        <w:tab/>
      </w:r>
      <w:r w:rsidR="000574A5">
        <w:rPr>
          <w:rFonts w:hint="cs"/>
          <w:b/>
          <w:bCs/>
          <w:rtl/>
        </w:rPr>
        <w:t>זוהיר בהלול</w:t>
      </w:r>
      <w:r>
        <w:br/>
      </w:r>
      <w:r>
        <w:rPr>
          <w:rFonts w:hint="cs"/>
          <w:b/>
          <w:bCs/>
          <w:rtl/>
        </w:rPr>
        <w:t xml:space="preserve"> </w:t>
      </w:r>
      <w:r>
        <w:tab/>
      </w:r>
      <w:r>
        <w:tab/>
      </w:r>
      <w:r>
        <w:tab/>
      </w:r>
      <w:r>
        <w:tab/>
      </w:r>
      <w:r w:rsidR="000574A5">
        <w:rPr>
          <w:b/>
          <w:bCs/>
          <w:rtl/>
        </w:rPr>
        <w:tab/>
      </w:r>
      <w:r>
        <w:rPr>
          <w:rFonts w:hint="cs"/>
          <w:b/>
          <w:bCs/>
          <w:rtl/>
        </w:rPr>
        <w:t>מאיר כהן</w:t>
      </w:r>
      <w:r w:rsidR="000574A5" w:rsidRPr="000574A5">
        <w:rPr>
          <w:rFonts w:hint="cs"/>
          <w:b/>
          <w:bCs/>
          <w:rtl/>
        </w:rPr>
        <w:t xml:space="preserve"> </w:t>
      </w:r>
      <w:r w:rsidR="000574A5">
        <w:rPr>
          <w:b/>
          <w:bCs/>
          <w:rtl/>
        </w:rPr>
        <w:tab/>
      </w:r>
      <w:r w:rsidR="000574A5">
        <w:rPr>
          <w:b/>
          <w:bCs/>
          <w:rtl/>
        </w:rPr>
        <w:tab/>
      </w:r>
      <w:r w:rsidR="000574A5">
        <w:rPr>
          <w:rFonts w:hint="cs"/>
          <w:b/>
          <w:bCs/>
          <w:rtl/>
        </w:rPr>
        <w:t>יואל חסון</w:t>
      </w:r>
      <w:r>
        <w:br/>
      </w:r>
      <w:r>
        <w:rPr>
          <w:rFonts w:hint="cs"/>
          <w:b/>
          <w:bCs/>
          <w:rtl/>
        </w:rPr>
        <w:t xml:space="preserve"> </w:t>
      </w:r>
      <w:r>
        <w:tab/>
      </w:r>
      <w:r>
        <w:tab/>
      </w:r>
      <w:r>
        <w:tab/>
      </w:r>
      <w:r>
        <w:tab/>
      </w:r>
      <w:r w:rsidR="000574A5">
        <w:rPr>
          <w:b/>
          <w:bCs/>
          <w:rtl/>
        </w:rPr>
        <w:tab/>
      </w:r>
      <w:r>
        <w:rPr>
          <w:rFonts w:hint="cs"/>
          <w:b/>
          <w:bCs/>
          <w:rtl/>
        </w:rPr>
        <w:t>יעקב פרי</w:t>
      </w:r>
      <w:r w:rsidR="000574A5" w:rsidRPr="000574A5">
        <w:rPr>
          <w:rFonts w:hint="cs"/>
          <w:b/>
          <w:bCs/>
          <w:rtl/>
        </w:rPr>
        <w:t xml:space="preserve"> </w:t>
      </w:r>
      <w:r w:rsidR="000574A5">
        <w:rPr>
          <w:b/>
          <w:bCs/>
          <w:rtl/>
        </w:rPr>
        <w:tab/>
      </w:r>
      <w:r w:rsidR="000574A5">
        <w:rPr>
          <w:b/>
          <w:bCs/>
          <w:rtl/>
        </w:rPr>
        <w:tab/>
      </w:r>
      <w:r w:rsidR="000574A5">
        <w:rPr>
          <w:rFonts w:hint="cs"/>
          <w:b/>
          <w:bCs/>
          <w:rtl/>
        </w:rPr>
        <w:t>איילת נחמיאס ורבין</w:t>
      </w:r>
      <w:r>
        <w:br/>
      </w:r>
      <w:r>
        <w:rPr>
          <w:rFonts w:hint="cs"/>
          <w:b/>
          <w:bCs/>
          <w:rtl/>
        </w:rPr>
        <w:t xml:space="preserve"> </w:t>
      </w:r>
      <w:r>
        <w:tab/>
      </w:r>
      <w:r>
        <w:tab/>
      </w:r>
      <w:r>
        <w:tab/>
      </w:r>
      <w:r>
        <w:tab/>
      </w:r>
      <w:r w:rsidR="000574A5">
        <w:rPr>
          <w:b/>
          <w:bCs/>
          <w:rtl/>
        </w:rPr>
        <w:tab/>
      </w:r>
      <w:r>
        <w:rPr>
          <w:rFonts w:hint="cs"/>
          <w:b/>
          <w:bCs/>
          <w:rtl/>
        </w:rPr>
        <w:t>מנחם אליעזר מוזס</w:t>
      </w:r>
      <w:r w:rsidR="000574A5" w:rsidRPr="000574A5">
        <w:rPr>
          <w:rFonts w:hint="cs"/>
          <w:b/>
          <w:bCs/>
          <w:rtl/>
        </w:rPr>
        <w:t xml:space="preserve"> </w:t>
      </w:r>
      <w:r w:rsidR="000574A5">
        <w:rPr>
          <w:b/>
          <w:bCs/>
          <w:rtl/>
        </w:rPr>
        <w:tab/>
      </w:r>
      <w:r w:rsidR="000574A5">
        <w:rPr>
          <w:rFonts w:hint="cs"/>
          <w:b/>
          <w:bCs/>
          <w:rtl/>
        </w:rPr>
        <w:t>אילן גילאון</w:t>
      </w:r>
      <w:r>
        <w:br/>
      </w:r>
      <w:r>
        <w:rPr>
          <w:rFonts w:hint="cs"/>
          <w:b/>
          <w:bCs/>
          <w:rtl/>
        </w:rPr>
        <w:t xml:space="preserve"> </w:t>
      </w:r>
      <w:r>
        <w:tab/>
      </w:r>
      <w:r>
        <w:tab/>
      </w:r>
      <w:r>
        <w:tab/>
      </w:r>
      <w:r>
        <w:tab/>
      </w:r>
      <w:r w:rsidR="000574A5">
        <w:rPr>
          <w:b/>
          <w:bCs/>
          <w:rtl/>
        </w:rPr>
        <w:tab/>
      </w:r>
      <w:r>
        <w:rPr>
          <w:rFonts w:hint="cs"/>
          <w:b/>
          <w:bCs/>
          <w:rtl/>
        </w:rPr>
        <w:t>מיכל בירן</w:t>
      </w:r>
      <w:r w:rsidR="000574A5" w:rsidRPr="000574A5">
        <w:rPr>
          <w:rFonts w:hint="cs"/>
          <w:b/>
          <w:bCs/>
          <w:rtl/>
        </w:rPr>
        <w:t xml:space="preserve"> </w:t>
      </w:r>
      <w:r w:rsidR="000574A5">
        <w:rPr>
          <w:b/>
          <w:bCs/>
          <w:rtl/>
        </w:rPr>
        <w:tab/>
      </w:r>
      <w:r w:rsidR="000574A5">
        <w:rPr>
          <w:b/>
          <w:bCs/>
          <w:rtl/>
        </w:rPr>
        <w:tab/>
      </w:r>
      <w:r w:rsidR="000574A5">
        <w:rPr>
          <w:rFonts w:hint="cs"/>
          <w:b/>
          <w:bCs/>
          <w:rtl/>
        </w:rPr>
        <w:t>יואב בן צור</w:t>
      </w:r>
      <w:r w:rsidR="000574A5" w:rsidRPr="000574A5">
        <w:rPr>
          <w:rFonts w:hint="cs"/>
          <w:b/>
          <w:bCs/>
          <w:rtl/>
        </w:rPr>
        <w:t xml:space="preserve"> </w:t>
      </w:r>
      <w:r>
        <w:br/>
      </w:r>
      <w:r>
        <w:rPr>
          <w:rFonts w:hint="cs"/>
          <w:b/>
          <w:bCs/>
          <w:rtl/>
        </w:rPr>
        <w:t xml:space="preserve"> </w:t>
      </w:r>
      <w:r>
        <w:tab/>
      </w:r>
      <w:r>
        <w:tab/>
      </w:r>
      <w:r>
        <w:tab/>
      </w:r>
      <w:r>
        <w:tab/>
      </w:r>
      <w:r w:rsidR="000574A5">
        <w:tab/>
      </w:r>
      <w:r>
        <w:rPr>
          <w:rFonts w:hint="cs"/>
          <w:b/>
          <w:bCs/>
          <w:rtl/>
        </w:rPr>
        <w:t>יפעת שאשא ביטון</w:t>
      </w:r>
      <w:r w:rsidR="000574A5" w:rsidRPr="000574A5">
        <w:rPr>
          <w:rFonts w:hint="cs"/>
          <w:b/>
          <w:bCs/>
          <w:rtl/>
        </w:rPr>
        <w:t xml:space="preserve"> </w:t>
      </w:r>
      <w:r w:rsidR="000574A5">
        <w:rPr>
          <w:b/>
          <w:bCs/>
          <w:rtl/>
        </w:rPr>
        <w:tab/>
      </w:r>
      <w:r w:rsidR="000574A5">
        <w:rPr>
          <w:rFonts w:hint="cs"/>
          <w:b/>
          <w:bCs/>
          <w:rtl/>
        </w:rPr>
        <w:t>ענת ברקו</w:t>
      </w:r>
      <w:r>
        <w:br/>
      </w:r>
      <w:r>
        <w:rPr>
          <w:rFonts w:hint="cs"/>
          <w:b/>
          <w:bCs/>
          <w:rtl/>
        </w:rPr>
        <w:t xml:space="preserve"> </w:t>
      </w:r>
      <w:r>
        <w:tab/>
      </w:r>
      <w:r>
        <w:tab/>
      </w:r>
      <w:r>
        <w:tab/>
      </w:r>
      <w:r>
        <w:tab/>
      </w:r>
      <w:r w:rsidR="000574A5">
        <w:rPr>
          <w:b/>
          <w:bCs/>
          <w:rtl/>
        </w:rPr>
        <w:tab/>
      </w:r>
      <w:r>
        <w:rPr>
          <w:rFonts w:hint="cs"/>
          <w:b/>
          <w:bCs/>
          <w:rtl/>
        </w:rPr>
        <w:t>ינון מגל</w:t>
      </w:r>
      <w:r w:rsidR="000574A5" w:rsidRPr="000574A5">
        <w:rPr>
          <w:rFonts w:hint="cs"/>
          <w:b/>
          <w:bCs/>
          <w:rtl/>
        </w:rPr>
        <w:t xml:space="preserve"> </w:t>
      </w:r>
      <w:r w:rsidR="000574A5">
        <w:rPr>
          <w:b/>
          <w:bCs/>
          <w:rtl/>
        </w:rPr>
        <w:tab/>
      </w:r>
      <w:r w:rsidR="000574A5">
        <w:rPr>
          <w:b/>
          <w:bCs/>
          <w:rtl/>
        </w:rPr>
        <w:tab/>
      </w:r>
      <w:r w:rsidR="000574A5">
        <w:rPr>
          <w:rFonts w:hint="cs"/>
          <w:b/>
          <w:bCs/>
          <w:rtl/>
        </w:rPr>
        <w:t>ישראל אייכלר</w:t>
      </w:r>
      <w:r>
        <w:br/>
      </w:r>
      <w:r>
        <w:rPr>
          <w:rFonts w:hint="cs"/>
          <w:b/>
          <w:bCs/>
          <w:rtl/>
        </w:rPr>
        <w:t xml:space="preserve"> </w:t>
      </w:r>
      <w:r>
        <w:tab/>
      </w:r>
      <w:r>
        <w:tab/>
      </w:r>
      <w:r>
        <w:tab/>
      </w:r>
      <w:r>
        <w:tab/>
      </w:r>
      <w:r w:rsidR="000574A5">
        <w:rPr>
          <w:b/>
          <w:bCs/>
          <w:rtl/>
        </w:rPr>
        <w:tab/>
      </w:r>
      <w:r>
        <w:rPr>
          <w:rFonts w:hint="cs"/>
          <w:b/>
          <w:bCs/>
          <w:rtl/>
        </w:rPr>
        <w:t>טלי פלוסקוב</w:t>
      </w:r>
      <w:r w:rsidR="000574A5" w:rsidRPr="000574A5">
        <w:rPr>
          <w:rFonts w:hint="cs"/>
          <w:b/>
          <w:bCs/>
          <w:rtl/>
        </w:rPr>
        <w:t xml:space="preserve"> </w:t>
      </w:r>
      <w:r w:rsidR="000574A5">
        <w:rPr>
          <w:b/>
          <w:bCs/>
          <w:rtl/>
        </w:rPr>
        <w:tab/>
      </w:r>
      <w:r w:rsidR="000574A5">
        <w:rPr>
          <w:b/>
          <w:bCs/>
          <w:rtl/>
        </w:rPr>
        <w:tab/>
      </w:r>
      <w:r w:rsidR="000574A5">
        <w:rPr>
          <w:rFonts w:hint="cs"/>
          <w:b/>
          <w:bCs/>
          <w:rtl/>
        </w:rPr>
        <w:t>איתן כבל</w:t>
      </w:r>
      <w:r>
        <w:br/>
      </w:r>
      <w:r>
        <w:rPr>
          <w:rFonts w:hint="cs"/>
          <w:b/>
          <w:bCs/>
          <w:rtl/>
        </w:rPr>
        <w:t xml:space="preserve"> </w:t>
      </w:r>
      <w:r>
        <w:tab/>
      </w:r>
      <w:r>
        <w:tab/>
      </w:r>
      <w:r>
        <w:tab/>
      </w:r>
      <w:r>
        <w:tab/>
      </w:r>
      <w:r w:rsidR="000574A5">
        <w:rPr>
          <w:b/>
          <w:bCs/>
          <w:rtl/>
        </w:rPr>
        <w:tab/>
      </w:r>
      <w:r>
        <w:rPr>
          <w:rFonts w:hint="cs"/>
          <w:b/>
          <w:bCs/>
          <w:rtl/>
        </w:rPr>
        <w:t>אלי כהן</w:t>
      </w:r>
      <w:r w:rsidR="000574A5" w:rsidRPr="000574A5">
        <w:rPr>
          <w:rFonts w:hint="cs"/>
          <w:b/>
          <w:bCs/>
          <w:rtl/>
        </w:rPr>
        <w:t xml:space="preserve"> </w:t>
      </w:r>
      <w:r w:rsidR="000574A5">
        <w:rPr>
          <w:b/>
          <w:bCs/>
          <w:rtl/>
        </w:rPr>
        <w:tab/>
      </w:r>
      <w:r w:rsidR="000574A5">
        <w:rPr>
          <w:b/>
          <w:bCs/>
          <w:rtl/>
        </w:rPr>
        <w:tab/>
      </w:r>
      <w:r w:rsidR="000574A5">
        <w:rPr>
          <w:rFonts w:hint="cs"/>
          <w:b/>
          <w:bCs/>
          <w:rtl/>
        </w:rPr>
        <w:t>בצלאל סמוטריץ'</w:t>
      </w:r>
      <w:r>
        <w:rPr>
          <w:rFonts w:hint="cs"/>
          <w:b/>
          <w:bCs/>
          <w:rtl/>
        </w:rPr>
        <w:t xml:space="preserve"> </w:t>
      </w:r>
      <w:r>
        <w:tab/>
      </w:r>
      <w:r>
        <w:tab/>
      </w:r>
      <w:r>
        <w:tab/>
      </w:r>
      <w:r>
        <w:tab/>
      </w:r>
      <w:r>
        <w:rPr>
          <w:rFonts w:hint="cs"/>
          <w:b/>
          <w:bCs/>
          <w:rtl/>
        </w:rPr>
        <w:t xml:space="preserve"> </w:t>
      </w:r>
      <w:r>
        <w:tab/>
      </w:r>
      <w:r>
        <w:tab/>
      </w:r>
      <w:r>
        <w:tab/>
      </w:r>
      <w:r>
        <w:tab/>
      </w:r>
      <w:r>
        <w:tab/>
      </w:r>
      <w:r>
        <w:tab/>
      </w:r>
      <w:r>
        <w:tab/>
      </w:r>
      <w:bookmarkEnd w:id="3"/>
    </w:p>
    <w:p w14:paraId="30E70D11" w14:textId="77777777" w:rsidR="00E76FD0" w:rsidRPr="00904591" w:rsidRDefault="00E76FD0" w:rsidP="00E76FD0">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2AED08D6" w14:textId="77777777" w:rsidR="00E76FD0" w:rsidRPr="00E06736" w:rsidRDefault="00E76FD0" w:rsidP="00032175">
      <w:pPr>
        <w:pStyle w:val="David"/>
        <w:spacing w:before="0" w:line="240" w:lineRule="auto"/>
        <w:ind w:left="1440" w:firstLine="720"/>
        <w:rPr>
          <w:rtl/>
        </w:rPr>
      </w:pPr>
      <w:bookmarkStart w:id="4" w:name="_GoBack"/>
      <w:bookmarkEnd w:id="4"/>
      <w:r>
        <w:t xml:space="preserve">                                             </w:t>
      </w:r>
      <w:bookmarkStart w:id="5" w:name="Private_Number"/>
      <w:r>
        <w:rPr>
          <w:rFonts w:hint="cs"/>
          <w:rtl/>
        </w:rPr>
        <w:t>פ/2157/20</w:t>
      </w:r>
      <w:bookmarkEnd w:id="5"/>
    </w:p>
    <w:p w14:paraId="50796B61" w14:textId="77777777" w:rsidR="00E76FD0" w:rsidRDefault="00E76FD0" w:rsidP="000574A5">
      <w:pPr>
        <w:pStyle w:val="HeadHatzaotHok"/>
        <w:spacing w:line="240" w:lineRule="auto"/>
        <w:rPr>
          <w:rtl/>
        </w:rPr>
      </w:pPr>
      <w:bookmarkStart w:id="6" w:name="LGS_Subject"/>
      <w:r>
        <w:rPr>
          <w:rFonts w:hint="cs"/>
          <w:rtl/>
        </w:rPr>
        <w:t>הצעת חוק חוזה הביטוח (תיקון – תשלום פיצוי מיוחד בביטוח סיעודי), התשע"ו–2015</w:t>
      </w:r>
      <w:bookmarkEnd w:id="6"/>
      <w:r>
        <w:rPr>
          <w:rtl/>
        </w:rPr>
        <w:br/>
      </w: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648"/>
      </w:tblGrid>
      <w:tr w:rsidR="00E76FD0" w14:paraId="034421EC" w14:textId="77777777" w:rsidTr="007C5911">
        <w:trPr>
          <w:cantSplit/>
        </w:trPr>
        <w:tc>
          <w:tcPr>
            <w:tcW w:w="1869" w:type="dxa"/>
          </w:tcPr>
          <w:p w14:paraId="5D193AA8" w14:textId="77777777" w:rsidR="00E76FD0" w:rsidRDefault="00E76FD0" w:rsidP="00EA3B66">
            <w:pPr>
              <w:pStyle w:val="TableSideHeading"/>
              <w:keepLines w:val="0"/>
            </w:pPr>
            <w:r w:rsidRPr="001B0BE2">
              <w:rPr>
                <w:rFonts w:hint="cs"/>
                <w:sz w:val="26"/>
                <w:rtl/>
              </w:rPr>
              <w:t>תיקון סעיף 28א</w:t>
            </w:r>
          </w:p>
        </w:tc>
        <w:tc>
          <w:tcPr>
            <w:tcW w:w="623" w:type="dxa"/>
          </w:tcPr>
          <w:p w14:paraId="2BEC37BE" w14:textId="77777777" w:rsidR="00E76FD0" w:rsidRDefault="00E76FD0" w:rsidP="00EA3B66">
            <w:pPr>
              <w:pStyle w:val="TableText"/>
              <w:keepLines w:val="0"/>
            </w:pPr>
            <w:r>
              <w:rPr>
                <w:rFonts w:hint="cs"/>
                <w:rtl/>
              </w:rPr>
              <w:t xml:space="preserve">1. </w:t>
            </w:r>
          </w:p>
        </w:tc>
        <w:tc>
          <w:tcPr>
            <w:tcW w:w="7144" w:type="dxa"/>
            <w:gridSpan w:val="5"/>
          </w:tcPr>
          <w:p w14:paraId="20233F67" w14:textId="77777777" w:rsidR="00E76FD0" w:rsidRPr="00C34DE2" w:rsidRDefault="00E76FD0" w:rsidP="007C5911">
            <w:pPr>
              <w:pStyle w:val="TableBlock"/>
            </w:pPr>
            <w:r>
              <w:rPr>
                <w:rFonts w:hint="cs"/>
                <w:rtl/>
              </w:rPr>
              <w:t>בחוק חוזה הביטוח, התשמ"א</w:t>
            </w:r>
            <w:r>
              <w:rPr>
                <w:rtl/>
              </w:rPr>
              <w:t>–</w:t>
            </w:r>
            <w:r>
              <w:rPr>
                <w:rFonts w:hint="cs"/>
                <w:rtl/>
              </w:rPr>
              <w:t>1981</w:t>
            </w:r>
            <w:r>
              <w:rPr>
                <w:rStyle w:val="a5"/>
                <w:rtl/>
              </w:rPr>
              <w:footnoteReference w:id="2"/>
            </w:r>
            <w:r>
              <w:rPr>
                <w:rFonts w:hint="cs"/>
                <w:rtl/>
              </w:rPr>
              <w:t xml:space="preserve"> (להלן </w:t>
            </w:r>
            <w:r>
              <w:rPr>
                <w:rtl/>
              </w:rPr>
              <w:t>–</w:t>
            </w:r>
            <w:r>
              <w:rPr>
                <w:rFonts w:hint="cs"/>
                <w:rtl/>
              </w:rPr>
              <w:t xml:space="preserve"> החוק העיקרי), </w:t>
            </w:r>
            <w:r w:rsidRPr="001B0BE2">
              <w:rPr>
                <w:rFonts w:hint="cs"/>
                <w:sz w:val="26"/>
                <w:rtl/>
              </w:rPr>
              <w:t>בסעיף 28א</w:t>
            </w:r>
            <w:r>
              <w:rPr>
                <w:rFonts w:hint="cs"/>
                <w:rtl/>
              </w:rPr>
              <w:t xml:space="preserve"> אחרי "ביטוח חיים" יבוא "להוציא ביטוח סיעודי". </w:t>
            </w:r>
          </w:p>
        </w:tc>
      </w:tr>
      <w:tr w:rsidR="00E76FD0" w14:paraId="02C95DF6" w14:textId="77777777" w:rsidTr="007C5911">
        <w:trPr>
          <w:cantSplit/>
        </w:trPr>
        <w:tc>
          <w:tcPr>
            <w:tcW w:w="1869" w:type="dxa"/>
          </w:tcPr>
          <w:p w14:paraId="67D6037E" w14:textId="77777777" w:rsidR="00E76FD0" w:rsidRPr="001B0BE2" w:rsidRDefault="00E76FD0" w:rsidP="00EA3B66">
            <w:pPr>
              <w:pStyle w:val="TableSideHeading"/>
              <w:keepLines w:val="0"/>
              <w:rPr>
                <w:sz w:val="26"/>
                <w:rtl/>
              </w:rPr>
            </w:pPr>
            <w:r>
              <w:rPr>
                <w:rFonts w:hint="cs"/>
                <w:sz w:val="26"/>
                <w:rtl/>
              </w:rPr>
              <w:t>הוספת סעיף</w:t>
            </w:r>
            <w:r w:rsidRPr="001B0BE2">
              <w:rPr>
                <w:rFonts w:hint="cs"/>
                <w:sz w:val="26"/>
                <w:rtl/>
              </w:rPr>
              <w:t xml:space="preserve"> 28ב</w:t>
            </w:r>
            <w:r>
              <w:rPr>
                <w:rFonts w:hint="cs"/>
                <w:sz w:val="26"/>
                <w:rtl/>
              </w:rPr>
              <w:t xml:space="preserve"> </w:t>
            </w:r>
          </w:p>
        </w:tc>
        <w:tc>
          <w:tcPr>
            <w:tcW w:w="623" w:type="dxa"/>
          </w:tcPr>
          <w:p w14:paraId="1850F1CA" w14:textId="77777777" w:rsidR="00E76FD0" w:rsidRDefault="00E76FD0" w:rsidP="00EA3B66">
            <w:pPr>
              <w:pStyle w:val="TableText"/>
              <w:rPr>
                <w:rtl/>
              </w:rPr>
            </w:pPr>
            <w:r>
              <w:rPr>
                <w:rFonts w:hint="cs"/>
                <w:rtl/>
              </w:rPr>
              <w:t xml:space="preserve">2. </w:t>
            </w:r>
          </w:p>
        </w:tc>
        <w:tc>
          <w:tcPr>
            <w:tcW w:w="7144" w:type="dxa"/>
            <w:gridSpan w:val="5"/>
          </w:tcPr>
          <w:p w14:paraId="745883E8" w14:textId="77777777" w:rsidR="00E76FD0" w:rsidRDefault="00E76FD0" w:rsidP="007C5911">
            <w:pPr>
              <w:pStyle w:val="TableBlock"/>
              <w:rPr>
                <w:rtl/>
              </w:rPr>
            </w:pPr>
            <w:r>
              <w:rPr>
                <w:rFonts w:hint="cs"/>
                <w:rtl/>
              </w:rPr>
              <w:t>אחרי סעיף 28א לחוק העיקרי יבוא:</w:t>
            </w:r>
          </w:p>
        </w:tc>
      </w:tr>
      <w:tr w:rsidR="00E76FD0" w14:paraId="541D9457" w14:textId="77777777" w:rsidTr="007C5911">
        <w:trPr>
          <w:cantSplit/>
        </w:trPr>
        <w:tc>
          <w:tcPr>
            <w:tcW w:w="1869" w:type="dxa"/>
          </w:tcPr>
          <w:p w14:paraId="02265174" w14:textId="77777777" w:rsidR="00E76FD0" w:rsidRDefault="00E76FD0" w:rsidP="00EA3B66">
            <w:pPr>
              <w:pStyle w:val="TableSideHeading"/>
              <w:keepLines w:val="0"/>
            </w:pPr>
          </w:p>
        </w:tc>
        <w:tc>
          <w:tcPr>
            <w:tcW w:w="623" w:type="dxa"/>
          </w:tcPr>
          <w:p w14:paraId="130F93A1" w14:textId="77777777" w:rsidR="00E76FD0" w:rsidRDefault="00E76FD0" w:rsidP="00EA3B66">
            <w:pPr>
              <w:pStyle w:val="TableText"/>
              <w:keepLines w:val="0"/>
            </w:pPr>
          </w:p>
        </w:tc>
        <w:tc>
          <w:tcPr>
            <w:tcW w:w="1872" w:type="dxa"/>
            <w:gridSpan w:val="3"/>
          </w:tcPr>
          <w:p w14:paraId="579F52B6" w14:textId="77777777" w:rsidR="00E76FD0" w:rsidRDefault="00E76FD0" w:rsidP="00EA3B66">
            <w:pPr>
              <w:pStyle w:val="TableInnerSideHeading"/>
            </w:pPr>
            <w:r>
              <w:rPr>
                <w:rFonts w:hint="cs"/>
                <w:rtl/>
              </w:rPr>
              <w:t>"פיצוי מיוחד בביטוח סיעודי</w:t>
            </w:r>
          </w:p>
        </w:tc>
        <w:tc>
          <w:tcPr>
            <w:tcW w:w="624" w:type="dxa"/>
          </w:tcPr>
          <w:p w14:paraId="1634F06C" w14:textId="77777777" w:rsidR="00E76FD0" w:rsidRDefault="00E76FD0" w:rsidP="00EA3B66">
            <w:pPr>
              <w:pStyle w:val="TableText"/>
            </w:pPr>
            <w:r>
              <w:rPr>
                <w:rFonts w:hint="cs"/>
                <w:rtl/>
              </w:rPr>
              <w:t>28ב.</w:t>
            </w:r>
          </w:p>
        </w:tc>
        <w:tc>
          <w:tcPr>
            <w:tcW w:w="4648" w:type="dxa"/>
          </w:tcPr>
          <w:p w14:paraId="07F81A82" w14:textId="56BB843D" w:rsidR="00E76FD0" w:rsidRDefault="00E76FD0" w:rsidP="007C5911">
            <w:pPr>
              <w:pStyle w:val="TableBlock"/>
            </w:pPr>
            <w:r>
              <w:rPr>
                <w:rFonts w:hint="cs"/>
                <w:rtl/>
              </w:rPr>
              <w:t>(א)</w:t>
            </w:r>
            <w:r>
              <w:rPr>
                <w:rtl/>
              </w:rPr>
              <w:tab/>
            </w:r>
            <w:r>
              <w:rPr>
                <w:rFonts w:hint="cs"/>
                <w:rtl/>
              </w:rPr>
              <w:t xml:space="preserve">מבטח בביטוח סיעודי שלא שילם את תגמולי הביטוח, במועדים שבהם היה עליו לשלמם לפי סעיף 27 או חדל מתשלומם שלא כדין, יחייבו בית המשפט </w:t>
            </w:r>
            <w:r w:rsidR="00707D11">
              <w:rPr>
                <w:rFonts w:hint="cs"/>
                <w:rtl/>
              </w:rPr>
              <w:t>ב</w:t>
            </w:r>
            <w:r>
              <w:rPr>
                <w:rFonts w:hint="cs"/>
                <w:rtl/>
              </w:rPr>
              <w:t>פיצוי מיוחד.</w:t>
            </w:r>
          </w:p>
        </w:tc>
      </w:tr>
      <w:tr w:rsidR="00E76FD0" w14:paraId="4AF898FC" w14:textId="77777777" w:rsidTr="007C5911">
        <w:trPr>
          <w:cantSplit/>
        </w:trPr>
        <w:tc>
          <w:tcPr>
            <w:tcW w:w="1869" w:type="dxa"/>
          </w:tcPr>
          <w:p w14:paraId="0DD0A068" w14:textId="77777777" w:rsidR="00E76FD0" w:rsidRDefault="00E76FD0" w:rsidP="00EA3B66">
            <w:pPr>
              <w:pStyle w:val="TableSideHeading"/>
            </w:pPr>
          </w:p>
        </w:tc>
        <w:tc>
          <w:tcPr>
            <w:tcW w:w="623" w:type="dxa"/>
          </w:tcPr>
          <w:p w14:paraId="17A65E3F" w14:textId="77777777" w:rsidR="00E76FD0" w:rsidRDefault="00E76FD0" w:rsidP="00EA3B66">
            <w:pPr>
              <w:pStyle w:val="TableText"/>
            </w:pPr>
          </w:p>
        </w:tc>
        <w:tc>
          <w:tcPr>
            <w:tcW w:w="624" w:type="dxa"/>
          </w:tcPr>
          <w:p w14:paraId="647A4DA8" w14:textId="77777777" w:rsidR="00E76FD0" w:rsidRDefault="00E76FD0" w:rsidP="00EA3B66">
            <w:pPr>
              <w:pStyle w:val="TableText"/>
            </w:pPr>
          </w:p>
        </w:tc>
        <w:tc>
          <w:tcPr>
            <w:tcW w:w="624" w:type="dxa"/>
          </w:tcPr>
          <w:p w14:paraId="43021DC4" w14:textId="77777777" w:rsidR="00E76FD0" w:rsidRDefault="00E76FD0" w:rsidP="00EA3B66">
            <w:pPr>
              <w:pStyle w:val="TableText"/>
            </w:pPr>
          </w:p>
        </w:tc>
        <w:tc>
          <w:tcPr>
            <w:tcW w:w="624" w:type="dxa"/>
          </w:tcPr>
          <w:p w14:paraId="433CCC15" w14:textId="77777777" w:rsidR="00E76FD0" w:rsidRDefault="00E76FD0" w:rsidP="00EA3B66">
            <w:pPr>
              <w:pStyle w:val="TableText"/>
            </w:pPr>
          </w:p>
        </w:tc>
        <w:tc>
          <w:tcPr>
            <w:tcW w:w="624" w:type="dxa"/>
          </w:tcPr>
          <w:p w14:paraId="0E6E2057" w14:textId="77777777" w:rsidR="00E76FD0" w:rsidRDefault="00E76FD0" w:rsidP="00EA3B66">
            <w:pPr>
              <w:pStyle w:val="TableText"/>
            </w:pPr>
          </w:p>
        </w:tc>
        <w:tc>
          <w:tcPr>
            <w:tcW w:w="4648" w:type="dxa"/>
          </w:tcPr>
          <w:p w14:paraId="31DB73DC" w14:textId="3FF258BA" w:rsidR="00E76FD0" w:rsidRDefault="00E76FD0" w:rsidP="007C5911">
            <w:pPr>
              <w:pStyle w:val="TableBlock"/>
            </w:pPr>
            <w:r>
              <w:rPr>
                <w:rFonts w:hint="cs"/>
                <w:rtl/>
              </w:rPr>
              <w:t>(ב)</w:t>
            </w:r>
            <w:r>
              <w:rPr>
                <w:rtl/>
              </w:rPr>
              <w:tab/>
            </w:r>
            <w:r w:rsidR="00D2100A">
              <w:rPr>
                <w:rFonts w:hint="cs"/>
                <w:rtl/>
              </w:rPr>
              <w:t xml:space="preserve">לענין סימן זה </w:t>
            </w:r>
            <w:r w:rsidR="00D2100A">
              <w:rPr>
                <w:rtl/>
              </w:rPr>
              <w:t>–</w:t>
            </w:r>
          </w:p>
        </w:tc>
      </w:tr>
      <w:tr w:rsidR="007C5911" w14:paraId="10B7CAA5" w14:textId="77777777" w:rsidTr="007C5911">
        <w:trPr>
          <w:cantSplit/>
        </w:trPr>
        <w:tc>
          <w:tcPr>
            <w:tcW w:w="1869" w:type="dxa"/>
          </w:tcPr>
          <w:p w14:paraId="317097D7" w14:textId="77777777" w:rsidR="007C5911" w:rsidRDefault="007C5911" w:rsidP="00EA3B66">
            <w:pPr>
              <w:pStyle w:val="TableSideHeading"/>
            </w:pPr>
          </w:p>
        </w:tc>
        <w:tc>
          <w:tcPr>
            <w:tcW w:w="623" w:type="dxa"/>
          </w:tcPr>
          <w:p w14:paraId="477DEC58" w14:textId="77777777" w:rsidR="007C5911" w:rsidRDefault="007C5911" w:rsidP="007C5911">
            <w:pPr>
              <w:pStyle w:val="TableText"/>
            </w:pPr>
          </w:p>
        </w:tc>
        <w:tc>
          <w:tcPr>
            <w:tcW w:w="624" w:type="dxa"/>
          </w:tcPr>
          <w:p w14:paraId="44E0D29F" w14:textId="77777777" w:rsidR="007C5911" w:rsidRDefault="007C5911" w:rsidP="00EA3B66">
            <w:pPr>
              <w:pStyle w:val="TableText"/>
            </w:pPr>
          </w:p>
        </w:tc>
        <w:tc>
          <w:tcPr>
            <w:tcW w:w="624" w:type="dxa"/>
          </w:tcPr>
          <w:p w14:paraId="7FFCF1C1" w14:textId="77777777" w:rsidR="007C5911" w:rsidRDefault="007C5911" w:rsidP="00EA3B66">
            <w:pPr>
              <w:pStyle w:val="TableText"/>
            </w:pPr>
          </w:p>
        </w:tc>
        <w:tc>
          <w:tcPr>
            <w:tcW w:w="624" w:type="dxa"/>
          </w:tcPr>
          <w:p w14:paraId="25D36AB5" w14:textId="77777777" w:rsidR="007C5911" w:rsidRDefault="007C5911" w:rsidP="00EA3B66">
            <w:pPr>
              <w:pStyle w:val="TableText"/>
            </w:pPr>
          </w:p>
        </w:tc>
        <w:tc>
          <w:tcPr>
            <w:tcW w:w="624" w:type="dxa"/>
          </w:tcPr>
          <w:p w14:paraId="3AB16351" w14:textId="77777777" w:rsidR="007C5911" w:rsidRDefault="007C5911" w:rsidP="00EA3B66">
            <w:pPr>
              <w:pStyle w:val="TableText"/>
            </w:pPr>
          </w:p>
        </w:tc>
        <w:tc>
          <w:tcPr>
            <w:tcW w:w="4648" w:type="dxa"/>
          </w:tcPr>
          <w:p w14:paraId="423BF1CB" w14:textId="17ADE2BB" w:rsidR="007C5911" w:rsidRPr="007C3C7C" w:rsidRDefault="007C5911" w:rsidP="007C3C7C">
            <w:pPr>
              <w:pStyle w:val="TableBlockOutdent"/>
              <w:rPr>
                <w:rtl/>
              </w:rPr>
            </w:pPr>
            <w:r w:rsidRPr="007C3C7C">
              <w:rPr>
                <w:rFonts w:hint="cs"/>
                <w:rtl/>
              </w:rPr>
              <w:t xml:space="preserve">"פיצוי מיוחד" </w:t>
            </w:r>
            <w:r w:rsidRPr="007C3C7C">
              <w:rPr>
                <w:rtl/>
              </w:rPr>
              <w:t>–</w:t>
            </w:r>
            <w:r w:rsidRPr="007C3C7C">
              <w:rPr>
                <w:rFonts w:hint="cs"/>
                <w:rtl/>
              </w:rPr>
              <w:t xml:space="preserve"> גובה הריבית לא יעלה על עשרים אחוזים לשנת פיגור ועד מקסימום פי שלושה משיעור תגמולי הביטוח שהיה עליו לשלמם;</w:t>
            </w:r>
          </w:p>
        </w:tc>
      </w:tr>
      <w:tr w:rsidR="007C5911" w14:paraId="25DF104A" w14:textId="77777777" w:rsidTr="007C5911">
        <w:trPr>
          <w:cantSplit/>
        </w:trPr>
        <w:tc>
          <w:tcPr>
            <w:tcW w:w="1869" w:type="dxa"/>
          </w:tcPr>
          <w:p w14:paraId="6ED22E18" w14:textId="77777777" w:rsidR="007C5911" w:rsidRDefault="007C5911" w:rsidP="00EA3B66">
            <w:pPr>
              <w:pStyle w:val="TableSideHeading"/>
              <w:rPr>
                <w:rtl/>
              </w:rPr>
            </w:pPr>
          </w:p>
        </w:tc>
        <w:tc>
          <w:tcPr>
            <w:tcW w:w="623" w:type="dxa"/>
          </w:tcPr>
          <w:p w14:paraId="103F3646" w14:textId="77777777" w:rsidR="007C5911" w:rsidRDefault="007C5911" w:rsidP="007C5911">
            <w:pPr>
              <w:pStyle w:val="TableText"/>
            </w:pPr>
          </w:p>
        </w:tc>
        <w:tc>
          <w:tcPr>
            <w:tcW w:w="624" w:type="dxa"/>
          </w:tcPr>
          <w:p w14:paraId="6411D01A" w14:textId="77777777" w:rsidR="007C5911" w:rsidRDefault="007C5911" w:rsidP="00EA3B66">
            <w:pPr>
              <w:pStyle w:val="TableText"/>
            </w:pPr>
          </w:p>
        </w:tc>
        <w:tc>
          <w:tcPr>
            <w:tcW w:w="624" w:type="dxa"/>
          </w:tcPr>
          <w:p w14:paraId="1A6969E3" w14:textId="77777777" w:rsidR="007C5911" w:rsidRDefault="007C5911" w:rsidP="00EA3B66">
            <w:pPr>
              <w:pStyle w:val="TableText"/>
            </w:pPr>
          </w:p>
        </w:tc>
        <w:tc>
          <w:tcPr>
            <w:tcW w:w="624" w:type="dxa"/>
          </w:tcPr>
          <w:p w14:paraId="590FE748" w14:textId="77777777" w:rsidR="007C5911" w:rsidRDefault="007C5911" w:rsidP="00EA3B66">
            <w:pPr>
              <w:pStyle w:val="TableText"/>
            </w:pPr>
          </w:p>
        </w:tc>
        <w:tc>
          <w:tcPr>
            <w:tcW w:w="624" w:type="dxa"/>
          </w:tcPr>
          <w:p w14:paraId="52288960" w14:textId="77777777" w:rsidR="007C5911" w:rsidRDefault="007C5911" w:rsidP="00EA3B66">
            <w:pPr>
              <w:pStyle w:val="TableText"/>
            </w:pPr>
          </w:p>
        </w:tc>
        <w:tc>
          <w:tcPr>
            <w:tcW w:w="4648" w:type="dxa"/>
          </w:tcPr>
          <w:p w14:paraId="782B0801" w14:textId="0CE32AA1" w:rsidR="007C5911" w:rsidRPr="007C3C7C" w:rsidRDefault="007C5911" w:rsidP="007C3C7C">
            <w:pPr>
              <w:pStyle w:val="TableBlockOutdent"/>
              <w:rPr>
                <w:rtl/>
              </w:rPr>
            </w:pPr>
            <w:r w:rsidRPr="007C3C7C">
              <w:rPr>
                <w:rFonts w:hint="cs"/>
                <w:rtl/>
              </w:rPr>
              <w:t xml:space="preserve">"ביטוח סיעודי" </w:t>
            </w:r>
            <w:r w:rsidRPr="007C3C7C">
              <w:rPr>
                <w:rtl/>
              </w:rPr>
              <w:t>–</w:t>
            </w:r>
            <w:r w:rsidRPr="007C3C7C">
              <w:rPr>
                <w:rFonts w:hint="cs"/>
                <w:rtl/>
              </w:rPr>
              <w:t xml:space="preserve"> פוליסת ביטוח שמשלם המבוטח עבור מצב שאדם מתקשה לבצע פעולות יומיומיות בסיסיות או אדם שזקוק להשגחה בשל תשישות נפש."</w:t>
            </w:r>
          </w:p>
        </w:tc>
      </w:tr>
    </w:tbl>
    <w:p w14:paraId="3E11E220" w14:textId="77777777" w:rsidR="00E76FD0" w:rsidRPr="002213BB" w:rsidRDefault="00E76FD0" w:rsidP="00E76FD0">
      <w:pPr>
        <w:pStyle w:val="HeadDivreiHesber"/>
        <w:rPr>
          <w:rtl/>
        </w:rPr>
      </w:pPr>
      <w:r>
        <w:rPr>
          <w:rFonts w:hint="cs"/>
          <w:rtl/>
        </w:rPr>
        <w:t>דברי הסבר</w:t>
      </w:r>
    </w:p>
    <w:p w14:paraId="4F1CB2A7" w14:textId="77777777" w:rsidR="00E76FD0" w:rsidRPr="00EA3B66" w:rsidRDefault="00E76FD0" w:rsidP="00E76FD0">
      <w:pPr>
        <w:pStyle w:val="Hesber"/>
        <w:rPr>
          <w:rtl/>
        </w:rPr>
      </w:pPr>
      <w:r w:rsidRPr="00EA3B66">
        <w:rPr>
          <w:rFonts w:hint="eastAsia"/>
          <w:rtl/>
        </w:rPr>
        <w:t>סעיף</w:t>
      </w:r>
      <w:r w:rsidRPr="00EA3B66">
        <w:rPr>
          <w:rtl/>
        </w:rPr>
        <w:t xml:space="preserve"> 28א </w:t>
      </w:r>
      <w:r w:rsidRPr="00EA3B66">
        <w:rPr>
          <w:rFonts w:hint="cs"/>
          <w:rtl/>
        </w:rPr>
        <w:t>לחוק חוזה הביטוח, התשמ"א</w:t>
      </w:r>
      <w:r w:rsidRPr="00EA3B66">
        <w:rPr>
          <w:rtl/>
        </w:rPr>
        <w:t>–</w:t>
      </w:r>
      <w:r w:rsidRPr="00EA3B66">
        <w:rPr>
          <w:rFonts w:hint="cs"/>
          <w:rtl/>
        </w:rPr>
        <w:t xml:space="preserve">1981 (להלן </w:t>
      </w:r>
      <w:r w:rsidRPr="00EA3B66">
        <w:rPr>
          <w:rtl/>
        </w:rPr>
        <w:t>–</w:t>
      </w:r>
      <w:r w:rsidRPr="00EA3B66">
        <w:rPr>
          <w:rFonts w:hint="cs"/>
          <w:rtl/>
        </w:rPr>
        <w:t xml:space="preserve"> חוק חוזה הביטוח), </w:t>
      </w:r>
      <w:r w:rsidRPr="00EA3B66">
        <w:rPr>
          <w:rFonts w:hint="eastAsia"/>
          <w:rtl/>
        </w:rPr>
        <w:t>קובע</w:t>
      </w:r>
      <w:r w:rsidRPr="00EA3B66">
        <w:rPr>
          <w:rtl/>
        </w:rPr>
        <w:t xml:space="preserve"> </w:t>
      </w:r>
      <w:r w:rsidRPr="00EA3B66">
        <w:rPr>
          <w:rFonts w:hint="eastAsia"/>
          <w:rtl/>
        </w:rPr>
        <w:t>כי</w:t>
      </w:r>
      <w:r w:rsidRPr="00EA3B66">
        <w:rPr>
          <w:rtl/>
        </w:rPr>
        <w:t xml:space="preserve"> </w:t>
      </w:r>
      <w:r w:rsidRPr="00EA3B66">
        <w:rPr>
          <w:rFonts w:hint="eastAsia"/>
          <w:rtl/>
        </w:rPr>
        <w:t>בית</w:t>
      </w:r>
      <w:r w:rsidRPr="00EA3B66">
        <w:rPr>
          <w:rFonts w:hint="cs"/>
          <w:rtl/>
        </w:rPr>
        <w:t xml:space="preserve"> </w:t>
      </w:r>
      <w:r w:rsidRPr="00EA3B66">
        <w:rPr>
          <w:rFonts w:hint="eastAsia"/>
          <w:rtl/>
        </w:rPr>
        <w:t>המשפט</w:t>
      </w:r>
      <w:r w:rsidRPr="00EA3B66">
        <w:rPr>
          <w:rtl/>
        </w:rPr>
        <w:t xml:space="preserve"> יחייב מבטחת בביטוחים אישיים בתשלום ריבית מיוחדת (פי שלושה מהקבוע בחוק פסיקת ריבית והצמדה</w:t>
      </w:r>
      <w:r w:rsidRPr="00EA3B66">
        <w:rPr>
          <w:rFonts w:hint="cs"/>
          <w:rtl/>
        </w:rPr>
        <w:t>, התשכ"א</w:t>
      </w:r>
      <w:r w:rsidRPr="00EA3B66">
        <w:rPr>
          <w:rtl/>
        </w:rPr>
        <w:t>–</w:t>
      </w:r>
      <w:r w:rsidRPr="00EA3B66">
        <w:rPr>
          <w:rFonts w:hint="cs"/>
          <w:rtl/>
        </w:rPr>
        <w:t>1961</w:t>
      </w:r>
      <w:r w:rsidRPr="00EA3B66">
        <w:rPr>
          <w:rtl/>
        </w:rPr>
        <w:t xml:space="preserve">) אם היא לא שילמה תגמולי ביטוח שלא היו שנויים במחלוקת בתום לב. אחד הביטוחים האישיים שסעיף 28א </w:t>
      </w:r>
      <w:r w:rsidRPr="00EA3B66">
        <w:rPr>
          <w:rFonts w:hint="cs"/>
          <w:rtl/>
        </w:rPr>
        <w:t xml:space="preserve">לחוק חוזה הביטוח </w:t>
      </w:r>
      <w:r w:rsidRPr="00EA3B66">
        <w:rPr>
          <w:rFonts w:hint="eastAsia"/>
          <w:rtl/>
        </w:rPr>
        <w:t>חל</w:t>
      </w:r>
      <w:r w:rsidRPr="00EA3B66">
        <w:rPr>
          <w:rtl/>
        </w:rPr>
        <w:t xml:space="preserve"> עליהם הוא ביטוח חיים ובכלל זה – ביטוח סיעודי (לפי ההגדרה של ביטוח חיים בסעיף 41 לחוק העיקרי ביטוח סיעודי הוא סוג של ביטוח חיים). על כן, סעיף 28א </w:t>
      </w:r>
      <w:r w:rsidRPr="00EA3B66">
        <w:rPr>
          <w:rFonts w:hint="cs"/>
          <w:rtl/>
        </w:rPr>
        <w:t>כאמור</w:t>
      </w:r>
      <w:r w:rsidRPr="00EA3B66">
        <w:rPr>
          <w:rtl/>
        </w:rPr>
        <w:t xml:space="preserve"> חל על ביטוח סיעודי ומכאן שהסנקציה היחידה על מבטחת בביטוח סיעודי ה</w:t>
      </w:r>
      <w:r w:rsidRPr="00EA3B66">
        <w:rPr>
          <w:rFonts w:hint="eastAsia"/>
          <w:rtl/>
        </w:rPr>
        <w:t>נמנעת</w:t>
      </w:r>
      <w:r w:rsidRPr="00EA3B66">
        <w:rPr>
          <w:rtl/>
        </w:rPr>
        <w:t xml:space="preserve"> </w:t>
      </w:r>
      <w:r w:rsidRPr="00EA3B66">
        <w:rPr>
          <w:rFonts w:hint="eastAsia"/>
          <w:rtl/>
        </w:rPr>
        <w:t>שלא</w:t>
      </w:r>
      <w:r w:rsidRPr="00EA3B66">
        <w:rPr>
          <w:rtl/>
        </w:rPr>
        <w:t xml:space="preserve"> </w:t>
      </w:r>
      <w:r w:rsidRPr="00EA3B66">
        <w:rPr>
          <w:rFonts w:hint="eastAsia"/>
          <w:rtl/>
        </w:rPr>
        <w:t>כדין</w:t>
      </w:r>
      <w:r w:rsidRPr="00EA3B66">
        <w:rPr>
          <w:rtl/>
        </w:rPr>
        <w:t xml:space="preserve"> </w:t>
      </w:r>
      <w:r w:rsidRPr="00EA3B66">
        <w:rPr>
          <w:rFonts w:hint="eastAsia"/>
          <w:rtl/>
        </w:rPr>
        <w:t>מתשלום</w:t>
      </w:r>
      <w:r w:rsidRPr="00EA3B66">
        <w:rPr>
          <w:rtl/>
        </w:rPr>
        <w:t xml:space="preserve"> </w:t>
      </w:r>
      <w:r w:rsidRPr="00EA3B66">
        <w:rPr>
          <w:rFonts w:hint="eastAsia"/>
          <w:rtl/>
        </w:rPr>
        <w:t>תגמולים</w:t>
      </w:r>
      <w:r w:rsidRPr="00EA3B66">
        <w:rPr>
          <w:rtl/>
        </w:rPr>
        <w:t xml:space="preserve"> </w:t>
      </w:r>
      <w:r w:rsidRPr="00EA3B66">
        <w:rPr>
          <w:rFonts w:hint="eastAsia"/>
          <w:rtl/>
        </w:rPr>
        <w:t>ה</w:t>
      </w:r>
      <w:r w:rsidRPr="00EA3B66">
        <w:rPr>
          <w:rFonts w:hint="cs"/>
          <w:rtl/>
        </w:rPr>
        <w:t xml:space="preserve">וא </w:t>
      </w:r>
      <w:r w:rsidRPr="00EA3B66">
        <w:rPr>
          <w:rFonts w:hint="eastAsia"/>
          <w:rtl/>
        </w:rPr>
        <w:t>חיוב</w:t>
      </w:r>
      <w:r w:rsidRPr="00EA3B66">
        <w:rPr>
          <w:rtl/>
        </w:rPr>
        <w:t xml:space="preserve"> </w:t>
      </w:r>
      <w:r w:rsidRPr="00EA3B66">
        <w:rPr>
          <w:rFonts w:hint="eastAsia"/>
          <w:rtl/>
        </w:rPr>
        <w:t>בריבית</w:t>
      </w:r>
      <w:r w:rsidRPr="00EA3B66">
        <w:rPr>
          <w:rtl/>
        </w:rPr>
        <w:t xml:space="preserve"> </w:t>
      </w:r>
      <w:r w:rsidRPr="00EA3B66">
        <w:rPr>
          <w:rFonts w:hint="eastAsia"/>
          <w:rtl/>
        </w:rPr>
        <w:t>מיוחדת</w:t>
      </w:r>
      <w:r w:rsidRPr="00EA3B66">
        <w:rPr>
          <w:rtl/>
        </w:rPr>
        <w:t>.</w:t>
      </w:r>
    </w:p>
    <w:p w14:paraId="1AFE8005" w14:textId="77777777" w:rsidR="00E76FD0" w:rsidRDefault="00E76FD0" w:rsidP="00E76FD0">
      <w:pPr>
        <w:pStyle w:val="Hesber"/>
        <w:rPr>
          <w:rtl/>
        </w:rPr>
      </w:pPr>
      <w:r w:rsidRPr="00EA3B66">
        <w:rPr>
          <w:rFonts w:hint="eastAsia"/>
          <w:rtl/>
        </w:rPr>
        <w:t>ניסיון</w:t>
      </w:r>
      <w:r w:rsidRPr="00EA3B66">
        <w:rPr>
          <w:rtl/>
        </w:rPr>
        <w:t xml:space="preserve"> החיים מלמד שהאפשרות של פסיקת ריבית מיוחדת אינה מרתיעה מבטחות מפני אי-תשלום תגמולים בביטוח סיעודי. בביטוח סיעודי אף קיים קושי מיוחד באכיפת זכותו של המבוטח, שכן המבוטח עצמו אינו יכול לעמוד על זכויותיו ואף לא ניתן בדרך-כלל לקבל צו מניעה המורה על תשלום וה</w:t>
      </w:r>
      <w:r>
        <w:rPr>
          <w:rFonts w:hint="cs"/>
          <w:rtl/>
        </w:rPr>
        <w:t>וא</w:t>
      </w:r>
      <w:r w:rsidRPr="00EA3B66">
        <w:rPr>
          <w:rtl/>
        </w:rPr>
        <w:t xml:space="preserve"> בבחינת שינוי מצב קיים. </w:t>
      </w:r>
    </w:p>
    <w:p w14:paraId="30820101" w14:textId="77777777" w:rsidR="00E76FD0" w:rsidRPr="00EA3B66" w:rsidRDefault="00E76FD0" w:rsidP="00E76FD0">
      <w:pPr>
        <w:pStyle w:val="Hesber"/>
        <w:rPr>
          <w:rtl/>
        </w:rPr>
      </w:pPr>
      <w:r w:rsidRPr="00EA3B66">
        <w:rPr>
          <w:rtl/>
        </w:rPr>
        <w:t xml:space="preserve">לפיכך, מוצע </w:t>
      </w:r>
      <w:r w:rsidRPr="00EA3B66">
        <w:rPr>
          <w:rFonts w:hint="eastAsia"/>
          <w:rtl/>
        </w:rPr>
        <w:t>להחריג</w:t>
      </w:r>
      <w:r w:rsidRPr="00EA3B66">
        <w:rPr>
          <w:rtl/>
        </w:rPr>
        <w:t xml:space="preserve"> את הביטוח הסיעודי מתחולת סעיף 28א לחוק העיקרי ולקבוע דין מיוחד החל על ביטוח זה. הסעיף המוצע מחמיר בשניים: ראשית, הוא קובע פיצוי מיוחד במכפלה של תגמולי הביטוח ולא במכפלה של ריבית וכמו כן קובע תשלום מינימום של ריבית של לפחות 20 אחוזים לשנת פיגור משיעור תשלום הביטוח שהיה עליו לשלם.</w:t>
      </w:r>
    </w:p>
    <w:p w14:paraId="57291074" w14:textId="4C620C82" w:rsidR="00E76FD0" w:rsidRDefault="00E76FD0" w:rsidP="000574A5">
      <w:pPr>
        <w:pStyle w:val="Hesber"/>
        <w:rPr>
          <w:rtl/>
        </w:rPr>
      </w:pPr>
      <w:r w:rsidRPr="00EA3B66">
        <w:rPr>
          <w:rtl/>
        </w:rPr>
        <w:t xml:space="preserve"> שנית, הוא אינו מתנה את הזכאות לפיצוי המיוחד בכך שתגמולי הביטוח לא היו שנויים במחלוקת בתום לב. כך, משום שהשאלה אם המחלוקת הייתה בתום לב אם לאו עוררה קשיים לא מבוטלים וצמצמה שלא בצדק את חוג המקרים שבהם נפסקה ריבית מיוחדת. </w:t>
      </w:r>
    </w:p>
    <w:p w14:paraId="6C302BB8" w14:textId="77777777" w:rsidR="0068646B" w:rsidRDefault="0068646B" w:rsidP="000574A5">
      <w:pPr>
        <w:pStyle w:val="Hesber"/>
        <w:spacing w:line="240" w:lineRule="auto"/>
      </w:pPr>
      <w:r>
        <w:rPr>
          <w:rFonts w:hint="cs"/>
          <w:rtl/>
        </w:rPr>
        <w:t>---------------------------------</w:t>
      </w:r>
    </w:p>
    <w:p w14:paraId="0F0A2576" w14:textId="77777777" w:rsidR="0068646B" w:rsidRDefault="0068646B" w:rsidP="000574A5">
      <w:pPr>
        <w:pStyle w:val="Hesber"/>
        <w:spacing w:line="240" w:lineRule="auto"/>
        <w:rPr>
          <w:rtl/>
        </w:rPr>
      </w:pPr>
      <w:r>
        <w:rPr>
          <w:rFonts w:hint="cs"/>
          <w:rtl/>
        </w:rPr>
        <w:t>הוגשה ליו"ר הכנסת והסגנים</w:t>
      </w:r>
    </w:p>
    <w:p w14:paraId="134BDDD6" w14:textId="77777777" w:rsidR="0068646B" w:rsidRDefault="0068646B" w:rsidP="000574A5">
      <w:pPr>
        <w:pStyle w:val="Hesber"/>
        <w:spacing w:line="240" w:lineRule="auto"/>
        <w:rPr>
          <w:rtl/>
        </w:rPr>
      </w:pPr>
      <w:r>
        <w:rPr>
          <w:rFonts w:hint="cs"/>
          <w:rtl/>
        </w:rPr>
        <w:t>והונחה על שולחן הכנסת ביום</w:t>
      </w:r>
    </w:p>
    <w:p w14:paraId="7F6961CB" w14:textId="7058C08B" w:rsidR="00E13C27" w:rsidRPr="00E76FD0" w:rsidRDefault="0068646B" w:rsidP="000574A5">
      <w:pPr>
        <w:pStyle w:val="Hesber"/>
        <w:spacing w:line="240" w:lineRule="auto"/>
        <w:rPr>
          <w:rtl/>
        </w:rPr>
      </w:pPr>
      <w:r>
        <w:rPr>
          <w:rFonts w:hint="cs"/>
          <w:rtl/>
        </w:rPr>
        <w:t>י"ג בחשוון התשע"ו – 26.10.15</w:t>
      </w:r>
    </w:p>
    <w:sectPr w:rsidR="00E13C27" w:rsidRPr="00E76FD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032175">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D691951" w14:textId="77777777" w:rsidR="00E76FD0" w:rsidRDefault="00E76FD0" w:rsidP="00E76FD0">
      <w:pPr>
        <w:pStyle w:val="a4"/>
      </w:pPr>
      <w:r>
        <w:rPr>
          <w:rStyle w:val="a5"/>
        </w:rPr>
        <w:footnoteRef/>
      </w:r>
      <w:r>
        <w:rPr>
          <w:rtl/>
        </w:rPr>
        <w:t xml:space="preserve"> </w:t>
      </w:r>
      <w:r>
        <w:rPr>
          <w:rFonts w:hint="cs"/>
          <w:rtl/>
        </w:rPr>
        <w:t>ס"ח התשמ"א, עמ' 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32175"/>
    <w:rsid w:val="000574A5"/>
    <w:rsid w:val="00063A3E"/>
    <w:rsid w:val="00072CAC"/>
    <w:rsid w:val="0007681A"/>
    <w:rsid w:val="000944EC"/>
    <w:rsid w:val="00096CB5"/>
    <w:rsid w:val="000A542E"/>
    <w:rsid w:val="00102B6B"/>
    <w:rsid w:val="001052D4"/>
    <w:rsid w:val="0010644B"/>
    <w:rsid w:val="001207F8"/>
    <w:rsid w:val="00121924"/>
    <w:rsid w:val="001279A8"/>
    <w:rsid w:val="0014195F"/>
    <w:rsid w:val="00152609"/>
    <w:rsid w:val="00153E1B"/>
    <w:rsid w:val="001A0623"/>
    <w:rsid w:val="001C23B0"/>
    <w:rsid w:val="001C61C8"/>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8646B"/>
    <w:rsid w:val="006A2D81"/>
    <w:rsid w:val="006C1D0D"/>
    <w:rsid w:val="0070601E"/>
    <w:rsid w:val="00707D11"/>
    <w:rsid w:val="00712C72"/>
    <w:rsid w:val="00735FE9"/>
    <w:rsid w:val="00763CAA"/>
    <w:rsid w:val="00765F66"/>
    <w:rsid w:val="0078664F"/>
    <w:rsid w:val="007C3C7C"/>
    <w:rsid w:val="007C3FA6"/>
    <w:rsid w:val="007C5911"/>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714E6"/>
    <w:rsid w:val="00C9176A"/>
    <w:rsid w:val="00CF1AA2"/>
    <w:rsid w:val="00D17774"/>
    <w:rsid w:val="00D2100A"/>
    <w:rsid w:val="00D63620"/>
    <w:rsid w:val="00D8410D"/>
    <w:rsid w:val="00D867D7"/>
    <w:rsid w:val="00DB7060"/>
    <w:rsid w:val="00DE3153"/>
    <w:rsid w:val="00DF689A"/>
    <w:rsid w:val="00E06736"/>
    <w:rsid w:val="00E13C27"/>
    <w:rsid w:val="00E33BBD"/>
    <w:rsid w:val="00E374F2"/>
    <w:rsid w:val="00E45103"/>
    <w:rsid w:val="00E55A60"/>
    <w:rsid w:val="00E62778"/>
    <w:rsid w:val="00E63D38"/>
    <w:rsid w:val="00E665B9"/>
    <w:rsid w:val="00E76FD0"/>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E139F23-393A-424F-91CE-78FC7AC3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91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C591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C5911"/>
    <w:rPr>
      <w:sz w:val="36"/>
      <w:szCs w:val="52"/>
    </w:rPr>
  </w:style>
  <w:style w:type="paragraph" w:customStyle="1" w:styleId="Cover3-Haknesset">
    <w:name w:val="Cover 3-Haknesset"/>
    <w:basedOn w:val="Cover1-Reshumot"/>
    <w:rsid w:val="007C5911"/>
    <w:rPr>
      <w:b/>
      <w:bCs/>
      <w:spacing w:val="60"/>
    </w:rPr>
  </w:style>
  <w:style w:type="paragraph" w:customStyle="1" w:styleId="Cover4-Date">
    <w:name w:val="Cover 4-Date"/>
    <w:basedOn w:val="a"/>
    <w:rsid w:val="007C591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C591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C591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C5911"/>
    <w:pPr>
      <w:spacing w:before="120" w:after="120"/>
    </w:pPr>
    <w:rPr>
      <w:color w:val="FF0000"/>
      <w:w w:val="80"/>
    </w:rPr>
  </w:style>
  <w:style w:type="paragraph" w:styleId="a3">
    <w:name w:val="endnote text"/>
    <w:basedOn w:val="a"/>
    <w:semiHidden/>
    <w:rsid w:val="007C5911"/>
    <w:pPr>
      <w:ind w:left="227" w:hanging="227"/>
    </w:pPr>
    <w:rPr>
      <w:sz w:val="14"/>
      <w:szCs w:val="22"/>
    </w:rPr>
  </w:style>
  <w:style w:type="paragraph" w:customStyle="1" w:styleId="TableText">
    <w:name w:val="Table Text"/>
    <w:basedOn w:val="a"/>
    <w:rsid w:val="007C591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C5911"/>
  </w:style>
  <w:style w:type="paragraph" w:customStyle="1" w:styleId="TableBlock">
    <w:name w:val="Table Block"/>
    <w:basedOn w:val="TableText"/>
    <w:rsid w:val="007C5911"/>
    <w:pPr>
      <w:ind w:right="0"/>
      <w:jc w:val="both"/>
    </w:pPr>
  </w:style>
  <w:style w:type="paragraph" w:customStyle="1" w:styleId="TableHead">
    <w:name w:val="Table Head"/>
    <w:basedOn w:val="TableText"/>
    <w:rsid w:val="007C591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C5911"/>
  </w:style>
  <w:style w:type="paragraph" w:customStyle="1" w:styleId="Hesber">
    <w:name w:val="Hesber"/>
    <w:basedOn w:val="a"/>
    <w:rsid w:val="007C591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7C591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7C5911"/>
    <w:rPr>
      <w:vertAlign w:val="superscript"/>
    </w:rPr>
  </w:style>
  <w:style w:type="paragraph" w:customStyle="1" w:styleId="HesberHeading">
    <w:name w:val="Hesber Heading"/>
    <w:basedOn w:val="Hesber"/>
    <w:rsid w:val="007C5911"/>
    <w:pPr>
      <w:tabs>
        <w:tab w:val="left" w:pos="624"/>
        <w:tab w:val="left" w:pos="1247"/>
      </w:tabs>
      <w:ind w:firstLine="0"/>
    </w:pPr>
    <w:rPr>
      <w:b/>
      <w:bCs/>
    </w:rPr>
  </w:style>
  <w:style w:type="paragraph" w:customStyle="1" w:styleId="HesberWriters">
    <w:name w:val="Hesber Writers"/>
    <w:basedOn w:val="Hesber"/>
    <w:rsid w:val="007C5911"/>
    <w:pPr>
      <w:spacing w:before="120" w:after="6000"/>
      <w:ind w:left="1418" w:firstLine="0"/>
      <w:jc w:val="right"/>
    </w:pPr>
    <w:rPr>
      <w:b/>
      <w:bCs/>
    </w:rPr>
  </w:style>
  <w:style w:type="paragraph" w:customStyle="1" w:styleId="Hesber1st">
    <w:name w:val="Hesber 1st"/>
    <w:basedOn w:val="Hesber"/>
    <w:rsid w:val="007C5911"/>
    <w:pPr>
      <w:tabs>
        <w:tab w:val="left" w:pos="680"/>
        <w:tab w:val="left" w:pos="1020"/>
      </w:tabs>
      <w:ind w:firstLine="0"/>
    </w:pPr>
  </w:style>
  <w:style w:type="character" w:styleId="a6">
    <w:name w:val="endnote reference"/>
    <w:basedOn w:val="a0"/>
    <w:semiHidden/>
    <w:rsid w:val="007C5911"/>
    <w:rPr>
      <w:vertAlign w:val="superscript"/>
    </w:rPr>
  </w:style>
  <w:style w:type="paragraph" w:customStyle="1" w:styleId="TableBlockOutdent">
    <w:name w:val="Table BlockOutdent"/>
    <w:basedOn w:val="TableBlock"/>
    <w:rsid w:val="007C5911"/>
    <w:pPr>
      <w:ind w:left="624" w:hanging="624"/>
    </w:pPr>
  </w:style>
  <w:style w:type="paragraph" w:styleId="a7">
    <w:name w:val="header"/>
    <w:basedOn w:val="a"/>
    <w:rsid w:val="007C5911"/>
    <w:pPr>
      <w:tabs>
        <w:tab w:val="center" w:pos="4153"/>
        <w:tab w:val="right" w:pos="8306"/>
      </w:tabs>
    </w:pPr>
  </w:style>
  <w:style w:type="paragraph" w:styleId="a8">
    <w:name w:val="footer"/>
    <w:basedOn w:val="a"/>
    <w:rsid w:val="007C5911"/>
    <w:pPr>
      <w:tabs>
        <w:tab w:val="center" w:pos="4153"/>
        <w:tab w:val="right" w:pos="8306"/>
      </w:tabs>
    </w:pPr>
  </w:style>
  <w:style w:type="paragraph" w:customStyle="1" w:styleId="HeadDivreiHesber">
    <w:name w:val="Head DivreiHesber"/>
    <w:basedOn w:val="a"/>
    <w:rsid w:val="007C591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C5911"/>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7C591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uiPriority w:val="59"/>
    <w:rsid w:val="00C714E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C714E6"/>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default">
    <w:name w:val="default"/>
    <w:basedOn w:val="a0"/>
    <w:rsid w:val="00C7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purl.org/dc/terms/"/>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ADF542B-9798-4BBD-8447-96E2CE368286}"/>
</file>

<file path=customXml/itemProps4.xml><?xml version="1.0" encoding="utf-8"?>
<ds:datastoreItem xmlns:ds="http://schemas.openxmlformats.org/officeDocument/2006/customXml" ds:itemID="{7A22D81E-4B8E-4603-BA4D-3A4EE77A2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515</Words>
  <Characters>2580</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14</cp:revision>
  <cp:lastPrinted>2015-10-22T11:41:00Z</cp:lastPrinted>
  <dcterms:created xsi:type="dcterms:W3CDTF">2015-04-20T09:58:00Z</dcterms:created>
  <dcterms:modified xsi:type="dcterms:W3CDTF">2015-10-22T11:41:00Z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2013068</vt:r8>
  </property>
</Properties>
</file>