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2007274</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A" w14:textId="4B8CEF58" w:rsidR="00E13C27" w:rsidRPr="00CF1AA2" w:rsidRDefault="008F6665" w:rsidP="00ED3412">
      <w:pPr>
        <w:pStyle w:val="David"/>
        <w:spacing w:line="360" w:lineRule="auto"/>
        <w:ind w:left="3544"/>
        <w:rPr>
          <w:b/>
          <w:bCs/>
          <w:sz w:val="16"/>
          <w:szCs w:val="16"/>
          <w:rtl/>
        </w:rPr>
      </w:pPr>
      <w:bookmarkStart w:id="3" w:name="LGS_Initiators_List"/>
      <w:r>
        <w:rPr>
          <w:b/>
          <w:bCs/>
          <w:rtl/>
        </w:rPr>
        <w:t>יוזמים:      חברי הכנסת</w:t>
      </w:r>
      <w:bookmarkEnd w:id="3"/>
      <w:r w:rsidR="00B35784" w:rsidRPr="00F67051">
        <w:rPr>
          <w:b/>
          <w:bCs/>
        </w:rPr>
        <w:tab/>
      </w:r>
      <w:bookmarkStart w:id="4" w:name="LGS_PM_Names"/>
      <w:r>
        <w:rPr>
          <w:rFonts w:hint="cs"/>
          <w:b/>
          <w:bCs/>
          <w:rtl/>
        </w:rPr>
        <w:t>אמיר אוחנה</w:t>
      </w:r>
      <w:r>
        <w:br/>
      </w:r>
      <w:r>
        <w:rPr>
          <w:rFonts w:hint="cs"/>
          <w:b/>
          <w:bCs/>
          <w:rtl/>
        </w:rPr>
        <w:t xml:space="preserve"> </w:t>
      </w:r>
      <w:r>
        <w:tab/>
      </w:r>
      <w:r>
        <w:tab/>
      </w:r>
      <w:r>
        <w:tab/>
      </w:r>
      <w:r>
        <w:tab/>
      </w:r>
      <w:r>
        <w:rPr>
          <w:rFonts w:hint="cs"/>
          <w:b/>
          <w:bCs/>
          <w:rtl/>
        </w:rPr>
        <w:t>דוד ביטן</w:t>
      </w:r>
      <w:bookmarkStart w:id="5" w:name="LGS_Join_List"/>
      <w:bookmarkEnd w:id="4"/>
      <w:r w:rsidR="007D585A">
        <w:rPr>
          <w:rtl/>
        </w:rPr>
        <w:t xml:space="preserve"> </w:t>
      </w:r>
      <w:bookmarkEnd w:id="5"/>
      <w:r w:rsidR="002200A1" w:rsidRPr="00CF1AA2">
        <w:rPr>
          <w:rFonts w:hint="cs"/>
          <w:rtl/>
        </w:rPr>
        <w:tab/>
      </w:r>
      <w:bookmarkStart w:id="6" w:name="LGS_PM_NamesJoin"/>
      <w:r w:rsidR="007D585A">
        <w:rPr>
          <w:rFonts w:hint="cs"/>
          <w:rtl/>
        </w:rPr>
        <w:t xml:space="preserve"> </w:t>
      </w:r>
      <w:bookmarkEnd w:id="6"/>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904591">
      <w:pPr>
        <w:pStyle w:val="David"/>
        <w:spacing w:before="0" w:line="240" w:lineRule="auto"/>
        <w:ind w:left="3544"/>
        <w:rPr>
          <w:rtl/>
        </w:rPr>
      </w:pPr>
      <w:r>
        <w:t xml:space="preserve">                                            </w:t>
      </w:r>
      <w:r w:rsidR="008F1308">
        <w:t xml:space="preserve"> </w:t>
      </w:r>
      <w:bookmarkStart w:id="7" w:name="Private_Number"/>
      <w:r>
        <w:rPr>
          <w:rFonts w:hint="cs"/>
          <w:rtl/>
        </w:rPr>
        <w:t>פ/3446/20</w:t>
      </w:r>
      <w:bookmarkEnd w:id="7"/>
    </w:p>
    <w:p w14:paraId="7F6961AC" w14:textId="77777777" w:rsidR="00E13C27" w:rsidRDefault="00E13C27" w:rsidP="00E13C27">
      <w:pPr>
        <w:spacing w:before="0" w:line="360" w:lineRule="auto"/>
        <w:ind w:left="2880" w:firstLine="720"/>
        <w:rPr>
          <w:rFonts w:cs="David"/>
          <w:sz w:val="26"/>
          <w:szCs w:val="26"/>
          <w:rtl/>
        </w:rPr>
      </w:pPr>
    </w:p>
    <w:p w14:paraId="7F6961AD" w14:textId="4EB89C89" w:rsidR="00E13C27" w:rsidRPr="00F67051" w:rsidRDefault="00A443CF" w:rsidP="0021633A">
      <w:pPr>
        <w:pStyle w:val="HeadHatzaotHok"/>
        <w:rPr>
          <w:rtl/>
        </w:rPr>
      </w:pPr>
      <w:bookmarkStart w:id="8" w:name="LGS_Subject"/>
      <w:r>
        <w:rPr>
          <w:rFonts w:hint="cs"/>
          <w:rtl/>
        </w:rPr>
        <w:t xml:space="preserve">הצעת חוק שירות לאומי-אזרחי (תיקון – איסור מימון מדינה זרה), </w:t>
      </w:r>
      <w:proofErr w:type="spellStart"/>
      <w:r>
        <w:rPr>
          <w:rFonts w:hint="cs"/>
          <w:rtl/>
        </w:rPr>
        <w:t>התשע"ז</w:t>
      </w:r>
      <w:proofErr w:type="spellEnd"/>
      <w:r>
        <w:rPr>
          <w:rFonts w:hint="cs"/>
          <w:rtl/>
        </w:rPr>
        <w:t>–2016</w:t>
      </w:r>
      <w:bookmarkEnd w:id="8"/>
    </w:p>
    <w:p w14:paraId="7F6961AE" w14:textId="77777777" w:rsidR="00E13C27" w:rsidRDefault="00E13C27" w:rsidP="0021633A">
      <w:pPr>
        <w:pStyle w:val="HeadDivreiHesber"/>
        <w:spacing w:before="0" w:after="0"/>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5526A2" w14:paraId="755B68AF" w14:textId="77777777" w:rsidTr="009F6862">
        <w:trPr>
          <w:cantSplit/>
          <w:trHeight w:val="60"/>
        </w:trPr>
        <w:tc>
          <w:tcPr>
            <w:tcW w:w="1871" w:type="dxa"/>
          </w:tcPr>
          <w:p w14:paraId="17174D71" w14:textId="77777777" w:rsidR="005526A2" w:rsidRDefault="005526A2" w:rsidP="009F6862">
            <w:pPr>
              <w:pStyle w:val="TableSideHeading"/>
              <w:keepLines w:val="0"/>
            </w:pPr>
            <w:r>
              <w:rPr>
                <w:rFonts w:hint="cs"/>
                <w:rtl/>
              </w:rPr>
              <w:t>תיקון סעיף 14</w:t>
            </w:r>
          </w:p>
        </w:tc>
        <w:tc>
          <w:tcPr>
            <w:tcW w:w="624" w:type="dxa"/>
          </w:tcPr>
          <w:p w14:paraId="7402A809" w14:textId="77777777" w:rsidR="005526A2" w:rsidRDefault="005526A2" w:rsidP="009F6862">
            <w:pPr>
              <w:pStyle w:val="TableText"/>
              <w:keepLines w:val="0"/>
            </w:pPr>
            <w:r>
              <w:rPr>
                <w:rFonts w:hint="cs"/>
                <w:rtl/>
              </w:rPr>
              <w:t>1.</w:t>
            </w:r>
          </w:p>
        </w:tc>
        <w:tc>
          <w:tcPr>
            <w:tcW w:w="7146" w:type="dxa"/>
          </w:tcPr>
          <w:p w14:paraId="24F5661F" w14:textId="75F87B8A" w:rsidR="005526A2" w:rsidRPr="00C34DE2" w:rsidRDefault="00776EA6" w:rsidP="00776EA6">
            <w:pPr>
              <w:pStyle w:val="TableBlock"/>
              <w:keepLines w:val="0"/>
            </w:pPr>
            <w:r>
              <w:rPr>
                <w:rFonts w:hint="cs"/>
                <w:rtl/>
              </w:rPr>
              <w:t>ב</w:t>
            </w:r>
            <w:r w:rsidR="005526A2">
              <w:rPr>
                <w:rFonts w:hint="cs"/>
                <w:rtl/>
              </w:rPr>
              <w:t xml:space="preserve">חוק שירות לאומי-אזרחי, </w:t>
            </w:r>
            <w:proofErr w:type="spellStart"/>
            <w:r w:rsidR="005526A2">
              <w:rPr>
                <w:rFonts w:hint="cs"/>
                <w:rtl/>
              </w:rPr>
              <w:t>התשע"ד</w:t>
            </w:r>
            <w:proofErr w:type="spellEnd"/>
            <w:r w:rsidR="005526A2">
              <w:rPr>
                <w:rFonts w:hint="eastAsia"/>
                <w:rtl/>
              </w:rPr>
              <w:t>–</w:t>
            </w:r>
            <w:r w:rsidR="005526A2">
              <w:rPr>
                <w:rFonts w:hint="cs"/>
                <w:rtl/>
              </w:rPr>
              <w:t>2014</w:t>
            </w:r>
            <w:r w:rsidR="005526A2">
              <w:rPr>
                <w:rStyle w:val="a6"/>
                <w:rtl/>
              </w:rPr>
              <w:footnoteReference w:id="2"/>
            </w:r>
            <w:r w:rsidR="005526A2">
              <w:rPr>
                <w:rFonts w:hint="cs"/>
                <w:rtl/>
              </w:rPr>
              <w:t xml:space="preserve">, </w:t>
            </w:r>
            <w:r>
              <w:rPr>
                <w:rFonts w:hint="cs"/>
                <w:rtl/>
              </w:rPr>
              <w:t xml:space="preserve">בסעיף 14(ד), </w:t>
            </w:r>
            <w:r w:rsidR="005526A2">
              <w:rPr>
                <w:rFonts w:hint="cs"/>
                <w:rtl/>
              </w:rPr>
              <w:t>אחרי</w:t>
            </w:r>
            <w:r w:rsidR="005526A2" w:rsidRPr="00DC1E3C">
              <w:rPr>
                <w:rtl/>
              </w:rPr>
              <w:t xml:space="preserve"> </w:t>
            </w:r>
            <w:r w:rsidR="005526A2">
              <w:rPr>
                <w:rFonts w:hint="cs"/>
                <w:rtl/>
              </w:rPr>
              <w:t>פסקה</w:t>
            </w:r>
            <w:r w:rsidR="005526A2" w:rsidRPr="00DC1E3C">
              <w:rPr>
                <w:rtl/>
              </w:rPr>
              <w:t xml:space="preserve"> (</w:t>
            </w:r>
            <w:r w:rsidR="005526A2">
              <w:rPr>
                <w:rFonts w:hint="cs"/>
                <w:rtl/>
              </w:rPr>
              <w:t>6</w:t>
            </w:r>
            <w:r w:rsidR="005526A2" w:rsidRPr="00DC1E3C">
              <w:rPr>
                <w:rtl/>
              </w:rPr>
              <w:t xml:space="preserve">) יבוא: </w:t>
            </w:r>
          </w:p>
        </w:tc>
      </w:tr>
      <w:tr w:rsidR="00ED3412" w14:paraId="4E45B502" w14:textId="77777777" w:rsidTr="00E737EB">
        <w:trPr>
          <w:cantSplit/>
          <w:trHeight w:val="60"/>
        </w:trPr>
        <w:tc>
          <w:tcPr>
            <w:tcW w:w="1871" w:type="dxa"/>
          </w:tcPr>
          <w:p w14:paraId="4ECBEEF8" w14:textId="77777777" w:rsidR="00ED3412" w:rsidRDefault="00ED3412" w:rsidP="009F6862">
            <w:pPr>
              <w:pStyle w:val="TableSideHeading"/>
            </w:pPr>
          </w:p>
        </w:tc>
        <w:tc>
          <w:tcPr>
            <w:tcW w:w="624" w:type="dxa"/>
          </w:tcPr>
          <w:p w14:paraId="009B816E" w14:textId="77777777" w:rsidR="00ED3412" w:rsidRDefault="00ED3412" w:rsidP="009F6862">
            <w:pPr>
              <w:pStyle w:val="TableText"/>
            </w:pPr>
          </w:p>
        </w:tc>
        <w:tc>
          <w:tcPr>
            <w:tcW w:w="7146" w:type="dxa"/>
          </w:tcPr>
          <w:p w14:paraId="50BF1998" w14:textId="77777777" w:rsidR="00ED3412" w:rsidRDefault="00ED3412" w:rsidP="009F6862">
            <w:pPr>
              <w:pStyle w:val="TableBlock"/>
            </w:pPr>
            <w:r>
              <w:rPr>
                <w:rFonts w:hint="cs"/>
                <w:rtl/>
              </w:rPr>
              <w:t>"</w:t>
            </w:r>
            <w:r w:rsidRPr="00DC1E3C">
              <w:rPr>
                <w:rtl/>
              </w:rPr>
              <w:t>(</w:t>
            </w:r>
            <w:r>
              <w:rPr>
                <w:rFonts w:hint="cs"/>
                <w:rtl/>
              </w:rPr>
              <w:t>7</w:t>
            </w:r>
            <w:r w:rsidRPr="00DC1E3C">
              <w:rPr>
                <w:rtl/>
              </w:rPr>
              <w:t xml:space="preserve">) </w:t>
            </w:r>
            <w:r>
              <w:rPr>
                <w:rtl/>
              </w:rPr>
              <w:tab/>
            </w:r>
            <w:r w:rsidRPr="00DC1E3C">
              <w:rPr>
                <w:rtl/>
              </w:rPr>
              <w:t>עיקר מימונ</w:t>
            </w:r>
            <w:r>
              <w:rPr>
                <w:rFonts w:hint="cs"/>
                <w:rtl/>
              </w:rPr>
              <w:t>ו של התאגיד אינו</w:t>
            </w:r>
            <w:r w:rsidRPr="00DC1E3C">
              <w:rPr>
                <w:rtl/>
              </w:rPr>
              <w:t xml:space="preserve"> מתרומות של ישות מדינית זרה</w:t>
            </w:r>
            <w:r>
              <w:rPr>
                <w:rFonts w:hint="cs"/>
                <w:rtl/>
              </w:rPr>
              <w:t xml:space="preserve">; בסעיף זה, "ישות מדינת זרה" </w:t>
            </w:r>
            <w:r>
              <w:rPr>
                <w:rtl/>
              </w:rPr>
              <w:t>–</w:t>
            </w:r>
            <w:r>
              <w:rPr>
                <w:rFonts w:hint="cs"/>
                <w:rtl/>
              </w:rPr>
              <w:t xml:space="preserve"> כהגדרתה בסעיף 36א(א) לחוק העמותות, התש"ם-1980</w:t>
            </w:r>
            <w:r>
              <w:rPr>
                <w:rStyle w:val="a6"/>
                <w:rtl/>
              </w:rPr>
              <w:footnoteReference w:id="3"/>
            </w:r>
            <w:r w:rsidRPr="00DC1E3C">
              <w:rPr>
                <w:rtl/>
              </w:rPr>
              <w:t>.</w:t>
            </w:r>
            <w:r>
              <w:rPr>
                <w:rFonts w:hint="cs"/>
                <w:rtl/>
              </w:rPr>
              <w:t>"</w:t>
            </w:r>
          </w:p>
        </w:tc>
      </w:tr>
    </w:tbl>
    <w:p w14:paraId="7F6961CA" w14:textId="77777777" w:rsidR="002D1EE3" w:rsidRDefault="002D1EE3" w:rsidP="002D1EE3">
      <w:pPr>
        <w:pStyle w:val="HeadDivreiHesber"/>
        <w:rPr>
          <w:rtl/>
        </w:rPr>
      </w:pPr>
      <w:r w:rsidRPr="0027450A">
        <w:rPr>
          <w:rFonts w:hint="cs"/>
          <w:rtl/>
        </w:rPr>
        <w:t>דברי הסבר</w:t>
      </w:r>
    </w:p>
    <w:p w14:paraId="2198C2BB" w14:textId="1DE326FC" w:rsidR="005526A2" w:rsidRPr="003D51BD" w:rsidRDefault="005526A2" w:rsidP="00ED3412">
      <w:pPr>
        <w:pStyle w:val="Hesber"/>
        <w:spacing w:line="276" w:lineRule="auto"/>
        <w:rPr>
          <w:rtl/>
        </w:rPr>
      </w:pPr>
      <w:r w:rsidRPr="003D51BD">
        <w:rPr>
          <w:rFonts w:hint="cs"/>
          <w:rtl/>
        </w:rPr>
        <w:t xml:space="preserve">חוק שירות לאומי-אזרחי, </w:t>
      </w:r>
      <w:proofErr w:type="spellStart"/>
      <w:r w:rsidRPr="003D51BD">
        <w:rPr>
          <w:rFonts w:hint="cs"/>
          <w:rtl/>
        </w:rPr>
        <w:t>התשע"ד</w:t>
      </w:r>
      <w:proofErr w:type="spellEnd"/>
      <w:r w:rsidR="00776EA6">
        <w:rPr>
          <w:rFonts w:hint="eastAsia"/>
          <w:rtl/>
        </w:rPr>
        <w:t>–</w:t>
      </w:r>
      <w:r w:rsidRPr="003D51BD">
        <w:rPr>
          <w:rFonts w:hint="cs"/>
          <w:rtl/>
        </w:rPr>
        <w:t>2014</w:t>
      </w:r>
      <w:r w:rsidR="00ED3412">
        <w:rPr>
          <w:rFonts w:hint="cs"/>
          <w:rtl/>
        </w:rPr>
        <w:t xml:space="preserve">, </w:t>
      </w:r>
      <w:r w:rsidRPr="003D51BD">
        <w:rPr>
          <w:rFonts w:hint="cs"/>
          <w:rtl/>
        </w:rPr>
        <w:t xml:space="preserve">מסדיר את השירות הלאומי-אזרחי כחלופה לשירות צבאי, בהתאם להוראות חוק שירות ביטחון [נוסח משולב], </w:t>
      </w:r>
      <w:proofErr w:type="spellStart"/>
      <w:r w:rsidRPr="003D51BD">
        <w:rPr>
          <w:rFonts w:hint="cs"/>
          <w:rtl/>
        </w:rPr>
        <w:t>התשמ"ו</w:t>
      </w:r>
      <w:proofErr w:type="spellEnd"/>
      <w:r w:rsidR="00776EA6">
        <w:rPr>
          <w:rFonts w:hint="eastAsia"/>
          <w:rtl/>
        </w:rPr>
        <w:t>–</w:t>
      </w:r>
      <w:r w:rsidRPr="003D51BD">
        <w:rPr>
          <w:rFonts w:hint="cs"/>
          <w:rtl/>
        </w:rPr>
        <w:t>1986. זהו</w:t>
      </w:r>
      <w:r w:rsidRPr="003D51BD">
        <w:rPr>
          <w:rtl/>
        </w:rPr>
        <w:t xml:space="preserve"> </w:t>
      </w:r>
      <w:proofErr w:type="spellStart"/>
      <w:r w:rsidRPr="003D51BD">
        <w:rPr>
          <w:rtl/>
        </w:rPr>
        <w:t>פ</w:t>
      </w:r>
      <w:r w:rsidRPr="003D51BD">
        <w:rPr>
          <w:rFonts w:hint="cs"/>
          <w:rtl/>
        </w:rPr>
        <w:t>י</w:t>
      </w:r>
      <w:r w:rsidRPr="003D51BD">
        <w:rPr>
          <w:rtl/>
        </w:rPr>
        <w:t>תרון</w:t>
      </w:r>
      <w:proofErr w:type="spellEnd"/>
      <w:r w:rsidRPr="003D51BD">
        <w:rPr>
          <w:rtl/>
        </w:rPr>
        <w:t xml:space="preserve"> חשוב </w:t>
      </w:r>
      <w:r w:rsidRPr="003D51BD">
        <w:rPr>
          <w:rFonts w:hint="cs"/>
          <w:rtl/>
        </w:rPr>
        <w:t xml:space="preserve">המאפשר </w:t>
      </w:r>
      <w:r w:rsidRPr="003D51BD">
        <w:rPr>
          <w:rtl/>
        </w:rPr>
        <w:t xml:space="preserve">לשרת ולתרום לחברה הישראלית, שלא במסגרת שירות צבאי. </w:t>
      </w:r>
    </w:p>
    <w:p w14:paraId="7C734923" w14:textId="77777777" w:rsidR="005526A2" w:rsidRPr="003D51BD" w:rsidRDefault="005526A2" w:rsidP="00ED3412">
      <w:pPr>
        <w:pStyle w:val="Hesber"/>
        <w:spacing w:line="276" w:lineRule="auto"/>
        <w:rPr>
          <w:rtl/>
        </w:rPr>
      </w:pPr>
      <w:r w:rsidRPr="003D51BD">
        <w:rPr>
          <w:rtl/>
        </w:rPr>
        <w:t>השירות הלאומי</w:t>
      </w:r>
      <w:r w:rsidRPr="003D51BD">
        <w:rPr>
          <w:rFonts w:hint="cs"/>
          <w:rtl/>
        </w:rPr>
        <w:t>-</w:t>
      </w:r>
      <w:r w:rsidRPr="003D51BD">
        <w:rPr>
          <w:rtl/>
        </w:rPr>
        <w:t>אזרחי נעשה לרוב במסגרות חינוכיות, רפואיות או בפעילויות רווחה שונות. המעסיק של בני השירות מפיק שני רווחים עיקריים</w:t>
      </w:r>
      <w:r w:rsidRPr="003D51BD">
        <w:rPr>
          <w:rFonts w:hint="cs"/>
          <w:rtl/>
        </w:rPr>
        <w:t>:</w:t>
      </w:r>
      <w:r w:rsidRPr="003D51BD">
        <w:rPr>
          <w:rtl/>
        </w:rPr>
        <w:t xml:space="preserve"> כסות מדינית וחברתית לגיטימית קונצנזואלית ומתנדבים איכותיים שממלאים תקן של עובד בעלות מסובסדת על ידי המדינה.</w:t>
      </w:r>
    </w:p>
    <w:p w14:paraId="6DC9AF4F" w14:textId="77777777" w:rsidR="005526A2" w:rsidRPr="003D51BD" w:rsidRDefault="005526A2" w:rsidP="00ED3412">
      <w:pPr>
        <w:pStyle w:val="Hesber"/>
        <w:spacing w:line="276" w:lineRule="auto"/>
        <w:rPr>
          <w:rtl/>
        </w:rPr>
      </w:pPr>
      <w:r w:rsidRPr="003D51BD">
        <w:rPr>
          <w:rtl/>
        </w:rPr>
        <w:t>בשנים האחרונות אנו עדים למציאות בה גופים ישראליים אשר עיקר מימונם (למעלה</w:t>
      </w:r>
      <w:r w:rsidRPr="003D51BD">
        <w:rPr>
          <w:rFonts w:hint="cs"/>
          <w:rtl/>
        </w:rPr>
        <w:t xml:space="preserve"> </w:t>
      </w:r>
      <w:r w:rsidRPr="003D51BD">
        <w:rPr>
          <w:rtl/>
        </w:rPr>
        <w:t>מ-50%) מגיע מישויות מדיניות זרות, נהנים אף הם מהטבת המדינה של תקני השירות הלאומי לתועלתם. המשמעות היא שמדינת ישראל, באמצעות משרתי השירות הלאומי, פועלת נגד עצמה ולתועלתם של ארגונים שלוחים על ידי מדינות זרות, בין השאר תוך הצגתה של מדינת ישראל כפושעת מלחמה, הגנה על אויבי ישראל והכפשתם של חיילי צבא ההגנה לישראל.</w:t>
      </w:r>
      <w:r w:rsidRPr="003D51BD">
        <w:rPr>
          <w:rFonts w:hint="cs"/>
          <w:rtl/>
        </w:rPr>
        <w:t xml:space="preserve"> </w:t>
      </w:r>
    </w:p>
    <w:p w14:paraId="793551C6" w14:textId="60A06BE0" w:rsidR="00DC1E3C" w:rsidRDefault="005526A2" w:rsidP="00ED3412">
      <w:pPr>
        <w:pStyle w:val="Hesber"/>
        <w:spacing w:line="276" w:lineRule="auto"/>
        <w:rPr>
          <w:rtl/>
        </w:rPr>
      </w:pPr>
      <w:r w:rsidRPr="003D51BD">
        <w:rPr>
          <w:rFonts w:hint="cs"/>
          <w:rtl/>
        </w:rPr>
        <w:t xml:space="preserve">התיקון המוצע ימנע מצב בו מדינת ישראל מספקת כוח אדם באמצעות מערך השירות הלאומי לגופים ועמותות שעיקר פעילותם במימון של מדינה זרה. </w:t>
      </w:r>
    </w:p>
    <w:p w14:paraId="2A9CDAF6" w14:textId="77777777" w:rsidR="00ED3412" w:rsidRDefault="00ED3412" w:rsidP="00ED3412">
      <w:pPr>
        <w:pStyle w:val="Hesber"/>
        <w:spacing w:line="276" w:lineRule="auto"/>
        <w:rPr>
          <w:rtl/>
        </w:rPr>
      </w:pPr>
    </w:p>
    <w:p w14:paraId="5B4F61FF" w14:textId="77777777" w:rsidR="00ED3412" w:rsidRPr="00D73212" w:rsidRDefault="00ED3412" w:rsidP="00ED3412">
      <w:pPr>
        <w:pStyle w:val="Hesber"/>
        <w:spacing w:line="276" w:lineRule="auto"/>
        <w:rPr>
          <w:color w:val="auto"/>
          <w:rtl/>
          <w:lang w:eastAsia="en-US"/>
        </w:rPr>
      </w:pPr>
      <w:r w:rsidRPr="00D73212">
        <w:rPr>
          <w:color w:val="auto"/>
          <w:rtl/>
          <w:lang w:eastAsia="en-US"/>
        </w:rPr>
        <w:t>---------------------------------</w:t>
      </w:r>
    </w:p>
    <w:p w14:paraId="0F6F48AF" w14:textId="77777777" w:rsidR="00ED3412" w:rsidRPr="00D73212" w:rsidRDefault="00ED3412" w:rsidP="00ED3412">
      <w:pPr>
        <w:pStyle w:val="Hesber"/>
        <w:spacing w:line="276" w:lineRule="auto"/>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3B441B45" w14:textId="77777777" w:rsidR="00ED3412" w:rsidRPr="00D73212" w:rsidRDefault="00ED3412" w:rsidP="00ED3412">
      <w:pPr>
        <w:pStyle w:val="Hesber"/>
        <w:spacing w:line="276" w:lineRule="auto"/>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50DEBEC5" w14:textId="0F5C8BD5" w:rsidR="00ED3412" w:rsidRPr="003D51BD" w:rsidRDefault="00ED3412" w:rsidP="00ED3412">
      <w:pPr>
        <w:pStyle w:val="Hesber"/>
        <w:spacing w:line="276" w:lineRule="auto"/>
        <w:rPr>
          <w:rtl/>
        </w:rPr>
      </w:pPr>
      <w:r>
        <w:rPr>
          <w:rFonts w:hint="cs"/>
          <w:color w:val="auto"/>
          <w:rtl/>
          <w:lang w:eastAsia="en-US"/>
        </w:rPr>
        <w:t>ו' בחשוון</w:t>
      </w:r>
      <w:r w:rsidRPr="00D73212">
        <w:rPr>
          <w:color w:val="auto"/>
          <w:rtl/>
          <w:lang w:eastAsia="en-US"/>
        </w:rPr>
        <w:t xml:space="preserve"> </w:t>
      </w:r>
      <w:proofErr w:type="spellStart"/>
      <w:r w:rsidRPr="00D73212">
        <w:rPr>
          <w:rFonts w:hint="cs"/>
          <w:color w:val="auto"/>
          <w:rtl/>
          <w:lang w:eastAsia="en-US"/>
        </w:rPr>
        <w:t>התשע</w:t>
      </w:r>
      <w:r w:rsidRPr="00D73212">
        <w:rPr>
          <w:color w:val="auto"/>
          <w:rtl/>
          <w:lang w:eastAsia="en-US"/>
        </w:rPr>
        <w:t>"</w:t>
      </w:r>
      <w:r>
        <w:rPr>
          <w:rFonts w:hint="cs"/>
          <w:color w:val="auto"/>
          <w:rtl/>
          <w:lang w:eastAsia="en-US"/>
        </w:rPr>
        <w:t>ז</w:t>
      </w:r>
      <w:proofErr w:type="spellEnd"/>
      <w:r w:rsidRPr="00D73212">
        <w:rPr>
          <w:color w:val="auto"/>
          <w:rtl/>
          <w:lang w:eastAsia="en-US"/>
        </w:rPr>
        <w:t xml:space="preserve"> – </w:t>
      </w:r>
      <w:r>
        <w:rPr>
          <w:rFonts w:hint="cs"/>
          <w:color w:val="auto"/>
          <w:rtl/>
          <w:lang w:eastAsia="en-US"/>
        </w:rPr>
        <w:t>7.11</w:t>
      </w:r>
      <w:r w:rsidRPr="00D73212">
        <w:rPr>
          <w:color w:val="auto"/>
          <w:rtl/>
          <w:lang w:eastAsia="en-US"/>
        </w:rPr>
        <w:t>.1</w:t>
      </w:r>
      <w:r>
        <w:rPr>
          <w:rFonts w:hint="cs"/>
          <w:color w:val="auto"/>
          <w:rtl/>
          <w:lang w:eastAsia="en-US"/>
        </w:rPr>
        <w:t>6</w:t>
      </w:r>
    </w:p>
    <w:sectPr w:rsidR="00ED3412" w:rsidRPr="003D51BD"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03A1D2" w14:textId="77777777" w:rsidR="00F33C97" w:rsidRDefault="00F33C97">
      <w:r>
        <w:separator/>
      </w:r>
    </w:p>
  </w:endnote>
  <w:endnote w:type="continuationSeparator" w:id="0">
    <w:p w14:paraId="1C39403C" w14:textId="77777777" w:rsidR="00F33C97" w:rsidRDefault="00F33C97">
      <w:r>
        <w:continuationSeparator/>
      </w:r>
    </w:p>
  </w:endnote>
  <w:endnote w:type="continuationNotice" w:id="1">
    <w:p w14:paraId="5715E03D" w14:textId="77777777" w:rsidR="00F33C97" w:rsidRDefault="00F33C97">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ED3412">
      <w:rPr>
        <w:rStyle w:val="ab"/>
        <w:noProof/>
        <w:rtl/>
      </w:rPr>
      <w:t>2</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723373" w14:textId="77777777" w:rsidR="00F33C97" w:rsidRDefault="00F33C97">
      <w:r>
        <w:separator/>
      </w:r>
    </w:p>
  </w:footnote>
  <w:footnote w:type="continuationSeparator" w:id="0">
    <w:p w14:paraId="18706E61" w14:textId="77777777" w:rsidR="00F33C97" w:rsidRDefault="00F33C97">
      <w:r>
        <w:continuationSeparator/>
      </w:r>
    </w:p>
  </w:footnote>
  <w:footnote w:type="continuationNotice" w:id="1">
    <w:p w14:paraId="44403355" w14:textId="77777777" w:rsidR="00F33C97" w:rsidRDefault="00F33C97"/>
  </w:footnote>
  <w:footnote w:id="2">
    <w:p w14:paraId="633DF0EE" w14:textId="2E5B48C5" w:rsidR="005526A2" w:rsidRDefault="005526A2" w:rsidP="005526A2">
      <w:pPr>
        <w:pStyle w:val="a4"/>
        <w:rPr>
          <w:rtl/>
        </w:rPr>
      </w:pPr>
      <w:r>
        <w:rPr>
          <w:rStyle w:val="a6"/>
        </w:rPr>
        <w:footnoteRef/>
      </w:r>
      <w:r>
        <w:rPr>
          <w:rtl/>
        </w:rPr>
        <w:t xml:space="preserve"> </w:t>
      </w:r>
      <w:r>
        <w:rPr>
          <w:rFonts w:hint="cs"/>
          <w:rtl/>
        </w:rPr>
        <w:t xml:space="preserve">ס"ח </w:t>
      </w:r>
      <w:proofErr w:type="spellStart"/>
      <w:r w:rsidR="00ED3412">
        <w:rPr>
          <w:rFonts w:hint="cs"/>
          <w:rtl/>
        </w:rPr>
        <w:t>ה</w:t>
      </w:r>
      <w:r>
        <w:rPr>
          <w:rFonts w:hint="cs"/>
          <w:rtl/>
        </w:rPr>
        <w:t>תשע"ד</w:t>
      </w:r>
      <w:proofErr w:type="spellEnd"/>
      <w:r>
        <w:rPr>
          <w:rFonts w:hint="cs"/>
          <w:rtl/>
        </w:rPr>
        <w:t>, עמ' 380.</w:t>
      </w:r>
    </w:p>
  </w:footnote>
  <w:footnote w:id="3">
    <w:p w14:paraId="5A50C72E" w14:textId="77777777" w:rsidR="00ED3412" w:rsidRDefault="00ED3412" w:rsidP="005526A2">
      <w:pPr>
        <w:pStyle w:val="a4"/>
      </w:pPr>
      <w:r>
        <w:rPr>
          <w:rStyle w:val="a6"/>
        </w:rPr>
        <w:footnoteRef/>
      </w:r>
      <w:r>
        <w:rPr>
          <w:rtl/>
        </w:rPr>
        <w:t xml:space="preserve"> </w:t>
      </w:r>
      <w:r>
        <w:rPr>
          <w:rFonts w:hint="cs"/>
          <w:rtl/>
        </w:rPr>
        <w:t xml:space="preserve">ס"ח </w:t>
      </w:r>
      <w:proofErr w:type="spellStart"/>
      <w:r>
        <w:rPr>
          <w:rFonts w:hint="cs"/>
          <w:rtl/>
        </w:rPr>
        <w:t>התש"ם</w:t>
      </w:r>
      <w:proofErr w:type="spellEnd"/>
      <w:r>
        <w:rPr>
          <w:rFonts w:hint="cs"/>
          <w:rtl/>
        </w:rPr>
        <w:t>, עמ' 210.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102B6B"/>
    <w:rsid w:val="001052D4"/>
    <w:rsid w:val="0010644B"/>
    <w:rsid w:val="001207F8"/>
    <w:rsid w:val="00121924"/>
    <w:rsid w:val="001279A8"/>
    <w:rsid w:val="0014195F"/>
    <w:rsid w:val="00152609"/>
    <w:rsid w:val="00153E1B"/>
    <w:rsid w:val="001A0623"/>
    <w:rsid w:val="001A79E4"/>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91528"/>
    <w:rsid w:val="00292712"/>
    <w:rsid w:val="002A487D"/>
    <w:rsid w:val="002C2E29"/>
    <w:rsid w:val="002C3041"/>
    <w:rsid w:val="002D1EE3"/>
    <w:rsid w:val="002F1D80"/>
    <w:rsid w:val="003232A2"/>
    <w:rsid w:val="00325C14"/>
    <w:rsid w:val="0036422C"/>
    <w:rsid w:val="003710F6"/>
    <w:rsid w:val="00384A4F"/>
    <w:rsid w:val="00386E88"/>
    <w:rsid w:val="00396585"/>
    <w:rsid w:val="003D51BD"/>
    <w:rsid w:val="003D6E38"/>
    <w:rsid w:val="003D74A0"/>
    <w:rsid w:val="004033D8"/>
    <w:rsid w:val="004073F0"/>
    <w:rsid w:val="00412A7D"/>
    <w:rsid w:val="00416B4D"/>
    <w:rsid w:val="00417CFC"/>
    <w:rsid w:val="004A06DC"/>
    <w:rsid w:val="004B24ED"/>
    <w:rsid w:val="004B6625"/>
    <w:rsid w:val="004D2D82"/>
    <w:rsid w:val="004D3876"/>
    <w:rsid w:val="004E4552"/>
    <w:rsid w:val="004E6CDF"/>
    <w:rsid w:val="005526A2"/>
    <w:rsid w:val="00553C9D"/>
    <w:rsid w:val="00562A66"/>
    <w:rsid w:val="005B064E"/>
    <w:rsid w:val="005D51AE"/>
    <w:rsid w:val="0062674B"/>
    <w:rsid w:val="006335E2"/>
    <w:rsid w:val="006363B2"/>
    <w:rsid w:val="00644940"/>
    <w:rsid w:val="006818A9"/>
    <w:rsid w:val="006A2D81"/>
    <w:rsid w:val="006C1D0D"/>
    <w:rsid w:val="0070601E"/>
    <w:rsid w:val="00712C72"/>
    <w:rsid w:val="00735FE9"/>
    <w:rsid w:val="00763CAA"/>
    <w:rsid w:val="00765F66"/>
    <w:rsid w:val="00776EA6"/>
    <w:rsid w:val="0078664F"/>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443CF"/>
    <w:rsid w:val="00A6611D"/>
    <w:rsid w:val="00A82CB7"/>
    <w:rsid w:val="00A942C1"/>
    <w:rsid w:val="00AA2F03"/>
    <w:rsid w:val="00AC36F7"/>
    <w:rsid w:val="00AC63A4"/>
    <w:rsid w:val="00AD239E"/>
    <w:rsid w:val="00B10265"/>
    <w:rsid w:val="00B16A99"/>
    <w:rsid w:val="00B21211"/>
    <w:rsid w:val="00B35784"/>
    <w:rsid w:val="00B733A7"/>
    <w:rsid w:val="00B75C91"/>
    <w:rsid w:val="00B975AD"/>
    <w:rsid w:val="00BC45FB"/>
    <w:rsid w:val="00BF148D"/>
    <w:rsid w:val="00C23B1A"/>
    <w:rsid w:val="00C310EB"/>
    <w:rsid w:val="00C90AB2"/>
    <w:rsid w:val="00C9176A"/>
    <w:rsid w:val="00CF1AA2"/>
    <w:rsid w:val="00D17774"/>
    <w:rsid w:val="00D21723"/>
    <w:rsid w:val="00D63620"/>
    <w:rsid w:val="00D8410D"/>
    <w:rsid w:val="00D867D7"/>
    <w:rsid w:val="00DB7060"/>
    <w:rsid w:val="00DC1E3C"/>
    <w:rsid w:val="00DE3153"/>
    <w:rsid w:val="00E06736"/>
    <w:rsid w:val="00E13C27"/>
    <w:rsid w:val="00E33BBD"/>
    <w:rsid w:val="00E374F2"/>
    <w:rsid w:val="00E45103"/>
    <w:rsid w:val="00E55A60"/>
    <w:rsid w:val="00E62778"/>
    <w:rsid w:val="00E63D38"/>
    <w:rsid w:val="00E665B9"/>
    <w:rsid w:val="00E860D5"/>
    <w:rsid w:val="00EA01E6"/>
    <w:rsid w:val="00EA3DE8"/>
    <w:rsid w:val="00EA758F"/>
    <w:rsid w:val="00ED3412"/>
    <w:rsid w:val="00ED4A6F"/>
    <w:rsid w:val="00EF3A3A"/>
    <w:rsid w:val="00F33C97"/>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E7CC2A52-7C30-40EF-A06A-B08F5CE6E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semiHidden/>
    <w:rsid w:val="005526A2"/>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2.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4252648-DAF4-43AD-8368-1C2C7743BF4C}"/>
</file>

<file path=customXml/itemProps4.xml><?xml version="1.0" encoding="utf-8"?>
<ds:datastoreItem xmlns:ds="http://schemas.openxmlformats.org/officeDocument/2006/customXml" ds:itemID="{6CF3AD0B-015F-4A47-A4E6-B91DDA4679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266</Words>
  <Characters>1335</Characters>
  <Application>Microsoft Office Word</Application>
  <DocSecurity>0</DocSecurity>
  <Lines>11</Lines>
  <Paragraphs>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1598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מעיין בן עמי</cp:lastModifiedBy>
  <cp:revision>2</cp:revision>
  <cp:lastPrinted>2016-11-03T11:21:00Z</cp:lastPrinted>
  <dcterms:created xsi:type="dcterms:W3CDTF">2017-01-25T11:22:00Z</dcterms:created>
  <dcterms:modified xsi:type="dcterms:W3CDTF">2017-01-25T11:22:00Z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2011532</vt:r8>
  </property>
</Properties>
</file>