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2002763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יעקב פרי</w:t>
      </w:r>
      <w:r>
        <w:br/>
      </w:r>
      <w:r>
        <w:rPr>
          <w:rFonts w:hint="cs"/>
          <w:b/>
          <w:bCs/>
          <w:rtl/>
        </w:rPr>
        <w:t xml:space="preserve"> </w:t>
      </w:r>
      <w:r>
        <w:tab/>
      </w:r>
      <w:r>
        <w:tab/>
      </w:r>
      <w:r>
        <w:tab/>
      </w:r>
      <w:r>
        <w:tab/>
      </w:r>
      <w:r>
        <w:rPr>
          <w:rFonts w:hint="cs"/>
          <w:b/>
          <w:bCs/>
          <w:rtl/>
        </w:rPr>
        <w:t>חיים ילין</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אלעזר שטרן</w:t>
      </w:r>
      <w:r>
        <w:br/>
      </w:r>
      <w:r>
        <w:rPr>
          <w:rFonts w:hint="cs"/>
          <w:b/>
          <w:bCs/>
          <w:rtl/>
        </w:rPr>
        <w:t xml:space="preserve"> </w:t>
      </w:r>
      <w:r>
        <w:tab/>
      </w:r>
      <w:r>
        <w:tab/>
      </w:r>
      <w:r>
        <w:tab/>
      </w:r>
      <w:r>
        <w:tab/>
      </w:r>
      <w:r>
        <w:rPr>
          <w:rFonts w:hint="cs"/>
          <w:b/>
          <w:bCs/>
          <w:rtl/>
        </w:rPr>
        <w:t>מאיר כהן</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 xml:space="preserve">יעקב </w:t>
      </w:r>
      <w:proofErr w:type="spellStart"/>
      <w:r>
        <w:rPr>
          <w:rFonts w:hint="cs"/>
          <w:b/>
          <w:bCs/>
          <w:rtl/>
        </w:rPr>
        <w:t>מרגי</w:t>
      </w:r>
      <w:proofErr w:type="spellEnd"/>
      <w:r>
        <w:br/>
      </w:r>
      <w:r>
        <w:rPr>
          <w:rFonts w:hint="cs"/>
          <w:b/>
          <w:bCs/>
          <w:rtl/>
        </w:rPr>
        <w:t xml:space="preserve"> </w:t>
      </w:r>
      <w:r>
        <w:tab/>
      </w:r>
      <w:r>
        <w:tab/>
      </w:r>
      <w:r>
        <w:tab/>
      </w:r>
      <w:r>
        <w:tab/>
      </w:r>
      <w:r>
        <w:rPr>
          <w:rFonts w:hint="cs"/>
          <w:b/>
          <w:bCs/>
          <w:rtl/>
        </w:rPr>
        <w:t>מנחם אליעזר מוזס</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עודד פורר</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עליזה לביא</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פ/3181/20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2B975AB1" w:rsidR="00E13C27" w:rsidRPr="00F67051" w:rsidRDefault="00C0409E" w:rsidP="00E068FA">
      <w:pPr>
        <w:pStyle w:val="HeadHatzaotHok"/>
        <w:rPr>
          <w:rtl/>
        </w:rPr>
      </w:pPr>
      <w:bookmarkStart w:id="8" w:name="LGS_Subject"/>
      <w:r w:rsidRPr="00C0409E">
        <w:rPr>
          <w:rtl/>
        </w:rPr>
        <w:t>הצעת חוק הפיקוח על שירותי</w:t>
      </w:r>
      <w:r>
        <w:rPr>
          <w:rtl/>
        </w:rPr>
        <w:t>ם פיננסיים (קופות גמל) (תיקון</w:t>
      </w:r>
      <w:r>
        <w:rPr>
          <w:rFonts w:hint="cs"/>
          <w:rtl/>
        </w:rPr>
        <w:t xml:space="preserve"> – </w:t>
      </w:r>
      <w:r w:rsidRPr="00C0409E">
        <w:rPr>
          <w:rtl/>
        </w:rPr>
        <w:t xml:space="preserve">שלילת </w:t>
      </w:r>
      <w:r w:rsidR="00E068FA">
        <w:rPr>
          <w:rFonts w:hint="cs"/>
          <w:rtl/>
        </w:rPr>
        <w:t>פיצויי פיטורים וזכויות פנסיוניות</w:t>
      </w:r>
      <w:r w:rsidRPr="00C0409E">
        <w:rPr>
          <w:rtl/>
        </w:rPr>
        <w:t xml:space="preserve"> ממחבלים), </w:t>
      </w:r>
      <w:proofErr w:type="spellStart"/>
      <w:r w:rsidRPr="00C0409E">
        <w:rPr>
          <w:rtl/>
        </w:rPr>
        <w:t>התשע</w:t>
      </w:r>
      <w:r>
        <w:rPr>
          <w:rFonts w:hint="cs"/>
          <w:rtl/>
        </w:rPr>
        <w:t>"</w:t>
      </w:r>
      <w:r w:rsidRPr="00C0409E">
        <w:rPr>
          <w:rtl/>
        </w:rPr>
        <w:t>ו</w:t>
      </w:r>
      <w:proofErr w:type="spellEnd"/>
      <w:r>
        <w:rPr>
          <w:rFonts w:hint="cs"/>
          <w:rtl/>
        </w:rPr>
        <w:t>–</w:t>
      </w:r>
      <w:r w:rsidRPr="00C0409E">
        <w:rPr>
          <w:rtl/>
        </w:rPr>
        <w:t>2016</w:t>
      </w:r>
      <w:bookmarkEnd w:id="8"/>
    </w:p>
    <w:p w14:paraId="7F6961AE" w14:textId="77777777" w:rsidR="00E13C27" w:rsidRDefault="00E13C27" w:rsidP="0021633A">
      <w:pPr>
        <w:pStyle w:val="HeadDivreiHesber"/>
        <w:spacing w:before="0" w:after="0"/>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24"/>
        <w:gridCol w:w="624"/>
        <w:gridCol w:w="4024"/>
      </w:tblGrid>
      <w:tr w:rsidR="004C29E5" w14:paraId="1BB963EC" w14:textId="77777777" w:rsidTr="009055AF">
        <w:trPr>
          <w:cantSplit/>
        </w:trPr>
        <w:tc>
          <w:tcPr>
            <w:tcW w:w="1872" w:type="dxa"/>
            <w:hideMark/>
          </w:tcPr>
          <w:p w14:paraId="7570FF72" w14:textId="77777777" w:rsidR="004C29E5" w:rsidRDefault="004C29E5">
            <w:pPr>
              <w:pStyle w:val="TableSideHeading"/>
              <w:keepLines w:val="0"/>
              <w:rPr>
                <w:sz w:val="26"/>
              </w:rPr>
            </w:pPr>
            <w:r>
              <w:rPr>
                <w:rFonts w:hint="cs"/>
                <w:sz w:val="26"/>
                <w:rtl/>
              </w:rPr>
              <w:t>הוספת סעיף 23א</w:t>
            </w:r>
          </w:p>
        </w:tc>
        <w:tc>
          <w:tcPr>
            <w:tcW w:w="624" w:type="dxa"/>
            <w:hideMark/>
          </w:tcPr>
          <w:p w14:paraId="0B04AFA1" w14:textId="77777777" w:rsidR="004C29E5" w:rsidRDefault="004C29E5">
            <w:pPr>
              <w:pStyle w:val="TableText"/>
              <w:keepLines w:val="0"/>
              <w:rPr>
                <w:sz w:val="26"/>
                <w:rtl/>
              </w:rPr>
            </w:pPr>
            <w:r>
              <w:rPr>
                <w:rFonts w:hint="cs"/>
                <w:sz w:val="26"/>
                <w:rtl/>
              </w:rPr>
              <w:t>1.</w:t>
            </w:r>
          </w:p>
        </w:tc>
        <w:tc>
          <w:tcPr>
            <w:tcW w:w="7144" w:type="dxa"/>
            <w:gridSpan w:val="6"/>
            <w:hideMark/>
          </w:tcPr>
          <w:p w14:paraId="4DD266AA" w14:textId="77777777" w:rsidR="004C29E5" w:rsidRDefault="004C29E5" w:rsidP="002B01DC">
            <w:pPr>
              <w:pStyle w:val="TableBlock"/>
              <w:rPr>
                <w:b/>
                <w:bCs/>
                <w:rtl/>
              </w:rPr>
            </w:pPr>
            <w:r>
              <w:rPr>
                <w:rFonts w:hint="cs"/>
                <w:rtl/>
              </w:rPr>
              <w:t xml:space="preserve">בחוק הפיקוח על שירותים פיננסיים (קופות גמל), </w:t>
            </w:r>
            <w:proofErr w:type="spellStart"/>
            <w:r>
              <w:rPr>
                <w:rFonts w:hint="cs"/>
                <w:rtl/>
              </w:rPr>
              <w:t>התשס"ה</w:t>
            </w:r>
            <w:proofErr w:type="spellEnd"/>
            <w:r>
              <w:rPr>
                <w:rFonts w:hint="cs"/>
                <w:rtl/>
              </w:rPr>
              <w:t>–2005</w:t>
            </w:r>
            <w:r>
              <w:rPr>
                <w:rStyle w:val="a6"/>
                <w:sz w:val="26"/>
                <w:rtl/>
              </w:rPr>
              <w:footnoteReference w:id="2"/>
            </w:r>
            <w:r>
              <w:rPr>
                <w:rFonts w:hint="cs"/>
                <w:rtl/>
              </w:rPr>
              <w:t>, אחרי סעיף 23 יבוא:</w:t>
            </w:r>
          </w:p>
        </w:tc>
      </w:tr>
      <w:tr w:rsidR="004C29E5" w14:paraId="083A250E" w14:textId="77777777" w:rsidTr="009055AF">
        <w:trPr>
          <w:cantSplit/>
        </w:trPr>
        <w:tc>
          <w:tcPr>
            <w:tcW w:w="1872" w:type="dxa"/>
          </w:tcPr>
          <w:p w14:paraId="323B183F" w14:textId="77777777" w:rsidR="004C29E5" w:rsidRDefault="004C29E5">
            <w:pPr>
              <w:pStyle w:val="TableSideHeading"/>
              <w:rPr>
                <w:sz w:val="26"/>
                <w:rtl/>
              </w:rPr>
            </w:pPr>
          </w:p>
        </w:tc>
        <w:tc>
          <w:tcPr>
            <w:tcW w:w="624" w:type="dxa"/>
          </w:tcPr>
          <w:p w14:paraId="201DF59E" w14:textId="77777777" w:rsidR="004C29E5" w:rsidRDefault="004C29E5">
            <w:pPr>
              <w:pStyle w:val="TableText"/>
              <w:rPr>
                <w:sz w:val="26"/>
              </w:rPr>
            </w:pPr>
          </w:p>
        </w:tc>
        <w:tc>
          <w:tcPr>
            <w:tcW w:w="1872" w:type="dxa"/>
            <w:gridSpan w:val="3"/>
            <w:hideMark/>
          </w:tcPr>
          <w:p w14:paraId="386461E0" w14:textId="6999850B" w:rsidR="004C29E5" w:rsidRDefault="004C29E5" w:rsidP="009055AF">
            <w:pPr>
              <w:pStyle w:val="TableInnerSideHeading"/>
              <w:ind w:right="0"/>
            </w:pPr>
            <w:r>
              <w:rPr>
                <w:rFonts w:hint="cs"/>
                <w:rtl/>
              </w:rPr>
              <w:t>"שלילת זכאות לקצבה מקופת גמל בגלל ביצוע פשע ממניע לאומני או בזיקה לפעילות טרור</w:t>
            </w:r>
          </w:p>
        </w:tc>
        <w:tc>
          <w:tcPr>
            <w:tcW w:w="624" w:type="dxa"/>
            <w:hideMark/>
          </w:tcPr>
          <w:p w14:paraId="7E0BA00B" w14:textId="77777777" w:rsidR="004C29E5" w:rsidRDefault="004C29E5">
            <w:pPr>
              <w:pStyle w:val="TableText"/>
              <w:rPr>
                <w:sz w:val="26"/>
              </w:rPr>
            </w:pPr>
            <w:r>
              <w:rPr>
                <w:rFonts w:hint="cs"/>
                <w:sz w:val="26"/>
                <w:rtl/>
              </w:rPr>
              <w:t>23א.</w:t>
            </w:r>
          </w:p>
        </w:tc>
        <w:tc>
          <w:tcPr>
            <w:tcW w:w="4648" w:type="dxa"/>
            <w:gridSpan w:val="2"/>
            <w:hideMark/>
          </w:tcPr>
          <w:p w14:paraId="1F07C5C0" w14:textId="5A0A03AA" w:rsidR="004C29E5" w:rsidRDefault="004C29E5" w:rsidP="009055AF">
            <w:pPr>
              <w:pStyle w:val="TableBlock"/>
              <w:rPr>
                <w:sz w:val="26"/>
              </w:rPr>
            </w:pPr>
            <w:r>
              <w:rPr>
                <w:rFonts w:hint="cs"/>
                <w:sz w:val="26"/>
                <w:rtl/>
              </w:rPr>
              <w:t>(א)</w:t>
            </w:r>
            <w:r>
              <w:rPr>
                <w:rFonts w:hint="cs"/>
                <w:sz w:val="26"/>
                <w:rtl/>
              </w:rPr>
              <w:tab/>
              <w:t>הורשע עמית בקופת גמל לקצבה בביצוע פשע מתוך מניע לאומני או בזיקה לפעילות טרור (להלן –</w:t>
            </w:r>
            <w:r w:rsidR="009055AF">
              <w:rPr>
                <w:rFonts w:hint="cs"/>
                <w:sz w:val="26"/>
                <w:rtl/>
              </w:rPr>
              <w:t xml:space="preserve"> פשע בטחון), יחולו הוראות אלה:</w:t>
            </w:r>
          </w:p>
        </w:tc>
      </w:tr>
      <w:tr w:rsidR="004C29E5" w14:paraId="53E5B531" w14:textId="77777777" w:rsidTr="009055AF">
        <w:trPr>
          <w:cantSplit/>
        </w:trPr>
        <w:tc>
          <w:tcPr>
            <w:tcW w:w="1872" w:type="dxa"/>
          </w:tcPr>
          <w:p w14:paraId="39AC3672" w14:textId="77777777" w:rsidR="004C29E5" w:rsidRDefault="004C29E5">
            <w:pPr>
              <w:pStyle w:val="TableSideHeading"/>
              <w:rPr>
                <w:sz w:val="26"/>
                <w:rtl/>
              </w:rPr>
            </w:pPr>
          </w:p>
        </w:tc>
        <w:tc>
          <w:tcPr>
            <w:tcW w:w="624" w:type="dxa"/>
          </w:tcPr>
          <w:p w14:paraId="1EB17B46" w14:textId="77777777" w:rsidR="004C29E5" w:rsidRDefault="004C29E5">
            <w:pPr>
              <w:pStyle w:val="TableText"/>
              <w:rPr>
                <w:sz w:val="26"/>
              </w:rPr>
            </w:pPr>
          </w:p>
        </w:tc>
        <w:tc>
          <w:tcPr>
            <w:tcW w:w="624" w:type="dxa"/>
          </w:tcPr>
          <w:p w14:paraId="19D2E753" w14:textId="77777777" w:rsidR="004C29E5" w:rsidRDefault="004C29E5">
            <w:pPr>
              <w:pStyle w:val="TableText"/>
              <w:rPr>
                <w:sz w:val="26"/>
              </w:rPr>
            </w:pPr>
          </w:p>
        </w:tc>
        <w:tc>
          <w:tcPr>
            <w:tcW w:w="624" w:type="dxa"/>
          </w:tcPr>
          <w:p w14:paraId="4B012C26" w14:textId="77777777" w:rsidR="004C29E5" w:rsidRDefault="004C29E5">
            <w:pPr>
              <w:pStyle w:val="TableText"/>
              <w:rPr>
                <w:sz w:val="26"/>
              </w:rPr>
            </w:pPr>
          </w:p>
        </w:tc>
        <w:tc>
          <w:tcPr>
            <w:tcW w:w="624" w:type="dxa"/>
          </w:tcPr>
          <w:p w14:paraId="07079536" w14:textId="77777777" w:rsidR="004C29E5" w:rsidRDefault="004C29E5">
            <w:pPr>
              <w:pStyle w:val="TableText"/>
              <w:rPr>
                <w:sz w:val="26"/>
              </w:rPr>
            </w:pPr>
          </w:p>
        </w:tc>
        <w:tc>
          <w:tcPr>
            <w:tcW w:w="624" w:type="dxa"/>
          </w:tcPr>
          <w:p w14:paraId="48F3DF34" w14:textId="77777777" w:rsidR="004C29E5" w:rsidRDefault="004C29E5">
            <w:pPr>
              <w:pStyle w:val="TableText"/>
              <w:rPr>
                <w:sz w:val="26"/>
              </w:rPr>
            </w:pPr>
          </w:p>
        </w:tc>
        <w:tc>
          <w:tcPr>
            <w:tcW w:w="624" w:type="dxa"/>
          </w:tcPr>
          <w:p w14:paraId="4EC6BCA2" w14:textId="77777777" w:rsidR="004C29E5" w:rsidRDefault="004C29E5">
            <w:pPr>
              <w:pStyle w:val="TableText"/>
              <w:rPr>
                <w:sz w:val="26"/>
              </w:rPr>
            </w:pPr>
          </w:p>
        </w:tc>
        <w:tc>
          <w:tcPr>
            <w:tcW w:w="4024" w:type="dxa"/>
            <w:hideMark/>
          </w:tcPr>
          <w:p w14:paraId="393F7E86" w14:textId="4191F8EC" w:rsidR="004C29E5" w:rsidRDefault="004C29E5" w:rsidP="009055AF">
            <w:pPr>
              <w:pStyle w:val="TableBlock"/>
              <w:rPr>
                <w:sz w:val="26"/>
              </w:rPr>
            </w:pPr>
            <w:r>
              <w:rPr>
                <w:rFonts w:hint="cs"/>
                <w:sz w:val="26"/>
                <w:rtl/>
              </w:rPr>
              <w:t>(1)</w:t>
            </w:r>
            <w:r>
              <w:rPr>
                <w:rFonts w:hint="cs"/>
                <w:sz w:val="26"/>
                <w:rtl/>
              </w:rPr>
              <w:tab/>
              <w:t>זכאותו לקצבה תופחת, באופן שקצבתו תחושב על בסיס הסכום שנצבר ממרכיב תגמולי העובד בלבד, בין אם הוחל בתשלום הקצבה ובין אם טרם הוחל בתשלומה, ובהגיעו לגיל שלפיו חושבה קצבתו, יחדל להיות זכאי לגמלה;</w:t>
            </w:r>
          </w:p>
        </w:tc>
      </w:tr>
      <w:tr w:rsidR="004C29E5" w14:paraId="560DE4CD" w14:textId="77777777" w:rsidTr="009055AF">
        <w:trPr>
          <w:cantSplit/>
        </w:trPr>
        <w:tc>
          <w:tcPr>
            <w:tcW w:w="1872" w:type="dxa"/>
          </w:tcPr>
          <w:p w14:paraId="2E6502D3" w14:textId="77777777" w:rsidR="004C29E5" w:rsidRDefault="004C29E5">
            <w:pPr>
              <w:pStyle w:val="TableSideHeading"/>
              <w:rPr>
                <w:sz w:val="26"/>
              </w:rPr>
            </w:pPr>
          </w:p>
        </w:tc>
        <w:tc>
          <w:tcPr>
            <w:tcW w:w="624" w:type="dxa"/>
          </w:tcPr>
          <w:p w14:paraId="742A3350" w14:textId="77777777" w:rsidR="004C29E5" w:rsidRDefault="004C29E5">
            <w:pPr>
              <w:pStyle w:val="TableText"/>
              <w:rPr>
                <w:sz w:val="26"/>
              </w:rPr>
            </w:pPr>
          </w:p>
        </w:tc>
        <w:tc>
          <w:tcPr>
            <w:tcW w:w="624" w:type="dxa"/>
          </w:tcPr>
          <w:p w14:paraId="11FF7C07" w14:textId="77777777" w:rsidR="004C29E5" w:rsidRDefault="004C29E5">
            <w:pPr>
              <w:pStyle w:val="TableText"/>
              <w:rPr>
                <w:sz w:val="26"/>
              </w:rPr>
            </w:pPr>
          </w:p>
        </w:tc>
        <w:tc>
          <w:tcPr>
            <w:tcW w:w="624" w:type="dxa"/>
          </w:tcPr>
          <w:p w14:paraId="1145C4AE" w14:textId="77777777" w:rsidR="004C29E5" w:rsidRDefault="004C29E5">
            <w:pPr>
              <w:pStyle w:val="TableText"/>
              <w:rPr>
                <w:sz w:val="26"/>
              </w:rPr>
            </w:pPr>
          </w:p>
        </w:tc>
        <w:tc>
          <w:tcPr>
            <w:tcW w:w="624" w:type="dxa"/>
          </w:tcPr>
          <w:p w14:paraId="3C96FA2A" w14:textId="77777777" w:rsidR="004C29E5" w:rsidRDefault="004C29E5">
            <w:pPr>
              <w:pStyle w:val="TableText"/>
              <w:rPr>
                <w:sz w:val="26"/>
              </w:rPr>
            </w:pPr>
          </w:p>
        </w:tc>
        <w:tc>
          <w:tcPr>
            <w:tcW w:w="624" w:type="dxa"/>
          </w:tcPr>
          <w:p w14:paraId="0707E485" w14:textId="77777777" w:rsidR="004C29E5" w:rsidRDefault="004C29E5">
            <w:pPr>
              <w:pStyle w:val="TableText"/>
              <w:rPr>
                <w:sz w:val="26"/>
              </w:rPr>
            </w:pPr>
          </w:p>
        </w:tc>
        <w:tc>
          <w:tcPr>
            <w:tcW w:w="624" w:type="dxa"/>
          </w:tcPr>
          <w:p w14:paraId="54D66BD3" w14:textId="77777777" w:rsidR="004C29E5" w:rsidRDefault="004C29E5">
            <w:pPr>
              <w:pStyle w:val="TableText"/>
              <w:rPr>
                <w:sz w:val="26"/>
              </w:rPr>
            </w:pPr>
          </w:p>
        </w:tc>
        <w:tc>
          <w:tcPr>
            <w:tcW w:w="4024" w:type="dxa"/>
            <w:hideMark/>
          </w:tcPr>
          <w:p w14:paraId="40F36F9E" w14:textId="160B1C43" w:rsidR="004C29E5" w:rsidRDefault="004C29E5" w:rsidP="009055AF">
            <w:pPr>
              <w:pStyle w:val="TableBlock"/>
              <w:rPr>
                <w:sz w:val="26"/>
              </w:rPr>
            </w:pPr>
            <w:r>
              <w:rPr>
                <w:rFonts w:hint="cs"/>
                <w:sz w:val="26"/>
                <w:rtl/>
              </w:rPr>
              <w:t>(2)</w:t>
            </w:r>
            <w:r>
              <w:rPr>
                <w:rFonts w:hint="cs"/>
                <w:sz w:val="26"/>
                <w:rtl/>
              </w:rPr>
              <w:tab/>
              <w:t>על אף הוראות סעיף 23, העמית לא יהיה זכאי למשוך מקופת הגמל סכומים שנצברו ממרכיב תגמולי המעביד או ממרכיב הפיצויים</w:t>
            </w:r>
            <w:r w:rsidR="00992D06">
              <w:rPr>
                <w:rFonts w:hint="cs"/>
                <w:sz w:val="26"/>
                <w:rtl/>
              </w:rPr>
              <w:t>.</w:t>
            </w:r>
          </w:p>
        </w:tc>
      </w:tr>
      <w:tr w:rsidR="004C29E5" w14:paraId="460E3BF4" w14:textId="77777777" w:rsidTr="009055AF">
        <w:trPr>
          <w:cantSplit/>
        </w:trPr>
        <w:tc>
          <w:tcPr>
            <w:tcW w:w="1872" w:type="dxa"/>
          </w:tcPr>
          <w:p w14:paraId="6E0F7598" w14:textId="77777777" w:rsidR="004C29E5" w:rsidRDefault="004C29E5">
            <w:pPr>
              <w:pStyle w:val="TableSideHeading"/>
              <w:rPr>
                <w:sz w:val="26"/>
                <w:rtl/>
              </w:rPr>
            </w:pPr>
          </w:p>
        </w:tc>
        <w:tc>
          <w:tcPr>
            <w:tcW w:w="624" w:type="dxa"/>
          </w:tcPr>
          <w:p w14:paraId="621F425A" w14:textId="77777777" w:rsidR="004C29E5" w:rsidRDefault="004C29E5">
            <w:pPr>
              <w:pStyle w:val="TableText"/>
              <w:rPr>
                <w:sz w:val="26"/>
              </w:rPr>
            </w:pPr>
          </w:p>
        </w:tc>
        <w:tc>
          <w:tcPr>
            <w:tcW w:w="624" w:type="dxa"/>
          </w:tcPr>
          <w:p w14:paraId="64415388" w14:textId="77777777" w:rsidR="004C29E5" w:rsidRDefault="004C29E5">
            <w:pPr>
              <w:pStyle w:val="TableText"/>
              <w:rPr>
                <w:sz w:val="26"/>
              </w:rPr>
            </w:pPr>
          </w:p>
        </w:tc>
        <w:tc>
          <w:tcPr>
            <w:tcW w:w="624" w:type="dxa"/>
          </w:tcPr>
          <w:p w14:paraId="392E6445" w14:textId="77777777" w:rsidR="004C29E5" w:rsidRDefault="004C29E5">
            <w:pPr>
              <w:pStyle w:val="TableText"/>
              <w:rPr>
                <w:sz w:val="26"/>
              </w:rPr>
            </w:pPr>
          </w:p>
        </w:tc>
        <w:tc>
          <w:tcPr>
            <w:tcW w:w="624" w:type="dxa"/>
          </w:tcPr>
          <w:p w14:paraId="43C97911" w14:textId="77777777" w:rsidR="004C29E5" w:rsidRDefault="004C29E5">
            <w:pPr>
              <w:pStyle w:val="TableText"/>
              <w:rPr>
                <w:sz w:val="26"/>
              </w:rPr>
            </w:pPr>
          </w:p>
        </w:tc>
        <w:tc>
          <w:tcPr>
            <w:tcW w:w="624" w:type="dxa"/>
          </w:tcPr>
          <w:p w14:paraId="23365E63" w14:textId="77777777" w:rsidR="004C29E5" w:rsidRDefault="004C29E5">
            <w:pPr>
              <w:pStyle w:val="TableText"/>
              <w:rPr>
                <w:sz w:val="26"/>
              </w:rPr>
            </w:pPr>
          </w:p>
        </w:tc>
        <w:tc>
          <w:tcPr>
            <w:tcW w:w="624" w:type="dxa"/>
          </w:tcPr>
          <w:p w14:paraId="77CFD44D" w14:textId="77777777" w:rsidR="004C29E5" w:rsidRDefault="004C29E5">
            <w:pPr>
              <w:pStyle w:val="TableText"/>
              <w:rPr>
                <w:sz w:val="26"/>
              </w:rPr>
            </w:pPr>
          </w:p>
        </w:tc>
        <w:tc>
          <w:tcPr>
            <w:tcW w:w="4024" w:type="dxa"/>
            <w:hideMark/>
          </w:tcPr>
          <w:p w14:paraId="7B109417" w14:textId="77777777" w:rsidR="004C29E5" w:rsidRDefault="004C29E5" w:rsidP="009055AF">
            <w:pPr>
              <w:pStyle w:val="TableBlock"/>
              <w:rPr>
                <w:sz w:val="26"/>
              </w:rPr>
            </w:pPr>
            <w:r>
              <w:rPr>
                <w:rFonts w:hint="cs"/>
                <w:sz w:val="26"/>
                <w:rtl/>
              </w:rPr>
              <w:t>(3)</w:t>
            </w:r>
            <w:r>
              <w:rPr>
                <w:rFonts w:hint="cs"/>
                <w:sz w:val="26"/>
                <w:rtl/>
              </w:rPr>
              <w:tab/>
              <w:t>נגזר על העמית עונש מאסר בפועל בשל הרשעה בעבירה כאמור, לא יהיה זכאי לקצבה במשך הזמן שהוא במאסר.</w:t>
            </w:r>
          </w:p>
        </w:tc>
      </w:tr>
      <w:tr w:rsidR="004C29E5" w14:paraId="0D9A02A0" w14:textId="77777777" w:rsidTr="009055AF">
        <w:trPr>
          <w:cantSplit/>
        </w:trPr>
        <w:tc>
          <w:tcPr>
            <w:tcW w:w="1872" w:type="dxa"/>
          </w:tcPr>
          <w:p w14:paraId="2B1ED463" w14:textId="77777777" w:rsidR="004C29E5" w:rsidRDefault="004C29E5">
            <w:pPr>
              <w:pStyle w:val="TableSideHeading"/>
              <w:rPr>
                <w:sz w:val="26"/>
                <w:rtl/>
              </w:rPr>
            </w:pPr>
          </w:p>
        </w:tc>
        <w:tc>
          <w:tcPr>
            <w:tcW w:w="624" w:type="dxa"/>
          </w:tcPr>
          <w:p w14:paraId="58C69E26" w14:textId="77777777" w:rsidR="004C29E5" w:rsidRDefault="004C29E5">
            <w:pPr>
              <w:pStyle w:val="TableText"/>
              <w:rPr>
                <w:sz w:val="26"/>
              </w:rPr>
            </w:pPr>
          </w:p>
        </w:tc>
        <w:tc>
          <w:tcPr>
            <w:tcW w:w="624" w:type="dxa"/>
          </w:tcPr>
          <w:p w14:paraId="56ADFCE2" w14:textId="77777777" w:rsidR="004C29E5" w:rsidRDefault="004C29E5">
            <w:pPr>
              <w:pStyle w:val="TableText"/>
              <w:rPr>
                <w:sz w:val="26"/>
              </w:rPr>
            </w:pPr>
          </w:p>
        </w:tc>
        <w:tc>
          <w:tcPr>
            <w:tcW w:w="624" w:type="dxa"/>
          </w:tcPr>
          <w:p w14:paraId="6BCB4536" w14:textId="77777777" w:rsidR="004C29E5" w:rsidRDefault="004C29E5">
            <w:pPr>
              <w:pStyle w:val="TableText"/>
              <w:rPr>
                <w:sz w:val="26"/>
              </w:rPr>
            </w:pPr>
          </w:p>
        </w:tc>
        <w:tc>
          <w:tcPr>
            <w:tcW w:w="624" w:type="dxa"/>
          </w:tcPr>
          <w:p w14:paraId="702B2405" w14:textId="77777777" w:rsidR="004C29E5" w:rsidRDefault="004C29E5">
            <w:pPr>
              <w:pStyle w:val="TableText"/>
              <w:rPr>
                <w:sz w:val="26"/>
              </w:rPr>
            </w:pPr>
          </w:p>
        </w:tc>
        <w:tc>
          <w:tcPr>
            <w:tcW w:w="624" w:type="dxa"/>
          </w:tcPr>
          <w:p w14:paraId="4211DA50" w14:textId="77777777" w:rsidR="004C29E5" w:rsidRDefault="004C29E5">
            <w:pPr>
              <w:pStyle w:val="TableText"/>
              <w:rPr>
                <w:sz w:val="26"/>
              </w:rPr>
            </w:pPr>
          </w:p>
        </w:tc>
        <w:tc>
          <w:tcPr>
            <w:tcW w:w="624" w:type="dxa"/>
            <w:hideMark/>
          </w:tcPr>
          <w:p w14:paraId="41F10AB3" w14:textId="77777777" w:rsidR="004C29E5" w:rsidRDefault="004C29E5">
            <w:pPr>
              <w:pStyle w:val="TableText"/>
              <w:rPr>
                <w:sz w:val="26"/>
              </w:rPr>
            </w:pPr>
            <w:r>
              <w:rPr>
                <w:rFonts w:hint="cs"/>
                <w:sz w:val="26"/>
                <w:rtl/>
              </w:rPr>
              <w:t>(ב)</w:t>
            </w:r>
          </w:p>
        </w:tc>
        <w:tc>
          <w:tcPr>
            <w:tcW w:w="4024" w:type="dxa"/>
            <w:hideMark/>
          </w:tcPr>
          <w:p w14:paraId="5734547C" w14:textId="410E865D" w:rsidR="004C29E5" w:rsidRDefault="009055AF" w:rsidP="009055AF">
            <w:pPr>
              <w:pStyle w:val="TableBlock"/>
              <w:rPr>
                <w:sz w:val="26"/>
              </w:rPr>
            </w:pPr>
            <w:r>
              <w:rPr>
                <w:rFonts w:hint="cs"/>
                <w:sz w:val="26"/>
                <w:rtl/>
              </w:rPr>
              <w:t>(1)</w:t>
            </w:r>
            <w:r>
              <w:rPr>
                <w:sz w:val="26"/>
                <w:rtl/>
              </w:rPr>
              <w:tab/>
            </w:r>
            <w:r w:rsidR="004C29E5">
              <w:rPr>
                <w:rFonts w:hint="cs"/>
                <w:sz w:val="26"/>
                <w:rtl/>
              </w:rPr>
              <w:t xml:space="preserve">חל האירוע המזכה בתשלום קצבה בשל פטירת העמית (בסעיף זה – קצבת שאירים)  אגב ביצוע פשע ביטחון בידי העמית – לא תהיה זכאות </w:t>
            </w:r>
            <w:r w:rsidR="007C5701">
              <w:rPr>
                <w:rFonts w:hint="cs"/>
                <w:sz w:val="26"/>
                <w:rtl/>
              </w:rPr>
              <w:t xml:space="preserve">בעד </w:t>
            </w:r>
            <w:r w:rsidR="004C29E5">
              <w:rPr>
                <w:rFonts w:hint="cs"/>
                <w:sz w:val="26"/>
                <w:rtl/>
              </w:rPr>
              <w:t xml:space="preserve">העמית לקצבת שאירים; </w:t>
            </w:r>
          </w:p>
        </w:tc>
      </w:tr>
      <w:tr w:rsidR="004C29E5" w14:paraId="49CF715A" w14:textId="77777777" w:rsidTr="009055AF">
        <w:trPr>
          <w:cantSplit/>
        </w:trPr>
        <w:tc>
          <w:tcPr>
            <w:tcW w:w="1872" w:type="dxa"/>
          </w:tcPr>
          <w:p w14:paraId="686364FA" w14:textId="77777777" w:rsidR="004C29E5" w:rsidRDefault="004C29E5">
            <w:pPr>
              <w:pStyle w:val="TableSideHeading"/>
              <w:rPr>
                <w:sz w:val="26"/>
              </w:rPr>
            </w:pPr>
          </w:p>
        </w:tc>
        <w:tc>
          <w:tcPr>
            <w:tcW w:w="624" w:type="dxa"/>
          </w:tcPr>
          <w:p w14:paraId="4825B525" w14:textId="77777777" w:rsidR="004C29E5" w:rsidRDefault="004C29E5">
            <w:pPr>
              <w:pStyle w:val="TableText"/>
              <w:rPr>
                <w:sz w:val="26"/>
              </w:rPr>
            </w:pPr>
          </w:p>
        </w:tc>
        <w:tc>
          <w:tcPr>
            <w:tcW w:w="624" w:type="dxa"/>
          </w:tcPr>
          <w:p w14:paraId="69A31C9D" w14:textId="77777777" w:rsidR="004C29E5" w:rsidRDefault="004C29E5">
            <w:pPr>
              <w:pStyle w:val="TableText"/>
              <w:rPr>
                <w:sz w:val="26"/>
              </w:rPr>
            </w:pPr>
          </w:p>
        </w:tc>
        <w:tc>
          <w:tcPr>
            <w:tcW w:w="624" w:type="dxa"/>
          </w:tcPr>
          <w:p w14:paraId="318D9A83" w14:textId="77777777" w:rsidR="004C29E5" w:rsidRDefault="004C29E5">
            <w:pPr>
              <w:pStyle w:val="TableText"/>
              <w:rPr>
                <w:sz w:val="26"/>
              </w:rPr>
            </w:pPr>
          </w:p>
        </w:tc>
        <w:tc>
          <w:tcPr>
            <w:tcW w:w="624" w:type="dxa"/>
          </w:tcPr>
          <w:p w14:paraId="206D6783" w14:textId="77777777" w:rsidR="004C29E5" w:rsidRDefault="004C29E5">
            <w:pPr>
              <w:pStyle w:val="TableText"/>
              <w:rPr>
                <w:sz w:val="26"/>
              </w:rPr>
            </w:pPr>
          </w:p>
        </w:tc>
        <w:tc>
          <w:tcPr>
            <w:tcW w:w="624" w:type="dxa"/>
          </w:tcPr>
          <w:p w14:paraId="2028D0DA" w14:textId="77777777" w:rsidR="004C29E5" w:rsidRDefault="004C29E5">
            <w:pPr>
              <w:pStyle w:val="TableText"/>
              <w:rPr>
                <w:sz w:val="26"/>
              </w:rPr>
            </w:pPr>
          </w:p>
        </w:tc>
        <w:tc>
          <w:tcPr>
            <w:tcW w:w="624" w:type="dxa"/>
          </w:tcPr>
          <w:p w14:paraId="58E100E1" w14:textId="77777777" w:rsidR="004C29E5" w:rsidRDefault="004C29E5">
            <w:pPr>
              <w:pStyle w:val="TableText"/>
              <w:rPr>
                <w:sz w:val="26"/>
              </w:rPr>
            </w:pPr>
          </w:p>
        </w:tc>
        <w:tc>
          <w:tcPr>
            <w:tcW w:w="4024" w:type="dxa"/>
            <w:hideMark/>
          </w:tcPr>
          <w:p w14:paraId="4AEB8EBB" w14:textId="77777777" w:rsidR="004C29E5" w:rsidRDefault="004C29E5" w:rsidP="009055AF">
            <w:pPr>
              <w:pStyle w:val="TableBlock"/>
              <w:rPr>
                <w:sz w:val="26"/>
              </w:rPr>
            </w:pPr>
            <w:r>
              <w:rPr>
                <w:rFonts w:hint="cs"/>
                <w:sz w:val="26"/>
                <w:rtl/>
              </w:rPr>
              <w:t>(2)</w:t>
            </w:r>
            <w:r>
              <w:rPr>
                <w:rFonts w:hint="cs"/>
                <w:sz w:val="26"/>
                <w:rtl/>
              </w:rPr>
              <w:tab/>
              <w:t xml:space="preserve">חל האירוע המזכה את העמית בקצבת נכות אגב ביצוע פשע בטחון שהעמית הורשע בביצועו, לא יהיה העמית זכאי לקצבת הנכות. </w:t>
            </w:r>
          </w:p>
        </w:tc>
      </w:tr>
      <w:tr w:rsidR="009055AF" w14:paraId="7F29B9E8" w14:textId="77777777" w:rsidTr="009055AF">
        <w:trPr>
          <w:cantSplit/>
        </w:trPr>
        <w:tc>
          <w:tcPr>
            <w:tcW w:w="1872" w:type="dxa"/>
          </w:tcPr>
          <w:p w14:paraId="654569B0" w14:textId="34CBFA7E" w:rsidR="009055AF" w:rsidRDefault="009055AF" w:rsidP="009055AF">
            <w:pPr>
              <w:pStyle w:val="TableSideHeading"/>
            </w:pPr>
          </w:p>
        </w:tc>
        <w:tc>
          <w:tcPr>
            <w:tcW w:w="624" w:type="dxa"/>
          </w:tcPr>
          <w:p w14:paraId="32F45EDA" w14:textId="77777777" w:rsidR="009055AF" w:rsidRDefault="009055AF" w:rsidP="009055AF">
            <w:pPr>
              <w:pStyle w:val="TableText"/>
            </w:pPr>
          </w:p>
        </w:tc>
        <w:tc>
          <w:tcPr>
            <w:tcW w:w="624" w:type="dxa"/>
          </w:tcPr>
          <w:p w14:paraId="63E7A9D5" w14:textId="77777777" w:rsidR="009055AF" w:rsidRDefault="009055AF" w:rsidP="009055AF">
            <w:pPr>
              <w:pStyle w:val="TableText"/>
            </w:pPr>
          </w:p>
        </w:tc>
        <w:tc>
          <w:tcPr>
            <w:tcW w:w="624" w:type="dxa"/>
          </w:tcPr>
          <w:p w14:paraId="496B4C03" w14:textId="77777777" w:rsidR="009055AF" w:rsidRDefault="009055AF" w:rsidP="009055AF">
            <w:pPr>
              <w:pStyle w:val="TableText"/>
            </w:pPr>
          </w:p>
        </w:tc>
        <w:tc>
          <w:tcPr>
            <w:tcW w:w="624" w:type="dxa"/>
          </w:tcPr>
          <w:p w14:paraId="344FDDB1" w14:textId="77777777" w:rsidR="009055AF" w:rsidRDefault="009055AF" w:rsidP="009055AF">
            <w:pPr>
              <w:pStyle w:val="TableText"/>
            </w:pPr>
          </w:p>
        </w:tc>
        <w:tc>
          <w:tcPr>
            <w:tcW w:w="624" w:type="dxa"/>
          </w:tcPr>
          <w:p w14:paraId="76F89787" w14:textId="77777777" w:rsidR="009055AF" w:rsidRDefault="009055AF" w:rsidP="009055AF">
            <w:pPr>
              <w:pStyle w:val="TableText"/>
            </w:pPr>
          </w:p>
        </w:tc>
        <w:tc>
          <w:tcPr>
            <w:tcW w:w="4648" w:type="dxa"/>
            <w:gridSpan w:val="2"/>
          </w:tcPr>
          <w:p w14:paraId="39DA1A24" w14:textId="1DF400B6" w:rsidR="009055AF" w:rsidRDefault="009055AF" w:rsidP="009055AF">
            <w:pPr>
              <w:pStyle w:val="TableBlock"/>
            </w:pPr>
            <w:r>
              <w:rPr>
                <w:rFonts w:hint="cs"/>
                <w:sz w:val="26"/>
                <w:rtl/>
              </w:rPr>
              <w:t>(ג)</w:t>
            </w:r>
            <w:r>
              <w:rPr>
                <w:rFonts w:hint="cs"/>
                <w:sz w:val="26"/>
                <w:rtl/>
              </w:rPr>
              <w:tab/>
              <w:t>נודע לקופת גמל על חשד לפיו אירוע מזכה לגמלה נבע מביצוע פשע בטחון, רשאית הקופה לעכב תשלום קצבה כלהלן, ואם טרם הוחל בתשלומה – להימנע מתחילת תשלומה, ותמסור הודעה על כך למי שהיה זכאי לגמלה:</w:t>
            </w:r>
          </w:p>
        </w:tc>
      </w:tr>
      <w:tr w:rsidR="009055AF" w14:paraId="02F7A8C7" w14:textId="77777777" w:rsidTr="009055AF">
        <w:trPr>
          <w:cantSplit/>
        </w:trPr>
        <w:tc>
          <w:tcPr>
            <w:tcW w:w="1872" w:type="dxa"/>
          </w:tcPr>
          <w:p w14:paraId="39B2F60E" w14:textId="77777777" w:rsidR="009055AF" w:rsidRDefault="009055AF" w:rsidP="009055AF">
            <w:pPr>
              <w:pStyle w:val="TableSideHeading"/>
              <w:rPr>
                <w:sz w:val="26"/>
              </w:rPr>
            </w:pPr>
          </w:p>
        </w:tc>
        <w:tc>
          <w:tcPr>
            <w:tcW w:w="624" w:type="dxa"/>
          </w:tcPr>
          <w:p w14:paraId="219659C5" w14:textId="77777777" w:rsidR="009055AF" w:rsidRDefault="009055AF" w:rsidP="009055AF">
            <w:pPr>
              <w:pStyle w:val="TableText"/>
              <w:rPr>
                <w:sz w:val="26"/>
              </w:rPr>
            </w:pPr>
          </w:p>
        </w:tc>
        <w:tc>
          <w:tcPr>
            <w:tcW w:w="624" w:type="dxa"/>
          </w:tcPr>
          <w:p w14:paraId="1FFE9683" w14:textId="77777777" w:rsidR="009055AF" w:rsidRDefault="009055AF" w:rsidP="009055AF">
            <w:pPr>
              <w:pStyle w:val="TableText"/>
              <w:rPr>
                <w:sz w:val="26"/>
              </w:rPr>
            </w:pPr>
          </w:p>
        </w:tc>
        <w:tc>
          <w:tcPr>
            <w:tcW w:w="624" w:type="dxa"/>
          </w:tcPr>
          <w:p w14:paraId="04E0DF0F" w14:textId="77777777" w:rsidR="009055AF" w:rsidRDefault="009055AF" w:rsidP="009055AF">
            <w:pPr>
              <w:pStyle w:val="TableText"/>
              <w:rPr>
                <w:sz w:val="26"/>
              </w:rPr>
            </w:pPr>
          </w:p>
        </w:tc>
        <w:tc>
          <w:tcPr>
            <w:tcW w:w="624" w:type="dxa"/>
          </w:tcPr>
          <w:p w14:paraId="41D9F028" w14:textId="77777777" w:rsidR="009055AF" w:rsidRDefault="009055AF" w:rsidP="009055AF">
            <w:pPr>
              <w:pStyle w:val="TableText"/>
              <w:rPr>
                <w:sz w:val="26"/>
              </w:rPr>
            </w:pPr>
          </w:p>
        </w:tc>
        <w:tc>
          <w:tcPr>
            <w:tcW w:w="624" w:type="dxa"/>
          </w:tcPr>
          <w:p w14:paraId="60DF00BA" w14:textId="77777777" w:rsidR="009055AF" w:rsidRDefault="009055AF" w:rsidP="009055AF">
            <w:pPr>
              <w:pStyle w:val="TableText"/>
              <w:rPr>
                <w:sz w:val="26"/>
              </w:rPr>
            </w:pPr>
          </w:p>
        </w:tc>
        <w:tc>
          <w:tcPr>
            <w:tcW w:w="624" w:type="dxa"/>
          </w:tcPr>
          <w:p w14:paraId="662BC35F" w14:textId="77777777" w:rsidR="009055AF" w:rsidRDefault="009055AF" w:rsidP="009055AF">
            <w:pPr>
              <w:pStyle w:val="TableText"/>
              <w:rPr>
                <w:sz w:val="26"/>
              </w:rPr>
            </w:pPr>
          </w:p>
        </w:tc>
        <w:tc>
          <w:tcPr>
            <w:tcW w:w="4024" w:type="dxa"/>
            <w:hideMark/>
          </w:tcPr>
          <w:p w14:paraId="37F3119E" w14:textId="77777777" w:rsidR="009055AF" w:rsidRDefault="009055AF" w:rsidP="009055AF">
            <w:pPr>
              <w:pStyle w:val="TableBlock"/>
              <w:rPr>
                <w:sz w:val="26"/>
              </w:rPr>
            </w:pPr>
            <w:r>
              <w:rPr>
                <w:rFonts w:hint="cs"/>
                <w:sz w:val="26"/>
                <w:rtl/>
              </w:rPr>
              <w:t>(1)</w:t>
            </w:r>
            <w:r>
              <w:rPr>
                <w:rFonts w:hint="cs"/>
                <w:sz w:val="26"/>
                <w:rtl/>
              </w:rPr>
              <w:tab/>
              <w:t xml:space="preserve">קצבת נכות  – עד לקבלת החלטה שיפוטית בעניין; </w:t>
            </w:r>
          </w:p>
        </w:tc>
      </w:tr>
      <w:tr w:rsidR="009055AF" w14:paraId="5C0E894B" w14:textId="77777777" w:rsidTr="009055AF">
        <w:trPr>
          <w:cantSplit/>
        </w:trPr>
        <w:tc>
          <w:tcPr>
            <w:tcW w:w="1872" w:type="dxa"/>
          </w:tcPr>
          <w:p w14:paraId="72128D9E" w14:textId="77777777" w:rsidR="009055AF" w:rsidRDefault="009055AF" w:rsidP="009055AF">
            <w:pPr>
              <w:pStyle w:val="TableSideHeading"/>
              <w:rPr>
                <w:sz w:val="26"/>
              </w:rPr>
            </w:pPr>
          </w:p>
        </w:tc>
        <w:tc>
          <w:tcPr>
            <w:tcW w:w="624" w:type="dxa"/>
          </w:tcPr>
          <w:p w14:paraId="4CCFD080" w14:textId="77777777" w:rsidR="009055AF" w:rsidRDefault="009055AF" w:rsidP="009055AF">
            <w:pPr>
              <w:pStyle w:val="TableText"/>
              <w:rPr>
                <w:sz w:val="26"/>
              </w:rPr>
            </w:pPr>
          </w:p>
        </w:tc>
        <w:tc>
          <w:tcPr>
            <w:tcW w:w="624" w:type="dxa"/>
          </w:tcPr>
          <w:p w14:paraId="5B7E90D8" w14:textId="77777777" w:rsidR="009055AF" w:rsidRDefault="009055AF" w:rsidP="009055AF">
            <w:pPr>
              <w:pStyle w:val="TableText"/>
              <w:rPr>
                <w:sz w:val="26"/>
              </w:rPr>
            </w:pPr>
          </w:p>
        </w:tc>
        <w:tc>
          <w:tcPr>
            <w:tcW w:w="624" w:type="dxa"/>
          </w:tcPr>
          <w:p w14:paraId="2187A036" w14:textId="77777777" w:rsidR="009055AF" w:rsidRDefault="009055AF" w:rsidP="009055AF">
            <w:pPr>
              <w:pStyle w:val="TableText"/>
              <w:rPr>
                <w:sz w:val="26"/>
              </w:rPr>
            </w:pPr>
          </w:p>
        </w:tc>
        <w:tc>
          <w:tcPr>
            <w:tcW w:w="624" w:type="dxa"/>
          </w:tcPr>
          <w:p w14:paraId="6B1A071D" w14:textId="77777777" w:rsidR="009055AF" w:rsidRDefault="009055AF" w:rsidP="009055AF">
            <w:pPr>
              <w:pStyle w:val="TableText"/>
              <w:rPr>
                <w:sz w:val="26"/>
              </w:rPr>
            </w:pPr>
          </w:p>
        </w:tc>
        <w:tc>
          <w:tcPr>
            <w:tcW w:w="624" w:type="dxa"/>
          </w:tcPr>
          <w:p w14:paraId="608FD905" w14:textId="77777777" w:rsidR="009055AF" w:rsidRDefault="009055AF" w:rsidP="009055AF">
            <w:pPr>
              <w:pStyle w:val="TableText"/>
              <w:rPr>
                <w:sz w:val="26"/>
              </w:rPr>
            </w:pPr>
          </w:p>
        </w:tc>
        <w:tc>
          <w:tcPr>
            <w:tcW w:w="624" w:type="dxa"/>
          </w:tcPr>
          <w:p w14:paraId="09858DD4" w14:textId="77777777" w:rsidR="009055AF" w:rsidRDefault="009055AF" w:rsidP="009055AF">
            <w:pPr>
              <w:pStyle w:val="TableText"/>
              <w:rPr>
                <w:sz w:val="26"/>
              </w:rPr>
            </w:pPr>
          </w:p>
        </w:tc>
        <w:tc>
          <w:tcPr>
            <w:tcW w:w="4024" w:type="dxa"/>
            <w:hideMark/>
          </w:tcPr>
          <w:p w14:paraId="639EBEE7" w14:textId="77777777" w:rsidR="009055AF" w:rsidRDefault="009055AF" w:rsidP="009055AF">
            <w:pPr>
              <w:pStyle w:val="TableBlock"/>
              <w:rPr>
                <w:sz w:val="26"/>
              </w:rPr>
            </w:pPr>
            <w:r>
              <w:rPr>
                <w:rFonts w:hint="cs"/>
                <w:sz w:val="26"/>
                <w:rtl/>
              </w:rPr>
              <w:t>(2)</w:t>
            </w:r>
            <w:r>
              <w:rPr>
                <w:rFonts w:hint="cs"/>
                <w:sz w:val="26"/>
                <w:rtl/>
              </w:rPr>
              <w:tab/>
              <w:t>קצבת שאירים – עד לקבלת הודעת היועץ המשפטי לממשלה בדבר נסיבות האירוע המזכה.</w:t>
            </w:r>
          </w:p>
        </w:tc>
      </w:tr>
      <w:tr w:rsidR="009055AF" w14:paraId="1E9C1D3B" w14:textId="77777777" w:rsidTr="009055AF">
        <w:trPr>
          <w:cantSplit/>
        </w:trPr>
        <w:tc>
          <w:tcPr>
            <w:tcW w:w="1872" w:type="dxa"/>
          </w:tcPr>
          <w:p w14:paraId="7DB7C0E5" w14:textId="2614A805" w:rsidR="009055AF" w:rsidRDefault="009055AF" w:rsidP="009055AF">
            <w:pPr>
              <w:pStyle w:val="TableSideHeading"/>
              <w:rPr>
                <w:sz w:val="26"/>
                <w:rtl/>
              </w:rPr>
            </w:pPr>
          </w:p>
        </w:tc>
        <w:tc>
          <w:tcPr>
            <w:tcW w:w="624" w:type="dxa"/>
          </w:tcPr>
          <w:p w14:paraId="0D700842" w14:textId="77777777" w:rsidR="009055AF" w:rsidRDefault="009055AF" w:rsidP="009055AF">
            <w:pPr>
              <w:pStyle w:val="TableText"/>
            </w:pPr>
          </w:p>
        </w:tc>
        <w:tc>
          <w:tcPr>
            <w:tcW w:w="624" w:type="dxa"/>
          </w:tcPr>
          <w:p w14:paraId="1DF97138" w14:textId="77777777" w:rsidR="009055AF" w:rsidRDefault="009055AF" w:rsidP="009055AF">
            <w:pPr>
              <w:pStyle w:val="TableText"/>
              <w:rPr>
                <w:sz w:val="26"/>
              </w:rPr>
            </w:pPr>
          </w:p>
        </w:tc>
        <w:tc>
          <w:tcPr>
            <w:tcW w:w="624" w:type="dxa"/>
          </w:tcPr>
          <w:p w14:paraId="05792F63" w14:textId="77777777" w:rsidR="009055AF" w:rsidRDefault="009055AF" w:rsidP="009055AF">
            <w:pPr>
              <w:pStyle w:val="TableText"/>
              <w:rPr>
                <w:sz w:val="26"/>
              </w:rPr>
            </w:pPr>
          </w:p>
        </w:tc>
        <w:tc>
          <w:tcPr>
            <w:tcW w:w="624" w:type="dxa"/>
          </w:tcPr>
          <w:p w14:paraId="151BABBB" w14:textId="77777777" w:rsidR="009055AF" w:rsidRDefault="009055AF" w:rsidP="009055AF">
            <w:pPr>
              <w:pStyle w:val="TableText"/>
              <w:rPr>
                <w:sz w:val="26"/>
              </w:rPr>
            </w:pPr>
          </w:p>
        </w:tc>
        <w:tc>
          <w:tcPr>
            <w:tcW w:w="624" w:type="dxa"/>
          </w:tcPr>
          <w:p w14:paraId="6197D257" w14:textId="77777777" w:rsidR="009055AF" w:rsidRDefault="009055AF" w:rsidP="009055AF">
            <w:pPr>
              <w:pStyle w:val="TableText"/>
              <w:rPr>
                <w:sz w:val="26"/>
              </w:rPr>
            </w:pPr>
          </w:p>
        </w:tc>
        <w:tc>
          <w:tcPr>
            <w:tcW w:w="4648" w:type="dxa"/>
            <w:gridSpan w:val="2"/>
          </w:tcPr>
          <w:p w14:paraId="2FE27B2C" w14:textId="7F342EE2" w:rsidR="009055AF" w:rsidRDefault="009055AF" w:rsidP="009055AF">
            <w:pPr>
              <w:pStyle w:val="TableBlock"/>
              <w:rPr>
                <w:sz w:val="26"/>
                <w:rtl/>
              </w:rPr>
            </w:pPr>
            <w:r>
              <w:rPr>
                <w:rFonts w:hint="cs"/>
                <w:sz w:val="26"/>
                <w:rtl/>
              </w:rPr>
              <w:t>(ד)</w:t>
            </w:r>
            <w:r>
              <w:rPr>
                <w:rFonts w:hint="cs"/>
                <w:sz w:val="26"/>
                <w:rtl/>
              </w:rPr>
              <w:tab/>
              <w:t>הוראות סעיף זה יחולו על כל קופת גמל, על אף הוראות סותרות בתקנון קופת גמל, ועל אף הוראות סעיף 23."</w:t>
            </w:r>
          </w:p>
        </w:tc>
      </w:tr>
      <w:tr w:rsidR="009055AF" w14:paraId="4E0A704C" w14:textId="77777777" w:rsidTr="009055AF">
        <w:trPr>
          <w:cantSplit/>
        </w:trPr>
        <w:tc>
          <w:tcPr>
            <w:tcW w:w="1872" w:type="dxa"/>
            <w:hideMark/>
          </w:tcPr>
          <w:p w14:paraId="7A5D6279" w14:textId="12ACFD24" w:rsidR="009055AF" w:rsidRDefault="009055AF" w:rsidP="009055AF">
            <w:pPr>
              <w:pStyle w:val="TableSideHeading"/>
              <w:keepLines w:val="0"/>
              <w:rPr>
                <w:sz w:val="26"/>
              </w:rPr>
            </w:pPr>
            <w:r>
              <w:rPr>
                <w:rFonts w:hint="cs"/>
                <w:sz w:val="26"/>
                <w:rtl/>
              </w:rPr>
              <w:t>תיקון חוק פיצויי פיטורים</w:t>
            </w:r>
          </w:p>
        </w:tc>
        <w:tc>
          <w:tcPr>
            <w:tcW w:w="624" w:type="dxa"/>
            <w:hideMark/>
          </w:tcPr>
          <w:p w14:paraId="6B97C84C" w14:textId="77777777" w:rsidR="009055AF" w:rsidRDefault="009055AF" w:rsidP="009055AF">
            <w:pPr>
              <w:pStyle w:val="TableText"/>
              <w:keepLines w:val="0"/>
              <w:rPr>
                <w:sz w:val="26"/>
                <w:rtl/>
              </w:rPr>
            </w:pPr>
            <w:r>
              <w:rPr>
                <w:rFonts w:hint="cs"/>
                <w:sz w:val="26"/>
                <w:rtl/>
              </w:rPr>
              <w:t xml:space="preserve">2. </w:t>
            </w:r>
          </w:p>
        </w:tc>
        <w:tc>
          <w:tcPr>
            <w:tcW w:w="7144" w:type="dxa"/>
            <w:gridSpan w:val="6"/>
            <w:hideMark/>
          </w:tcPr>
          <w:p w14:paraId="38EBEDB1" w14:textId="2C354536" w:rsidR="009055AF" w:rsidRDefault="009055AF" w:rsidP="009055AF">
            <w:pPr>
              <w:pStyle w:val="TableBlock"/>
              <w:rPr>
                <w:b/>
                <w:bCs/>
                <w:rtl/>
              </w:rPr>
            </w:pPr>
            <w:r>
              <w:rPr>
                <w:rFonts w:hint="cs"/>
                <w:rtl/>
              </w:rPr>
              <w:t xml:space="preserve">בחוק פיצויי פיטורים, </w:t>
            </w:r>
            <w:proofErr w:type="spellStart"/>
            <w:r>
              <w:rPr>
                <w:rFonts w:hint="cs"/>
                <w:rtl/>
              </w:rPr>
              <w:t>התשכ"ג</w:t>
            </w:r>
            <w:proofErr w:type="spellEnd"/>
            <w:r>
              <w:rPr>
                <w:rFonts w:hint="cs"/>
                <w:rtl/>
              </w:rPr>
              <w:t>–1963</w:t>
            </w:r>
            <w:r>
              <w:rPr>
                <w:rStyle w:val="a6"/>
                <w:sz w:val="26"/>
                <w:rtl/>
              </w:rPr>
              <w:footnoteReference w:id="3"/>
            </w:r>
            <w:r>
              <w:rPr>
                <w:rFonts w:hint="cs"/>
                <w:rtl/>
              </w:rPr>
              <w:t>, אחרי סעיף 1 יבוא:</w:t>
            </w:r>
          </w:p>
        </w:tc>
      </w:tr>
      <w:tr w:rsidR="009055AF" w14:paraId="50A208C0" w14:textId="77777777" w:rsidTr="009055AF">
        <w:trPr>
          <w:cantSplit/>
        </w:trPr>
        <w:tc>
          <w:tcPr>
            <w:tcW w:w="1872" w:type="dxa"/>
          </w:tcPr>
          <w:p w14:paraId="0182FB04" w14:textId="34188864" w:rsidR="009055AF" w:rsidRDefault="009055AF" w:rsidP="009055AF">
            <w:pPr>
              <w:pStyle w:val="TableSideHeading"/>
              <w:keepLines w:val="0"/>
              <w:rPr>
                <w:sz w:val="26"/>
                <w:rtl/>
              </w:rPr>
            </w:pPr>
          </w:p>
        </w:tc>
        <w:tc>
          <w:tcPr>
            <w:tcW w:w="624" w:type="dxa"/>
          </w:tcPr>
          <w:p w14:paraId="18E46F0B" w14:textId="77777777" w:rsidR="009055AF" w:rsidRDefault="009055AF" w:rsidP="009055AF">
            <w:pPr>
              <w:pStyle w:val="TableText"/>
              <w:keepLines w:val="0"/>
              <w:rPr>
                <w:sz w:val="26"/>
              </w:rPr>
            </w:pPr>
          </w:p>
        </w:tc>
        <w:tc>
          <w:tcPr>
            <w:tcW w:w="1872" w:type="dxa"/>
            <w:gridSpan w:val="3"/>
            <w:hideMark/>
          </w:tcPr>
          <w:p w14:paraId="0E84C162" w14:textId="77777777" w:rsidR="009055AF" w:rsidRDefault="009055AF" w:rsidP="009055AF">
            <w:pPr>
              <w:pStyle w:val="TableInnerSideHeading"/>
              <w:ind w:right="0"/>
            </w:pPr>
            <w:r>
              <w:rPr>
                <w:rFonts w:hint="cs"/>
                <w:rtl/>
              </w:rPr>
              <w:t>"שלילת פיצויים למבצע פשע מתוך מניע לאומני או בזיקה לפעילות טרור</w:t>
            </w:r>
          </w:p>
        </w:tc>
        <w:tc>
          <w:tcPr>
            <w:tcW w:w="624" w:type="dxa"/>
            <w:hideMark/>
          </w:tcPr>
          <w:p w14:paraId="15FB770D" w14:textId="77777777" w:rsidR="009055AF" w:rsidRDefault="009055AF" w:rsidP="009055AF">
            <w:pPr>
              <w:pStyle w:val="TableText"/>
              <w:rPr>
                <w:sz w:val="26"/>
              </w:rPr>
            </w:pPr>
            <w:r>
              <w:rPr>
                <w:rFonts w:hint="cs"/>
                <w:sz w:val="26"/>
                <w:rtl/>
              </w:rPr>
              <w:t>1א.</w:t>
            </w:r>
          </w:p>
        </w:tc>
        <w:tc>
          <w:tcPr>
            <w:tcW w:w="4648" w:type="dxa"/>
            <w:gridSpan w:val="2"/>
            <w:hideMark/>
          </w:tcPr>
          <w:p w14:paraId="6B12F085" w14:textId="110CD372" w:rsidR="009055AF" w:rsidRDefault="009055AF" w:rsidP="009055AF">
            <w:pPr>
              <w:pStyle w:val="TableBlock"/>
              <w:rPr>
                <w:sz w:val="26"/>
              </w:rPr>
            </w:pPr>
            <w:r>
              <w:rPr>
                <w:rFonts w:hint="cs"/>
                <w:sz w:val="26"/>
                <w:rtl/>
              </w:rPr>
              <w:t>(א)</w:t>
            </w:r>
            <w:r>
              <w:rPr>
                <w:rFonts w:hint="cs"/>
                <w:sz w:val="26"/>
                <w:rtl/>
              </w:rPr>
              <w:tab/>
              <w:t>על אף האמור בחוק זה ובכל צו הרחבה בעניין פיצויי פיטורים, עובד שהורשע בביצוע פשע מתוך מניע לאומני או בזיקה לפעילות טרור (להלן – פשע בטחון), לא יהיה זכאי לפיצויי פיטורים לפי חוק זה בקשר לסיום העסקתו עקב הפשע.</w:t>
            </w:r>
          </w:p>
        </w:tc>
      </w:tr>
      <w:tr w:rsidR="009055AF" w14:paraId="402033F1" w14:textId="77777777" w:rsidTr="009055AF">
        <w:trPr>
          <w:cantSplit/>
        </w:trPr>
        <w:tc>
          <w:tcPr>
            <w:tcW w:w="1872" w:type="dxa"/>
          </w:tcPr>
          <w:p w14:paraId="44EB5E8C" w14:textId="5F37D3C6" w:rsidR="009055AF" w:rsidRDefault="009055AF" w:rsidP="009055AF">
            <w:pPr>
              <w:pStyle w:val="TableSideHeading"/>
              <w:rPr>
                <w:sz w:val="26"/>
                <w:rtl/>
              </w:rPr>
            </w:pPr>
          </w:p>
        </w:tc>
        <w:tc>
          <w:tcPr>
            <w:tcW w:w="624" w:type="dxa"/>
          </w:tcPr>
          <w:p w14:paraId="1496F2E9" w14:textId="77777777" w:rsidR="009055AF" w:rsidRDefault="009055AF" w:rsidP="009055AF">
            <w:pPr>
              <w:pStyle w:val="TableText"/>
            </w:pPr>
          </w:p>
        </w:tc>
        <w:tc>
          <w:tcPr>
            <w:tcW w:w="624" w:type="dxa"/>
          </w:tcPr>
          <w:p w14:paraId="7DF18425" w14:textId="77777777" w:rsidR="009055AF" w:rsidRDefault="009055AF" w:rsidP="009055AF">
            <w:pPr>
              <w:pStyle w:val="TableText"/>
              <w:rPr>
                <w:sz w:val="26"/>
              </w:rPr>
            </w:pPr>
          </w:p>
        </w:tc>
        <w:tc>
          <w:tcPr>
            <w:tcW w:w="624" w:type="dxa"/>
          </w:tcPr>
          <w:p w14:paraId="356785CA" w14:textId="77777777" w:rsidR="009055AF" w:rsidRDefault="009055AF" w:rsidP="009055AF">
            <w:pPr>
              <w:pStyle w:val="TableText"/>
              <w:rPr>
                <w:sz w:val="26"/>
              </w:rPr>
            </w:pPr>
          </w:p>
        </w:tc>
        <w:tc>
          <w:tcPr>
            <w:tcW w:w="624" w:type="dxa"/>
          </w:tcPr>
          <w:p w14:paraId="5F846415" w14:textId="77777777" w:rsidR="009055AF" w:rsidRDefault="009055AF" w:rsidP="009055AF">
            <w:pPr>
              <w:pStyle w:val="TableText"/>
              <w:rPr>
                <w:sz w:val="26"/>
              </w:rPr>
            </w:pPr>
          </w:p>
        </w:tc>
        <w:tc>
          <w:tcPr>
            <w:tcW w:w="624" w:type="dxa"/>
          </w:tcPr>
          <w:p w14:paraId="75006154" w14:textId="77777777" w:rsidR="009055AF" w:rsidRDefault="009055AF" w:rsidP="009055AF">
            <w:pPr>
              <w:pStyle w:val="TableText"/>
              <w:rPr>
                <w:sz w:val="26"/>
              </w:rPr>
            </w:pPr>
          </w:p>
        </w:tc>
        <w:tc>
          <w:tcPr>
            <w:tcW w:w="4648" w:type="dxa"/>
            <w:gridSpan w:val="2"/>
          </w:tcPr>
          <w:p w14:paraId="2AA2BC58" w14:textId="6546910F" w:rsidR="009055AF" w:rsidRDefault="009055AF" w:rsidP="009055AF">
            <w:pPr>
              <w:pStyle w:val="TableBlock"/>
              <w:rPr>
                <w:sz w:val="26"/>
                <w:rtl/>
              </w:rPr>
            </w:pPr>
            <w:r>
              <w:rPr>
                <w:rFonts w:hint="cs"/>
                <w:sz w:val="26"/>
                <w:rtl/>
              </w:rPr>
              <w:t>(ב)</w:t>
            </w:r>
            <w:r>
              <w:rPr>
                <w:rFonts w:hint="cs"/>
                <w:sz w:val="26"/>
                <w:rtl/>
              </w:rPr>
              <w:tab/>
              <w:t>על אף האמור בסעיף 5, שאיריו של עובד שהיועץ המשפטי לממשלה הודיע כי הוא נפטר אגב ביצוע פשע ביטחון, לא יהיו זכאים לפיצויי פיטורים לפי חוק זה.</w:t>
            </w:r>
          </w:p>
        </w:tc>
      </w:tr>
      <w:tr w:rsidR="009055AF" w14:paraId="7ADB0E66" w14:textId="77777777" w:rsidTr="009055AF">
        <w:trPr>
          <w:cantSplit/>
        </w:trPr>
        <w:tc>
          <w:tcPr>
            <w:tcW w:w="1872" w:type="dxa"/>
          </w:tcPr>
          <w:p w14:paraId="07665B5B" w14:textId="3EF8AE61" w:rsidR="009055AF" w:rsidRDefault="009055AF" w:rsidP="009055AF">
            <w:pPr>
              <w:pStyle w:val="TableSideHeading"/>
              <w:rPr>
                <w:sz w:val="26"/>
                <w:rtl/>
              </w:rPr>
            </w:pPr>
          </w:p>
        </w:tc>
        <w:tc>
          <w:tcPr>
            <w:tcW w:w="624" w:type="dxa"/>
          </w:tcPr>
          <w:p w14:paraId="7CCB739E" w14:textId="77777777" w:rsidR="009055AF" w:rsidRDefault="009055AF" w:rsidP="009055AF">
            <w:pPr>
              <w:pStyle w:val="TableText"/>
            </w:pPr>
          </w:p>
        </w:tc>
        <w:tc>
          <w:tcPr>
            <w:tcW w:w="624" w:type="dxa"/>
          </w:tcPr>
          <w:p w14:paraId="241F7221" w14:textId="77777777" w:rsidR="009055AF" w:rsidRDefault="009055AF" w:rsidP="009055AF">
            <w:pPr>
              <w:pStyle w:val="TableText"/>
              <w:rPr>
                <w:sz w:val="26"/>
              </w:rPr>
            </w:pPr>
          </w:p>
        </w:tc>
        <w:tc>
          <w:tcPr>
            <w:tcW w:w="624" w:type="dxa"/>
          </w:tcPr>
          <w:p w14:paraId="656A2E08" w14:textId="77777777" w:rsidR="009055AF" w:rsidRDefault="009055AF" w:rsidP="009055AF">
            <w:pPr>
              <w:pStyle w:val="TableText"/>
              <w:rPr>
                <w:sz w:val="26"/>
              </w:rPr>
            </w:pPr>
          </w:p>
        </w:tc>
        <w:tc>
          <w:tcPr>
            <w:tcW w:w="624" w:type="dxa"/>
          </w:tcPr>
          <w:p w14:paraId="3574E523" w14:textId="77777777" w:rsidR="009055AF" w:rsidRDefault="009055AF" w:rsidP="009055AF">
            <w:pPr>
              <w:pStyle w:val="TableText"/>
              <w:rPr>
                <w:sz w:val="26"/>
              </w:rPr>
            </w:pPr>
          </w:p>
        </w:tc>
        <w:tc>
          <w:tcPr>
            <w:tcW w:w="624" w:type="dxa"/>
          </w:tcPr>
          <w:p w14:paraId="60874FB2" w14:textId="77777777" w:rsidR="009055AF" w:rsidRDefault="009055AF" w:rsidP="009055AF">
            <w:pPr>
              <w:pStyle w:val="TableText"/>
              <w:rPr>
                <w:sz w:val="26"/>
              </w:rPr>
            </w:pPr>
          </w:p>
        </w:tc>
        <w:tc>
          <w:tcPr>
            <w:tcW w:w="4648" w:type="dxa"/>
            <w:gridSpan w:val="2"/>
          </w:tcPr>
          <w:p w14:paraId="420953A7" w14:textId="48CB6BF0" w:rsidR="009055AF" w:rsidRDefault="009055AF" w:rsidP="009055AF">
            <w:pPr>
              <w:pStyle w:val="TableBlock"/>
              <w:rPr>
                <w:sz w:val="26"/>
                <w:rtl/>
              </w:rPr>
            </w:pPr>
            <w:r>
              <w:rPr>
                <w:rFonts w:hint="cs"/>
                <w:sz w:val="26"/>
                <w:rtl/>
              </w:rPr>
              <w:t>(ג)</w:t>
            </w:r>
            <w:r>
              <w:rPr>
                <w:rFonts w:hint="cs"/>
                <w:sz w:val="26"/>
                <w:rtl/>
              </w:rPr>
              <w:tab/>
              <w:t>על אף הוראות לפי סעיף 14, 21 ו-26, כספי פיצויים שהופרשו לקופת גמל של אדם שהורשע בביצוע פשע בטחון, יוחזרו למעסיק; בהיעדר אפשרות להחזרת הסכומים למעסיק, הכספים יחולטו לטובת נפגעי פעולות האיבה בהתאם לתקנות שיקבע שר האוצר לאחר התייעצות עם שר המשפטים לעניין זה ובהיעדר תקנות – בהתאם להחלטת בית הדין האזורי לעבודה.</w:t>
            </w:r>
          </w:p>
        </w:tc>
      </w:tr>
      <w:tr w:rsidR="009055AF" w14:paraId="49BBC2F6" w14:textId="77777777" w:rsidTr="009055AF">
        <w:trPr>
          <w:cantSplit/>
        </w:trPr>
        <w:tc>
          <w:tcPr>
            <w:tcW w:w="1872" w:type="dxa"/>
          </w:tcPr>
          <w:p w14:paraId="52F78D51" w14:textId="41BB4824" w:rsidR="009055AF" w:rsidRDefault="009055AF" w:rsidP="009055AF">
            <w:pPr>
              <w:pStyle w:val="TableSideHeading"/>
              <w:rPr>
                <w:sz w:val="26"/>
                <w:rtl/>
              </w:rPr>
            </w:pPr>
          </w:p>
        </w:tc>
        <w:tc>
          <w:tcPr>
            <w:tcW w:w="624" w:type="dxa"/>
          </w:tcPr>
          <w:p w14:paraId="7DF54147" w14:textId="77777777" w:rsidR="009055AF" w:rsidRDefault="009055AF" w:rsidP="009055AF">
            <w:pPr>
              <w:pStyle w:val="TableText"/>
            </w:pPr>
          </w:p>
        </w:tc>
        <w:tc>
          <w:tcPr>
            <w:tcW w:w="624" w:type="dxa"/>
          </w:tcPr>
          <w:p w14:paraId="44D62D5D" w14:textId="77777777" w:rsidR="009055AF" w:rsidRDefault="009055AF" w:rsidP="009055AF">
            <w:pPr>
              <w:pStyle w:val="TableText"/>
              <w:rPr>
                <w:sz w:val="26"/>
              </w:rPr>
            </w:pPr>
          </w:p>
        </w:tc>
        <w:tc>
          <w:tcPr>
            <w:tcW w:w="624" w:type="dxa"/>
          </w:tcPr>
          <w:p w14:paraId="67972A44" w14:textId="77777777" w:rsidR="009055AF" w:rsidRDefault="009055AF" w:rsidP="009055AF">
            <w:pPr>
              <w:pStyle w:val="TableText"/>
              <w:rPr>
                <w:sz w:val="26"/>
              </w:rPr>
            </w:pPr>
          </w:p>
        </w:tc>
        <w:tc>
          <w:tcPr>
            <w:tcW w:w="624" w:type="dxa"/>
          </w:tcPr>
          <w:p w14:paraId="2D3D589B" w14:textId="77777777" w:rsidR="009055AF" w:rsidRDefault="009055AF" w:rsidP="009055AF">
            <w:pPr>
              <w:pStyle w:val="TableText"/>
              <w:rPr>
                <w:sz w:val="26"/>
              </w:rPr>
            </w:pPr>
          </w:p>
        </w:tc>
        <w:tc>
          <w:tcPr>
            <w:tcW w:w="624" w:type="dxa"/>
          </w:tcPr>
          <w:p w14:paraId="257D0D59" w14:textId="77777777" w:rsidR="009055AF" w:rsidRDefault="009055AF" w:rsidP="009055AF">
            <w:pPr>
              <w:pStyle w:val="TableText"/>
              <w:rPr>
                <w:sz w:val="26"/>
              </w:rPr>
            </w:pPr>
          </w:p>
        </w:tc>
        <w:tc>
          <w:tcPr>
            <w:tcW w:w="4648" w:type="dxa"/>
            <w:gridSpan w:val="2"/>
          </w:tcPr>
          <w:p w14:paraId="4975DD68" w14:textId="2FAAACFE" w:rsidR="009055AF" w:rsidRDefault="009055AF" w:rsidP="009055AF">
            <w:pPr>
              <w:pStyle w:val="TableBlock"/>
              <w:rPr>
                <w:sz w:val="26"/>
                <w:rtl/>
              </w:rPr>
            </w:pPr>
            <w:r>
              <w:rPr>
                <w:rFonts w:hint="cs"/>
                <w:sz w:val="26"/>
                <w:rtl/>
              </w:rPr>
              <w:t>(ד)</w:t>
            </w:r>
            <w:r>
              <w:rPr>
                <w:rFonts w:hint="cs"/>
                <w:sz w:val="26"/>
                <w:rtl/>
              </w:rPr>
              <w:tab/>
              <w:t>שר המשפטים רשאי להתקין תקנות בדבר סדרי דין בעניין הגשת בקשה למתן צו לפי סעיף זה."</w:t>
            </w:r>
          </w:p>
        </w:tc>
      </w:tr>
      <w:tr w:rsidR="009055AF" w14:paraId="337E3473" w14:textId="77777777" w:rsidTr="009055AF">
        <w:trPr>
          <w:cantSplit/>
        </w:trPr>
        <w:tc>
          <w:tcPr>
            <w:tcW w:w="1872" w:type="dxa"/>
            <w:hideMark/>
          </w:tcPr>
          <w:p w14:paraId="121559ED" w14:textId="48A1B4DC" w:rsidR="009055AF" w:rsidRDefault="009055AF" w:rsidP="009055AF">
            <w:pPr>
              <w:pStyle w:val="TableSideHeading"/>
              <w:keepLines w:val="0"/>
              <w:rPr>
                <w:sz w:val="26"/>
                <w:rtl/>
              </w:rPr>
            </w:pPr>
            <w:r>
              <w:rPr>
                <w:rFonts w:hint="cs"/>
                <w:sz w:val="26"/>
                <w:rtl/>
              </w:rPr>
              <w:t>הוראת מעבר</w:t>
            </w:r>
          </w:p>
        </w:tc>
        <w:tc>
          <w:tcPr>
            <w:tcW w:w="624" w:type="dxa"/>
          </w:tcPr>
          <w:p w14:paraId="58278E85" w14:textId="7AA20D8F" w:rsidR="009055AF" w:rsidRDefault="009055AF" w:rsidP="009055AF">
            <w:pPr>
              <w:pStyle w:val="TableText"/>
              <w:keepLines w:val="0"/>
              <w:rPr>
                <w:sz w:val="26"/>
              </w:rPr>
            </w:pPr>
            <w:r>
              <w:rPr>
                <w:rFonts w:hint="cs"/>
                <w:sz w:val="26"/>
                <w:rtl/>
              </w:rPr>
              <w:t>3.</w:t>
            </w:r>
          </w:p>
        </w:tc>
        <w:tc>
          <w:tcPr>
            <w:tcW w:w="7144" w:type="dxa"/>
            <w:gridSpan w:val="6"/>
            <w:hideMark/>
          </w:tcPr>
          <w:p w14:paraId="009371B7" w14:textId="64B681E2" w:rsidR="009055AF" w:rsidRDefault="009055AF" w:rsidP="009055AF">
            <w:pPr>
              <w:pStyle w:val="TableBlock"/>
              <w:rPr>
                <w:sz w:val="26"/>
              </w:rPr>
            </w:pPr>
            <w:r>
              <w:rPr>
                <w:rFonts w:hint="cs"/>
                <w:sz w:val="26"/>
                <w:rtl/>
              </w:rPr>
              <w:t xml:space="preserve">נודע לקופת גמל כי האירוע המזכה בקצבת נכות או בקצבת שאירים שהיא משלמת, חל אגב ביצוע פשע בטחון שבוצע לפני תחילתו של חוק זה, והתקיימו תנאי סעיף 23א(ב) לחוק הפיקוח על שירותים פיננסיים (קופות גמל), </w:t>
            </w:r>
            <w:proofErr w:type="spellStart"/>
            <w:r>
              <w:rPr>
                <w:rFonts w:hint="cs"/>
                <w:sz w:val="26"/>
                <w:rtl/>
              </w:rPr>
              <w:t>התשס"ה</w:t>
            </w:r>
            <w:proofErr w:type="spellEnd"/>
            <w:r>
              <w:rPr>
                <w:rFonts w:hint="cs"/>
                <w:sz w:val="26"/>
                <w:rtl/>
              </w:rPr>
              <w:t>–2005, כנוסחו בחוק זה, תפסיק הקופה את ביצוע התשלומים לאחר שתמסור הודעה לממונה ולעמית או לשאריו, בתוך שישה חודשים לכל המאוחר מיום שנודע לה כאמור.</w:t>
            </w:r>
          </w:p>
        </w:tc>
      </w:tr>
    </w:tbl>
    <w:p w14:paraId="7ED6475C" w14:textId="77777777" w:rsidR="009055AF" w:rsidRDefault="009055AF" w:rsidP="002D1EE3">
      <w:pPr>
        <w:pStyle w:val="HeadDivreiHesber"/>
        <w:rPr>
          <w:rtl/>
        </w:rPr>
      </w:pPr>
    </w:p>
    <w:p w14:paraId="7F6961CA" w14:textId="77777777" w:rsidR="002D1EE3" w:rsidRDefault="002D1EE3" w:rsidP="002D1EE3">
      <w:pPr>
        <w:pStyle w:val="HeadDivreiHesber"/>
        <w:rPr>
          <w:rtl/>
        </w:rPr>
      </w:pPr>
      <w:r w:rsidRPr="0027450A">
        <w:rPr>
          <w:rFonts w:hint="cs"/>
          <w:rtl/>
        </w:rPr>
        <w:lastRenderedPageBreak/>
        <w:t>דברי הסבר</w:t>
      </w:r>
    </w:p>
    <w:p w14:paraId="4E31C57D" w14:textId="060FB3FD" w:rsidR="004C29E5" w:rsidRDefault="004C29E5" w:rsidP="007C5701">
      <w:pPr>
        <w:pStyle w:val="Hesber"/>
        <w:rPr>
          <w:rtl/>
        </w:rPr>
      </w:pPr>
      <w:r>
        <w:rPr>
          <w:rFonts w:hint="cs"/>
          <w:rtl/>
        </w:rPr>
        <w:t xml:space="preserve">מדינת ישראל </w:t>
      </w:r>
      <w:r w:rsidR="007C5701">
        <w:rPr>
          <w:rFonts w:hint="cs"/>
          <w:rtl/>
        </w:rPr>
        <w:t xml:space="preserve">מצויה </w:t>
      </w:r>
      <w:r>
        <w:rPr>
          <w:rFonts w:hint="cs"/>
          <w:rtl/>
        </w:rPr>
        <w:t xml:space="preserve">תחת איום טרור מתמשך וחווה בעת האחרונה גל טרור רצחני. בספר החוקים של מדינת ישראל קיימים כיום חוקים שונים השוללים זכויות וקצבאות ביטוח לאומי לאדם </w:t>
      </w:r>
      <w:r w:rsidR="007C5701">
        <w:rPr>
          <w:rFonts w:hint="cs"/>
          <w:rtl/>
        </w:rPr>
        <w:t>ש</w:t>
      </w:r>
      <w:r>
        <w:rPr>
          <w:rFonts w:hint="cs"/>
          <w:rtl/>
        </w:rPr>
        <w:t>מבצע פשע על רקע לאומני או בזיקה ל</w:t>
      </w:r>
      <w:r w:rsidR="007C5701">
        <w:rPr>
          <w:rFonts w:hint="cs"/>
          <w:rtl/>
        </w:rPr>
        <w:t xml:space="preserve">פעילות </w:t>
      </w:r>
      <w:r>
        <w:rPr>
          <w:rFonts w:hint="cs"/>
          <w:rtl/>
        </w:rPr>
        <w:t>טרור וזאת מתוך הבנה כי לא יעלה על הדעת שאזרחי המדינה יממנו מכיסם את קצבאותיהם של הפועלים באלימות וטרור כנגדם.</w:t>
      </w:r>
    </w:p>
    <w:p w14:paraId="667231F0" w14:textId="2378A1EA" w:rsidR="004C29E5" w:rsidRDefault="004C29E5" w:rsidP="007C5701">
      <w:pPr>
        <w:pStyle w:val="Hesber"/>
        <w:rPr>
          <w:rtl/>
        </w:rPr>
      </w:pPr>
      <w:r>
        <w:rPr>
          <w:rFonts w:hint="cs"/>
          <w:rtl/>
        </w:rPr>
        <w:t>גם המפקידים כספים בקופות הגמל זוכים לתמיכות שונות מהמדינה בדמות הטבות מס והנפקת אגרות חוב מיועדות. כמו כן, בקרנות הפנסיה</w:t>
      </w:r>
      <w:r w:rsidR="007C5701">
        <w:rPr>
          <w:rFonts w:hint="cs"/>
          <w:rtl/>
        </w:rPr>
        <w:t>,</w:t>
      </w:r>
      <w:r>
        <w:rPr>
          <w:rFonts w:hint="cs"/>
          <w:rtl/>
        </w:rPr>
        <w:t xml:space="preserve"> קצבאות הנכות והשאירים משולמים לזכאים על ידי כלל העמיתים בקרן הפנסיה, זאת כחלק ממארג הערבות ההדדית הקיים בקרנות הפנסיה. מכאן, שעמיתי קרנות הפנסיה עלולים לשלם את קצבתו של אדם אשר פעל באלימות וטרור כנגדם וכנגד תושבי המדינה</w:t>
      </w:r>
      <w:r w:rsidR="007C5701" w:rsidRPr="007C5701">
        <w:rPr>
          <w:rFonts w:hint="cs"/>
          <w:rtl/>
        </w:rPr>
        <w:t xml:space="preserve"> </w:t>
      </w:r>
      <w:r w:rsidR="007C5701">
        <w:rPr>
          <w:rFonts w:hint="cs"/>
          <w:rtl/>
        </w:rPr>
        <w:t>או את קצבת שאיריו של אדם כאמור</w:t>
      </w:r>
      <w:r>
        <w:rPr>
          <w:rFonts w:hint="cs"/>
          <w:rtl/>
        </w:rPr>
        <w:t>.</w:t>
      </w:r>
    </w:p>
    <w:p w14:paraId="45F2A2BF" w14:textId="3583EA4A" w:rsidR="004C29E5" w:rsidRDefault="004C29E5" w:rsidP="004C29E5">
      <w:pPr>
        <w:pStyle w:val="Hesber"/>
        <w:rPr>
          <w:rtl/>
        </w:rPr>
      </w:pPr>
      <w:r>
        <w:rPr>
          <w:rFonts w:hint="cs"/>
          <w:rtl/>
        </w:rPr>
        <w:t>הצעת חוק זו נועדה להגביר את ההרתעה ומהווה השלמה</w:t>
      </w:r>
      <w:r w:rsidR="007C5701">
        <w:rPr>
          <w:rFonts w:hint="cs"/>
          <w:rtl/>
        </w:rPr>
        <w:t xml:space="preserve"> של מהלך</w:t>
      </w:r>
      <w:r>
        <w:rPr>
          <w:rFonts w:hint="cs"/>
          <w:rtl/>
        </w:rPr>
        <w:t xml:space="preserve"> לשלילת הזכויות של המחבלים בביטוח הלאומי</w:t>
      </w:r>
      <w:r w:rsidR="007C5701">
        <w:rPr>
          <w:rFonts w:hint="cs"/>
          <w:rtl/>
        </w:rPr>
        <w:t>,</w:t>
      </w:r>
      <w:r>
        <w:rPr>
          <w:rFonts w:hint="cs"/>
          <w:rtl/>
        </w:rPr>
        <w:t xml:space="preserve"> גם במסגרת השוק הפנסיוני.</w:t>
      </w:r>
    </w:p>
    <w:p w14:paraId="085A5C12" w14:textId="40924EAC" w:rsidR="004C29E5" w:rsidRDefault="007C5701" w:rsidP="007C5701">
      <w:pPr>
        <w:pStyle w:val="Hesber"/>
        <w:rPr>
          <w:rtl/>
        </w:rPr>
      </w:pPr>
      <w:r>
        <w:rPr>
          <w:rFonts w:hint="cs"/>
          <w:rtl/>
        </w:rPr>
        <w:t>לפיכך,</w:t>
      </w:r>
      <w:r w:rsidR="004C29E5">
        <w:rPr>
          <w:rFonts w:hint="cs"/>
          <w:rtl/>
        </w:rPr>
        <w:t xml:space="preserve"> מוצע לתקן את חוק הפיקוח על שירותים פיננסיים (קופות גמל), </w:t>
      </w:r>
      <w:proofErr w:type="spellStart"/>
      <w:r>
        <w:rPr>
          <w:rFonts w:hint="cs"/>
          <w:rtl/>
        </w:rPr>
        <w:t>ה</w:t>
      </w:r>
      <w:r w:rsidR="004C29E5">
        <w:rPr>
          <w:rFonts w:hint="cs"/>
          <w:rtl/>
        </w:rPr>
        <w:t>תשס"ה</w:t>
      </w:r>
      <w:proofErr w:type="spellEnd"/>
      <w:r>
        <w:rPr>
          <w:rFonts w:hint="cs"/>
          <w:rtl/>
        </w:rPr>
        <w:t>–</w:t>
      </w:r>
      <w:r w:rsidR="004C29E5">
        <w:rPr>
          <w:rFonts w:hint="cs"/>
          <w:rtl/>
        </w:rPr>
        <w:t>2005</w:t>
      </w:r>
      <w:r>
        <w:rPr>
          <w:rFonts w:hint="cs"/>
          <w:rtl/>
        </w:rPr>
        <w:t>,</w:t>
      </w:r>
      <w:r w:rsidR="004C29E5">
        <w:rPr>
          <w:rFonts w:hint="cs"/>
          <w:rtl/>
        </w:rPr>
        <w:t xml:space="preserve"> כך שיורה לקופות הגמל לשלול את הזכאות לקצבת נכות ושאירים בגין אירוע מזכה אשר אירע כתוצאה מפשע או ניסיון פשע שבוצע </w:t>
      </w:r>
      <w:r w:rsidR="004C29E5" w:rsidRPr="00DE3D83">
        <w:rPr>
          <w:rtl/>
        </w:rPr>
        <w:t>מתוך מניע לאומני או בזיקה לפעילות טרור</w:t>
      </w:r>
      <w:r w:rsidR="004C29E5">
        <w:rPr>
          <w:rFonts w:hint="cs"/>
          <w:rtl/>
        </w:rPr>
        <w:t xml:space="preserve"> (להלן</w:t>
      </w:r>
      <w:r>
        <w:rPr>
          <w:rFonts w:hint="cs"/>
          <w:rtl/>
        </w:rPr>
        <w:t xml:space="preserve"> </w:t>
      </w:r>
      <w:r>
        <w:rPr>
          <w:rFonts w:hint="eastAsia"/>
          <w:rtl/>
        </w:rPr>
        <w:t>–</w:t>
      </w:r>
      <w:r>
        <w:rPr>
          <w:rFonts w:hint="cs"/>
          <w:rtl/>
        </w:rPr>
        <w:t xml:space="preserve"> </w:t>
      </w:r>
      <w:r w:rsidR="004C29E5">
        <w:rPr>
          <w:rFonts w:hint="cs"/>
          <w:rtl/>
        </w:rPr>
        <w:t xml:space="preserve">פשע בטחון). מובהר, כי בהתאם לסעיף 34ד לחוק העונשין, </w:t>
      </w:r>
      <w:proofErr w:type="spellStart"/>
      <w:r>
        <w:rPr>
          <w:rFonts w:hint="cs"/>
          <w:rtl/>
        </w:rPr>
        <w:t>ה</w:t>
      </w:r>
      <w:r w:rsidR="004C29E5">
        <w:rPr>
          <w:rFonts w:hint="cs"/>
          <w:rtl/>
        </w:rPr>
        <w:t>תשל"ז</w:t>
      </w:r>
      <w:proofErr w:type="spellEnd"/>
      <w:r>
        <w:rPr>
          <w:rFonts w:hint="cs"/>
          <w:rtl/>
        </w:rPr>
        <w:t>–</w:t>
      </w:r>
      <w:r w:rsidR="004C29E5">
        <w:rPr>
          <w:rFonts w:hint="cs"/>
          <w:rtl/>
        </w:rPr>
        <w:t>1977</w:t>
      </w:r>
      <w:r>
        <w:rPr>
          <w:rFonts w:hint="cs"/>
          <w:rtl/>
        </w:rPr>
        <w:t>,</w:t>
      </w:r>
      <w:r w:rsidR="004C29E5">
        <w:rPr>
          <w:rFonts w:hint="cs"/>
          <w:rtl/>
        </w:rPr>
        <w:t xml:space="preserve"> על חוק זה לחול גם במקרה של </w:t>
      </w:r>
      <w:proofErr w:type="spellStart"/>
      <w:r w:rsidR="004C29E5" w:rsidRPr="00D03DEB">
        <w:rPr>
          <w:rtl/>
        </w:rPr>
        <w:t>נסיון</w:t>
      </w:r>
      <w:proofErr w:type="spellEnd"/>
      <w:r w:rsidR="004C29E5" w:rsidRPr="00D03DEB">
        <w:rPr>
          <w:rtl/>
        </w:rPr>
        <w:t xml:space="preserve">, שידול, </w:t>
      </w:r>
      <w:proofErr w:type="spellStart"/>
      <w:r w:rsidR="004C29E5" w:rsidRPr="00D03DEB">
        <w:rPr>
          <w:rtl/>
        </w:rPr>
        <w:t>נסיון</w:t>
      </w:r>
      <w:proofErr w:type="spellEnd"/>
      <w:r w:rsidR="004C29E5" w:rsidRPr="00D03DEB">
        <w:rPr>
          <w:rtl/>
        </w:rPr>
        <w:t xml:space="preserve"> לשידול או סיוע, לאותה עבירה</w:t>
      </w:r>
      <w:r w:rsidR="004C29E5">
        <w:rPr>
          <w:rFonts w:hint="cs"/>
          <w:rtl/>
        </w:rPr>
        <w:t>.</w:t>
      </w:r>
      <w:r w:rsidR="004C29E5" w:rsidRPr="00D03DEB">
        <w:rPr>
          <w:rFonts w:hint="cs"/>
          <w:rtl/>
        </w:rPr>
        <w:t xml:space="preserve"> </w:t>
      </w:r>
    </w:p>
    <w:p w14:paraId="0D8ADA7C" w14:textId="47E0EE61" w:rsidR="004C29E5" w:rsidRDefault="007C5701" w:rsidP="004C29E5">
      <w:pPr>
        <w:pStyle w:val="Hesber"/>
        <w:rPr>
          <w:rtl/>
        </w:rPr>
      </w:pPr>
      <w:r>
        <w:rPr>
          <w:rFonts w:hint="cs"/>
          <w:sz w:val="26"/>
          <w:rtl/>
        </w:rPr>
        <w:t xml:space="preserve">כן </w:t>
      </w:r>
      <w:r w:rsidR="004C29E5">
        <w:rPr>
          <w:rFonts w:hint="cs"/>
          <w:sz w:val="26"/>
          <w:rtl/>
        </w:rPr>
        <w:t xml:space="preserve">מוצע כי </w:t>
      </w:r>
      <w:r w:rsidR="004C29E5" w:rsidRPr="00A0449A">
        <w:rPr>
          <w:rFonts w:hint="cs"/>
          <w:sz w:val="26"/>
          <w:rtl/>
        </w:rPr>
        <w:t>זכאותו</w:t>
      </w:r>
      <w:r w:rsidR="004C29E5">
        <w:rPr>
          <w:rFonts w:hint="cs"/>
          <w:sz w:val="26"/>
          <w:rtl/>
        </w:rPr>
        <w:t xml:space="preserve"> של מחבל</w:t>
      </w:r>
      <w:r w:rsidR="004C29E5" w:rsidRPr="00A0449A">
        <w:rPr>
          <w:rFonts w:hint="cs"/>
          <w:sz w:val="26"/>
          <w:rtl/>
        </w:rPr>
        <w:t xml:space="preserve"> לקצבה תופחת, באופן שקצבתו תחושב על בסיס הסכום שנצבר ממרכיב תגמולי העובד בלבד</w:t>
      </w:r>
      <w:r w:rsidR="004C29E5">
        <w:rPr>
          <w:rFonts w:hint="cs"/>
          <w:rtl/>
        </w:rPr>
        <w:t xml:space="preserve">. בתוך כך, מוצע כי </w:t>
      </w:r>
      <w:r w:rsidR="004C29E5">
        <w:rPr>
          <w:rFonts w:hint="cs"/>
          <w:sz w:val="26"/>
          <w:rtl/>
        </w:rPr>
        <w:t>על אף הוראות סעיף 23, המבצע פשע בטחון</w:t>
      </w:r>
      <w:r w:rsidR="004C29E5" w:rsidRPr="00A0449A">
        <w:rPr>
          <w:rFonts w:hint="cs"/>
          <w:sz w:val="26"/>
          <w:rtl/>
        </w:rPr>
        <w:t xml:space="preserve"> לא יהיה זכאי למשוך מקופת הגמל סכומים שנצברו ממרכיב תגמולי המעביד או ממרכיב הפיצויים</w:t>
      </w:r>
      <w:r w:rsidR="004C29E5">
        <w:rPr>
          <w:rFonts w:hint="cs"/>
          <w:sz w:val="26"/>
          <w:rtl/>
        </w:rPr>
        <w:t xml:space="preserve"> וכספים אלה יחולטו לטובת נפגעי פעולות האיבה בהתאם לתקנות שיקבע שר האוצר.</w:t>
      </w:r>
    </w:p>
    <w:p w14:paraId="22EC8683" w14:textId="3E18D5F7" w:rsidR="004C29E5" w:rsidRDefault="004C29E5" w:rsidP="004C29E5">
      <w:pPr>
        <w:pStyle w:val="Hesber"/>
        <w:rPr>
          <w:rtl/>
        </w:rPr>
      </w:pPr>
      <w:r>
        <w:rPr>
          <w:rFonts w:hint="cs"/>
          <w:rtl/>
        </w:rPr>
        <w:t xml:space="preserve"> כמו כן, מוצע כי בתוך שישה חודשים יופסק תשלום קצבת נכות או שאירים</w:t>
      </w:r>
      <w:r w:rsidR="007C5701">
        <w:rPr>
          <w:rFonts w:hint="cs"/>
          <w:rtl/>
        </w:rPr>
        <w:t>,</w:t>
      </w:r>
      <w:r>
        <w:rPr>
          <w:rFonts w:hint="cs"/>
          <w:rtl/>
        </w:rPr>
        <w:t xml:space="preserve"> המשולמת זה מכבר בגין אירוע מזכה אשר נבע מפשע כאמור. </w:t>
      </w:r>
    </w:p>
    <w:p w14:paraId="66F123A8" w14:textId="0AD2ADBB" w:rsidR="004C29E5" w:rsidRDefault="004C29E5" w:rsidP="00992D06">
      <w:pPr>
        <w:pStyle w:val="Hesber"/>
        <w:rPr>
          <w:rtl/>
        </w:rPr>
      </w:pPr>
      <w:r>
        <w:rPr>
          <w:rFonts w:hint="cs"/>
          <w:rtl/>
        </w:rPr>
        <w:t>בנוסף, מוצע כי עמית אשר ביצע פשע או ניסיון לפשע מתוך מניע לאומני או בזיקה לפעילות טרור בעודו מקבל קצבת זקנה</w:t>
      </w:r>
      <w:r w:rsidR="00992D06">
        <w:rPr>
          <w:rFonts w:hint="cs"/>
          <w:rtl/>
        </w:rPr>
        <w:t xml:space="preserve"> פנסיונית</w:t>
      </w:r>
      <w:r>
        <w:rPr>
          <w:rFonts w:hint="cs"/>
          <w:rtl/>
        </w:rPr>
        <w:t xml:space="preserve"> מקופת הגמל, לא יהא זכאי לקבלת קצבה במשך הזמן שהוא במאסר</w:t>
      </w:r>
      <w:r w:rsidR="00992D06">
        <w:rPr>
          <w:rFonts w:hint="cs"/>
          <w:rtl/>
        </w:rPr>
        <w:t>. בנוסף מוצע כי הוא</w:t>
      </w:r>
      <w:r>
        <w:rPr>
          <w:rFonts w:hint="cs"/>
          <w:rtl/>
        </w:rPr>
        <w:t xml:space="preserve"> לא יהא זכאי לתשלום קצבת זקנה</w:t>
      </w:r>
      <w:r w:rsidR="00992D06">
        <w:rPr>
          <w:rFonts w:hint="cs"/>
          <w:rtl/>
        </w:rPr>
        <w:t xml:space="preserve"> פנסיונית מקופת גמל</w:t>
      </w:r>
      <w:r>
        <w:rPr>
          <w:rFonts w:hint="cs"/>
          <w:rtl/>
        </w:rPr>
        <w:t xml:space="preserve"> במקרה של הארכת תוחלת החיים מעבר לתוחלת החיים שנקבעה לו בעת קביעת </w:t>
      </w:r>
      <w:r w:rsidR="00992D06">
        <w:rPr>
          <w:rFonts w:hint="cs"/>
          <w:rtl/>
        </w:rPr>
        <w:t>גובה הקצבה</w:t>
      </w:r>
      <w:r>
        <w:rPr>
          <w:rFonts w:hint="cs"/>
          <w:rtl/>
        </w:rPr>
        <w:t>.</w:t>
      </w:r>
    </w:p>
    <w:p w14:paraId="4BF1DC97" w14:textId="1B7E4116" w:rsidR="004C29E5" w:rsidRDefault="004C29E5" w:rsidP="007C5701">
      <w:pPr>
        <w:pStyle w:val="Hesber"/>
        <w:rPr>
          <w:rtl/>
        </w:rPr>
      </w:pPr>
      <w:r>
        <w:rPr>
          <w:rFonts w:hint="cs"/>
          <w:rtl/>
        </w:rPr>
        <w:t>זאת ועוד, במצב הנוכחי, עלול מעסיק להיות מחויב בתשלום פיצויי פיטורים לאדם אשר ביצע פשע בטחון או בתשלום לשאיריו</w:t>
      </w:r>
      <w:r w:rsidR="00992D06">
        <w:rPr>
          <w:rFonts w:hint="cs"/>
          <w:rtl/>
        </w:rPr>
        <w:t xml:space="preserve"> בקשר לסיום העסקתו עקב ביצוע הפשע</w:t>
      </w:r>
      <w:r>
        <w:rPr>
          <w:rFonts w:hint="cs"/>
          <w:rtl/>
        </w:rPr>
        <w:t>. על כן</w:t>
      </w:r>
      <w:r w:rsidR="007C5701">
        <w:rPr>
          <w:rFonts w:hint="cs"/>
          <w:rtl/>
        </w:rPr>
        <w:t>,</w:t>
      </w:r>
      <w:r>
        <w:rPr>
          <w:rFonts w:hint="cs"/>
          <w:rtl/>
        </w:rPr>
        <w:t xml:space="preserve"> מוצע לשלול את הזכאות לפיצויי פיטורים ל</w:t>
      </w:r>
      <w:r w:rsidR="007C5701">
        <w:rPr>
          <w:rFonts w:hint="cs"/>
          <w:rtl/>
        </w:rPr>
        <w:t xml:space="preserve">שאיריו של </w:t>
      </w:r>
      <w:r>
        <w:rPr>
          <w:rFonts w:hint="cs"/>
          <w:rtl/>
        </w:rPr>
        <w:t>עובד אשר פעל כאמור תוך השבת הכספים לידי המעסיק</w:t>
      </w:r>
      <w:r w:rsidR="007C5701">
        <w:rPr>
          <w:rFonts w:hint="cs"/>
          <w:rtl/>
        </w:rPr>
        <w:t>,</w:t>
      </w:r>
      <w:r>
        <w:rPr>
          <w:rFonts w:hint="cs"/>
          <w:rtl/>
        </w:rPr>
        <w:t xml:space="preserve"> ובהיעדרו </w:t>
      </w:r>
      <w:r w:rsidR="007C5701">
        <w:rPr>
          <w:rFonts w:hint="eastAsia"/>
          <w:rtl/>
        </w:rPr>
        <w:t>–</w:t>
      </w:r>
      <w:r w:rsidR="007C5701">
        <w:rPr>
          <w:rFonts w:hint="cs"/>
          <w:rtl/>
        </w:rPr>
        <w:t xml:space="preserve"> </w:t>
      </w:r>
      <w:r>
        <w:rPr>
          <w:rFonts w:hint="cs"/>
          <w:rtl/>
        </w:rPr>
        <w:t xml:space="preserve">חילוט הכספים הצבורים בקופת הגמל בגין רכיב זה לטובת נפגעי פעולות האיבה בהתאם לתקנות שיקבע השר. שלילת הזכאות לפיצויים כאמור טעונה את אישורו של בית הדין האזורי לעבודה לאחר קבלת הודעת </w:t>
      </w:r>
      <w:r w:rsidRPr="00791323">
        <w:rPr>
          <w:rFonts w:hint="cs"/>
          <w:rtl/>
        </w:rPr>
        <w:t xml:space="preserve">היועץ המשפטי לממשלה או מי שהסמיכו לכך כי אותו עובד אכן ביצע או ניסה לבצע פשע </w:t>
      </w:r>
      <w:r>
        <w:rPr>
          <w:rFonts w:hint="cs"/>
          <w:rtl/>
        </w:rPr>
        <w:t>ב</w:t>
      </w:r>
      <w:r w:rsidR="009055AF">
        <w:rPr>
          <w:rFonts w:hint="cs"/>
          <w:rtl/>
        </w:rPr>
        <w:t>י</w:t>
      </w:r>
      <w:r>
        <w:rPr>
          <w:rFonts w:hint="cs"/>
          <w:rtl/>
        </w:rPr>
        <w:t>טחון</w:t>
      </w:r>
      <w:r w:rsidRPr="00791323">
        <w:rPr>
          <w:rFonts w:hint="cs"/>
          <w:rtl/>
        </w:rPr>
        <w:t>.</w:t>
      </w:r>
    </w:p>
    <w:p w14:paraId="14536C9D" w14:textId="77777777" w:rsidR="009055AF" w:rsidRPr="003C5528" w:rsidRDefault="009055AF" w:rsidP="003C5528">
      <w:pPr>
        <w:pStyle w:val="Hesber"/>
        <w:rPr>
          <w:rtl/>
        </w:rPr>
      </w:pPr>
      <w:r w:rsidRPr="003C5528">
        <w:rPr>
          <w:rtl/>
        </w:rPr>
        <w:t>---------------------------------</w:t>
      </w:r>
    </w:p>
    <w:p w14:paraId="5F7A8917" w14:textId="77777777" w:rsidR="009055AF" w:rsidRPr="003C5528" w:rsidRDefault="009055AF" w:rsidP="003C5528">
      <w:pPr>
        <w:pStyle w:val="Hesber"/>
        <w:rPr>
          <w:rtl/>
        </w:rPr>
      </w:pPr>
      <w:r w:rsidRPr="003C5528">
        <w:rPr>
          <w:rFonts w:hint="cs"/>
          <w:rtl/>
        </w:rPr>
        <w:t>הוגשה</w:t>
      </w:r>
      <w:r w:rsidRPr="003C5528">
        <w:rPr>
          <w:rtl/>
        </w:rPr>
        <w:t xml:space="preserve"> </w:t>
      </w:r>
      <w:r w:rsidRPr="003C5528">
        <w:rPr>
          <w:rFonts w:hint="cs"/>
          <w:rtl/>
        </w:rPr>
        <w:t>ליו</w:t>
      </w:r>
      <w:r w:rsidRPr="003C5528">
        <w:rPr>
          <w:rtl/>
        </w:rPr>
        <w:t>"</w:t>
      </w:r>
      <w:r w:rsidRPr="003C5528">
        <w:rPr>
          <w:rFonts w:hint="cs"/>
          <w:rtl/>
        </w:rPr>
        <w:t>ר</w:t>
      </w:r>
      <w:r w:rsidRPr="003C5528">
        <w:rPr>
          <w:rtl/>
        </w:rPr>
        <w:t xml:space="preserve"> </w:t>
      </w:r>
      <w:r w:rsidRPr="003C5528">
        <w:rPr>
          <w:rFonts w:hint="cs"/>
          <w:rtl/>
        </w:rPr>
        <w:t>הכנסת</w:t>
      </w:r>
      <w:r w:rsidRPr="003C5528">
        <w:rPr>
          <w:rtl/>
        </w:rPr>
        <w:t xml:space="preserve"> </w:t>
      </w:r>
      <w:r w:rsidRPr="003C5528">
        <w:rPr>
          <w:rFonts w:hint="cs"/>
          <w:rtl/>
        </w:rPr>
        <w:t>והסגנים</w:t>
      </w:r>
    </w:p>
    <w:p w14:paraId="7AEA3130" w14:textId="77777777" w:rsidR="009055AF" w:rsidRPr="003C5528" w:rsidRDefault="009055AF" w:rsidP="003C5528">
      <w:pPr>
        <w:pStyle w:val="Hesber"/>
        <w:rPr>
          <w:rtl/>
        </w:rPr>
      </w:pPr>
      <w:r w:rsidRPr="003C5528">
        <w:rPr>
          <w:rFonts w:hint="cs"/>
          <w:rtl/>
        </w:rPr>
        <w:t>והונחה</w:t>
      </w:r>
      <w:r w:rsidRPr="003C5528">
        <w:rPr>
          <w:rtl/>
        </w:rPr>
        <w:t xml:space="preserve"> </w:t>
      </w:r>
      <w:r w:rsidRPr="003C5528">
        <w:rPr>
          <w:rFonts w:hint="cs"/>
          <w:rtl/>
        </w:rPr>
        <w:t>על</w:t>
      </w:r>
      <w:r w:rsidRPr="003C5528">
        <w:rPr>
          <w:rtl/>
        </w:rPr>
        <w:t xml:space="preserve"> </w:t>
      </w:r>
      <w:r w:rsidRPr="003C5528">
        <w:rPr>
          <w:rFonts w:hint="cs"/>
          <w:rtl/>
        </w:rPr>
        <w:t>שולחן</w:t>
      </w:r>
      <w:r w:rsidRPr="003C5528">
        <w:rPr>
          <w:rtl/>
        </w:rPr>
        <w:t xml:space="preserve"> </w:t>
      </w:r>
      <w:r w:rsidRPr="003C5528">
        <w:rPr>
          <w:rFonts w:hint="cs"/>
          <w:rtl/>
        </w:rPr>
        <w:t>הכנסת</w:t>
      </w:r>
      <w:r w:rsidRPr="003C5528">
        <w:rPr>
          <w:rtl/>
        </w:rPr>
        <w:t xml:space="preserve"> </w:t>
      </w:r>
      <w:r w:rsidRPr="003C5528">
        <w:rPr>
          <w:rFonts w:hint="cs"/>
          <w:rtl/>
        </w:rPr>
        <w:t>ביום</w:t>
      </w:r>
    </w:p>
    <w:p w14:paraId="7F6961CB" w14:textId="0C59C97A" w:rsidR="00E13C27" w:rsidRDefault="009055AF" w:rsidP="0030053D">
      <w:pPr>
        <w:pStyle w:val="Hesber"/>
        <w:rPr>
          <w:rtl/>
        </w:rPr>
      </w:pPr>
      <w:r>
        <w:rPr>
          <w:rFonts w:hint="cs"/>
          <w:rtl/>
        </w:rPr>
        <w:t>י"ב בתמוז</w:t>
      </w:r>
      <w:r w:rsidRPr="003C5528">
        <w:rPr>
          <w:rtl/>
        </w:rPr>
        <w:t xml:space="preserve"> </w:t>
      </w:r>
      <w:proofErr w:type="spellStart"/>
      <w:r w:rsidRPr="003C5528">
        <w:rPr>
          <w:rFonts w:hint="cs"/>
          <w:rtl/>
        </w:rPr>
        <w:t>התשע</w:t>
      </w:r>
      <w:r w:rsidRPr="003C5528">
        <w:rPr>
          <w:rtl/>
        </w:rPr>
        <w:t>"</w:t>
      </w:r>
      <w:r w:rsidRPr="003C5528">
        <w:rPr>
          <w:rFonts w:hint="cs"/>
          <w:rtl/>
        </w:rPr>
        <w:t>ו</w:t>
      </w:r>
      <w:proofErr w:type="spellEnd"/>
      <w:r w:rsidRPr="003C5528">
        <w:rPr>
          <w:rtl/>
        </w:rPr>
        <w:t xml:space="preserve"> – </w:t>
      </w:r>
      <w:r>
        <w:rPr>
          <w:rFonts w:hint="cs"/>
          <w:rtl/>
        </w:rPr>
        <w:t>18.7</w:t>
      </w:r>
      <w:r w:rsidRPr="003C5528">
        <w:rPr>
          <w:rFonts w:hint="cs"/>
          <w:rtl/>
        </w:rPr>
        <w:t>.16</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CF8314" w14:textId="77777777" w:rsidR="0030019C" w:rsidRDefault="0030019C">
      <w:r>
        <w:separator/>
      </w:r>
    </w:p>
  </w:endnote>
  <w:endnote w:type="continuationSeparator" w:id="0">
    <w:p w14:paraId="7B8803A6" w14:textId="77777777" w:rsidR="0030019C" w:rsidRDefault="0030019C">
      <w:r>
        <w:continuationSeparator/>
      </w:r>
    </w:p>
  </w:endnote>
  <w:endnote w:type="continuationNotice" w:id="1">
    <w:p w14:paraId="3B27135B" w14:textId="77777777" w:rsidR="0030019C" w:rsidRDefault="0030019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543D41">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EFA10" w14:textId="77777777" w:rsidR="0030019C" w:rsidRDefault="0030019C">
      <w:r>
        <w:separator/>
      </w:r>
    </w:p>
  </w:footnote>
  <w:footnote w:type="continuationSeparator" w:id="0">
    <w:p w14:paraId="354EE875" w14:textId="77777777" w:rsidR="0030019C" w:rsidRDefault="0030019C">
      <w:r>
        <w:continuationSeparator/>
      </w:r>
    </w:p>
  </w:footnote>
  <w:footnote w:type="continuationNotice" w:id="1">
    <w:p w14:paraId="27B2F445" w14:textId="77777777" w:rsidR="0030019C" w:rsidRDefault="0030019C"/>
  </w:footnote>
  <w:footnote w:id="2">
    <w:p w14:paraId="6CCE81DE" w14:textId="77777777" w:rsidR="004C29E5" w:rsidRDefault="004C29E5" w:rsidP="004C29E5">
      <w:pPr>
        <w:pStyle w:val="a4"/>
      </w:pPr>
      <w:r>
        <w:rPr>
          <w:rStyle w:val="a6"/>
        </w:rPr>
        <w:footnoteRef/>
      </w:r>
      <w:r>
        <w:rPr>
          <w:rFonts w:hint="cs"/>
          <w:rtl/>
        </w:rPr>
        <w:t xml:space="preserve"> ס"ח </w:t>
      </w:r>
      <w:proofErr w:type="spellStart"/>
      <w:r>
        <w:rPr>
          <w:rFonts w:hint="cs"/>
          <w:rtl/>
        </w:rPr>
        <w:t>התשס"ה</w:t>
      </w:r>
      <w:proofErr w:type="spellEnd"/>
      <w:r>
        <w:rPr>
          <w:rFonts w:hint="cs"/>
          <w:rtl/>
        </w:rPr>
        <w:t>, עמ' 889.</w:t>
      </w:r>
    </w:p>
  </w:footnote>
  <w:footnote w:id="3">
    <w:p w14:paraId="4959193C" w14:textId="77777777" w:rsidR="009055AF" w:rsidRDefault="009055AF" w:rsidP="004C29E5">
      <w:pPr>
        <w:pStyle w:val="a4"/>
        <w:rPr>
          <w:rtl/>
        </w:rPr>
      </w:pPr>
      <w:r>
        <w:rPr>
          <w:rStyle w:val="a6"/>
        </w:rPr>
        <w:footnoteRef/>
      </w:r>
      <w:r>
        <w:rPr>
          <w:rFonts w:hint="cs"/>
          <w:rtl/>
        </w:rPr>
        <w:t xml:space="preserve"> </w:t>
      </w:r>
      <w:r>
        <w:rPr>
          <w:rFonts w:hint="cs"/>
          <w:rtl/>
        </w:rPr>
        <w:t xml:space="preserve">ס"ח </w:t>
      </w:r>
      <w:proofErr w:type="spellStart"/>
      <w:r>
        <w:rPr>
          <w:rFonts w:hint="cs"/>
          <w:rtl/>
        </w:rPr>
        <w:t>התשכ"ג</w:t>
      </w:r>
      <w:proofErr w:type="spellEnd"/>
      <w:r>
        <w:rPr>
          <w:rFonts w:hint="cs"/>
          <w:rtl/>
        </w:rPr>
        <w:t>, עמ' 136.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0C7AFB"/>
    <w:rsid w:val="00102B6B"/>
    <w:rsid w:val="001050E9"/>
    <w:rsid w:val="001052D4"/>
    <w:rsid w:val="0010644B"/>
    <w:rsid w:val="001207F8"/>
    <w:rsid w:val="00121924"/>
    <w:rsid w:val="001279A8"/>
    <w:rsid w:val="0014195F"/>
    <w:rsid w:val="00152609"/>
    <w:rsid w:val="00153E1B"/>
    <w:rsid w:val="001A0623"/>
    <w:rsid w:val="001C23B0"/>
    <w:rsid w:val="001C28BB"/>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01DC"/>
    <w:rsid w:val="002C2E29"/>
    <w:rsid w:val="002C3041"/>
    <w:rsid w:val="002D1EE3"/>
    <w:rsid w:val="002F1D80"/>
    <w:rsid w:val="0030019C"/>
    <w:rsid w:val="0030053D"/>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A3FB6"/>
    <w:rsid w:val="004B24ED"/>
    <w:rsid w:val="004B6625"/>
    <w:rsid w:val="004C29E5"/>
    <w:rsid w:val="004D2D82"/>
    <w:rsid w:val="004D3876"/>
    <w:rsid w:val="004E4552"/>
    <w:rsid w:val="004E6CDF"/>
    <w:rsid w:val="00543D41"/>
    <w:rsid w:val="00553C9D"/>
    <w:rsid w:val="00562A66"/>
    <w:rsid w:val="005B064E"/>
    <w:rsid w:val="005D51AE"/>
    <w:rsid w:val="0062674B"/>
    <w:rsid w:val="006363B2"/>
    <w:rsid w:val="00644940"/>
    <w:rsid w:val="006818A9"/>
    <w:rsid w:val="006A2D81"/>
    <w:rsid w:val="006C1D0D"/>
    <w:rsid w:val="0070601E"/>
    <w:rsid w:val="00712C72"/>
    <w:rsid w:val="00735FE9"/>
    <w:rsid w:val="007414F2"/>
    <w:rsid w:val="00763CAA"/>
    <w:rsid w:val="00765F66"/>
    <w:rsid w:val="0078664F"/>
    <w:rsid w:val="007C3FA6"/>
    <w:rsid w:val="007C5701"/>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5AF"/>
    <w:rsid w:val="00905E5F"/>
    <w:rsid w:val="0091204F"/>
    <w:rsid w:val="009203DB"/>
    <w:rsid w:val="00923CD4"/>
    <w:rsid w:val="00930EFE"/>
    <w:rsid w:val="00943386"/>
    <w:rsid w:val="009456B6"/>
    <w:rsid w:val="00957589"/>
    <w:rsid w:val="00966D06"/>
    <w:rsid w:val="00982412"/>
    <w:rsid w:val="00983A8D"/>
    <w:rsid w:val="00992D06"/>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8192E"/>
    <w:rsid w:val="00B975AD"/>
    <w:rsid w:val="00BC45FB"/>
    <w:rsid w:val="00BF148D"/>
    <w:rsid w:val="00C0409E"/>
    <w:rsid w:val="00C23B1A"/>
    <w:rsid w:val="00C278CC"/>
    <w:rsid w:val="00C310EB"/>
    <w:rsid w:val="00C31D87"/>
    <w:rsid w:val="00C9176A"/>
    <w:rsid w:val="00CF1AA2"/>
    <w:rsid w:val="00D17774"/>
    <w:rsid w:val="00D63620"/>
    <w:rsid w:val="00D8410D"/>
    <w:rsid w:val="00D867D7"/>
    <w:rsid w:val="00DB7060"/>
    <w:rsid w:val="00DE3153"/>
    <w:rsid w:val="00E06736"/>
    <w:rsid w:val="00E068FA"/>
    <w:rsid w:val="00E13C27"/>
    <w:rsid w:val="00E33BBD"/>
    <w:rsid w:val="00E374F2"/>
    <w:rsid w:val="00E45103"/>
    <w:rsid w:val="00E55A60"/>
    <w:rsid w:val="00E62778"/>
    <w:rsid w:val="00E63D38"/>
    <w:rsid w:val="00E665B9"/>
    <w:rsid w:val="00EA01E6"/>
    <w:rsid w:val="00EA3DE8"/>
    <w:rsid w:val="00EA758F"/>
    <w:rsid w:val="00ED4A6F"/>
    <w:rsid w:val="00EF3A3A"/>
    <w:rsid w:val="00F16152"/>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8C4186BD-A419-417E-9C8E-7D939614B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55AF"/>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055A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055AF"/>
    <w:rPr>
      <w:sz w:val="36"/>
      <w:szCs w:val="52"/>
    </w:rPr>
  </w:style>
  <w:style w:type="paragraph" w:customStyle="1" w:styleId="Cover3-Haknesset">
    <w:name w:val="Cover 3-Haknesset"/>
    <w:basedOn w:val="Cover1-Reshumot"/>
    <w:rsid w:val="009055AF"/>
    <w:rPr>
      <w:b/>
      <w:bCs/>
      <w:spacing w:val="60"/>
    </w:rPr>
  </w:style>
  <w:style w:type="paragraph" w:customStyle="1" w:styleId="Cover4-Date">
    <w:name w:val="Cover 4-Date"/>
    <w:basedOn w:val="a"/>
    <w:rsid w:val="009055A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055A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055A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055AF"/>
    <w:pPr>
      <w:spacing w:before="120" w:after="120"/>
    </w:pPr>
    <w:rPr>
      <w:color w:val="FF0000"/>
      <w:w w:val="80"/>
    </w:rPr>
  </w:style>
  <w:style w:type="paragraph" w:styleId="a3">
    <w:name w:val="endnote text"/>
    <w:basedOn w:val="a"/>
    <w:semiHidden/>
    <w:rsid w:val="009055AF"/>
    <w:pPr>
      <w:ind w:left="227" w:hanging="227"/>
    </w:pPr>
    <w:rPr>
      <w:sz w:val="14"/>
      <w:szCs w:val="22"/>
    </w:rPr>
  </w:style>
  <w:style w:type="paragraph" w:customStyle="1" w:styleId="TableText">
    <w:name w:val="Table Text"/>
    <w:basedOn w:val="a"/>
    <w:rsid w:val="009055A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055AF"/>
  </w:style>
  <w:style w:type="paragraph" w:customStyle="1" w:styleId="TableBlock">
    <w:name w:val="Table Block"/>
    <w:basedOn w:val="TableText"/>
    <w:rsid w:val="009055AF"/>
    <w:pPr>
      <w:ind w:right="0"/>
      <w:jc w:val="both"/>
    </w:pPr>
  </w:style>
  <w:style w:type="paragraph" w:customStyle="1" w:styleId="TableHead">
    <w:name w:val="Table Head"/>
    <w:basedOn w:val="TableText"/>
    <w:rsid w:val="009055AF"/>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055AF"/>
  </w:style>
  <w:style w:type="paragraph" w:customStyle="1" w:styleId="Hesber">
    <w:name w:val="Hesber"/>
    <w:basedOn w:val="a"/>
    <w:rsid w:val="009055AF"/>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9055AF"/>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9055AF"/>
    <w:rPr>
      <w:vertAlign w:val="superscript"/>
    </w:rPr>
  </w:style>
  <w:style w:type="paragraph" w:customStyle="1" w:styleId="HesberHeading">
    <w:name w:val="Hesber Heading"/>
    <w:basedOn w:val="Hesber"/>
    <w:rsid w:val="009055AF"/>
    <w:pPr>
      <w:tabs>
        <w:tab w:val="left" w:pos="624"/>
        <w:tab w:val="left" w:pos="1247"/>
      </w:tabs>
      <w:ind w:firstLine="0"/>
    </w:pPr>
    <w:rPr>
      <w:b/>
      <w:bCs/>
    </w:rPr>
  </w:style>
  <w:style w:type="paragraph" w:customStyle="1" w:styleId="HesberWriters">
    <w:name w:val="Hesber Writers"/>
    <w:basedOn w:val="Hesber"/>
    <w:rsid w:val="009055AF"/>
    <w:pPr>
      <w:spacing w:before="120" w:after="6000"/>
      <w:ind w:left="1418" w:firstLine="0"/>
      <w:jc w:val="right"/>
    </w:pPr>
    <w:rPr>
      <w:b/>
      <w:bCs/>
    </w:rPr>
  </w:style>
  <w:style w:type="paragraph" w:customStyle="1" w:styleId="Hesber1st">
    <w:name w:val="Hesber 1st"/>
    <w:basedOn w:val="Hesber"/>
    <w:rsid w:val="009055AF"/>
    <w:pPr>
      <w:tabs>
        <w:tab w:val="left" w:pos="680"/>
        <w:tab w:val="left" w:pos="1020"/>
      </w:tabs>
      <w:ind w:firstLine="0"/>
    </w:pPr>
  </w:style>
  <w:style w:type="character" w:styleId="a7">
    <w:name w:val="endnote reference"/>
    <w:basedOn w:val="a0"/>
    <w:semiHidden/>
    <w:rsid w:val="009055AF"/>
    <w:rPr>
      <w:vertAlign w:val="superscript"/>
    </w:rPr>
  </w:style>
  <w:style w:type="paragraph" w:customStyle="1" w:styleId="TableBlockOutdent">
    <w:name w:val="Table BlockOutdent"/>
    <w:basedOn w:val="TableBlock"/>
    <w:rsid w:val="009055AF"/>
    <w:pPr>
      <w:ind w:left="624" w:hanging="624"/>
    </w:pPr>
  </w:style>
  <w:style w:type="paragraph" w:styleId="a8">
    <w:name w:val="header"/>
    <w:basedOn w:val="a"/>
    <w:rsid w:val="009055AF"/>
    <w:pPr>
      <w:tabs>
        <w:tab w:val="center" w:pos="4153"/>
        <w:tab w:val="right" w:pos="8306"/>
      </w:tabs>
    </w:pPr>
  </w:style>
  <w:style w:type="paragraph" w:styleId="a9">
    <w:name w:val="footer"/>
    <w:basedOn w:val="a"/>
    <w:rsid w:val="009055AF"/>
    <w:pPr>
      <w:tabs>
        <w:tab w:val="center" w:pos="4153"/>
        <w:tab w:val="right" w:pos="8306"/>
      </w:tabs>
    </w:pPr>
  </w:style>
  <w:style w:type="paragraph" w:customStyle="1" w:styleId="HeadDivreiHesber">
    <w:name w:val="Head DivreiHesber"/>
    <w:basedOn w:val="a"/>
    <w:rsid w:val="009055A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055AF"/>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9055AF"/>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4C29E5"/>
    <w:rPr>
      <w:rFonts w:ascii="Arial" w:eastAsia="Arial Unicode MS" w:hAnsi="Arial" w:cs="David"/>
      <w:snapToGrid w:val="0"/>
      <w:color w:val="000000"/>
      <w:sz w:val="14"/>
      <w:lang w:eastAsia="ja-JP"/>
    </w:rPr>
  </w:style>
  <w:style w:type="character" w:styleId="ae">
    <w:name w:val="annotation reference"/>
    <w:basedOn w:val="a0"/>
    <w:semiHidden/>
    <w:unhideWhenUsed/>
    <w:rsid w:val="007C5701"/>
    <w:rPr>
      <w:sz w:val="16"/>
      <w:szCs w:val="16"/>
    </w:rPr>
  </w:style>
  <w:style w:type="paragraph" w:styleId="af">
    <w:name w:val="annotation text"/>
    <w:basedOn w:val="a"/>
    <w:link w:val="af0"/>
    <w:semiHidden/>
    <w:unhideWhenUsed/>
    <w:rsid w:val="007C5701"/>
    <w:pPr>
      <w:spacing w:line="240" w:lineRule="auto"/>
    </w:pPr>
    <w:rPr>
      <w:sz w:val="20"/>
      <w:szCs w:val="20"/>
    </w:rPr>
  </w:style>
  <w:style w:type="character" w:customStyle="1" w:styleId="af0">
    <w:name w:val="טקסט הערה תו"/>
    <w:basedOn w:val="a0"/>
    <w:link w:val="af"/>
    <w:semiHidden/>
    <w:rsid w:val="007C5701"/>
    <w:rPr>
      <w:rFonts w:ascii="Hadasa Roso SL" w:hAnsi="Hadasa Roso SL" w:cs="Hadasa Roso SL"/>
      <w:color w:val="000000"/>
      <w:spacing w:val="1"/>
      <w:lang w:eastAsia="ja-JP"/>
    </w:rPr>
  </w:style>
  <w:style w:type="paragraph" w:styleId="af1">
    <w:name w:val="annotation subject"/>
    <w:basedOn w:val="af"/>
    <w:next w:val="af"/>
    <w:link w:val="af2"/>
    <w:semiHidden/>
    <w:unhideWhenUsed/>
    <w:rsid w:val="007C5701"/>
    <w:rPr>
      <w:b/>
      <w:bCs/>
    </w:rPr>
  </w:style>
  <w:style w:type="character" w:customStyle="1" w:styleId="af2">
    <w:name w:val="נושא הערה תו"/>
    <w:basedOn w:val="af0"/>
    <w:link w:val="af1"/>
    <w:semiHidden/>
    <w:rsid w:val="007C5701"/>
    <w:rPr>
      <w:rFonts w:ascii="Hadasa Roso SL" w:hAnsi="Hadasa Roso SL" w:cs="Hadasa Roso SL"/>
      <w:b/>
      <w:bCs/>
      <w:color w:val="000000"/>
      <w:spacing w:val="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007999">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A6897E-6370-4ED7-B3B0-450F577C3869}"/>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BF4C9F66-6F4D-412D-AA19-C0A9F02D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974</Words>
  <Characters>4873</Characters>
  <Application>Microsoft Office Word</Application>
  <DocSecurity>0</DocSecurity>
  <Lines>40</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נועה אומזגין</cp:lastModifiedBy>
  <cp:revision>2</cp:revision>
  <cp:lastPrinted>2016-07-14T10:23:00Z</cp:lastPrinted>
  <dcterms:created xsi:type="dcterms:W3CDTF">2017-01-25T13:20:00Z</dcterms:created>
  <dcterms:modified xsi:type="dcterms:W3CDTF">2017-01-25T13:20:00Z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2013175</vt:r8>
  </property>
</Properties>
</file>