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DA3" w:rsidRPr="00464FE2" w:rsidRDefault="00B01DA3" w:rsidP="00974195">
      <w:pPr>
        <w:spacing w:after="0" w:line="240" w:lineRule="auto"/>
        <w:jc w:val="right"/>
        <w:rPr>
          <w:rFonts w:ascii="David" w:hAnsi="David" w:cs="David"/>
          <w:sz w:val="24"/>
          <w:szCs w:val="24"/>
          <w:rtl/>
        </w:rPr>
      </w:pPr>
      <w:r w:rsidRPr="00464FE2">
        <w:rPr>
          <w:rFonts w:ascii="David" w:hAnsi="David" w:cs="David" w:hint="cs"/>
          <w:sz w:val="24"/>
          <w:szCs w:val="24"/>
          <w:rtl/>
        </w:rPr>
        <w:t>‏</w:t>
      </w:r>
      <w:r w:rsidR="004E1D7C" w:rsidRPr="00464FE2">
        <w:rPr>
          <w:rFonts w:ascii="David" w:hAnsi="David" w:cs="David" w:hint="cs"/>
          <w:sz w:val="24"/>
          <w:szCs w:val="24"/>
          <w:rtl/>
        </w:rPr>
        <w:t>‏</w:t>
      </w:r>
      <w:r w:rsidR="00AB0512" w:rsidRPr="00464FE2">
        <w:rPr>
          <w:rFonts w:ascii="David" w:hAnsi="David" w:cs="David" w:hint="cs"/>
          <w:sz w:val="24"/>
          <w:szCs w:val="24"/>
          <w:rtl/>
        </w:rPr>
        <w:t>‏</w:t>
      </w:r>
      <w:r w:rsidR="00A9464F">
        <w:rPr>
          <w:rFonts w:ascii="David" w:hAnsi="David" w:cs="David" w:hint="cs"/>
          <w:sz w:val="24"/>
          <w:szCs w:val="24"/>
          <w:rtl/>
        </w:rPr>
        <w:t>‏</w:t>
      </w:r>
      <w:r w:rsidR="00974195">
        <w:rPr>
          <w:rFonts w:ascii="David" w:hAnsi="David" w:cs="David" w:hint="cs"/>
          <w:sz w:val="24"/>
          <w:szCs w:val="24"/>
          <w:rtl/>
        </w:rPr>
        <w:t>ו</w:t>
      </w:r>
      <w:r w:rsidR="00A9464F">
        <w:rPr>
          <w:rFonts w:ascii="David" w:hAnsi="David" w:cs="David"/>
          <w:sz w:val="24"/>
          <w:szCs w:val="24"/>
          <w:rtl/>
        </w:rPr>
        <w:t xml:space="preserve">' </w:t>
      </w:r>
      <w:r w:rsidR="00A9464F">
        <w:rPr>
          <w:rFonts w:ascii="David" w:hAnsi="David" w:cs="David" w:hint="cs"/>
          <w:sz w:val="24"/>
          <w:szCs w:val="24"/>
          <w:rtl/>
        </w:rPr>
        <w:t>ב</w:t>
      </w:r>
      <w:r w:rsidR="00A9464F">
        <w:rPr>
          <w:rFonts w:ascii="David" w:hAnsi="David" w:cs="David"/>
          <w:sz w:val="24"/>
          <w:szCs w:val="24"/>
          <w:rtl/>
        </w:rPr>
        <w:t>שבט תשע"ז</w:t>
      </w:r>
    </w:p>
    <w:p w:rsidR="00993C17" w:rsidRDefault="00993C17" w:rsidP="00974195">
      <w:pPr>
        <w:spacing w:after="0" w:line="240" w:lineRule="auto"/>
        <w:jc w:val="right"/>
        <w:rPr>
          <w:rFonts w:cs="David"/>
          <w:sz w:val="24"/>
          <w:szCs w:val="24"/>
          <w:u w:val="single"/>
          <w:rtl/>
        </w:rPr>
      </w:pPr>
      <w:r w:rsidRPr="00464FE2">
        <w:rPr>
          <w:rFonts w:ascii="David" w:hAnsi="David" w:cs="David" w:hint="cs"/>
          <w:sz w:val="24"/>
          <w:szCs w:val="24"/>
          <w:rtl/>
        </w:rPr>
        <w:t>‏</w:t>
      </w:r>
      <w:r w:rsidR="00B01DA3" w:rsidRPr="00464FE2">
        <w:rPr>
          <w:rFonts w:ascii="David" w:hAnsi="David" w:cs="David" w:hint="cs"/>
          <w:sz w:val="24"/>
          <w:szCs w:val="24"/>
          <w:rtl/>
        </w:rPr>
        <w:t>‏</w:t>
      </w:r>
      <w:r w:rsidR="00AB0512" w:rsidRPr="00464FE2">
        <w:rPr>
          <w:rFonts w:ascii="David" w:hAnsi="David" w:cs="David" w:hint="cs"/>
          <w:sz w:val="24"/>
          <w:szCs w:val="24"/>
          <w:rtl/>
        </w:rPr>
        <w:t>‏</w:t>
      </w:r>
      <w:r w:rsidR="00974195">
        <w:rPr>
          <w:rFonts w:ascii="David" w:hAnsi="David" w:cs="David" w:hint="cs"/>
          <w:sz w:val="24"/>
          <w:szCs w:val="24"/>
          <w:rtl/>
        </w:rPr>
        <w:t>2</w:t>
      </w:r>
      <w:r w:rsidR="00464FE2" w:rsidRPr="00464FE2">
        <w:rPr>
          <w:rFonts w:ascii="David" w:hAnsi="David" w:cs="David" w:hint="cs"/>
          <w:sz w:val="24"/>
          <w:szCs w:val="24"/>
          <w:rtl/>
        </w:rPr>
        <w:t xml:space="preserve"> </w:t>
      </w:r>
      <w:r w:rsidR="00AB0512" w:rsidRPr="00464FE2">
        <w:rPr>
          <w:rFonts w:ascii="David" w:hAnsi="David" w:cs="David" w:hint="cs"/>
          <w:sz w:val="24"/>
          <w:szCs w:val="24"/>
          <w:rtl/>
        </w:rPr>
        <w:t>ב</w:t>
      </w:r>
      <w:r w:rsidR="00464FE2" w:rsidRPr="00464FE2">
        <w:rPr>
          <w:rFonts w:ascii="David" w:hAnsi="David" w:cs="David" w:hint="cs"/>
          <w:sz w:val="24"/>
          <w:szCs w:val="24"/>
          <w:rtl/>
        </w:rPr>
        <w:t>פברואר</w:t>
      </w:r>
      <w:r w:rsidR="00AB0512" w:rsidRPr="00464FE2">
        <w:rPr>
          <w:rFonts w:ascii="David" w:hAnsi="David" w:cs="David"/>
          <w:sz w:val="24"/>
          <w:szCs w:val="24"/>
          <w:rtl/>
        </w:rPr>
        <w:t xml:space="preserve"> 2017</w:t>
      </w:r>
    </w:p>
    <w:p w:rsidR="00993C17" w:rsidRPr="00CB448F" w:rsidRDefault="00993C17" w:rsidP="00376EB9">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993C17" w:rsidRDefault="00993C17" w:rsidP="00376EB9">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993C17" w:rsidRPr="006F247F" w:rsidRDefault="00993C17" w:rsidP="00E323DB">
      <w:pPr>
        <w:spacing w:after="0" w:line="300" w:lineRule="exact"/>
        <w:rPr>
          <w:rFonts w:cs="David"/>
          <w:sz w:val="4"/>
          <w:szCs w:val="4"/>
          <w:rtl/>
        </w:rPr>
      </w:pPr>
    </w:p>
    <w:p w:rsidR="00993C17" w:rsidRDefault="00993C17" w:rsidP="00376EB9">
      <w:pPr>
        <w:spacing w:after="0" w:line="300" w:lineRule="exact"/>
        <w:jc w:val="center"/>
        <w:rPr>
          <w:rFonts w:cs="David"/>
          <w:b/>
          <w:bCs/>
          <w:sz w:val="24"/>
          <w:szCs w:val="24"/>
          <w:u w:val="single"/>
          <w:rtl/>
        </w:rPr>
      </w:pPr>
      <w:r>
        <w:rPr>
          <w:rFonts w:cs="David" w:hint="cs"/>
          <w:b/>
          <w:bCs/>
          <w:sz w:val="24"/>
          <w:szCs w:val="24"/>
          <w:u w:val="single"/>
          <w:rtl/>
        </w:rPr>
        <w:t>רקע</w:t>
      </w:r>
      <w:r w:rsidRPr="00CB448F">
        <w:rPr>
          <w:rFonts w:cs="David" w:hint="cs"/>
          <w:b/>
          <w:bCs/>
          <w:sz w:val="24"/>
          <w:szCs w:val="24"/>
          <w:u w:val="single"/>
          <w:rtl/>
        </w:rPr>
        <w:t xml:space="preserve"> לדיון 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Pr>
          <w:rFonts w:cs="David" w:hint="cs"/>
          <w:b/>
          <w:bCs/>
          <w:sz w:val="24"/>
          <w:szCs w:val="24"/>
          <w:u w:val="single"/>
          <w:rtl/>
        </w:rPr>
        <w:t xml:space="preserve"> </w:t>
      </w:r>
      <w:r w:rsidR="00AB0512">
        <w:rPr>
          <w:rFonts w:cs="David" w:hint="cs"/>
          <w:b/>
          <w:bCs/>
          <w:sz w:val="24"/>
          <w:szCs w:val="24"/>
          <w:u w:val="single"/>
          <w:rtl/>
        </w:rPr>
        <w:t xml:space="preserve">י' בשבט התשע"ז </w:t>
      </w:r>
      <w:r w:rsidR="00376EB9">
        <w:rPr>
          <w:rFonts w:cs="David" w:hint="cs"/>
          <w:b/>
          <w:bCs/>
          <w:sz w:val="24"/>
          <w:szCs w:val="24"/>
          <w:u w:val="single"/>
          <w:rtl/>
        </w:rPr>
        <w:t xml:space="preserve">(6 בפברואר 2017) </w:t>
      </w:r>
      <w:r>
        <w:rPr>
          <w:rFonts w:cs="David" w:hint="cs"/>
          <w:b/>
          <w:bCs/>
          <w:sz w:val="24"/>
          <w:szCs w:val="24"/>
          <w:u w:val="single"/>
          <w:rtl/>
        </w:rPr>
        <w:t>ב</w:t>
      </w:r>
      <w:r w:rsidRPr="0017561D">
        <w:rPr>
          <w:rFonts w:cs="David" w:hint="cs"/>
          <w:b/>
          <w:bCs/>
          <w:sz w:val="24"/>
          <w:szCs w:val="24"/>
          <w:u w:val="single"/>
          <w:rtl/>
        </w:rPr>
        <w:t>הצעת חוק</w:t>
      </w:r>
      <w:r>
        <w:rPr>
          <w:rFonts w:cs="David" w:hint="cs"/>
          <w:b/>
          <w:bCs/>
          <w:sz w:val="24"/>
          <w:szCs w:val="24"/>
          <w:u w:val="single"/>
          <w:rtl/>
        </w:rPr>
        <w:t xml:space="preserve"> חוזה הביטוח (תיקון </w:t>
      </w:r>
      <w:r>
        <w:rPr>
          <w:rFonts w:cs="David"/>
          <w:b/>
          <w:bCs/>
          <w:sz w:val="24"/>
          <w:szCs w:val="24"/>
          <w:u w:val="single"/>
          <w:rtl/>
        </w:rPr>
        <w:t>–</w:t>
      </w:r>
      <w:r>
        <w:rPr>
          <w:rFonts w:cs="David" w:hint="cs"/>
          <w:b/>
          <w:bCs/>
          <w:sz w:val="24"/>
          <w:szCs w:val="24"/>
          <w:u w:val="single"/>
          <w:rtl/>
        </w:rPr>
        <w:t xml:space="preserve"> תשלום פיצוי מיוחד בביטוח סיעודי), התשע"ו</w:t>
      </w:r>
      <w:r>
        <w:rPr>
          <w:rFonts w:cs="David" w:hint="eastAsia"/>
          <w:b/>
          <w:bCs/>
          <w:sz w:val="24"/>
          <w:szCs w:val="24"/>
          <w:u w:val="single"/>
          <w:rtl/>
        </w:rPr>
        <w:t>–</w:t>
      </w:r>
      <w:r>
        <w:rPr>
          <w:rFonts w:cs="David" w:hint="cs"/>
          <w:b/>
          <w:bCs/>
          <w:sz w:val="24"/>
          <w:szCs w:val="24"/>
          <w:u w:val="single"/>
          <w:rtl/>
        </w:rPr>
        <w:t xml:space="preserve">2015 </w:t>
      </w:r>
    </w:p>
    <w:p w:rsidR="00E323DB" w:rsidRPr="00376EB9" w:rsidRDefault="00E323DB" w:rsidP="00E323DB">
      <w:pPr>
        <w:spacing w:after="0" w:line="300" w:lineRule="exact"/>
        <w:jc w:val="both"/>
        <w:rPr>
          <w:rFonts w:ascii="Times New Roman" w:hAnsi="Times New Roman" w:cs="David"/>
          <w:sz w:val="4"/>
          <w:szCs w:val="4"/>
          <w:rtl/>
        </w:rPr>
      </w:pPr>
    </w:p>
    <w:p w:rsidR="00993C17" w:rsidRDefault="00993C17" w:rsidP="00E323DB">
      <w:pPr>
        <w:spacing w:after="0" w:line="300" w:lineRule="exact"/>
        <w:jc w:val="both"/>
        <w:rPr>
          <w:rFonts w:ascii="Times New Roman" w:hAnsi="Times New Roman" w:cs="David"/>
          <w:sz w:val="24"/>
          <w:szCs w:val="24"/>
          <w:rtl/>
        </w:rPr>
      </w:pPr>
      <w:r>
        <w:rPr>
          <w:rFonts w:ascii="Times New Roman" w:hAnsi="Times New Roman" w:cs="David" w:hint="cs"/>
          <w:sz w:val="24"/>
          <w:szCs w:val="24"/>
          <w:rtl/>
        </w:rPr>
        <w:t>בפני הוועדה הצעת חוק פרטית של</w:t>
      </w:r>
      <w:r w:rsidRPr="00CA2CB6">
        <w:rPr>
          <w:rFonts w:ascii="Times New Roman" w:hAnsi="Times New Roman" w:cs="David" w:hint="cs"/>
          <w:sz w:val="24"/>
          <w:szCs w:val="24"/>
          <w:rtl/>
        </w:rPr>
        <w:t xml:space="preserve"> חה"כ </w:t>
      </w:r>
      <w:r>
        <w:rPr>
          <w:rFonts w:ascii="Times New Roman" w:hAnsi="Times New Roman" w:cs="David" w:hint="cs"/>
          <w:sz w:val="24"/>
          <w:szCs w:val="24"/>
          <w:rtl/>
        </w:rPr>
        <w:t xml:space="preserve">יואב קיש </w:t>
      </w:r>
      <w:r w:rsidR="006F247F">
        <w:rPr>
          <w:rFonts w:ascii="Times New Roman" w:hAnsi="Times New Roman" w:cs="David" w:hint="cs"/>
          <w:sz w:val="24"/>
          <w:szCs w:val="24"/>
          <w:rtl/>
        </w:rPr>
        <w:t>ו</w:t>
      </w:r>
      <w:r>
        <w:rPr>
          <w:rFonts w:ascii="Times New Roman" w:hAnsi="Times New Roman" w:cs="David" w:hint="cs"/>
          <w:sz w:val="24"/>
          <w:szCs w:val="24"/>
          <w:rtl/>
        </w:rPr>
        <w:t xml:space="preserve">אחרים (פ/2157/20) </w:t>
      </w:r>
      <w:r>
        <w:rPr>
          <w:rFonts w:ascii="Times New Roman" w:hAnsi="Times New Roman" w:cs="David"/>
          <w:sz w:val="24"/>
          <w:szCs w:val="24"/>
          <w:rtl/>
        </w:rPr>
        <w:t>–</w:t>
      </w:r>
      <w:r>
        <w:rPr>
          <w:rFonts w:ascii="Times New Roman" w:hAnsi="Times New Roman" w:cs="David" w:hint="cs"/>
          <w:sz w:val="24"/>
          <w:szCs w:val="24"/>
          <w:rtl/>
        </w:rPr>
        <w:t xml:space="preserve"> להכנה לקריאה ראשונה.</w:t>
      </w:r>
      <w:r w:rsidR="006F247F">
        <w:rPr>
          <w:rFonts w:ascii="Times New Roman" w:hAnsi="Times New Roman" w:cs="David" w:hint="cs"/>
          <w:sz w:val="24"/>
          <w:szCs w:val="24"/>
          <w:rtl/>
        </w:rPr>
        <w:t xml:space="preserve"> בהצעה מוצע להסמיך את בית המשפט</w:t>
      </w:r>
      <w:r w:rsidR="00B01DA3">
        <w:rPr>
          <w:rFonts w:ascii="Times New Roman" w:hAnsi="Times New Roman" w:cs="David" w:hint="cs"/>
          <w:sz w:val="24"/>
          <w:szCs w:val="24"/>
          <w:rtl/>
        </w:rPr>
        <w:t xml:space="preserve">, כשמדובר בביטוח סיעודי, לקבוע פיצוי מיוחד </w:t>
      </w:r>
      <w:r w:rsidR="009D1BC6">
        <w:rPr>
          <w:rFonts w:ascii="Times New Roman" w:hAnsi="Times New Roman" w:cs="David" w:hint="cs"/>
          <w:sz w:val="24"/>
          <w:szCs w:val="24"/>
          <w:rtl/>
        </w:rPr>
        <w:t>כשחברת ביטוח לא משלמת את ה</w:t>
      </w:r>
      <w:r w:rsidR="00B01DA3">
        <w:rPr>
          <w:rFonts w:ascii="Times New Roman" w:hAnsi="Times New Roman" w:cs="David" w:hint="cs"/>
          <w:sz w:val="24"/>
          <w:szCs w:val="24"/>
          <w:rtl/>
        </w:rPr>
        <w:t xml:space="preserve">תגמולים </w:t>
      </w:r>
      <w:r w:rsidR="009D1BC6">
        <w:rPr>
          <w:rFonts w:ascii="Times New Roman" w:hAnsi="Times New Roman" w:cs="David" w:hint="cs"/>
          <w:sz w:val="24"/>
          <w:szCs w:val="24"/>
          <w:rtl/>
        </w:rPr>
        <w:t xml:space="preserve">שתבע המבוטח </w:t>
      </w:r>
      <w:r w:rsidR="00B01DA3">
        <w:rPr>
          <w:rFonts w:ascii="Times New Roman" w:hAnsi="Times New Roman" w:cs="David" w:hint="cs"/>
          <w:sz w:val="24"/>
          <w:szCs w:val="24"/>
          <w:rtl/>
        </w:rPr>
        <w:t xml:space="preserve">במועדים שקבועים בחוק. </w:t>
      </w:r>
    </w:p>
    <w:p w:rsidR="00993C17" w:rsidRPr="00376EB9" w:rsidRDefault="00993C17" w:rsidP="00E323DB">
      <w:pPr>
        <w:pStyle w:val="a3"/>
        <w:spacing w:after="0" w:line="300" w:lineRule="exact"/>
        <w:jc w:val="both"/>
        <w:rPr>
          <w:rFonts w:cs="David"/>
          <w:sz w:val="4"/>
          <w:szCs w:val="4"/>
          <w:rtl/>
        </w:rPr>
      </w:pPr>
    </w:p>
    <w:p w:rsidR="00993C17" w:rsidRPr="001D189D" w:rsidRDefault="00993C17" w:rsidP="00E323DB">
      <w:pPr>
        <w:spacing w:after="0" w:line="300" w:lineRule="exact"/>
        <w:jc w:val="both"/>
        <w:rPr>
          <w:rFonts w:cs="David"/>
          <w:sz w:val="24"/>
          <w:szCs w:val="24"/>
          <w:u w:val="single"/>
          <w:rtl/>
        </w:rPr>
      </w:pPr>
      <w:r w:rsidRPr="001D189D">
        <w:rPr>
          <w:rFonts w:cs="David" w:hint="cs"/>
          <w:sz w:val="24"/>
          <w:szCs w:val="24"/>
          <w:u w:val="single"/>
          <w:rtl/>
        </w:rPr>
        <w:t xml:space="preserve">חוק חוזה </w:t>
      </w:r>
      <w:r>
        <w:rPr>
          <w:rFonts w:cs="David" w:hint="cs"/>
          <w:sz w:val="24"/>
          <w:szCs w:val="24"/>
          <w:u w:val="single"/>
          <w:rtl/>
        </w:rPr>
        <w:t>ה</w:t>
      </w:r>
      <w:r w:rsidRPr="001D189D">
        <w:rPr>
          <w:rFonts w:cs="David" w:hint="cs"/>
          <w:sz w:val="24"/>
          <w:szCs w:val="24"/>
          <w:u w:val="single"/>
          <w:rtl/>
        </w:rPr>
        <w:t>ביטוח</w:t>
      </w:r>
      <w:r>
        <w:rPr>
          <w:rFonts w:cs="David" w:hint="cs"/>
          <w:sz w:val="24"/>
          <w:szCs w:val="24"/>
          <w:u w:val="single"/>
          <w:rtl/>
        </w:rPr>
        <w:t xml:space="preserve"> </w:t>
      </w:r>
      <w:r>
        <w:rPr>
          <w:rFonts w:cs="David"/>
          <w:sz w:val="24"/>
          <w:szCs w:val="24"/>
          <w:u w:val="single"/>
          <w:rtl/>
        </w:rPr>
        <w:t>–</w:t>
      </w:r>
      <w:r>
        <w:rPr>
          <w:rFonts w:cs="David" w:hint="cs"/>
          <w:sz w:val="24"/>
          <w:szCs w:val="24"/>
          <w:u w:val="single"/>
          <w:rtl/>
        </w:rPr>
        <w:t xml:space="preserve"> רקע כללי</w:t>
      </w:r>
    </w:p>
    <w:p w:rsidR="00993C17" w:rsidRDefault="00993C17" w:rsidP="0028113D">
      <w:pPr>
        <w:spacing w:after="0" w:line="300" w:lineRule="exact"/>
        <w:jc w:val="both"/>
        <w:rPr>
          <w:rFonts w:cs="David"/>
          <w:sz w:val="24"/>
          <w:szCs w:val="24"/>
          <w:rtl/>
        </w:rPr>
      </w:pPr>
      <w:r>
        <w:rPr>
          <w:rFonts w:cs="David" w:hint="cs"/>
          <w:sz w:val="24"/>
          <w:szCs w:val="24"/>
          <w:rtl/>
        </w:rPr>
        <w:t>חוק חוזה הביטוח, התשמ"א</w:t>
      </w:r>
      <w:r>
        <w:rPr>
          <w:rFonts w:cs="David"/>
          <w:sz w:val="24"/>
          <w:szCs w:val="24"/>
          <w:rtl/>
        </w:rPr>
        <w:t>–</w:t>
      </w:r>
      <w:r>
        <w:rPr>
          <w:rFonts w:cs="David" w:hint="cs"/>
          <w:sz w:val="24"/>
          <w:szCs w:val="24"/>
          <w:rtl/>
        </w:rPr>
        <w:t xml:space="preserve">1981 (להלן </w:t>
      </w:r>
      <w:r>
        <w:rPr>
          <w:rFonts w:cs="David"/>
          <w:sz w:val="24"/>
          <w:szCs w:val="24"/>
          <w:rtl/>
        </w:rPr>
        <w:t>–</w:t>
      </w:r>
      <w:r w:rsidR="00E323DB">
        <w:rPr>
          <w:rFonts w:cs="David" w:hint="cs"/>
          <w:sz w:val="24"/>
          <w:szCs w:val="24"/>
          <w:rtl/>
        </w:rPr>
        <w:t xml:space="preserve"> חוק חוזה הביטוח), </w:t>
      </w:r>
      <w:r w:rsidRPr="00265DE6">
        <w:rPr>
          <w:rFonts w:cs="David" w:hint="cs"/>
          <w:sz w:val="24"/>
          <w:szCs w:val="24"/>
          <w:rtl/>
        </w:rPr>
        <w:t>מסדיר את היחסים החוזיים שבין חברת ביטוח לבין המבוטח.</w:t>
      </w:r>
      <w:r>
        <w:rPr>
          <w:rFonts w:cs="David" w:hint="cs"/>
          <w:sz w:val="24"/>
          <w:szCs w:val="24"/>
          <w:rtl/>
        </w:rPr>
        <w:t xml:space="preserve"> </w:t>
      </w:r>
      <w:r w:rsidR="006F247F">
        <w:rPr>
          <w:rFonts w:cs="David" w:hint="cs"/>
          <w:sz w:val="24"/>
          <w:szCs w:val="24"/>
          <w:rtl/>
        </w:rPr>
        <w:t>החוק נחקק מתוך הבנה שלא מדובר ביחסים חוזיים רגילים,</w:t>
      </w:r>
      <w:r>
        <w:rPr>
          <w:rFonts w:cs="David" w:hint="cs"/>
          <w:sz w:val="24"/>
          <w:szCs w:val="24"/>
          <w:rtl/>
        </w:rPr>
        <w:t xml:space="preserve"> </w:t>
      </w:r>
      <w:r w:rsidR="006D1987">
        <w:rPr>
          <w:rFonts w:cs="David" w:hint="cs"/>
          <w:sz w:val="24"/>
          <w:szCs w:val="24"/>
          <w:rtl/>
        </w:rPr>
        <w:t xml:space="preserve">בעיקר בשל </w:t>
      </w:r>
      <w:r>
        <w:rPr>
          <w:rFonts w:cs="David" w:hint="cs"/>
          <w:sz w:val="24"/>
          <w:szCs w:val="24"/>
          <w:rtl/>
        </w:rPr>
        <w:t xml:space="preserve">חוסר </w:t>
      </w:r>
      <w:r w:rsidR="006D1987">
        <w:rPr>
          <w:rFonts w:cs="David" w:hint="cs"/>
          <w:sz w:val="24"/>
          <w:szCs w:val="24"/>
          <w:rtl/>
        </w:rPr>
        <w:t>ה</w:t>
      </w:r>
      <w:r>
        <w:rPr>
          <w:rFonts w:cs="David" w:hint="cs"/>
          <w:sz w:val="24"/>
          <w:szCs w:val="24"/>
          <w:rtl/>
        </w:rPr>
        <w:t xml:space="preserve">שוויון </w:t>
      </w:r>
      <w:r w:rsidR="006F247F">
        <w:rPr>
          <w:rFonts w:cs="David" w:hint="cs"/>
          <w:sz w:val="24"/>
          <w:szCs w:val="24"/>
          <w:rtl/>
        </w:rPr>
        <w:t>בין הצדדים לחוזה</w:t>
      </w:r>
      <w:r>
        <w:rPr>
          <w:rFonts w:cs="David" w:hint="cs"/>
          <w:sz w:val="24"/>
          <w:szCs w:val="24"/>
          <w:rtl/>
        </w:rPr>
        <w:t>. חוזה הביטוח הוא ייחודי גם מאחר שחובותיו של המבטח לפיו קמות רק בקרות אירוע מסוים, שהוא מקרה הביטוח. במועד זה, המבוטח, ששילם למבטח את פרמיית הביטוח לעיתים במשך שנים רבות, עלול להימצא במצב הקשה והפגיע ביותר.</w:t>
      </w:r>
      <w:r w:rsidR="00376EB9">
        <w:rPr>
          <w:rFonts w:cs="David" w:hint="cs"/>
          <w:sz w:val="24"/>
          <w:szCs w:val="24"/>
          <w:rtl/>
        </w:rPr>
        <w:t xml:space="preserve"> </w:t>
      </w:r>
      <w:r>
        <w:rPr>
          <w:rFonts w:cs="David" w:hint="cs"/>
          <w:sz w:val="24"/>
          <w:szCs w:val="24"/>
          <w:rtl/>
        </w:rPr>
        <w:t xml:space="preserve">לפיכך, אחת מתכליותיו המרכזיות </w:t>
      </w:r>
      <w:r w:rsidR="0028113D">
        <w:rPr>
          <w:rFonts w:cs="David" w:hint="cs"/>
          <w:sz w:val="24"/>
          <w:szCs w:val="24"/>
          <w:rtl/>
        </w:rPr>
        <w:t>של החוק היא</w:t>
      </w:r>
      <w:r>
        <w:rPr>
          <w:rFonts w:cs="David" w:hint="cs"/>
          <w:sz w:val="24"/>
          <w:szCs w:val="24"/>
          <w:rtl/>
        </w:rPr>
        <w:t xml:space="preserve"> לחזק את מעמדו של המבוטח מול המבטח ולהגן עליו מפני שימוש לרעה של המבטח בכוחו.</w:t>
      </w:r>
    </w:p>
    <w:p w:rsidR="00993C17" w:rsidRPr="00376EB9" w:rsidRDefault="00993C17" w:rsidP="00E323DB">
      <w:pPr>
        <w:pStyle w:val="a3"/>
        <w:spacing w:after="0" w:line="300" w:lineRule="exact"/>
        <w:jc w:val="both"/>
        <w:rPr>
          <w:rFonts w:cs="David"/>
          <w:sz w:val="4"/>
          <w:szCs w:val="4"/>
          <w:rtl/>
        </w:rPr>
      </w:pPr>
    </w:p>
    <w:p w:rsidR="00993C17" w:rsidRPr="00CA2CB6" w:rsidRDefault="00993C17" w:rsidP="00E323DB">
      <w:pPr>
        <w:spacing w:after="0" w:line="300" w:lineRule="exact"/>
        <w:jc w:val="both"/>
        <w:rPr>
          <w:rFonts w:cs="David"/>
          <w:sz w:val="24"/>
          <w:szCs w:val="24"/>
          <w:u w:val="single"/>
          <w:rtl/>
        </w:rPr>
      </w:pPr>
      <w:r w:rsidRPr="00CA2CB6">
        <w:rPr>
          <w:rFonts w:cs="David" w:hint="eastAsia"/>
          <w:sz w:val="24"/>
          <w:szCs w:val="24"/>
          <w:u w:val="single"/>
          <w:rtl/>
        </w:rPr>
        <w:t>ההסדר</w:t>
      </w:r>
      <w:r w:rsidRPr="00CA2CB6">
        <w:rPr>
          <w:rFonts w:cs="David"/>
          <w:sz w:val="24"/>
          <w:szCs w:val="24"/>
          <w:u w:val="single"/>
          <w:rtl/>
        </w:rPr>
        <w:t xml:space="preserve"> </w:t>
      </w:r>
      <w:r w:rsidRPr="00CA2CB6">
        <w:rPr>
          <w:rFonts w:cs="David" w:hint="eastAsia"/>
          <w:sz w:val="24"/>
          <w:szCs w:val="24"/>
          <w:u w:val="single"/>
          <w:rtl/>
        </w:rPr>
        <w:t>לתשלום</w:t>
      </w:r>
      <w:r w:rsidRPr="00CA2CB6">
        <w:rPr>
          <w:rFonts w:cs="David"/>
          <w:sz w:val="24"/>
          <w:szCs w:val="24"/>
          <w:u w:val="single"/>
          <w:rtl/>
        </w:rPr>
        <w:t xml:space="preserve"> </w:t>
      </w:r>
      <w:r w:rsidRPr="00CA2CB6">
        <w:rPr>
          <w:rFonts w:cs="David" w:hint="eastAsia"/>
          <w:sz w:val="24"/>
          <w:szCs w:val="24"/>
          <w:u w:val="single"/>
          <w:rtl/>
        </w:rPr>
        <w:t>תגמולי</w:t>
      </w:r>
      <w:r w:rsidRPr="00CA2CB6">
        <w:rPr>
          <w:rFonts w:cs="David"/>
          <w:sz w:val="24"/>
          <w:szCs w:val="24"/>
          <w:u w:val="single"/>
          <w:rtl/>
        </w:rPr>
        <w:t xml:space="preserve"> </w:t>
      </w:r>
      <w:r w:rsidRPr="00CA2CB6">
        <w:rPr>
          <w:rFonts w:cs="David" w:hint="eastAsia"/>
          <w:sz w:val="24"/>
          <w:szCs w:val="24"/>
          <w:u w:val="single"/>
          <w:rtl/>
        </w:rPr>
        <w:t>הביטוח</w:t>
      </w:r>
      <w:r>
        <w:rPr>
          <w:rFonts w:cs="David" w:hint="cs"/>
          <w:sz w:val="24"/>
          <w:szCs w:val="24"/>
          <w:u w:val="single"/>
          <w:rtl/>
        </w:rPr>
        <w:t xml:space="preserve"> לפי חוק חוזה הביטוח</w:t>
      </w:r>
    </w:p>
    <w:p w:rsidR="00993C17" w:rsidRDefault="00993C17" w:rsidP="00E323DB">
      <w:pPr>
        <w:spacing w:after="0" w:line="300" w:lineRule="exact"/>
        <w:jc w:val="both"/>
        <w:rPr>
          <w:rFonts w:cs="David"/>
          <w:sz w:val="24"/>
          <w:szCs w:val="24"/>
          <w:rtl/>
        </w:rPr>
      </w:pPr>
      <w:r w:rsidRPr="00CA2CB6">
        <w:rPr>
          <w:rFonts w:cs="David" w:hint="cs"/>
          <w:b/>
          <w:bCs/>
          <w:sz w:val="24"/>
          <w:szCs w:val="24"/>
          <w:rtl/>
        </w:rPr>
        <w:t>סעיף</w:t>
      </w:r>
      <w:r w:rsidRPr="00CA2CB6">
        <w:rPr>
          <w:rFonts w:cs="David"/>
          <w:b/>
          <w:bCs/>
          <w:sz w:val="24"/>
          <w:szCs w:val="24"/>
          <w:rtl/>
        </w:rPr>
        <w:t xml:space="preserve"> 27 </w:t>
      </w:r>
      <w:r>
        <w:rPr>
          <w:rFonts w:cs="David" w:hint="cs"/>
          <w:sz w:val="24"/>
          <w:szCs w:val="24"/>
          <w:rtl/>
        </w:rPr>
        <w:t xml:space="preserve">לחוק חוזה הביטוח קובע שני מועדים לתשלום </w:t>
      </w:r>
      <w:r w:rsidR="006D1987">
        <w:rPr>
          <w:rFonts w:cs="David" w:hint="cs"/>
          <w:sz w:val="24"/>
          <w:szCs w:val="24"/>
          <w:rtl/>
        </w:rPr>
        <w:t>תגמולים</w:t>
      </w:r>
      <w:r>
        <w:rPr>
          <w:rFonts w:cs="David" w:hint="cs"/>
          <w:sz w:val="24"/>
          <w:szCs w:val="24"/>
          <w:rtl/>
        </w:rPr>
        <w:t>:</w:t>
      </w:r>
      <w:r>
        <w:rPr>
          <w:rStyle w:val="a6"/>
          <w:rFonts w:cs="David"/>
          <w:sz w:val="24"/>
          <w:szCs w:val="24"/>
          <w:rtl/>
        </w:rPr>
        <w:footnoteReference w:id="1"/>
      </w:r>
      <w:r>
        <w:rPr>
          <w:rFonts w:cs="David" w:hint="cs"/>
          <w:sz w:val="24"/>
          <w:szCs w:val="24"/>
          <w:rtl/>
        </w:rPr>
        <w:t xml:space="preserve"> </w:t>
      </w:r>
    </w:p>
    <w:p w:rsidR="00993C17" w:rsidRDefault="00993C17" w:rsidP="00E323DB">
      <w:pPr>
        <w:pStyle w:val="a3"/>
        <w:numPr>
          <w:ilvl w:val="0"/>
          <w:numId w:val="1"/>
        </w:numPr>
        <w:spacing w:after="0" w:line="300" w:lineRule="exact"/>
        <w:jc w:val="both"/>
        <w:rPr>
          <w:rFonts w:cs="David"/>
          <w:sz w:val="24"/>
          <w:szCs w:val="24"/>
        </w:rPr>
      </w:pPr>
      <w:r>
        <w:rPr>
          <w:rFonts w:cs="David" w:hint="cs"/>
          <w:sz w:val="24"/>
          <w:szCs w:val="24"/>
          <w:rtl/>
        </w:rPr>
        <w:t>המבטח חייב לשלם את תגמולי הביטוח תוך 30 ימים מהיום שהיו בידו המידע והמסמכים הדרושים לבירור חבותו.</w:t>
      </w:r>
    </w:p>
    <w:p w:rsidR="00993C17" w:rsidRDefault="00993C17" w:rsidP="00E323DB">
      <w:pPr>
        <w:pStyle w:val="a3"/>
        <w:numPr>
          <w:ilvl w:val="0"/>
          <w:numId w:val="1"/>
        </w:numPr>
        <w:spacing w:after="0" w:line="300" w:lineRule="exact"/>
        <w:jc w:val="both"/>
        <w:rPr>
          <w:rFonts w:cs="David"/>
          <w:sz w:val="24"/>
          <w:szCs w:val="24"/>
        </w:rPr>
      </w:pPr>
      <w:r>
        <w:rPr>
          <w:rFonts w:cs="David" w:hint="cs"/>
          <w:sz w:val="24"/>
          <w:szCs w:val="24"/>
          <w:rtl/>
        </w:rPr>
        <w:t xml:space="preserve">אם יש תגמולי ביטוח שאינם שנויים במחלוקת בתום לב </w:t>
      </w:r>
      <w:r>
        <w:rPr>
          <w:rFonts w:cs="David"/>
          <w:sz w:val="24"/>
          <w:szCs w:val="24"/>
          <w:rtl/>
        </w:rPr>
        <w:t>–</w:t>
      </w:r>
      <w:r>
        <w:rPr>
          <w:rFonts w:cs="David" w:hint="cs"/>
          <w:sz w:val="24"/>
          <w:szCs w:val="24"/>
          <w:rtl/>
        </w:rPr>
        <w:t xml:space="preserve"> המבטח חייב לשלמם תוך 30 ימים מהיום שנמסרה למבטח תביעת הביטוח.</w:t>
      </w:r>
    </w:p>
    <w:p w:rsidR="00993C17" w:rsidRDefault="00993C17" w:rsidP="00AB0512">
      <w:pPr>
        <w:spacing w:after="0" w:line="300" w:lineRule="exact"/>
        <w:ind w:firstLine="368"/>
        <w:jc w:val="both"/>
        <w:rPr>
          <w:rFonts w:cs="David"/>
          <w:sz w:val="24"/>
          <w:szCs w:val="24"/>
          <w:rtl/>
        </w:rPr>
      </w:pPr>
      <w:r>
        <w:rPr>
          <w:rFonts w:cs="David" w:hint="cs"/>
          <w:sz w:val="24"/>
          <w:szCs w:val="24"/>
          <w:rtl/>
        </w:rPr>
        <w:t xml:space="preserve">הסעיף קובע סד זמנים קצר לתשלום </w:t>
      </w:r>
      <w:r w:rsidR="006F247F">
        <w:rPr>
          <w:rFonts w:cs="David" w:hint="cs"/>
          <w:sz w:val="24"/>
          <w:szCs w:val="24"/>
          <w:rtl/>
        </w:rPr>
        <w:t>תגמולי הביטוח</w:t>
      </w:r>
      <w:r>
        <w:rPr>
          <w:rFonts w:cs="David" w:hint="cs"/>
          <w:sz w:val="24"/>
          <w:szCs w:val="24"/>
          <w:rtl/>
        </w:rPr>
        <w:t xml:space="preserve">, </w:t>
      </w:r>
      <w:r w:rsidR="006D1987">
        <w:rPr>
          <w:rFonts w:cs="David" w:hint="cs"/>
          <w:sz w:val="24"/>
          <w:szCs w:val="24"/>
          <w:rtl/>
        </w:rPr>
        <w:t>במטרה</w:t>
      </w:r>
      <w:r w:rsidRPr="00AC057D">
        <w:rPr>
          <w:rFonts w:cs="David" w:hint="cs"/>
          <w:sz w:val="24"/>
          <w:szCs w:val="24"/>
          <w:rtl/>
        </w:rPr>
        <w:t xml:space="preserve"> לצמצם ככל שניתן את</w:t>
      </w:r>
      <w:r>
        <w:rPr>
          <w:rFonts w:cs="David" w:hint="cs"/>
          <w:sz w:val="24"/>
          <w:szCs w:val="24"/>
          <w:rtl/>
        </w:rPr>
        <w:t xml:space="preserve"> המצוקה הכלכלית של המבוטח בתקופה</w:t>
      </w:r>
      <w:r w:rsidRPr="00AC057D">
        <w:rPr>
          <w:rFonts w:cs="David" w:hint="cs"/>
          <w:sz w:val="24"/>
          <w:szCs w:val="24"/>
          <w:rtl/>
        </w:rPr>
        <w:t xml:space="preserve"> </w:t>
      </w:r>
      <w:r>
        <w:rPr>
          <w:rFonts w:cs="David" w:hint="cs"/>
          <w:sz w:val="24"/>
          <w:szCs w:val="24"/>
          <w:rtl/>
        </w:rPr>
        <w:t>ש</w:t>
      </w:r>
      <w:r w:rsidRPr="00AC057D">
        <w:rPr>
          <w:rFonts w:cs="David" w:hint="cs"/>
          <w:sz w:val="24"/>
          <w:szCs w:val="24"/>
          <w:rtl/>
        </w:rPr>
        <w:t xml:space="preserve">בין קרות מקרה הביטוח לבין </w:t>
      </w:r>
      <w:r w:rsidR="006F247F">
        <w:rPr>
          <w:rFonts w:cs="David" w:hint="cs"/>
          <w:sz w:val="24"/>
          <w:szCs w:val="24"/>
          <w:rtl/>
        </w:rPr>
        <w:t>התשלום</w:t>
      </w:r>
      <w:r>
        <w:rPr>
          <w:rFonts w:cs="David" w:hint="cs"/>
          <w:sz w:val="24"/>
          <w:szCs w:val="24"/>
          <w:rtl/>
        </w:rPr>
        <w:t>.</w:t>
      </w:r>
    </w:p>
    <w:p w:rsidR="00993C17" w:rsidRPr="00E323DB" w:rsidRDefault="00993C17" w:rsidP="00E323DB">
      <w:pPr>
        <w:pStyle w:val="a3"/>
        <w:spacing w:after="0" w:line="300" w:lineRule="exact"/>
        <w:jc w:val="both"/>
        <w:rPr>
          <w:rFonts w:cs="David"/>
          <w:sz w:val="16"/>
          <w:szCs w:val="16"/>
          <w:rtl/>
        </w:rPr>
      </w:pPr>
    </w:p>
    <w:p w:rsidR="00993C17" w:rsidRPr="000E31A4" w:rsidRDefault="00117D65" w:rsidP="00E507DF">
      <w:pPr>
        <w:spacing w:after="0" w:line="300" w:lineRule="exact"/>
        <w:ind w:firstLine="368"/>
        <w:jc w:val="both"/>
        <w:rPr>
          <w:rFonts w:cs="David"/>
          <w:sz w:val="4"/>
          <w:szCs w:val="4"/>
          <w:highlight w:val="yellow"/>
        </w:rPr>
      </w:pPr>
      <w:r>
        <w:rPr>
          <w:rFonts w:cs="David" w:hint="cs"/>
          <w:sz w:val="24"/>
          <w:szCs w:val="24"/>
          <w:rtl/>
        </w:rPr>
        <w:t xml:space="preserve">בהצעת החוק הנוכחית, כמו גם בהצעות חוק נוספות שעסקו בנושא </w:t>
      </w:r>
      <w:r w:rsidR="00E507DF">
        <w:rPr>
          <w:rFonts w:cs="David" w:hint="cs"/>
          <w:sz w:val="24"/>
          <w:szCs w:val="24"/>
          <w:rtl/>
        </w:rPr>
        <w:t>מוסבר</w:t>
      </w:r>
      <w:r>
        <w:rPr>
          <w:rFonts w:cs="David" w:hint="cs"/>
          <w:sz w:val="24"/>
          <w:szCs w:val="24"/>
          <w:rtl/>
        </w:rPr>
        <w:t xml:space="preserve"> כי הן נועדו לטפל </w:t>
      </w:r>
      <w:r w:rsidR="00E507DF">
        <w:rPr>
          <w:rFonts w:cs="David" w:hint="cs"/>
          <w:sz w:val="24"/>
          <w:szCs w:val="24"/>
          <w:rtl/>
        </w:rPr>
        <w:t>ב</w:t>
      </w:r>
      <w:r w:rsidRPr="00264091">
        <w:rPr>
          <w:rFonts w:cs="David" w:hint="cs"/>
          <w:sz w:val="24"/>
          <w:szCs w:val="24"/>
          <w:rtl/>
        </w:rPr>
        <w:t xml:space="preserve">חברות הביטוח </w:t>
      </w:r>
      <w:r>
        <w:rPr>
          <w:rFonts w:cs="David" w:hint="cs"/>
          <w:sz w:val="24"/>
          <w:szCs w:val="24"/>
          <w:rtl/>
        </w:rPr>
        <w:t>ש</w:t>
      </w:r>
      <w:r w:rsidRPr="00264091">
        <w:rPr>
          <w:rFonts w:cs="David" w:hint="cs"/>
          <w:sz w:val="24"/>
          <w:szCs w:val="24"/>
          <w:rtl/>
        </w:rPr>
        <w:t>נמנעות מתשלום</w:t>
      </w:r>
      <w:r>
        <w:rPr>
          <w:rFonts w:cs="David" w:hint="cs"/>
          <w:sz w:val="24"/>
          <w:szCs w:val="24"/>
          <w:rtl/>
        </w:rPr>
        <w:t xml:space="preserve"> תגמולי הביטוח במועד הקבוע בחוק</w:t>
      </w:r>
      <w:r w:rsidR="00E507DF">
        <w:rPr>
          <w:rFonts w:cs="David" w:hint="cs"/>
          <w:sz w:val="24"/>
          <w:szCs w:val="24"/>
          <w:rtl/>
        </w:rPr>
        <w:t xml:space="preserve"> בטענות שונות</w:t>
      </w:r>
      <w:r>
        <w:rPr>
          <w:rFonts w:cs="David" w:hint="cs"/>
          <w:sz w:val="24"/>
          <w:szCs w:val="24"/>
          <w:rtl/>
        </w:rPr>
        <w:t xml:space="preserve">. </w:t>
      </w:r>
      <w:r w:rsidR="00E323DB">
        <w:rPr>
          <w:rFonts w:cs="David" w:hint="cs"/>
          <w:sz w:val="24"/>
          <w:szCs w:val="24"/>
          <w:rtl/>
        </w:rPr>
        <w:t>בהקשר זה</w:t>
      </w:r>
      <w:r>
        <w:rPr>
          <w:rFonts w:cs="David" w:hint="cs"/>
          <w:sz w:val="24"/>
          <w:szCs w:val="24"/>
          <w:rtl/>
        </w:rPr>
        <w:t xml:space="preserve"> </w:t>
      </w:r>
      <w:r w:rsidR="00E323DB">
        <w:rPr>
          <w:rFonts w:cs="David" w:hint="cs"/>
          <w:sz w:val="24"/>
          <w:szCs w:val="24"/>
          <w:rtl/>
        </w:rPr>
        <w:t xml:space="preserve">יש הטוענים </w:t>
      </w:r>
      <w:r>
        <w:rPr>
          <w:rFonts w:cs="David" w:hint="cs"/>
          <w:sz w:val="24"/>
          <w:szCs w:val="24"/>
          <w:rtl/>
        </w:rPr>
        <w:t>כי</w:t>
      </w:r>
      <w:r w:rsidRPr="00264091">
        <w:rPr>
          <w:rFonts w:cs="David" w:hint="cs"/>
          <w:sz w:val="24"/>
          <w:szCs w:val="24"/>
          <w:rtl/>
        </w:rPr>
        <w:t xml:space="preserve"> </w:t>
      </w:r>
      <w:r w:rsidR="00E507DF">
        <w:rPr>
          <w:rFonts w:cs="David" w:hint="cs"/>
          <w:sz w:val="24"/>
          <w:szCs w:val="24"/>
          <w:rtl/>
        </w:rPr>
        <w:t>"</w:t>
      </w:r>
      <w:r w:rsidRPr="00264091">
        <w:rPr>
          <w:rFonts w:cs="David" w:hint="cs"/>
          <w:sz w:val="24"/>
          <w:szCs w:val="24"/>
          <w:rtl/>
        </w:rPr>
        <w:t>משיכת</w:t>
      </w:r>
      <w:r w:rsidR="00E507DF">
        <w:rPr>
          <w:rFonts w:cs="David" w:hint="cs"/>
          <w:sz w:val="24"/>
          <w:szCs w:val="24"/>
          <w:rtl/>
        </w:rPr>
        <w:t>"</w:t>
      </w:r>
      <w:r w:rsidRPr="00264091">
        <w:rPr>
          <w:rFonts w:cs="David" w:hint="cs"/>
          <w:sz w:val="24"/>
          <w:szCs w:val="24"/>
          <w:rtl/>
        </w:rPr>
        <w:t xml:space="preserve"> ההליכים </w:t>
      </w:r>
      <w:r>
        <w:rPr>
          <w:rFonts w:cs="David" w:hint="cs"/>
          <w:sz w:val="24"/>
          <w:szCs w:val="24"/>
          <w:rtl/>
        </w:rPr>
        <w:t xml:space="preserve">כדאית לחברות הביטוח שכן היא </w:t>
      </w:r>
      <w:r w:rsidRPr="00264091">
        <w:rPr>
          <w:rFonts w:cs="David" w:hint="cs"/>
          <w:sz w:val="24"/>
          <w:szCs w:val="24"/>
          <w:rtl/>
        </w:rPr>
        <w:t xml:space="preserve">מובילה לצמצום חבותן באופן דרמטי (חלק מהתובעים נעדרים המשאבים לנהל הליך משפטי ממושך, מורכב ויקר מול חברת ביטוח עתירת משאבים; חלק מהתובעים מתפשרים בשל הצורך הלוחץ לקבל ולו חלק מכספי התגמולים נוכח קרות אירוע הביטוח; </w:t>
      </w:r>
      <w:r>
        <w:rPr>
          <w:rFonts w:cs="David" w:hint="cs"/>
          <w:sz w:val="24"/>
          <w:szCs w:val="24"/>
          <w:rtl/>
        </w:rPr>
        <w:t>ו</w:t>
      </w:r>
      <w:r w:rsidRPr="00264091">
        <w:rPr>
          <w:rFonts w:cs="David" w:hint="cs"/>
          <w:sz w:val="24"/>
          <w:szCs w:val="24"/>
          <w:rtl/>
        </w:rPr>
        <w:t>חלק מהתובעים למרבה הצער אינם עוד בין החיים</w:t>
      </w:r>
      <w:r>
        <w:rPr>
          <w:rFonts w:cs="David" w:hint="cs"/>
          <w:sz w:val="24"/>
          <w:szCs w:val="24"/>
          <w:rtl/>
        </w:rPr>
        <w:t>).</w:t>
      </w:r>
    </w:p>
    <w:p w:rsidR="0079616C" w:rsidRPr="00376EB9" w:rsidRDefault="0079616C" w:rsidP="00E323DB">
      <w:pPr>
        <w:pStyle w:val="a3"/>
        <w:spacing w:after="0" w:line="300" w:lineRule="exact"/>
        <w:jc w:val="both"/>
        <w:rPr>
          <w:rFonts w:cs="David"/>
          <w:sz w:val="4"/>
          <w:szCs w:val="4"/>
          <w:rtl/>
        </w:rPr>
      </w:pPr>
    </w:p>
    <w:p w:rsidR="00993C17" w:rsidRDefault="00993C17" w:rsidP="00E323DB">
      <w:pPr>
        <w:spacing w:after="0" w:line="300" w:lineRule="exact"/>
        <w:jc w:val="both"/>
        <w:rPr>
          <w:rFonts w:cs="David"/>
          <w:sz w:val="24"/>
          <w:szCs w:val="24"/>
          <w:u w:val="single"/>
          <w:rtl/>
        </w:rPr>
      </w:pPr>
      <w:r w:rsidRPr="00EB7564">
        <w:rPr>
          <w:rFonts w:cs="David" w:hint="cs"/>
          <w:sz w:val="24"/>
          <w:szCs w:val="24"/>
          <w:u w:val="single"/>
          <w:rtl/>
        </w:rPr>
        <w:t>פיצויים עונשיים לפי סעיף 28א</w:t>
      </w:r>
    </w:p>
    <w:p w:rsidR="00B01DA3" w:rsidRPr="00503B2F" w:rsidRDefault="00B01DA3" w:rsidP="00376EB9">
      <w:pPr>
        <w:pStyle w:val="a3"/>
        <w:numPr>
          <w:ilvl w:val="0"/>
          <w:numId w:val="7"/>
        </w:numPr>
        <w:spacing w:after="0" w:line="300" w:lineRule="exact"/>
        <w:jc w:val="both"/>
        <w:rPr>
          <w:rFonts w:cs="David"/>
          <w:sz w:val="24"/>
          <w:szCs w:val="24"/>
          <w:rtl/>
        </w:rPr>
      </w:pPr>
      <w:r w:rsidRPr="00503B2F">
        <w:rPr>
          <w:rFonts w:cs="David" w:hint="cs"/>
          <w:b/>
          <w:bCs/>
          <w:sz w:val="24"/>
          <w:szCs w:val="24"/>
          <w:rtl/>
        </w:rPr>
        <w:t>סעיף 28א</w:t>
      </w:r>
      <w:r w:rsidRPr="00503B2F">
        <w:rPr>
          <w:rFonts w:cs="David" w:hint="cs"/>
          <w:sz w:val="24"/>
          <w:szCs w:val="24"/>
          <w:rtl/>
        </w:rPr>
        <w:t xml:space="preserve"> לחוק </w:t>
      </w:r>
      <w:r w:rsidR="00E323DB">
        <w:rPr>
          <w:rFonts w:cs="David" w:hint="cs"/>
          <w:sz w:val="24"/>
          <w:szCs w:val="24"/>
          <w:rtl/>
        </w:rPr>
        <w:t xml:space="preserve">נועד להתמודד עם התנהלות בעייתית זו של מבטחים. הסעיף </w:t>
      </w:r>
      <w:r w:rsidRPr="00503B2F">
        <w:rPr>
          <w:rFonts w:cs="David" w:hint="cs"/>
          <w:sz w:val="24"/>
          <w:szCs w:val="24"/>
          <w:rtl/>
        </w:rPr>
        <w:t xml:space="preserve">קובע את סמכות בית המשפט לפסוק ריבית מיוחדת, אם מבטח לא שילם את </w:t>
      </w:r>
      <w:r w:rsidRPr="0017694E">
        <w:rPr>
          <w:rFonts w:cs="David" w:hint="cs"/>
          <w:sz w:val="24"/>
          <w:szCs w:val="24"/>
          <w:rtl/>
        </w:rPr>
        <w:t>תגמולי</w:t>
      </w:r>
      <w:r w:rsidRPr="0017694E">
        <w:rPr>
          <w:rFonts w:cs="David"/>
          <w:sz w:val="24"/>
          <w:szCs w:val="24"/>
          <w:rtl/>
        </w:rPr>
        <w:t xml:space="preserve"> </w:t>
      </w:r>
      <w:r w:rsidRPr="0017694E">
        <w:rPr>
          <w:rFonts w:cs="David" w:hint="cs"/>
          <w:sz w:val="24"/>
          <w:szCs w:val="24"/>
          <w:rtl/>
        </w:rPr>
        <w:t>הביטוח</w:t>
      </w:r>
      <w:r w:rsidRPr="0017694E">
        <w:rPr>
          <w:rFonts w:cs="David"/>
          <w:sz w:val="24"/>
          <w:szCs w:val="24"/>
          <w:rtl/>
        </w:rPr>
        <w:t xml:space="preserve"> </w:t>
      </w:r>
      <w:r w:rsidRPr="0017694E">
        <w:rPr>
          <w:rFonts w:cs="David" w:hint="cs"/>
          <w:sz w:val="24"/>
          <w:szCs w:val="24"/>
          <w:rtl/>
        </w:rPr>
        <w:t>שלא</w:t>
      </w:r>
      <w:r w:rsidRPr="0017694E">
        <w:rPr>
          <w:rFonts w:cs="David"/>
          <w:sz w:val="24"/>
          <w:szCs w:val="24"/>
          <w:rtl/>
        </w:rPr>
        <w:t xml:space="preserve"> </w:t>
      </w:r>
      <w:r w:rsidRPr="0017694E">
        <w:rPr>
          <w:rFonts w:cs="David" w:hint="cs"/>
          <w:sz w:val="24"/>
          <w:szCs w:val="24"/>
          <w:rtl/>
        </w:rPr>
        <w:t>היו</w:t>
      </w:r>
      <w:r w:rsidRPr="0017694E">
        <w:rPr>
          <w:rFonts w:cs="David"/>
          <w:sz w:val="24"/>
          <w:szCs w:val="24"/>
          <w:rtl/>
        </w:rPr>
        <w:t xml:space="preserve"> </w:t>
      </w:r>
      <w:r w:rsidRPr="0017694E">
        <w:rPr>
          <w:rFonts w:cs="David" w:hint="cs"/>
          <w:sz w:val="24"/>
          <w:szCs w:val="24"/>
          <w:rtl/>
        </w:rPr>
        <w:t>שנויים</w:t>
      </w:r>
      <w:r w:rsidRPr="0017694E">
        <w:rPr>
          <w:rFonts w:cs="David"/>
          <w:sz w:val="24"/>
          <w:szCs w:val="24"/>
          <w:rtl/>
        </w:rPr>
        <w:t xml:space="preserve"> </w:t>
      </w:r>
      <w:r w:rsidRPr="0017694E">
        <w:rPr>
          <w:rFonts w:cs="David" w:hint="cs"/>
          <w:sz w:val="24"/>
          <w:szCs w:val="24"/>
          <w:rtl/>
        </w:rPr>
        <w:t>במחלוקת</w:t>
      </w:r>
      <w:r w:rsidRPr="0017694E">
        <w:rPr>
          <w:rFonts w:cs="David"/>
          <w:sz w:val="24"/>
          <w:szCs w:val="24"/>
          <w:rtl/>
        </w:rPr>
        <w:t xml:space="preserve"> </w:t>
      </w:r>
      <w:r w:rsidRPr="0017694E">
        <w:rPr>
          <w:rFonts w:cs="David" w:hint="cs"/>
          <w:sz w:val="24"/>
          <w:szCs w:val="24"/>
          <w:rtl/>
        </w:rPr>
        <w:t>בתום</w:t>
      </w:r>
      <w:r w:rsidRPr="0017694E">
        <w:rPr>
          <w:rFonts w:cs="David"/>
          <w:sz w:val="24"/>
          <w:szCs w:val="24"/>
          <w:rtl/>
        </w:rPr>
        <w:t xml:space="preserve"> </w:t>
      </w:r>
      <w:r w:rsidRPr="0017694E">
        <w:rPr>
          <w:rFonts w:cs="David" w:hint="cs"/>
          <w:sz w:val="24"/>
          <w:szCs w:val="24"/>
          <w:rtl/>
        </w:rPr>
        <w:t>לב</w:t>
      </w:r>
      <w:r w:rsidRPr="00503B2F">
        <w:rPr>
          <w:rFonts w:cs="David" w:hint="cs"/>
          <w:sz w:val="24"/>
          <w:szCs w:val="24"/>
          <w:rtl/>
        </w:rPr>
        <w:t xml:space="preserve"> במועדים הקבועים בסעיף 27 לחוק.</w:t>
      </w:r>
    </w:p>
    <w:p w:rsidR="00B01DA3" w:rsidRPr="00503B2F" w:rsidRDefault="00B01DA3" w:rsidP="00E323DB">
      <w:pPr>
        <w:pStyle w:val="a3"/>
        <w:numPr>
          <w:ilvl w:val="0"/>
          <w:numId w:val="8"/>
        </w:numPr>
        <w:spacing w:after="0" w:line="300" w:lineRule="exact"/>
        <w:jc w:val="both"/>
        <w:rPr>
          <w:rFonts w:cs="David"/>
          <w:sz w:val="24"/>
          <w:szCs w:val="24"/>
          <w:rtl/>
        </w:rPr>
      </w:pPr>
      <w:r w:rsidRPr="00503B2F">
        <w:rPr>
          <w:rFonts w:cs="David" w:hint="cs"/>
          <w:sz w:val="24"/>
          <w:szCs w:val="24"/>
          <w:rtl/>
        </w:rPr>
        <w:t xml:space="preserve">הסעיף מבחין בין סוגי ביטוחים שונים, וקובע כי כשמדובר ב"ביטוחים אישיים", בית המשפט </w:t>
      </w:r>
      <w:r w:rsidRPr="00503B2F">
        <w:rPr>
          <w:rFonts w:cs="David" w:hint="cs"/>
          <w:b/>
          <w:bCs/>
          <w:sz w:val="24"/>
          <w:szCs w:val="24"/>
          <w:rtl/>
        </w:rPr>
        <w:t>חייב</w:t>
      </w:r>
      <w:r w:rsidRPr="00503B2F">
        <w:rPr>
          <w:rFonts w:cs="David" w:hint="cs"/>
          <w:sz w:val="24"/>
          <w:szCs w:val="24"/>
          <w:rtl/>
        </w:rPr>
        <w:t xml:space="preserve"> לפסוק ריבית מיוחדת, וכשמדובר ביתר הביטוחים, בית המשפט </w:t>
      </w:r>
      <w:r w:rsidRPr="00503B2F">
        <w:rPr>
          <w:rFonts w:cs="David" w:hint="cs"/>
          <w:b/>
          <w:bCs/>
          <w:sz w:val="24"/>
          <w:szCs w:val="24"/>
          <w:rtl/>
        </w:rPr>
        <w:t>רשאי</w:t>
      </w:r>
      <w:r w:rsidRPr="00503B2F">
        <w:rPr>
          <w:rFonts w:cs="David" w:hint="cs"/>
          <w:sz w:val="24"/>
          <w:szCs w:val="24"/>
          <w:rtl/>
        </w:rPr>
        <w:t xml:space="preserve"> לפסוק כך. </w:t>
      </w:r>
      <w:r w:rsidRPr="00503B2F">
        <w:rPr>
          <w:rFonts w:cs="David" w:hint="cs"/>
          <w:b/>
          <w:bCs/>
          <w:sz w:val="24"/>
          <w:szCs w:val="24"/>
          <w:rtl/>
        </w:rPr>
        <w:t>ביטוחים</w:t>
      </w:r>
      <w:r w:rsidRPr="00503B2F">
        <w:rPr>
          <w:rFonts w:cs="David"/>
          <w:b/>
          <w:bCs/>
          <w:sz w:val="24"/>
          <w:szCs w:val="24"/>
          <w:rtl/>
        </w:rPr>
        <w:t xml:space="preserve"> </w:t>
      </w:r>
      <w:r w:rsidRPr="00503B2F">
        <w:rPr>
          <w:rFonts w:cs="David" w:hint="cs"/>
          <w:b/>
          <w:bCs/>
          <w:sz w:val="24"/>
          <w:szCs w:val="24"/>
          <w:rtl/>
        </w:rPr>
        <w:t>אישיים</w:t>
      </w:r>
      <w:r w:rsidRPr="00503B2F">
        <w:rPr>
          <w:rFonts w:cs="David" w:hint="cs"/>
          <w:sz w:val="24"/>
          <w:szCs w:val="24"/>
          <w:rtl/>
        </w:rPr>
        <w:t xml:space="preserve"> כפי שנקבעו בסעיף הם: ביטוח חיים, ביטוח תאונות אישיות, ביטוח רכב (רכוש), ביטוח דירות ותכולתן, ולמעט ביטוח אחריות.</w:t>
      </w:r>
      <w:r w:rsidR="00EA6AFB">
        <w:rPr>
          <w:rFonts w:cs="David" w:hint="cs"/>
          <w:sz w:val="24"/>
          <w:szCs w:val="24"/>
          <w:rtl/>
        </w:rPr>
        <w:t xml:space="preserve"> וכן, ביטוח </w:t>
      </w:r>
      <w:r w:rsidR="00EA6AFB" w:rsidRPr="00EA6AFB">
        <w:rPr>
          <w:rFonts w:cs="David" w:hint="cs"/>
          <w:sz w:val="24"/>
          <w:szCs w:val="24"/>
          <w:rtl/>
        </w:rPr>
        <w:t>מפני מחלות ואשפוז (הכולל ביטוח סיעודי), וביטוח רכב חובה</w:t>
      </w:r>
      <w:r w:rsidR="00EA6AFB">
        <w:rPr>
          <w:rStyle w:val="a6"/>
          <w:rFonts w:cs="David"/>
          <w:sz w:val="24"/>
          <w:szCs w:val="24"/>
          <w:rtl/>
        </w:rPr>
        <w:footnoteReference w:id="2"/>
      </w:r>
      <w:r w:rsidR="00EA6AFB" w:rsidRPr="00EA6AFB">
        <w:rPr>
          <w:rFonts w:cs="David" w:hint="cs"/>
          <w:sz w:val="24"/>
          <w:szCs w:val="24"/>
          <w:rtl/>
        </w:rPr>
        <w:t xml:space="preserve"> – שני </w:t>
      </w:r>
      <w:r w:rsidR="00EA6AFB">
        <w:rPr>
          <w:rFonts w:cs="David" w:hint="cs"/>
          <w:sz w:val="24"/>
          <w:szCs w:val="24"/>
          <w:rtl/>
        </w:rPr>
        <w:t>ה</w:t>
      </w:r>
      <w:r w:rsidR="00EA6AFB" w:rsidRPr="00EA6AFB">
        <w:rPr>
          <w:rFonts w:cs="David" w:hint="cs"/>
          <w:sz w:val="24"/>
          <w:szCs w:val="24"/>
          <w:rtl/>
        </w:rPr>
        <w:t xml:space="preserve">ביטוחים </w:t>
      </w:r>
      <w:r w:rsidR="00EA6AFB">
        <w:rPr>
          <w:rFonts w:cs="David" w:hint="cs"/>
          <w:sz w:val="24"/>
          <w:szCs w:val="24"/>
          <w:rtl/>
        </w:rPr>
        <w:t>ה</w:t>
      </w:r>
      <w:r w:rsidR="00EA6AFB" w:rsidRPr="00EA6AFB">
        <w:rPr>
          <w:rFonts w:cs="David" w:hint="cs"/>
          <w:sz w:val="24"/>
          <w:szCs w:val="24"/>
          <w:rtl/>
        </w:rPr>
        <w:t xml:space="preserve">אחרונים </w:t>
      </w:r>
      <w:r w:rsidR="00EA6AFB">
        <w:rPr>
          <w:rFonts w:cs="David" w:hint="cs"/>
          <w:sz w:val="24"/>
          <w:szCs w:val="24"/>
          <w:rtl/>
        </w:rPr>
        <w:t>נוספו</w:t>
      </w:r>
      <w:r w:rsidR="00EA6AFB" w:rsidRPr="00EA6AFB">
        <w:rPr>
          <w:rFonts w:cs="David" w:hint="cs"/>
          <w:sz w:val="24"/>
          <w:szCs w:val="24"/>
          <w:rtl/>
        </w:rPr>
        <w:t xml:space="preserve"> בתיקון </w:t>
      </w:r>
      <w:r w:rsidR="00EA6AFB">
        <w:rPr>
          <w:rFonts w:cs="David" w:hint="cs"/>
          <w:sz w:val="24"/>
          <w:szCs w:val="24"/>
          <w:rtl/>
        </w:rPr>
        <w:t>שעבר רק לאחרונה.</w:t>
      </w:r>
      <w:r w:rsidR="00EA6AFB">
        <w:rPr>
          <w:rStyle w:val="a6"/>
          <w:rFonts w:cs="David"/>
          <w:sz w:val="24"/>
          <w:szCs w:val="24"/>
          <w:rtl/>
        </w:rPr>
        <w:footnoteReference w:id="3"/>
      </w:r>
    </w:p>
    <w:p w:rsidR="00B01DA3" w:rsidRPr="00503B2F" w:rsidRDefault="00B01DA3" w:rsidP="00E323DB">
      <w:pPr>
        <w:pStyle w:val="a3"/>
        <w:numPr>
          <w:ilvl w:val="0"/>
          <w:numId w:val="8"/>
        </w:numPr>
        <w:spacing w:after="0" w:line="300" w:lineRule="exact"/>
        <w:jc w:val="both"/>
        <w:rPr>
          <w:rFonts w:cs="David"/>
          <w:sz w:val="24"/>
          <w:szCs w:val="24"/>
          <w:rtl/>
        </w:rPr>
      </w:pPr>
      <w:r>
        <w:rPr>
          <w:rFonts w:cs="David" w:hint="cs"/>
          <w:sz w:val="24"/>
          <w:szCs w:val="24"/>
          <w:rtl/>
        </w:rPr>
        <w:t xml:space="preserve">הסעיף קובע רק את </w:t>
      </w:r>
      <w:r w:rsidRPr="00E507DF">
        <w:rPr>
          <w:rFonts w:cs="David" w:hint="cs"/>
          <w:b/>
          <w:bCs/>
          <w:sz w:val="24"/>
          <w:szCs w:val="24"/>
          <w:rtl/>
        </w:rPr>
        <w:t>שיעור המקסימום</w:t>
      </w:r>
      <w:r w:rsidRPr="00503B2F">
        <w:rPr>
          <w:rFonts w:cs="David" w:hint="cs"/>
          <w:sz w:val="24"/>
          <w:szCs w:val="24"/>
          <w:rtl/>
        </w:rPr>
        <w:t xml:space="preserve"> של הריבית המיוחדת, כך שגם במקרה שבית המשפט חייב על פי החוק לפסוק ריבית מיוחדת, </w:t>
      </w:r>
      <w:r w:rsidRPr="00E507DF">
        <w:rPr>
          <w:rFonts w:cs="David" w:hint="cs"/>
          <w:b/>
          <w:bCs/>
          <w:sz w:val="24"/>
          <w:szCs w:val="24"/>
          <w:rtl/>
        </w:rPr>
        <w:t>הוא יכול לפסוק ריבית נמוכה ביותר</w:t>
      </w:r>
      <w:r w:rsidRPr="00503B2F">
        <w:rPr>
          <w:rFonts w:cs="David" w:hint="cs"/>
          <w:sz w:val="24"/>
          <w:szCs w:val="24"/>
          <w:rtl/>
        </w:rPr>
        <w:t>.</w:t>
      </w:r>
    </w:p>
    <w:p w:rsidR="00B01DA3" w:rsidRDefault="00B01DA3" w:rsidP="00E507DF">
      <w:pPr>
        <w:pStyle w:val="a3"/>
        <w:numPr>
          <w:ilvl w:val="0"/>
          <w:numId w:val="8"/>
        </w:numPr>
        <w:spacing w:after="0" w:line="300" w:lineRule="exact"/>
        <w:jc w:val="both"/>
        <w:rPr>
          <w:rFonts w:cs="David"/>
          <w:sz w:val="24"/>
          <w:szCs w:val="24"/>
        </w:rPr>
      </w:pPr>
      <w:r w:rsidRPr="00503B2F">
        <w:rPr>
          <w:rFonts w:cs="David" w:hint="cs"/>
          <w:sz w:val="24"/>
          <w:szCs w:val="24"/>
          <w:rtl/>
        </w:rPr>
        <w:t>את הריבית המיוחדת ניתן לקבל בנוסף לפיצויים אחרים שהמבוטח יכול לתבוע (כגון פיצוי על נזק תוצאתי שהמבוטח יכול להוכיח שנגרם לו עקב העיכוב בתשלום התגמולים).</w:t>
      </w:r>
    </w:p>
    <w:p w:rsidR="00993C17" w:rsidRPr="00D65D66" w:rsidRDefault="00993C17" w:rsidP="00E323DB">
      <w:pPr>
        <w:spacing w:after="0" w:line="300" w:lineRule="exact"/>
        <w:jc w:val="both"/>
        <w:rPr>
          <w:rFonts w:cs="David"/>
          <w:sz w:val="4"/>
          <w:szCs w:val="4"/>
          <w:rtl/>
        </w:rPr>
      </w:pPr>
    </w:p>
    <w:p w:rsidR="00993C17" w:rsidRDefault="00993C17" w:rsidP="00E323DB">
      <w:pPr>
        <w:pStyle w:val="a3"/>
        <w:numPr>
          <w:ilvl w:val="0"/>
          <w:numId w:val="7"/>
        </w:numPr>
        <w:spacing w:after="0" w:line="300" w:lineRule="exact"/>
        <w:jc w:val="both"/>
        <w:rPr>
          <w:rFonts w:cs="David"/>
          <w:sz w:val="24"/>
          <w:szCs w:val="24"/>
        </w:rPr>
      </w:pPr>
      <w:r w:rsidRPr="00C217D2">
        <w:rPr>
          <w:rFonts w:cs="David" w:hint="cs"/>
          <w:sz w:val="24"/>
          <w:szCs w:val="24"/>
          <w:rtl/>
        </w:rPr>
        <w:t xml:space="preserve">הריבית המיוחדת היא למעשה </w:t>
      </w:r>
      <w:r w:rsidRPr="00C217D2">
        <w:rPr>
          <w:rFonts w:cs="David" w:hint="cs"/>
          <w:b/>
          <w:bCs/>
          <w:sz w:val="24"/>
          <w:szCs w:val="24"/>
          <w:rtl/>
        </w:rPr>
        <w:t>פיצוי</w:t>
      </w:r>
      <w:r w:rsidRPr="00C217D2">
        <w:rPr>
          <w:rFonts w:cs="David"/>
          <w:b/>
          <w:bCs/>
          <w:sz w:val="24"/>
          <w:szCs w:val="24"/>
          <w:rtl/>
        </w:rPr>
        <w:t xml:space="preserve"> </w:t>
      </w:r>
      <w:r w:rsidRPr="00C217D2">
        <w:rPr>
          <w:rFonts w:cs="David" w:hint="cs"/>
          <w:b/>
          <w:bCs/>
          <w:sz w:val="24"/>
          <w:szCs w:val="24"/>
          <w:rtl/>
        </w:rPr>
        <w:t>עונשי</w:t>
      </w:r>
      <w:r w:rsidRPr="00C217D2">
        <w:rPr>
          <w:rFonts w:cs="David" w:hint="cs"/>
          <w:sz w:val="24"/>
          <w:szCs w:val="24"/>
          <w:rtl/>
        </w:rPr>
        <w:t xml:space="preserve"> </w:t>
      </w:r>
      <w:r w:rsidR="00EA6AFB">
        <w:rPr>
          <w:rFonts w:cs="David" w:hint="cs"/>
          <w:sz w:val="24"/>
          <w:szCs w:val="24"/>
          <w:rtl/>
        </w:rPr>
        <w:t>ש</w:t>
      </w:r>
      <w:r w:rsidRPr="00C217D2">
        <w:rPr>
          <w:rFonts w:cs="David" w:hint="cs"/>
          <w:sz w:val="24"/>
          <w:szCs w:val="24"/>
          <w:rtl/>
        </w:rPr>
        <w:t>נועד להרתיע את חברות הביטוח מעיכוב בתשלום תגמולי הביטוח</w:t>
      </w:r>
      <w:r w:rsidR="00EA6AFB">
        <w:rPr>
          <w:rFonts w:cs="David" w:hint="cs"/>
          <w:sz w:val="24"/>
          <w:szCs w:val="24"/>
          <w:rtl/>
        </w:rPr>
        <w:t xml:space="preserve"> שלא בתום לב</w:t>
      </w:r>
      <w:r w:rsidRPr="00C217D2">
        <w:rPr>
          <w:rFonts w:cs="David" w:hint="cs"/>
          <w:sz w:val="24"/>
          <w:szCs w:val="24"/>
          <w:rtl/>
        </w:rPr>
        <w:t xml:space="preserve">, ואף להעניש אותן </w:t>
      </w:r>
      <w:r w:rsidR="00EA6AFB">
        <w:rPr>
          <w:rFonts w:cs="David" w:hint="cs"/>
          <w:sz w:val="24"/>
          <w:szCs w:val="24"/>
          <w:rtl/>
        </w:rPr>
        <w:t>כשהן נוהגות כך</w:t>
      </w:r>
      <w:r w:rsidRPr="00C217D2">
        <w:rPr>
          <w:rFonts w:cs="David" w:hint="cs"/>
          <w:sz w:val="24"/>
          <w:szCs w:val="24"/>
          <w:rtl/>
        </w:rPr>
        <w:t>.</w:t>
      </w:r>
    </w:p>
    <w:p w:rsidR="00993C17" w:rsidRDefault="00993C17" w:rsidP="009E7134">
      <w:pPr>
        <w:pStyle w:val="a3"/>
        <w:spacing w:after="0" w:line="300" w:lineRule="exact"/>
        <w:ind w:left="360" w:firstLine="360"/>
        <w:jc w:val="both"/>
        <w:rPr>
          <w:rFonts w:cs="David"/>
          <w:sz w:val="24"/>
          <w:szCs w:val="24"/>
          <w:rtl/>
        </w:rPr>
      </w:pPr>
      <w:r w:rsidRPr="00C217D2">
        <w:rPr>
          <w:rFonts w:cs="David" w:hint="cs"/>
          <w:sz w:val="24"/>
          <w:szCs w:val="24"/>
          <w:rtl/>
        </w:rPr>
        <w:t>הפיצוי העונשי שונה בתכליתו מהפיצוי החוזי או הנזיקי. בעוד שהרציונל המרכזי למשל בדיני נזיקין הוא להשיב את המצב ל</w:t>
      </w:r>
      <w:r w:rsidR="009E7134">
        <w:rPr>
          <w:rFonts w:cs="David" w:hint="cs"/>
          <w:sz w:val="24"/>
          <w:szCs w:val="24"/>
          <w:rtl/>
        </w:rPr>
        <w:t>קדמותו ולהעמיד את הניזוק במקום ש</w:t>
      </w:r>
      <w:r w:rsidRPr="00C217D2">
        <w:rPr>
          <w:rFonts w:cs="David" w:hint="cs"/>
          <w:sz w:val="24"/>
          <w:szCs w:val="24"/>
          <w:rtl/>
        </w:rPr>
        <w:t>בו היה לפני קרות הנזק, הפיצוי העונשי נועד להעניש ולהרתיע והוא אינו תלוי בהכרח בקיומו של נזק או בגובהו.</w:t>
      </w:r>
      <w:r w:rsidR="0028113D">
        <w:rPr>
          <w:rFonts w:cs="David" w:hint="cs"/>
          <w:sz w:val="24"/>
          <w:szCs w:val="24"/>
          <w:rtl/>
        </w:rPr>
        <w:t xml:space="preserve"> מאחר שמדובר בפיצוי בעל יסודות עונשיים שמופעל בהליך אזרחי </w:t>
      </w:r>
      <w:r w:rsidR="0028113D">
        <w:rPr>
          <w:rFonts w:cs="David"/>
          <w:sz w:val="24"/>
          <w:szCs w:val="24"/>
          <w:rtl/>
        </w:rPr>
        <w:t>–</w:t>
      </w:r>
      <w:r w:rsidR="0028113D">
        <w:rPr>
          <w:rFonts w:cs="David" w:hint="cs"/>
          <w:sz w:val="24"/>
          <w:szCs w:val="24"/>
          <w:rtl/>
        </w:rPr>
        <w:t xml:space="preserve"> </w:t>
      </w:r>
      <w:r w:rsidRPr="00C217D2">
        <w:rPr>
          <w:rFonts w:cs="David" w:hint="cs"/>
          <w:sz w:val="24"/>
          <w:szCs w:val="24"/>
          <w:rtl/>
        </w:rPr>
        <w:t xml:space="preserve">הוא שנוי במחלוקת. </w:t>
      </w:r>
    </w:p>
    <w:p w:rsidR="0050536B" w:rsidRPr="0050536B" w:rsidRDefault="0050536B" w:rsidP="00E507DF">
      <w:pPr>
        <w:pStyle w:val="a3"/>
        <w:spacing w:after="0" w:line="300" w:lineRule="exact"/>
        <w:ind w:left="360" w:firstLine="360"/>
        <w:jc w:val="both"/>
        <w:rPr>
          <w:rFonts w:cs="David"/>
          <w:sz w:val="4"/>
          <w:szCs w:val="4"/>
          <w:rtl/>
        </w:rPr>
      </w:pPr>
    </w:p>
    <w:p w:rsidR="0010545D" w:rsidRPr="0010545D" w:rsidRDefault="0010545D" w:rsidP="009108CF">
      <w:pPr>
        <w:pStyle w:val="a3"/>
        <w:numPr>
          <w:ilvl w:val="0"/>
          <w:numId w:val="7"/>
        </w:numPr>
        <w:spacing w:after="0" w:line="300" w:lineRule="exact"/>
        <w:jc w:val="both"/>
        <w:rPr>
          <w:rFonts w:cs="David"/>
          <w:sz w:val="24"/>
          <w:szCs w:val="24"/>
        </w:rPr>
      </w:pPr>
      <w:r w:rsidRPr="00A04675">
        <w:rPr>
          <w:rFonts w:cs="David" w:hint="cs"/>
          <w:sz w:val="24"/>
          <w:szCs w:val="24"/>
          <w:rtl/>
        </w:rPr>
        <w:t xml:space="preserve">סעיף 28א נוסף לחוק </w:t>
      </w:r>
      <w:r>
        <w:rPr>
          <w:rFonts w:cs="David" w:hint="cs"/>
          <w:sz w:val="24"/>
          <w:szCs w:val="24"/>
          <w:rtl/>
        </w:rPr>
        <w:t>חוזה</w:t>
      </w:r>
      <w:r w:rsidRPr="00A04675">
        <w:rPr>
          <w:rFonts w:cs="David" w:hint="cs"/>
          <w:sz w:val="24"/>
          <w:szCs w:val="24"/>
          <w:rtl/>
        </w:rPr>
        <w:t xml:space="preserve"> הביטוח בשנת 1988, </w:t>
      </w:r>
      <w:r>
        <w:rPr>
          <w:rFonts w:cs="David" w:hint="cs"/>
          <w:sz w:val="24"/>
          <w:szCs w:val="24"/>
          <w:rtl/>
        </w:rPr>
        <w:t>מתוך מטרה להיאבק</w:t>
      </w:r>
      <w:r w:rsidRPr="00A04675">
        <w:rPr>
          <w:rFonts w:cs="David" w:hint="cs"/>
          <w:sz w:val="24"/>
          <w:szCs w:val="24"/>
          <w:rtl/>
        </w:rPr>
        <w:t xml:space="preserve"> בתופעה של עיכוב של חברות הביטוח בתשלום תגמולי הביטוח.</w:t>
      </w:r>
      <w:r>
        <w:rPr>
          <w:rStyle w:val="a6"/>
          <w:rFonts w:cs="David"/>
          <w:sz w:val="24"/>
          <w:szCs w:val="24"/>
          <w:rtl/>
        </w:rPr>
        <w:footnoteReference w:id="4"/>
      </w:r>
      <w:r w:rsidRPr="00A04675">
        <w:rPr>
          <w:rFonts w:cs="David" w:hint="cs"/>
          <w:sz w:val="24"/>
          <w:szCs w:val="24"/>
          <w:rtl/>
        </w:rPr>
        <w:t xml:space="preserve"> בשנת 2010 תוקן הסעיף ונקבעה בו </w:t>
      </w:r>
      <w:r w:rsidRPr="006D1163">
        <w:rPr>
          <w:rFonts w:cs="David" w:hint="cs"/>
          <w:b/>
          <w:bCs/>
          <w:sz w:val="24"/>
          <w:szCs w:val="24"/>
          <w:rtl/>
        </w:rPr>
        <w:t>חובה</w:t>
      </w:r>
      <w:r w:rsidRPr="00A04675">
        <w:rPr>
          <w:rFonts w:cs="David" w:hint="cs"/>
          <w:sz w:val="24"/>
          <w:szCs w:val="24"/>
          <w:rtl/>
        </w:rPr>
        <w:t xml:space="preserve"> לפסוק ריבית מיוחדת במקרה </w:t>
      </w:r>
      <w:r w:rsidRPr="006D1163">
        <w:rPr>
          <w:rFonts w:cs="David" w:hint="cs"/>
          <w:sz w:val="24"/>
          <w:szCs w:val="24"/>
          <w:rtl/>
        </w:rPr>
        <w:t>שמבטח בביטוחים מסוימים (שהוגדרו כביטוחים אישיים)</w:t>
      </w:r>
      <w:r>
        <w:rPr>
          <w:rFonts w:cs="David" w:hint="cs"/>
          <w:sz w:val="24"/>
          <w:szCs w:val="24"/>
          <w:rtl/>
        </w:rPr>
        <w:t xml:space="preserve"> </w:t>
      </w:r>
      <w:r w:rsidRPr="00A04675">
        <w:rPr>
          <w:rFonts w:cs="David" w:hint="cs"/>
          <w:sz w:val="24"/>
          <w:szCs w:val="24"/>
          <w:rtl/>
        </w:rPr>
        <w:t>לא שיל</w:t>
      </w:r>
      <w:r>
        <w:rPr>
          <w:rFonts w:cs="David" w:hint="cs"/>
          <w:sz w:val="24"/>
          <w:szCs w:val="24"/>
          <w:rtl/>
        </w:rPr>
        <w:t>ם</w:t>
      </w:r>
      <w:r w:rsidRPr="00A04675">
        <w:rPr>
          <w:rFonts w:cs="David" w:hint="cs"/>
          <w:sz w:val="24"/>
          <w:szCs w:val="24"/>
          <w:rtl/>
        </w:rPr>
        <w:t xml:space="preserve"> את תגמולי הביטוח</w:t>
      </w:r>
      <w:r>
        <w:rPr>
          <w:rFonts w:cs="David" w:hint="cs"/>
          <w:sz w:val="24"/>
          <w:szCs w:val="24"/>
          <w:rtl/>
        </w:rPr>
        <w:t xml:space="preserve"> שלא היו שנויים במחלוקת בתום לב</w:t>
      </w:r>
      <w:r w:rsidRPr="00A04675">
        <w:rPr>
          <w:rFonts w:cs="David" w:hint="cs"/>
          <w:sz w:val="24"/>
          <w:szCs w:val="24"/>
          <w:rtl/>
        </w:rPr>
        <w:t xml:space="preserve"> במועדם. מטרת התיקון הייתה להבטיח כי בת</w:t>
      </w:r>
      <w:r>
        <w:rPr>
          <w:rFonts w:cs="David" w:hint="cs"/>
          <w:sz w:val="24"/>
          <w:szCs w:val="24"/>
          <w:rtl/>
        </w:rPr>
        <w:t xml:space="preserve">י המשפט, שלא עשו שימוש תדיר בסעיף 28א לחוק, יפסקו את הריבית המיוחדת </w:t>
      </w:r>
      <w:r w:rsidRPr="00A04675">
        <w:rPr>
          <w:rFonts w:cs="David" w:hint="cs"/>
          <w:sz w:val="24"/>
          <w:szCs w:val="24"/>
          <w:rtl/>
        </w:rPr>
        <w:t xml:space="preserve">ובכך </w:t>
      </w:r>
      <w:r>
        <w:rPr>
          <w:rFonts w:cs="David" w:hint="cs"/>
          <w:sz w:val="24"/>
          <w:szCs w:val="24"/>
          <w:rtl/>
        </w:rPr>
        <w:t xml:space="preserve">לחזק </w:t>
      </w:r>
      <w:r w:rsidRPr="00A04675">
        <w:rPr>
          <w:rFonts w:cs="David" w:hint="cs"/>
          <w:sz w:val="24"/>
          <w:szCs w:val="24"/>
          <w:rtl/>
        </w:rPr>
        <w:t>את ההגנה הניתנת למבוטחים מול חברות הביטוח.</w:t>
      </w:r>
      <w:r>
        <w:rPr>
          <w:rStyle w:val="a6"/>
          <w:rFonts w:cs="David"/>
          <w:sz w:val="24"/>
          <w:szCs w:val="24"/>
          <w:rtl/>
        </w:rPr>
        <w:footnoteReference w:id="5"/>
      </w:r>
    </w:p>
    <w:p w:rsidR="00993C17" w:rsidRPr="0010545D" w:rsidRDefault="00993C17" w:rsidP="00E323DB">
      <w:pPr>
        <w:spacing w:after="0" w:line="300" w:lineRule="exact"/>
        <w:jc w:val="both"/>
        <w:rPr>
          <w:rFonts w:cs="David"/>
          <w:sz w:val="16"/>
          <w:szCs w:val="16"/>
          <w:rtl/>
        </w:rPr>
      </w:pPr>
    </w:p>
    <w:p w:rsidR="00993C17" w:rsidRPr="003D61C5" w:rsidRDefault="00993C17" w:rsidP="00E323DB">
      <w:pPr>
        <w:spacing w:after="0" w:line="300" w:lineRule="exact"/>
        <w:jc w:val="both"/>
        <w:rPr>
          <w:rFonts w:cs="David"/>
          <w:sz w:val="24"/>
          <w:szCs w:val="24"/>
          <w:u w:val="single"/>
          <w:rtl/>
        </w:rPr>
      </w:pPr>
      <w:r w:rsidRPr="003D61C5">
        <w:rPr>
          <w:rFonts w:cs="David" w:hint="cs"/>
          <w:sz w:val="24"/>
          <w:szCs w:val="24"/>
          <w:u w:val="single"/>
          <w:rtl/>
        </w:rPr>
        <w:t>השימוש</w:t>
      </w:r>
      <w:r w:rsidRPr="003D61C5">
        <w:rPr>
          <w:rFonts w:cs="David"/>
          <w:sz w:val="24"/>
          <w:szCs w:val="24"/>
          <w:u w:val="single"/>
          <w:rtl/>
        </w:rPr>
        <w:t xml:space="preserve"> </w:t>
      </w:r>
      <w:r w:rsidRPr="003D61C5">
        <w:rPr>
          <w:rFonts w:cs="David" w:hint="cs"/>
          <w:sz w:val="24"/>
          <w:szCs w:val="24"/>
          <w:u w:val="single"/>
          <w:rtl/>
        </w:rPr>
        <w:t>בסעיף</w:t>
      </w:r>
      <w:r w:rsidRPr="003D61C5">
        <w:rPr>
          <w:rFonts w:cs="David"/>
          <w:sz w:val="24"/>
          <w:szCs w:val="24"/>
          <w:u w:val="single"/>
          <w:rtl/>
        </w:rPr>
        <w:t xml:space="preserve"> 28</w:t>
      </w:r>
      <w:r w:rsidRPr="003D61C5">
        <w:rPr>
          <w:rFonts w:cs="David" w:hint="cs"/>
          <w:sz w:val="24"/>
          <w:szCs w:val="24"/>
          <w:u w:val="single"/>
          <w:rtl/>
        </w:rPr>
        <w:t>א</w:t>
      </w:r>
      <w:r w:rsidRPr="003D61C5">
        <w:rPr>
          <w:rFonts w:cs="David"/>
          <w:sz w:val="24"/>
          <w:szCs w:val="24"/>
          <w:u w:val="single"/>
          <w:rtl/>
        </w:rPr>
        <w:t xml:space="preserve"> </w:t>
      </w:r>
      <w:r w:rsidRPr="003D61C5">
        <w:rPr>
          <w:rFonts w:cs="David" w:hint="cs"/>
          <w:sz w:val="24"/>
          <w:szCs w:val="24"/>
          <w:u w:val="single"/>
          <w:rtl/>
        </w:rPr>
        <w:t>בפסיקת</w:t>
      </w:r>
      <w:r w:rsidRPr="003D61C5">
        <w:rPr>
          <w:rFonts w:cs="David"/>
          <w:sz w:val="24"/>
          <w:szCs w:val="24"/>
          <w:u w:val="single"/>
          <w:rtl/>
        </w:rPr>
        <w:t xml:space="preserve"> </w:t>
      </w:r>
      <w:r w:rsidRPr="003D61C5">
        <w:rPr>
          <w:rFonts w:cs="David" w:hint="cs"/>
          <w:sz w:val="24"/>
          <w:szCs w:val="24"/>
          <w:u w:val="single"/>
          <w:rtl/>
        </w:rPr>
        <w:t>בית</w:t>
      </w:r>
      <w:r w:rsidRPr="003D61C5">
        <w:rPr>
          <w:rFonts w:cs="David"/>
          <w:sz w:val="24"/>
          <w:szCs w:val="24"/>
          <w:u w:val="single"/>
          <w:rtl/>
        </w:rPr>
        <w:t xml:space="preserve"> </w:t>
      </w:r>
      <w:r w:rsidRPr="003D61C5">
        <w:rPr>
          <w:rFonts w:cs="David" w:hint="cs"/>
          <w:sz w:val="24"/>
          <w:szCs w:val="24"/>
          <w:u w:val="single"/>
          <w:rtl/>
        </w:rPr>
        <w:t>המשפט</w:t>
      </w:r>
    </w:p>
    <w:p w:rsidR="00E820D9" w:rsidRPr="00DE204F" w:rsidRDefault="00E507DF" w:rsidP="00DE204F">
      <w:pPr>
        <w:pStyle w:val="a3"/>
        <w:numPr>
          <w:ilvl w:val="0"/>
          <w:numId w:val="11"/>
        </w:numPr>
        <w:spacing w:after="0" w:line="300" w:lineRule="exact"/>
        <w:jc w:val="both"/>
        <w:rPr>
          <w:rFonts w:cs="David"/>
          <w:sz w:val="24"/>
          <w:szCs w:val="24"/>
        </w:rPr>
      </w:pPr>
      <w:r>
        <w:rPr>
          <w:rFonts w:cs="David" w:hint="cs"/>
          <w:sz w:val="24"/>
          <w:szCs w:val="24"/>
          <w:rtl/>
        </w:rPr>
        <w:t>בדברי ההסבר להצעת החוק שבפני הוועדה</w:t>
      </w:r>
      <w:r w:rsidR="006D1163">
        <w:rPr>
          <w:rFonts w:cs="David" w:hint="cs"/>
          <w:sz w:val="24"/>
          <w:szCs w:val="24"/>
          <w:rtl/>
        </w:rPr>
        <w:t xml:space="preserve"> נאמר כי</w:t>
      </w:r>
      <w:r w:rsidR="00F3154F">
        <w:rPr>
          <w:rFonts w:cs="David" w:hint="cs"/>
          <w:sz w:val="24"/>
          <w:szCs w:val="24"/>
          <w:rtl/>
        </w:rPr>
        <w:t xml:space="preserve"> השאלה אם המחלוקת היתה בתום לב</w:t>
      </w:r>
      <w:r w:rsidR="00F3154F">
        <w:rPr>
          <w:rFonts w:cs="David" w:hint="cs"/>
          <w:sz w:val="24"/>
          <w:szCs w:val="24"/>
        </w:rPr>
        <w:t xml:space="preserve"> </w:t>
      </w:r>
      <w:r w:rsidR="00F3154F">
        <w:rPr>
          <w:rFonts w:cs="David" w:hint="cs"/>
          <w:sz w:val="24"/>
          <w:szCs w:val="24"/>
          <w:rtl/>
        </w:rPr>
        <w:t xml:space="preserve">ׁ(וזה עיקר הדיון בסעיף 28א) עוררה קשיים וצמצמה שלא בצדק את המקרים שבהם נפסקה ריבית מיוחדת. </w:t>
      </w:r>
      <w:r w:rsidR="00E820D9" w:rsidRPr="00DE204F">
        <w:rPr>
          <w:rFonts w:cs="David" w:hint="cs"/>
          <w:sz w:val="24"/>
          <w:szCs w:val="24"/>
          <w:rtl/>
        </w:rPr>
        <w:t>בחינת הפסיקה מעלה ש</w:t>
      </w:r>
      <w:r w:rsidR="00F3154F" w:rsidRPr="00DE204F">
        <w:rPr>
          <w:rFonts w:cs="David" w:hint="cs"/>
          <w:sz w:val="24"/>
          <w:szCs w:val="24"/>
          <w:rtl/>
        </w:rPr>
        <w:t xml:space="preserve">אכן </w:t>
      </w:r>
      <w:r w:rsidR="00E820D9" w:rsidRPr="00DE204F">
        <w:rPr>
          <w:rFonts w:cs="David" w:hint="cs"/>
          <w:sz w:val="24"/>
          <w:szCs w:val="24"/>
          <w:rtl/>
        </w:rPr>
        <w:t>אין</w:t>
      </w:r>
      <w:r w:rsidR="00E820D9" w:rsidRPr="00DE204F">
        <w:rPr>
          <w:rFonts w:cs="David"/>
          <w:sz w:val="24"/>
          <w:szCs w:val="24"/>
          <w:rtl/>
        </w:rPr>
        <w:t xml:space="preserve"> </w:t>
      </w:r>
      <w:r w:rsidR="00E820D9" w:rsidRPr="00DE204F">
        <w:rPr>
          <w:rFonts w:cs="David" w:hint="cs"/>
          <w:sz w:val="24"/>
          <w:szCs w:val="24"/>
          <w:rtl/>
        </w:rPr>
        <w:t>מקרים רבים</w:t>
      </w:r>
      <w:r w:rsidR="00E820D9" w:rsidRPr="00DE204F">
        <w:rPr>
          <w:rFonts w:cs="David"/>
          <w:sz w:val="24"/>
          <w:szCs w:val="24"/>
          <w:rtl/>
        </w:rPr>
        <w:t xml:space="preserve"> </w:t>
      </w:r>
      <w:r w:rsidR="00E820D9" w:rsidRPr="00DE204F">
        <w:rPr>
          <w:rFonts w:cs="David" w:hint="cs"/>
          <w:sz w:val="24"/>
          <w:szCs w:val="24"/>
          <w:rtl/>
        </w:rPr>
        <w:t>שבהם נפסק שחברת</w:t>
      </w:r>
      <w:r w:rsidR="00E820D9" w:rsidRPr="00DE204F">
        <w:rPr>
          <w:rFonts w:cs="David"/>
          <w:sz w:val="24"/>
          <w:szCs w:val="24"/>
          <w:rtl/>
        </w:rPr>
        <w:t xml:space="preserve"> </w:t>
      </w:r>
      <w:r w:rsidR="00E820D9" w:rsidRPr="00DE204F">
        <w:rPr>
          <w:rFonts w:cs="David" w:hint="cs"/>
          <w:sz w:val="24"/>
          <w:szCs w:val="24"/>
          <w:rtl/>
        </w:rPr>
        <w:t>הביטוח</w:t>
      </w:r>
      <w:r w:rsidR="00E820D9" w:rsidRPr="00DE204F">
        <w:rPr>
          <w:rFonts w:cs="David"/>
          <w:sz w:val="24"/>
          <w:szCs w:val="24"/>
          <w:rtl/>
        </w:rPr>
        <w:t xml:space="preserve"> </w:t>
      </w:r>
      <w:r w:rsidR="00E820D9" w:rsidRPr="00DE204F">
        <w:rPr>
          <w:rFonts w:cs="David" w:hint="cs"/>
          <w:sz w:val="24"/>
          <w:szCs w:val="24"/>
          <w:rtl/>
        </w:rPr>
        <w:t>פעלה</w:t>
      </w:r>
      <w:r w:rsidR="00E820D9" w:rsidRPr="00DE204F">
        <w:rPr>
          <w:rFonts w:cs="David"/>
          <w:sz w:val="24"/>
          <w:szCs w:val="24"/>
          <w:rtl/>
        </w:rPr>
        <w:t xml:space="preserve"> </w:t>
      </w:r>
      <w:r w:rsidR="00E820D9" w:rsidRPr="00DE204F">
        <w:rPr>
          <w:rFonts w:cs="David" w:hint="cs"/>
          <w:sz w:val="24"/>
          <w:szCs w:val="24"/>
          <w:rtl/>
        </w:rPr>
        <w:t>בחוסר תום</w:t>
      </w:r>
      <w:r w:rsidR="00E820D9" w:rsidRPr="00DE204F">
        <w:rPr>
          <w:rFonts w:cs="David"/>
          <w:sz w:val="24"/>
          <w:szCs w:val="24"/>
          <w:rtl/>
        </w:rPr>
        <w:t xml:space="preserve"> </w:t>
      </w:r>
      <w:r w:rsidR="00E820D9" w:rsidRPr="00DE204F">
        <w:rPr>
          <w:rFonts w:cs="David" w:hint="cs"/>
          <w:sz w:val="24"/>
          <w:szCs w:val="24"/>
          <w:rtl/>
        </w:rPr>
        <w:t>לב</w:t>
      </w:r>
      <w:r w:rsidR="00E820D9" w:rsidRPr="00DE204F">
        <w:rPr>
          <w:rFonts w:cs="David"/>
          <w:sz w:val="24"/>
          <w:szCs w:val="24"/>
          <w:rtl/>
        </w:rPr>
        <w:t xml:space="preserve"> </w:t>
      </w:r>
      <w:r w:rsidR="00E820D9" w:rsidRPr="00DE204F">
        <w:rPr>
          <w:rFonts w:cs="David" w:hint="cs"/>
          <w:sz w:val="24"/>
          <w:szCs w:val="24"/>
          <w:rtl/>
        </w:rPr>
        <w:t xml:space="preserve">ברמה כזו שמצדיקה </w:t>
      </w:r>
      <w:r w:rsidR="006D1163" w:rsidRPr="00DE204F">
        <w:rPr>
          <w:rFonts w:cs="David" w:hint="cs"/>
          <w:sz w:val="24"/>
          <w:szCs w:val="24"/>
          <w:rtl/>
        </w:rPr>
        <w:t xml:space="preserve">פסיקת ריבית </w:t>
      </w:r>
      <w:r w:rsidR="00E820D9" w:rsidRPr="00DE204F">
        <w:rPr>
          <w:rFonts w:cs="David" w:hint="cs"/>
          <w:sz w:val="24"/>
          <w:szCs w:val="24"/>
          <w:rtl/>
        </w:rPr>
        <w:t>מיוחדת</w:t>
      </w:r>
      <w:r w:rsidR="00E820D9" w:rsidRPr="00DE204F">
        <w:rPr>
          <w:rFonts w:cs="David"/>
          <w:sz w:val="24"/>
          <w:szCs w:val="24"/>
          <w:rtl/>
        </w:rPr>
        <w:t>.</w:t>
      </w:r>
      <w:r w:rsidR="00E820D9" w:rsidRPr="00DE204F">
        <w:rPr>
          <w:rFonts w:cs="David" w:hint="cs"/>
          <w:sz w:val="24"/>
          <w:szCs w:val="24"/>
          <w:rtl/>
        </w:rPr>
        <w:t xml:space="preserve"> </w:t>
      </w:r>
    </w:p>
    <w:p w:rsidR="003D61C5" w:rsidRPr="00DE204F" w:rsidRDefault="003D61C5" w:rsidP="00DE204F">
      <w:pPr>
        <w:spacing w:after="0" w:line="300" w:lineRule="exact"/>
        <w:jc w:val="both"/>
        <w:rPr>
          <w:rFonts w:cs="David"/>
          <w:sz w:val="4"/>
          <w:szCs w:val="4"/>
          <w:rtl/>
        </w:rPr>
      </w:pPr>
    </w:p>
    <w:p w:rsidR="00E820D9" w:rsidRDefault="00E820D9" w:rsidP="00E507DF">
      <w:pPr>
        <w:pStyle w:val="a3"/>
        <w:numPr>
          <w:ilvl w:val="0"/>
          <w:numId w:val="11"/>
        </w:numPr>
        <w:spacing w:after="0" w:line="300" w:lineRule="exact"/>
        <w:jc w:val="both"/>
        <w:rPr>
          <w:rFonts w:cs="David"/>
          <w:sz w:val="24"/>
          <w:szCs w:val="24"/>
        </w:rPr>
      </w:pPr>
      <w:r>
        <w:rPr>
          <w:rFonts w:cs="David" w:hint="cs"/>
          <w:sz w:val="24"/>
          <w:szCs w:val="24"/>
          <w:rtl/>
        </w:rPr>
        <w:t>בפסיקה של בית המשפט העליון ניתן לראות גישות שונות</w:t>
      </w:r>
      <w:r w:rsidRPr="00E820D9">
        <w:rPr>
          <w:rFonts w:cs="David" w:hint="cs"/>
          <w:sz w:val="24"/>
          <w:szCs w:val="24"/>
          <w:rtl/>
        </w:rPr>
        <w:t xml:space="preserve"> לבחינת תום הלב לצורך פסיקת הריבית לפי סעיף 28א. </w:t>
      </w:r>
      <w:r w:rsidR="00E507DF">
        <w:rPr>
          <w:rFonts w:cs="David" w:hint="cs"/>
          <w:sz w:val="24"/>
          <w:szCs w:val="24"/>
          <w:u w:val="single"/>
          <w:rtl/>
        </w:rPr>
        <w:t xml:space="preserve">לפי גישה אחת </w:t>
      </w:r>
      <w:r w:rsidR="00E507DF" w:rsidRPr="00E507DF">
        <w:rPr>
          <w:rFonts w:cs="David"/>
          <w:sz w:val="24"/>
          <w:szCs w:val="24"/>
          <w:rtl/>
        </w:rPr>
        <w:t>–</w:t>
      </w:r>
      <w:r w:rsidRPr="00E820D9">
        <w:rPr>
          <w:rFonts w:cs="David" w:hint="cs"/>
          <w:sz w:val="24"/>
          <w:szCs w:val="24"/>
          <w:rtl/>
        </w:rPr>
        <w:t xml:space="preserve"> </w:t>
      </w:r>
      <w:r w:rsidR="00E507DF" w:rsidRPr="00E507DF">
        <w:rPr>
          <w:rFonts w:cs="David" w:hint="cs"/>
          <w:b/>
          <w:bCs/>
          <w:sz w:val="24"/>
          <w:szCs w:val="24"/>
          <w:rtl/>
        </w:rPr>
        <w:t>קל יותר להוכיח חוסר תום לב של המבטח</w:t>
      </w:r>
      <w:r w:rsidR="00E507DF">
        <w:rPr>
          <w:rFonts w:cs="David" w:hint="cs"/>
          <w:sz w:val="24"/>
          <w:szCs w:val="24"/>
          <w:rtl/>
        </w:rPr>
        <w:t xml:space="preserve">, מאחר שהיא בוחנת גם </w:t>
      </w:r>
      <w:r w:rsidRPr="00E820D9">
        <w:rPr>
          <w:rFonts w:cs="David" w:hint="cs"/>
          <w:sz w:val="24"/>
          <w:szCs w:val="24"/>
          <w:rtl/>
        </w:rPr>
        <w:t>את</w:t>
      </w:r>
      <w:r w:rsidRPr="00E820D9">
        <w:rPr>
          <w:rFonts w:cs="David"/>
          <w:sz w:val="24"/>
          <w:szCs w:val="24"/>
          <w:rtl/>
        </w:rPr>
        <w:t xml:space="preserve"> </w:t>
      </w:r>
      <w:r w:rsidRPr="00E820D9">
        <w:rPr>
          <w:rFonts w:cs="David" w:hint="cs"/>
          <w:sz w:val="24"/>
          <w:szCs w:val="24"/>
          <w:rtl/>
        </w:rPr>
        <w:t>נקודת</w:t>
      </w:r>
      <w:r w:rsidRPr="00E820D9">
        <w:rPr>
          <w:rFonts w:cs="David"/>
          <w:sz w:val="24"/>
          <w:szCs w:val="24"/>
          <w:rtl/>
        </w:rPr>
        <w:t xml:space="preserve"> </w:t>
      </w:r>
      <w:r w:rsidRPr="00E820D9">
        <w:rPr>
          <w:rFonts w:cs="David" w:hint="cs"/>
          <w:sz w:val="24"/>
          <w:szCs w:val="24"/>
          <w:rtl/>
        </w:rPr>
        <w:t>מבטו</w:t>
      </w:r>
      <w:r w:rsidRPr="00E820D9">
        <w:rPr>
          <w:rFonts w:cs="David"/>
          <w:sz w:val="24"/>
          <w:szCs w:val="24"/>
          <w:rtl/>
        </w:rPr>
        <w:t xml:space="preserve"> </w:t>
      </w:r>
      <w:r w:rsidRPr="00E820D9">
        <w:rPr>
          <w:rFonts w:cs="David" w:hint="cs"/>
          <w:sz w:val="24"/>
          <w:szCs w:val="24"/>
          <w:rtl/>
        </w:rPr>
        <w:t>של</w:t>
      </w:r>
      <w:r w:rsidRPr="00E820D9">
        <w:rPr>
          <w:rFonts w:cs="David"/>
          <w:sz w:val="24"/>
          <w:szCs w:val="24"/>
          <w:rtl/>
        </w:rPr>
        <w:t xml:space="preserve"> </w:t>
      </w:r>
      <w:r w:rsidRPr="00E820D9">
        <w:rPr>
          <w:rFonts w:cs="David" w:hint="cs"/>
          <w:sz w:val="24"/>
          <w:szCs w:val="24"/>
          <w:rtl/>
        </w:rPr>
        <w:t>המבטח</w:t>
      </w:r>
      <w:r w:rsidRPr="00E820D9">
        <w:rPr>
          <w:rFonts w:cs="David"/>
          <w:sz w:val="24"/>
          <w:szCs w:val="24"/>
          <w:rtl/>
        </w:rPr>
        <w:t xml:space="preserve"> </w:t>
      </w:r>
      <w:r w:rsidRPr="00E820D9">
        <w:rPr>
          <w:rFonts w:cs="David" w:hint="cs"/>
          <w:sz w:val="24"/>
          <w:szCs w:val="24"/>
          <w:rtl/>
        </w:rPr>
        <w:t>בדחיית</w:t>
      </w:r>
      <w:r w:rsidRPr="00E820D9">
        <w:rPr>
          <w:rFonts w:cs="David"/>
          <w:sz w:val="24"/>
          <w:szCs w:val="24"/>
          <w:rtl/>
        </w:rPr>
        <w:t xml:space="preserve"> </w:t>
      </w:r>
      <w:r w:rsidRPr="00E820D9">
        <w:rPr>
          <w:rFonts w:cs="David" w:hint="cs"/>
          <w:sz w:val="24"/>
          <w:szCs w:val="24"/>
          <w:rtl/>
        </w:rPr>
        <w:t>התביעה</w:t>
      </w:r>
      <w:r w:rsidRPr="00E820D9">
        <w:rPr>
          <w:rFonts w:cs="David"/>
          <w:sz w:val="24"/>
          <w:szCs w:val="24"/>
          <w:rtl/>
        </w:rPr>
        <w:t xml:space="preserve"> </w:t>
      </w:r>
      <w:r w:rsidR="00BB5204">
        <w:rPr>
          <w:rFonts w:cs="David" w:hint="cs"/>
          <w:sz w:val="24"/>
          <w:szCs w:val="24"/>
          <w:rtl/>
        </w:rPr>
        <w:t xml:space="preserve">אך </w:t>
      </w:r>
      <w:r w:rsidR="00E507DF">
        <w:rPr>
          <w:rFonts w:cs="David" w:hint="cs"/>
          <w:sz w:val="24"/>
          <w:szCs w:val="24"/>
          <w:rtl/>
        </w:rPr>
        <w:t xml:space="preserve">גם </w:t>
      </w:r>
      <w:r w:rsidRPr="00E820D9">
        <w:rPr>
          <w:rFonts w:cs="David" w:hint="cs"/>
          <w:sz w:val="24"/>
          <w:szCs w:val="24"/>
          <w:rtl/>
        </w:rPr>
        <w:t>את</w:t>
      </w:r>
      <w:r w:rsidRPr="00E820D9">
        <w:rPr>
          <w:rFonts w:cs="David"/>
          <w:sz w:val="24"/>
          <w:szCs w:val="24"/>
          <w:rtl/>
        </w:rPr>
        <w:t xml:space="preserve"> </w:t>
      </w:r>
      <w:r w:rsidRPr="00E820D9">
        <w:rPr>
          <w:rFonts w:cs="David" w:hint="cs"/>
          <w:sz w:val="24"/>
          <w:szCs w:val="24"/>
          <w:rtl/>
        </w:rPr>
        <w:t>הענייניות</w:t>
      </w:r>
      <w:r w:rsidRPr="00E820D9">
        <w:rPr>
          <w:rFonts w:cs="David"/>
          <w:sz w:val="24"/>
          <w:szCs w:val="24"/>
          <w:rtl/>
        </w:rPr>
        <w:t xml:space="preserve"> </w:t>
      </w:r>
      <w:r w:rsidRPr="00E820D9">
        <w:rPr>
          <w:rFonts w:cs="David" w:hint="cs"/>
          <w:sz w:val="24"/>
          <w:szCs w:val="24"/>
          <w:rtl/>
        </w:rPr>
        <w:t>ואמיתות</w:t>
      </w:r>
      <w:r w:rsidRPr="00E820D9">
        <w:rPr>
          <w:rFonts w:cs="David"/>
          <w:sz w:val="24"/>
          <w:szCs w:val="24"/>
          <w:rtl/>
        </w:rPr>
        <w:t xml:space="preserve"> </w:t>
      </w:r>
      <w:r w:rsidRPr="00E820D9">
        <w:rPr>
          <w:rFonts w:cs="David" w:hint="cs"/>
          <w:sz w:val="24"/>
          <w:szCs w:val="24"/>
          <w:rtl/>
        </w:rPr>
        <w:t>הטענות</w:t>
      </w:r>
      <w:r w:rsidRPr="00E820D9">
        <w:rPr>
          <w:rFonts w:cs="David"/>
          <w:sz w:val="24"/>
          <w:szCs w:val="24"/>
          <w:rtl/>
        </w:rPr>
        <w:t xml:space="preserve"> </w:t>
      </w:r>
      <w:r w:rsidRPr="00E820D9">
        <w:rPr>
          <w:rFonts w:cs="David" w:hint="cs"/>
          <w:sz w:val="24"/>
          <w:szCs w:val="24"/>
          <w:rtl/>
        </w:rPr>
        <w:t>שעל</w:t>
      </w:r>
      <w:r w:rsidRPr="00E820D9">
        <w:rPr>
          <w:rFonts w:cs="David"/>
          <w:sz w:val="24"/>
          <w:szCs w:val="24"/>
          <w:rtl/>
        </w:rPr>
        <w:t xml:space="preserve"> </w:t>
      </w:r>
      <w:r w:rsidRPr="00E820D9">
        <w:rPr>
          <w:rFonts w:cs="David" w:hint="cs"/>
          <w:sz w:val="24"/>
          <w:szCs w:val="24"/>
          <w:rtl/>
        </w:rPr>
        <w:t>בסיסן</w:t>
      </w:r>
      <w:r w:rsidRPr="00E820D9">
        <w:rPr>
          <w:rFonts w:cs="David"/>
          <w:sz w:val="24"/>
          <w:szCs w:val="24"/>
          <w:rtl/>
        </w:rPr>
        <w:t xml:space="preserve"> </w:t>
      </w:r>
      <w:r w:rsidRPr="00E820D9">
        <w:rPr>
          <w:rFonts w:cs="David" w:hint="cs"/>
          <w:sz w:val="24"/>
          <w:szCs w:val="24"/>
          <w:rtl/>
        </w:rPr>
        <w:t>התקבלה</w:t>
      </w:r>
      <w:r w:rsidRPr="00E820D9">
        <w:rPr>
          <w:rFonts w:cs="David"/>
          <w:sz w:val="24"/>
          <w:szCs w:val="24"/>
          <w:rtl/>
        </w:rPr>
        <w:t xml:space="preserve"> </w:t>
      </w:r>
      <w:r w:rsidRPr="00E820D9">
        <w:rPr>
          <w:rFonts w:cs="David" w:hint="cs"/>
          <w:sz w:val="24"/>
          <w:szCs w:val="24"/>
          <w:rtl/>
        </w:rPr>
        <w:t xml:space="preserve">החלטתו </w:t>
      </w:r>
      <w:r w:rsidRPr="00E820D9">
        <w:rPr>
          <w:rFonts w:cs="David"/>
          <w:sz w:val="24"/>
          <w:szCs w:val="24"/>
          <w:rtl/>
        </w:rPr>
        <w:t>–</w:t>
      </w:r>
      <w:r w:rsidRPr="00E820D9">
        <w:rPr>
          <w:rFonts w:cs="David" w:hint="cs"/>
          <w:sz w:val="24"/>
          <w:szCs w:val="24"/>
          <w:rtl/>
        </w:rPr>
        <w:t xml:space="preserve"> "</w:t>
      </w:r>
      <w:r w:rsidRPr="00E820D9">
        <w:rPr>
          <w:rFonts w:cs="David" w:hint="cs"/>
          <w:i/>
          <w:iCs/>
          <w:sz w:val="24"/>
          <w:szCs w:val="24"/>
          <w:rtl/>
        </w:rPr>
        <w:t>מספיק</w:t>
      </w:r>
      <w:r w:rsidRPr="00E820D9">
        <w:rPr>
          <w:rFonts w:cs="David"/>
          <w:i/>
          <w:iCs/>
          <w:sz w:val="24"/>
          <w:szCs w:val="24"/>
          <w:rtl/>
        </w:rPr>
        <w:t xml:space="preserve"> </w:t>
      </w:r>
      <w:r w:rsidRPr="00E820D9">
        <w:rPr>
          <w:rFonts w:cs="David" w:hint="cs"/>
          <w:i/>
          <w:iCs/>
          <w:sz w:val="24"/>
          <w:szCs w:val="24"/>
          <w:rtl/>
        </w:rPr>
        <w:t>שהמבטח</w:t>
      </w:r>
      <w:r w:rsidRPr="00E820D9">
        <w:rPr>
          <w:rFonts w:cs="David"/>
          <w:i/>
          <w:iCs/>
          <w:sz w:val="24"/>
          <w:szCs w:val="24"/>
          <w:rtl/>
        </w:rPr>
        <w:t xml:space="preserve"> </w:t>
      </w:r>
      <w:r w:rsidRPr="00E820D9">
        <w:rPr>
          <w:rFonts w:cs="David" w:hint="cs"/>
          <w:i/>
          <w:iCs/>
          <w:sz w:val="24"/>
          <w:szCs w:val="24"/>
          <w:rtl/>
        </w:rPr>
        <w:t>יציג</w:t>
      </w:r>
      <w:r w:rsidRPr="00E820D9">
        <w:rPr>
          <w:rFonts w:cs="David"/>
          <w:i/>
          <w:iCs/>
          <w:sz w:val="24"/>
          <w:szCs w:val="24"/>
          <w:rtl/>
        </w:rPr>
        <w:t xml:space="preserve"> </w:t>
      </w:r>
      <w:r w:rsidRPr="00E820D9">
        <w:rPr>
          <w:rFonts w:cs="David" w:hint="cs"/>
          <w:i/>
          <w:iCs/>
          <w:sz w:val="24"/>
          <w:szCs w:val="24"/>
          <w:rtl/>
        </w:rPr>
        <w:t>טעם</w:t>
      </w:r>
      <w:r w:rsidRPr="00E820D9">
        <w:rPr>
          <w:rFonts w:cs="David"/>
          <w:i/>
          <w:iCs/>
          <w:sz w:val="24"/>
          <w:szCs w:val="24"/>
          <w:rtl/>
        </w:rPr>
        <w:t xml:space="preserve"> </w:t>
      </w:r>
      <w:r w:rsidRPr="00E820D9">
        <w:rPr>
          <w:rFonts w:cs="David" w:hint="cs"/>
          <w:i/>
          <w:iCs/>
          <w:sz w:val="24"/>
          <w:szCs w:val="24"/>
          <w:rtl/>
        </w:rPr>
        <w:t>לסרובו</w:t>
      </w:r>
      <w:r w:rsidRPr="00E820D9">
        <w:rPr>
          <w:rFonts w:cs="David"/>
          <w:i/>
          <w:iCs/>
          <w:sz w:val="24"/>
          <w:szCs w:val="24"/>
          <w:rtl/>
        </w:rPr>
        <w:t xml:space="preserve"> </w:t>
      </w:r>
      <w:r w:rsidRPr="00E820D9">
        <w:rPr>
          <w:rFonts w:cs="David" w:hint="cs"/>
          <w:i/>
          <w:iCs/>
          <w:sz w:val="24"/>
          <w:szCs w:val="24"/>
          <w:rtl/>
        </w:rPr>
        <w:t>לשלם</w:t>
      </w:r>
      <w:r w:rsidRPr="00E820D9">
        <w:rPr>
          <w:rFonts w:cs="David"/>
          <w:i/>
          <w:iCs/>
          <w:sz w:val="24"/>
          <w:szCs w:val="24"/>
          <w:rtl/>
        </w:rPr>
        <w:t xml:space="preserve"> </w:t>
      </w:r>
      <w:r w:rsidRPr="00E820D9">
        <w:rPr>
          <w:rFonts w:cs="David" w:hint="cs"/>
          <w:i/>
          <w:iCs/>
          <w:sz w:val="24"/>
          <w:szCs w:val="24"/>
          <w:rtl/>
        </w:rPr>
        <w:t>את</w:t>
      </w:r>
      <w:r w:rsidRPr="00E820D9">
        <w:rPr>
          <w:rFonts w:cs="David"/>
          <w:i/>
          <w:iCs/>
          <w:sz w:val="24"/>
          <w:szCs w:val="24"/>
          <w:rtl/>
        </w:rPr>
        <w:t xml:space="preserve"> </w:t>
      </w:r>
      <w:r w:rsidRPr="00E820D9">
        <w:rPr>
          <w:rFonts w:cs="David" w:hint="cs"/>
          <w:i/>
          <w:iCs/>
          <w:sz w:val="24"/>
          <w:szCs w:val="24"/>
          <w:rtl/>
        </w:rPr>
        <w:t>תגמולי</w:t>
      </w:r>
      <w:r w:rsidRPr="00E820D9">
        <w:rPr>
          <w:rFonts w:cs="David"/>
          <w:i/>
          <w:iCs/>
          <w:sz w:val="24"/>
          <w:szCs w:val="24"/>
          <w:rtl/>
        </w:rPr>
        <w:t xml:space="preserve"> </w:t>
      </w:r>
      <w:r w:rsidRPr="00E820D9">
        <w:rPr>
          <w:rFonts w:cs="David" w:hint="cs"/>
          <w:i/>
          <w:iCs/>
          <w:sz w:val="24"/>
          <w:szCs w:val="24"/>
          <w:rtl/>
        </w:rPr>
        <w:t>הביטוח</w:t>
      </w:r>
      <w:r w:rsidRPr="00E820D9">
        <w:rPr>
          <w:rFonts w:cs="David" w:hint="cs"/>
          <w:sz w:val="24"/>
          <w:szCs w:val="24"/>
          <w:rtl/>
        </w:rPr>
        <w:t>", ולצד זאת על הטעם להיות "</w:t>
      </w:r>
      <w:r w:rsidRPr="00E820D9">
        <w:rPr>
          <w:rFonts w:cs="David" w:hint="cs"/>
          <w:i/>
          <w:iCs/>
          <w:sz w:val="24"/>
          <w:szCs w:val="24"/>
          <w:rtl/>
        </w:rPr>
        <w:t>ענייני ואמיתי</w:t>
      </w:r>
      <w:r w:rsidRPr="00E820D9">
        <w:rPr>
          <w:rFonts w:cs="David" w:hint="cs"/>
          <w:sz w:val="24"/>
          <w:szCs w:val="24"/>
          <w:rtl/>
        </w:rPr>
        <w:t>"</w:t>
      </w:r>
      <w:r w:rsidR="00E507DF">
        <w:rPr>
          <w:rFonts w:cs="David" w:hint="cs"/>
          <w:sz w:val="24"/>
          <w:szCs w:val="24"/>
          <w:rtl/>
        </w:rPr>
        <w:t xml:space="preserve"> (מבחן סובייקטיבי ואובייקטיבי משולב)</w:t>
      </w:r>
      <w:r w:rsidRPr="00E820D9">
        <w:rPr>
          <w:rFonts w:cs="David" w:hint="cs"/>
          <w:sz w:val="24"/>
          <w:szCs w:val="24"/>
          <w:rtl/>
        </w:rPr>
        <w:t>.</w:t>
      </w:r>
      <w:r>
        <w:rPr>
          <w:rStyle w:val="a6"/>
          <w:rFonts w:cs="David"/>
          <w:sz w:val="24"/>
          <w:szCs w:val="24"/>
          <w:rtl/>
        </w:rPr>
        <w:footnoteReference w:id="6"/>
      </w:r>
      <w:r w:rsidRPr="00E820D9">
        <w:rPr>
          <w:rFonts w:cs="David" w:hint="cs"/>
          <w:sz w:val="24"/>
          <w:szCs w:val="24"/>
          <w:rtl/>
        </w:rPr>
        <w:t xml:space="preserve"> </w:t>
      </w:r>
      <w:r w:rsidR="00E507DF">
        <w:rPr>
          <w:rFonts w:cs="David" w:hint="cs"/>
          <w:sz w:val="24"/>
          <w:szCs w:val="24"/>
          <w:u w:val="single"/>
          <w:rtl/>
        </w:rPr>
        <w:t xml:space="preserve">לפי גישה שניה </w:t>
      </w:r>
      <w:r w:rsidR="00E507DF">
        <w:rPr>
          <w:rFonts w:cs="David"/>
          <w:sz w:val="24"/>
          <w:szCs w:val="24"/>
          <w:u w:val="single"/>
          <w:rtl/>
        </w:rPr>
        <w:t>–</w:t>
      </w:r>
      <w:r w:rsidRPr="00E820D9">
        <w:rPr>
          <w:rFonts w:cs="David" w:hint="cs"/>
          <w:sz w:val="24"/>
          <w:szCs w:val="24"/>
          <w:rtl/>
        </w:rPr>
        <w:t xml:space="preserve"> </w:t>
      </w:r>
      <w:r w:rsidR="00E507DF" w:rsidRPr="00E507DF">
        <w:rPr>
          <w:rFonts w:cs="David" w:hint="cs"/>
          <w:b/>
          <w:bCs/>
          <w:sz w:val="24"/>
          <w:szCs w:val="24"/>
          <w:rtl/>
        </w:rPr>
        <w:t>קשה יותר להוכיח חוסר תום לב של המבטח</w:t>
      </w:r>
      <w:r w:rsidR="00E507DF">
        <w:rPr>
          <w:rFonts w:cs="David" w:hint="cs"/>
          <w:sz w:val="24"/>
          <w:szCs w:val="24"/>
          <w:rtl/>
        </w:rPr>
        <w:t xml:space="preserve">, מאחר שניתן בה </w:t>
      </w:r>
      <w:r w:rsidRPr="00E820D9">
        <w:rPr>
          <w:rFonts w:cs="David" w:hint="cs"/>
          <w:sz w:val="24"/>
          <w:szCs w:val="24"/>
          <w:rtl/>
        </w:rPr>
        <w:t>דגש</w:t>
      </w:r>
      <w:r w:rsidRPr="00E820D9">
        <w:rPr>
          <w:rFonts w:cs="David"/>
          <w:sz w:val="24"/>
          <w:szCs w:val="24"/>
          <w:rtl/>
        </w:rPr>
        <w:t xml:space="preserve"> </w:t>
      </w:r>
      <w:r w:rsidRPr="00E820D9">
        <w:rPr>
          <w:rFonts w:cs="David" w:hint="cs"/>
          <w:sz w:val="24"/>
          <w:szCs w:val="24"/>
          <w:rtl/>
        </w:rPr>
        <w:t>רב</w:t>
      </w:r>
      <w:r w:rsidRPr="00E820D9">
        <w:rPr>
          <w:rFonts w:cs="David"/>
          <w:sz w:val="24"/>
          <w:szCs w:val="24"/>
          <w:rtl/>
        </w:rPr>
        <w:t xml:space="preserve"> </w:t>
      </w:r>
      <w:r w:rsidRPr="00E820D9">
        <w:rPr>
          <w:rFonts w:cs="David" w:hint="cs"/>
          <w:sz w:val="24"/>
          <w:szCs w:val="24"/>
          <w:rtl/>
        </w:rPr>
        <w:t>על</w:t>
      </w:r>
      <w:r w:rsidRPr="00E820D9">
        <w:rPr>
          <w:rFonts w:cs="David"/>
          <w:sz w:val="24"/>
          <w:szCs w:val="24"/>
          <w:rtl/>
        </w:rPr>
        <w:t xml:space="preserve"> </w:t>
      </w:r>
      <w:r w:rsidRPr="00E820D9">
        <w:rPr>
          <w:rFonts w:cs="David" w:hint="cs"/>
          <w:sz w:val="24"/>
          <w:szCs w:val="24"/>
          <w:rtl/>
        </w:rPr>
        <w:t>אמת</w:t>
      </w:r>
      <w:r w:rsidRPr="00E820D9">
        <w:rPr>
          <w:rFonts w:cs="David"/>
          <w:sz w:val="24"/>
          <w:szCs w:val="24"/>
          <w:rtl/>
        </w:rPr>
        <w:t xml:space="preserve"> </w:t>
      </w:r>
      <w:r w:rsidRPr="00E820D9">
        <w:rPr>
          <w:rFonts w:cs="David" w:hint="cs"/>
          <w:sz w:val="24"/>
          <w:szCs w:val="24"/>
          <w:rtl/>
        </w:rPr>
        <w:t>מידה</w:t>
      </w:r>
      <w:r w:rsidRPr="00E820D9">
        <w:rPr>
          <w:rFonts w:cs="David"/>
          <w:sz w:val="24"/>
          <w:szCs w:val="24"/>
          <w:rtl/>
        </w:rPr>
        <w:t xml:space="preserve"> </w:t>
      </w:r>
      <w:r w:rsidRPr="00E820D9">
        <w:rPr>
          <w:rFonts w:cs="David" w:hint="cs"/>
          <w:sz w:val="24"/>
          <w:szCs w:val="24"/>
          <w:rtl/>
        </w:rPr>
        <w:t>סובייקטיבית</w:t>
      </w:r>
      <w:r w:rsidRPr="00E820D9">
        <w:rPr>
          <w:rFonts w:cs="David"/>
          <w:sz w:val="24"/>
          <w:szCs w:val="24"/>
          <w:rtl/>
        </w:rPr>
        <w:t xml:space="preserve"> </w:t>
      </w:r>
      <w:r w:rsidRPr="00E820D9">
        <w:rPr>
          <w:rFonts w:cs="David" w:hint="cs"/>
          <w:sz w:val="24"/>
          <w:szCs w:val="24"/>
          <w:rtl/>
        </w:rPr>
        <w:t>ועל</w:t>
      </w:r>
      <w:r w:rsidRPr="00E820D9">
        <w:rPr>
          <w:rFonts w:cs="David"/>
          <w:sz w:val="24"/>
          <w:szCs w:val="24"/>
          <w:rtl/>
        </w:rPr>
        <w:t xml:space="preserve"> </w:t>
      </w:r>
      <w:r w:rsidRPr="00E820D9">
        <w:rPr>
          <w:rFonts w:cs="David" w:hint="cs"/>
          <w:sz w:val="24"/>
          <w:szCs w:val="24"/>
          <w:rtl/>
        </w:rPr>
        <w:t>בחינת</w:t>
      </w:r>
      <w:r w:rsidRPr="00E820D9">
        <w:rPr>
          <w:rFonts w:cs="David"/>
          <w:sz w:val="24"/>
          <w:szCs w:val="24"/>
          <w:rtl/>
        </w:rPr>
        <w:t xml:space="preserve"> </w:t>
      </w:r>
      <w:r w:rsidRPr="00E820D9">
        <w:rPr>
          <w:rFonts w:cs="David" w:hint="cs"/>
          <w:sz w:val="24"/>
          <w:szCs w:val="24"/>
          <w:rtl/>
        </w:rPr>
        <w:t>הלך</w:t>
      </w:r>
      <w:r w:rsidRPr="00E820D9">
        <w:rPr>
          <w:rFonts w:cs="David"/>
          <w:sz w:val="24"/>
          <w:szCs w:val="24"/>
          <w:rtl/>
        </w:rPr>
        <w:t xml:space="preserve"> </w:t>
      </w:r>
      <w:r w:rsidRPr="00E820D9">
        <w:rPr>
          <w:rFonts w:cs="David" w:hint="cs"/>
          <w:sz w:val="24"/>
          <w:szCs w:val="24"/>
          <w:rtl/>
        </w:rPr>
        <w:t>נפשו</w:t>
      </w:r>
      <w:r w:rsidRPr="00E820D9">
        <w:rPr>
          <w:rFonts w:cs="David"/>
          <w:sz w:val="24"/>
          <w:szCs w:val="24"/>
          <w:rtl/>
        </w:rPr>
        <w:t xml:space="preserve"> </w:t>
      </w:r>
      <w:r w:rsidRPr="00E820D9">
        <w:rPr>
          <w:rFonts w:cs="David" w:hint="cs"/>
          <w:sz w:val="24"/>
          <w:szCs w:val="24"/>
          <w:rtl/>
        </w:rPr>
        <w:t>של</w:t>
      </w:r>
      <w:r w:rsidRPr="00E820D9">
        <w:rPr>
          <w:rFonts w:cs="David"/>
          <w:sz w:val="24"/>
          <w:szCs w:val="24"/>
          <w:rtl/>
        </w:rPr>
        <w:t xml:space="preserve"> </w:t>
      </w:r>
      <w:r w:rsidRPr="00E820D9">
        <w:rPr>
          <w:rFonts w:cs="David" w:hint="cs"/>
          <w:sz w:val="24"/>
          <w:szCs w:val="24"/>
          <w:rtl/>
        </w:rPr>
        <w:t>המבטח</w:t>
      </w:r>
      <w:r w:rsidRPr="00E820D9">
        <w:rPr>
          <w:rFonts w:cs="David"/>
          <w:sz w:val="24"/>
          <w:szCs w:val="24"/>
          <w:rtl/>
        </w:rPr>
        <w:t xml:space="preserve"> </w:t>
      </w:r>
      <w:r w:rsidRPr="00E820D9">
        <w:rPr>
          <w:rFonts w:cs="David" w:hint="cs"/>
          <w:sz w:val="24"/>
          <w:szCs w:val="24"/>
          <w:rtl/>
        </w:rPr>
        <w:t>בדחייתו</w:t>
      </w:r>
      <w:r w:rsidRPr="00E820D9">
        <w:rPr>
          <w:rFonts w:cs="David"/>
          <w:sz w:val="24"/>
          <w:szCs w:val="24"/>
          <w:rtl/>
        </w:rPr>
        <w:t xml:space="preserve"> </w:t>
      </w:r>
      <w:r w:rsidRPr="00E820D9">
        <w:rPr>
          <w:rFonts w:cs="David" w:hint="cs"/>
          <w:sz w:val="24"/>
          <w:szCs w:val="24"/>
          <w:rtl/>
        </w:rPr>
        <w:t>את</w:t>
      </w:r>
      <w:r w:rsidRPr="00E820D9">
        <w:rPr>
          <w:rFonts w:cs="David"/>
          <w:sz w:val="24"/>
          <w:szCs w:val="24"/>
          <w:rtl/>
        </w:rPr>
        <w:t xml:space="preserve"> </w:t>
      </w:r>
      <w:r w:rsidRPr="00E820D9">
        <w:rPr>
          <w:rFonts w:cs="David" w:hint="cs"/>
          <w:sz w:val="24"/>
          <w:szCs w:val="24"/>
          <w:rtl/>
        </w:rPr>
        <w:t>התביעה</w:t>
      </w:r>
      <w:r>
        <w:rPr>
          <w:rFonts w:cs="David" w:hint="cs"/>
          <w:sz w:val="24"/>
          <w:szCs w:val="24"/>
          <w:rtl/>
        </w:rPr>
        <w:t xml:space="preserve">. לפי גישה זו, יש לשמור את השימוש בפיצוי העונשי רק </w:t>
      </w:r>
      <w:r w:rsidRPr="00E820D9">
        <w:rPr>
          <w:rFonts w:cs="David" w:hint="cs"/>
          <w:sz w:val="24"/>
          <w:szCs w:val="24"/>
          <w:rtl/>
        </w:rPr>
        <w:t>"</w:t>
      </w:r>
      <w:r w:rsidR="003D61C5">
        <w:rPr>
          <w:rFonts w:cs="David" w:hint="cs"/>
          <w:i/>
          <w:iCs/>
          <w:sz w:val="24"/>
          <w:szCs w:val="24"/>
          <w:rtl/>
        </w:rPr>
        <w:t xml:space="preserve">לאותם </w:t>
      </w:r>
      <w:r w:rsidRPr="00E820D9">
        <w:rPr>
          <w:rFonts w:cs="David" w:hint="cs"/>
          <w:i/>
          <w:iCs/>
          <w:sz w:val="24"/>
          <w:szCs w:val="24"/>
          <w:rtl/>
        </w:rPr>
        <w:t>מקרים מיוחדים ונדירים</w:t>
      </w:r>
      <w:r w:rsidRPr="00E820D9">
        <w:rPr>
          <w:rFonts w:cs="David"/>
          <w:i/>
          <w:iCs/>
          <w:sz w:val="24"/>
          <w:szCs w:val="24"/>
          <w:rtl/>
        </w:rPr>
        <w:t xml:space="preserve"> </w:t>
      </w:r>
      <w:r w:rsidRPr="00E820D9">
        <w:rPr>
          <w:rFonts w:cs="David" w:hint="cs"/>
          <w:i/>
          <w:iCs/>
          <w:sz w:val="24"/>
          <w:szCs w:val="24"/>
          <w:rtl/>
        </w:rPr>
        <w:t>בהם</w:t>
      </w:r>
      <w:r w:rsidRPr="00E820D9">
        <w:rPr>
          <w:rFonts w:cs="David"/>
          <w:i/>
          <w:iCs/>
          <w:sz w:val="24"/>
          <w:szCs w:val="24"/>
          <w:rtl/>
        </w:rPr>
        <w:t xml:space="preserve"> </w:t>
      </w:r>
      <w:r w:rsidRPr="00E820D9">
        <w:rPr>
          <w:rFonts w:cs="David" w:hint="cs"/>
          <w:i/>
          <w:iCs/>
          <w:sz w:val="24"/>
          <w:szCs w:val="24"/>
          <w:rtl/>
        </w:rPr>
        <w:t>הוכח</w:t>
      </w:r>
      <w:r w:rsidRPr="00E820D9">
        <w:rPr>
          <w:rFonts w:cs="David"/>
          <w:i/>
          <w:iCs/>
          <w:sz w:val="24"/>
          <w:szCs w:val="24"/>
          <w:rtl/>
        </w:rPr>
        <w:t xml:space="preserve"> </w:t>
      </w:r>
      <w:r w:rsidRPr="00E820D9">
        <w:rPr>
          <w:rFonts w:cs="David" w:hint="cs"/>
          <w:i/>
          <w:iCs/>
          <w:sz w:val="24"/>
          <w:szCs w:val="24"/>
          <w:rtl/>
        </w:rPr>
        <w:t>באופן</w:t>
      </w:r>
      <w:r w:rsidRPr="00E820D9">
        <w:rPr>
          <w:rFonts w:cs="David"/>
          <w:i/>
          <w:iCs/>
          <w:sz w:val="24"/>
          <w:szCs w:val="24"/>
          <w:rtl/>
        </w:rPr>
        <w:t xml:space="preserve"> </w:t>
      </w:r>
      <w:r w:rsidRPr="00E820D9">
        <w:rPr>
          <w:rFonts w:cs="David" w:hint="cs"/>
          <w:i/>
          <w:iCs/>
          <w:sz w:val="24"/>
          <w:szCs w:val="24"/>
          <w:rtl/>
        </w:rPr>
        <w:t>ברור</w:t>
      </w:r>
      <w:r w:rsidRPr="00E820D9">
        <w:rPr>
          <w:rFonts w:cs="David"/>
          <w:i/>
          <w:iCs/>
          <w:sz w:val="24"/>
          <w:szCs w:val="24"/>
          <w:rtl/>
        </w:rPr>
        <w:t xml:space="preserve"> </w:t>
      </w:r>
      <w:r w:rsidRPr="00E820D9">
        <w:rPr>
          <w:rFonts w:cs="David" w:hint="cs"/>
          <w:i/>
          <w:iCs/>
          <w:sz w:val="24"/>
          <w:szCs w:val="24"/>
          <w:rtl/>
        </w:rPr>
        <w:t>חוסר</w:t>
      </w:r>
      <w:r w:rsidRPr="00E820D9">
        <w:rPr>
          <w:rFonts w:cs="David"/>
          <w:i/>
          <w:iCs/>
          <w:sz w:val="24"/>
          <w:szCs w:val="24"/>
          <w:rtl/>
        </w:rPr>
        <w:t xml:space="preserve"> </w:t>
      </w:r>
      <w:r w:rsidRPr="00E820D9">
        <w:rPr>
          <w:rFonts w:cs="David" w:hint="cs"/>
          <w:i/>
          <w:iCs/>
          <w:sz w:val="24"/>
          <w:szCs w:val="24"/>
          <w:rtl/>
        </w:rPr>
        <w:t>תום</w:t>
      </w:r>
      <w:r w:rsidRPr="00E820D9">
        <w:rPr>
          <w:rFonts w:cs="David"/>
          <w:i/>
          <w:iCs/>
          <w:sz w:val="24"/>
          <w:szCs w:val="24"/>
          <w:rtl/>
        </w:rPr>
        <w:t xml:space="preserve"> </w:t>
      </w:r>
      <w:r w:rsidRPr="00E820D9">
        <w:rPr>
          <w:rFonts w:cs="David" w:hint="cs"/>
          <w:i/>
          <w:iCs/>
          <w:sz w:val="24"/>
          <w:szCs w:val="24"/>
          <w:rtl/>
        </w:rPr>
        <w:t>לבו</w:t>
      </w:r>
      <w:r w:rsidRPr="00E820D9">
        <w:rPr>
          <w:rFonts w:cs="David"/>
          <w:i/>
          <w:iCs/>
          <w:sz w:val="24"/>
          <w:szCs w:val="24"/>
          <w:rtl/>
        </w:rPr>
        <w:t xml:space="preserve"> </w:t>
      </w:r>
      <w:r w:rsidRPr="00E820D9">
        <w:rPr>
          <w:rFonts w:cs="David" w:hint="cs"/>
          <w:i/>
          <w:iCs/>
          <w:sz w:val="24"/>
          <w:szCs w:val="24"/>
          <w:rtl/>
        </w:rPr>
        <w:t>של</w:t>
      </w:r>
      <w:r w:rsidRPr="00E820D9">
        <w:rPr>
          <w:rFonts w:cs="David"/>
          <w:i/>
          <w:iCs/>
          <w:sz w:val="24"/>
          <w:szCs w:val="24"/>
          <w:rtl/>
        </w:rPr>
        <w:t xml:space="preserve"> </w:t>
      </w:r>
      <w:r w:rsidRPr="00E820D9">
        <w:rPr>
          <w:rFonts w:cs="David" w:hint="cs"/>
          <w:i/>
          <w:iCs/>
          <w:sz w:val="24"/>
          <w:szCs w:val="24"/>
          <w:rtl/>
        </w:rPr>
        <w:t>המבטח</w:t>
      </w:r>
      <w:r w:rsidRPr="00E820D9">
        <w:rPr>
          <w:rFonts w:cs="David"/>
          <w:i/>
          <w:iCs/>
          <w:sz w:val="24"/>
          <w:szCs w:val="24"/>
          <w:rtl/>
        </w:rPr>
        <w:t xml:space="preserve"> </w:t>
      </w:r>
      <w:r w:rsidRPr="00E820D9">
        <w:rPr>
          <w:rFonts w:cs="David" w:hint="cs"/>
          <w:i/>
          <w:iCs/>
          <w:sz w:val="24"/>
          <w:szCs w:val="24"/>
          <w:rtl/>
        </w:rPr>
        <w:t>בסירובו</w:t>
      </w:r>
      <w:r w:rsidRPr="00E820D9">
        <w:rPr>
          <w:rFonts w:cs="David"/>
          <w:i/>
          <w:iCs/>
          <w:sz w:val="24"/>
          <w:szCs w:val="24"/>
          <w:rtl/>
        </w:rPr>
        <w:t xml:space="preserve"> </w:t>
      </w:r>
      <w:r w:rsidRPr="00E820D9">
        <w:rPr>
          <w:rFonts w:cs="David" w:hint="cs"/>
          <w:i/>
          <w:iCs/>
          <w:sz w:val="24"/>
          <w:szCs w:val="24"/>
          <w:rtl/>
        </w:rPr>
        <w:t>לקיים</w:t>
      </w:r>
      <w:r w:rsidRPr="00E820D9">
        <w:rPr>
          <w:rFonts w:cs="David"/>
          <w:i/>
          <w:iCs/>
          <w:sz w:val="24"/>
          <w:szCs w:val="24"/>
          <w:rtl/>
        </w:rPr>
        <w:t xml:space="preserve"> </w:t>
      </w:r>
      <w:r w:rsidRPr="00E820D9">
        <w:rPr>
          <w:rFonts w:cs="David" w:hint="cs"/>
          <w:i/>
          <w:iCs/>
          <w:sz w:val="24"/>
          <w:szCs w:val="24"/>
          <w:rtl/>
        </w:rPr>
        <w:t>את</w:t>
      </w:r>
      <w:r w:rsidRPr="00E820D9">
        <w:rPr>
          <w:rFonts w:cs="David"/>
          <w:i/>
          <w:iCs/>
          <w:sz w:val="24"/>
          <w:szCs w:val="24"/>
          <w:rtl/>
        </w:rPr>
        <w:t xml:space="preserve"> </w:t>
      </w:r>
      <w:r w:rsidRPr="00E820D9">
        <w:rPr>
          <w:rFonts w:cs="David" w:hint="cs"/>
          <w:i/>
          <w:iCs/>
          <w:sz w:val="24"/>
          <w:szCs w:val="24"/>
          <w:rtl/>
        </w:rPr>
        <w:t>חיובו</w:t>
      </w:r>
      <w:r w:rsidRPr="00E820D9">
        <w:rPr>
          <w:rFonts w:cs="David"/>
          <w:i/>
          <w:iCs/>
          <w:sz w:val="24"/>
          <w:szCs w:val="24"/>
          <w:rtl/>
        </w:rPr>
        <w:t xml:space="preserve">, </w:t>
      </w:r>
      <w:r w:rsidRPr="00E820D9">
        <w:rPr>
          <w:rFonts w:cs="David" w:hint="cs"/>
          <w:i/>
          <w:iCs/>
          <w:sz w:val="24"/>
          <w:szCs w:val="24"/>
          <w:rtl/>
        </w:rPr>
        <w:t>אף</w:t>
      </w:r>
      <w:r w:rsidRPr="00E820D9">
        <w:rPr>
          <w:rFonts w:cs="David"/>
          <w:i/>
          <w:iCs/>
          <w:sz w:val="24"/>
          <w:szCs w:val="24"/>
          <w:rtl/>
        </w:rPr>
        <w:t xml:space="preserve"> </w:t>
      </w:r>
      <w:r w:rsidRPr="00E820D9">
        <w:rPr>
          <w:rFonts w:cs="David" w:hint="cs"/>
          <w:i/>
          <w:iCs/>
          <w:sz w:val="24"/>
          <w:szCs w:val="24"/>
          <w:rtl/>
        </w:rPr>
        <w:t>שעל</w:t>
      </w:r>
      <w:r w:rsidRPr="00E820D9">
        <w:rPr>
          <w:rFonts w:cs="David"/>
          <w:i/>
          <w:iCs/>
          <w:sz w:val="24"/>
          <w:szCs w:val="24"/>
          <w:rtl/>
        </w:rPr>
        <w:t xml:space="preserve"> </w:t>
      </w:r>
      <w:r w:rsidRPr="00E820D9">
        <w:rPr>
          <w:rFonts w:cs="David" w:hint="cs"/>
          <w:i/>
          <w:iCs/>
          <w:sz w:val="24"/>
          <w:szCs w:val="24"/>
          <w:rtl/>
        </w:rPr>
        <w:t>פי</w:t>
      </w:r>
      <w:r w:rsidRPr="00E820D9">
        <w:rPr>
          <w:rFonts w:cs="David"/>
          <w:i/>
          <w:iCs/>
          <w:sz w:val="24"/>
          <w:szCs w:val="24"/>
          <w:rtl/>
        </w:rPr>
        <w:t xml:space="preserve"> </w:t>
      </w:r>
      <w:r w:rsidRPr="00E820D9">
        <w:rPr>
          <w:rFonts w:cs="David" w:hint="cs"/>
          <w:i/>
          <w:iCs/>
          <w:sz w:val="24"/>
          <w:szCs w:val="24"/>
          <w:rtl/>
        </w:rPr>
        <w:t>מבחני</w:t>
      </w:r>
      <w:r w:rsidRPr="00E820D9">
        <w:rPr>
          <w:rFonts w:cs="David"/>
          <w:i/>
          <w:iCs/>
          <w:sz w:val="24"/>
          <w:szCs w:val="24"/>
          <w:rtl/>
        </w:rPr>
        <w:t xml:space="preserve"> </w:t>
      </w:r>
      <w:r w:rsidRPr="00E820D9">
        <w:rPr>
          <w:rFonts w:cs="David" w:hint="cs"/>
          <w:i/>
          <w:iCs/>
          <w:sz w:val="24"/>
          <w:szCs w:val="24"/>
          <w:rtl/>
        </w:rPr>
        <w:t>תום</w:t>
      </w:r>
      <w:r w:rsidRPr="00E820D9">
        <w:rPr>
          <w:rFonts w:cs="David"/>
          <w:i/>
          <w:iCs/>
          <w:sz w:val="24"/>
          <w:szCs w:val="24"/>
          <w:rtl/>
        </w:rPr>
        <w:t xml:space="preserve"> </w:t>
      </w:r>
      <w:r w:rsidRPr="00E820D9">
        <w:rPr>
          <w:rFonts w:cs="David" w:hint="cs"/>
          <w:i/>
          <w:iCs/>
          <w:sz w:val="24"/>
          <w:szCs w:val="24"/>
          <w:rtl/>
        </w:rPr>
        <w:t>הלב</w:t>
      </w:r>
      <w:r w:rsidRPr="00E820D9">
        <w:rPr>
          <w:rFonts w:cs="David"/>
          <w:i/>
          <w:iCs/>
          <w:sz w:val="24"/>
          <w:szCs w:val="24"/>
          <w:rtl/>
        </w:rPr>
        <w:t xml:space="preserve"> </w:t>
      </w:r>
      <w:r w:rsidRPr="00E820D9">
        <w:rPr>
          <w:rFonts w:cs="David" w:hint="cs"/>
          <w:i/>
          <w:iCs/>
          <w:sz w:val="24"/>
          <w:szCs w:val="24"/>
          <w:rtl/>
        </w:rPr>
        <w:t>החיוב</w:t>
      </w:r>
      <w:r w:rsidRPr="00E820D9">
        <w:rPr>
          <w:rFonts w:cs="David"/>
          <w:i/>
          <w:iCs/>
          <w:sz w:val="24"/>
          <w:szCs w:val="24"/>
          <w:rtl/>
        </w:rPr>
        <w:t xml:space="preserve"> </w:t>
      </w:r>
      <w:r w:rsidRPr="00E820D9">
        <w:rPr>
          <w:rFonts w:cs="David" w:hint="cs"/>
          <w:i/>
          <w:iCs/>
          <w:sz w:val="24"/>
          <w:szCs w:val="24"/>
          <w:rtl/>
        </w:rPr>
        <w:t>לשלם</w:t>
      </w:r>
      <w:r w:rsidRPr="00E820D9">
        <w:rPr>
          <w:rFonts w:cs="David"/>
          <w:i/>
          <w:iCs/>
          <w:sz w:val="24"/>
          <w:szCs w:val="24"/>
          <w:rtl/>
        </w:rPr>
        <w:t xml:space="preserve"> </w:t>
      </w:r>
      <w:r w:rsidRPr="00E820D9">
        <w:rPr>
          <w:rFonts w:cs="David" w:hint="cs"/>
          <w:i/>
          <w:iCs/>
          <w:sz w:val="24"/>
          <w:szCs w:val="24"/>
          <w:rtl/>
        </w:rPr>
        <w:t>את</w:t>
      </w:r>
      <w:r w:rsidRPr="00E820D9">
        <w:rPr>
          <w:rFonts w:cs="David"/>
          <w:i/>
          <w:iCs/>
          <w:sz w:val="24"/>
          <w:szCs w:val="24"/>
          <w:rtl/>
        </w:rPr>
        <w:t xml:space="preserve"> </w:t>
      </w:r>
      <w:r w:rsidRPr="00E820D9">
        <w:rPr>
          <w:rFonts w:cs="David" w:hint="cs"/>
          <w:i/>
          <w:iCs/>
          <w:sz w:val="24"/>
          <w:szCs w:val="24"/>
          <w:rtl/>
        </w:rPr>
        <w:t>תגמולי</w:t>
      </w:r>
      <w:r w:rsidRPr="00E820D9">
        <w:rPr>
          <w:rFonts w:cs="David"/>
          <w:i/>
          <w:iCs/>
          <w:sz w:val="24"/>
          <w:szCs w:val="24"/>
          <w:rtl/>
        </w:rPr>
        <w:t xml:space="preserve"> </w:t>
      </w:r>
      <w:r w:rsidRPr="00E820D9">
        <w:rPr>
          <w:rFonts w:cs="David" w:hint="cs"/>
          <w:i/>
          <w:iCs/>
          <w:sz w:val="24"/>
          <w:szCs w:val="24"/>
          <w:rtl/>
        </w:rPr>
        <w:t>הביטוח</w:t>
      </w:r>
      <w:r w:rsidRPr="00E820D9">
        <w:rPr>
          <w:rFonts w:cs="David"/>
          <w:i/>
          <w:iCs/>
          <w:sz w:val="24"/>
          <w:szCs w:val="24"/>
          <w:rtl/>
        </w:rPr>
        <w:t xml:space="preserve"> </w:t>
      </w:r>
      <w:r w:rsidRPr="00E820D9">
        <w:rPr>
          <w:rFonts w:cs="David" w:hint="cs"/>
          <w:i/>
          <w:iCs/>
          <w:sz w:val="24"/>
          <w:szCs w:val="24"/>
          <w:rtl/>
        </w:rPr>
        <w:t>לא</w:t>
      </w:r>
      <w:r w:rsidRPr="00E820D9">
        <w:rPr>
          <w:rFonts w:cs="David"/>
          <w:i/>
          <w:iCs/>
          <w:sz w:val="24"/>
          <w:szCs w:val="24"/>
          <w:rtl/>
        </w:rPr>
        <w:t xml:space="preserve"> </w:t>
      </w:r>
      <w:r w:rsidRPr="00E820D9">
        <w:rPr>
          <w:rFonts w:cs="David" w:hint="cs"/>
          <w:i/>
          <w:iCs/>
          <w:sz w:val="24"/>
          <w:szCs w:val="24"/>
          <w:rtl/>
        </w:rPr>
        <w:t>אמור</w:t>
      </w:r>
      <w:r w:rsidRPr="00E820D9">
        <w:rPr>
          <w:rFonts w:cs="David"/>
          <w:i/>
          <w:iCs/>
          <w:sz w:val="24"/>
          <w:szCs w:val="24"/>
          <w:rtl/>
        </w:rPr>
        <w:t xml:space="preserve"> </w:t>
      </w:r>
      <w:r w:rsidRPr="00E820D9">
        <w:rPr>
          <w:rFonts w:cs="David" w:hint="cs"/>
          <w:i/>
          <w:iCs/>
          <w:sz w:val="24"/>
          <w:szCs w:val="24"/>
          <w:rtl/>
        </w:rPr>
        <w:t>היה</w:t>
      </w:r>
      <w:r w:rsidRPr="00E820D9">
        <w:rPr>
          <w:rFonts w:cs="David"/>
          <w:i/>
          <w:iCs/>
          <w:sz w:val="24"/>
          <w:szCs w:val="24"/>
          <w:rtl/>
        </w:rPr>
        <w:t xml:space="preserve"> </w:t>
      </w:r>
      <w:r w:rsidRPr="00E820D9">
        <w:rPr>
          <w:rFonts w:cs="David" w:hint="cs"/>
          <w:i/>
          <w:iCs/>
          <w:sz w:val="24"/>
          <w:szCs w:val="24"/>
          <w:rtl/>
        </w:rPr>
        <w:t>להיות</w:t>
      </w:r>
      <w:r w:rsidRPr="00E820D9">
        <w:rPr>
          <w:rFonts w:cs="David"/>
          <w:i/>
          <w:iCs/>
          <w:sz w:val="24"/>
          <w:szCs w:val="24"/>
          <w:rtl/>
        </w:rPr>
        <w:t xml:space="preserve"> </w:t>
      </w:r>
      <w:r w:rsidRPr="00E820D9">
        <w:rPr>
          <w:rFonts w:cs="David" w:hint="cs"/>
          <w:i/>
          <w:iCs/>
          <w:sz w:val="24"/>
          <w:szCs w:val="24"/>
          <w:rtl/>
        </w:rPr>
        <w:t>שנוי</w:t>
      </w:r>
      <w:r w:rsidRPr="00E820D9">
        <w:rPr>
          <w:rFonts w:cs="David"/>
          <w:i/>
          <w:iCs/>
          <w:sz w:val="24"/>
          <w:szCs w:val="24"/>
          <w:rtl/>
        </w:rPr>
        <w:t xml:space="preserve"> </w:t>
      </w:r>
      <w:r w:rsidRPr="00E820D9">
        <w:rPr>
          <w:rFonts w:cs="David" w:hint="cs"/>
          <w:i/>
          <w:iCs/>
          <w:sz w:val="24"/>
          <w:szCs w:val="24"/>
          <w:rtl/>
        </w:rPr>
        <w:t>במחלוקת</w:t>
      </w:r>
      <w:r w:rsidRPr="00E820D9">
        <w:rPr>
          <w:rFonts w:cs="David"/>
          <w:i/>
          <w:iCs/>
          <w:sz w:val="24"/>
          <w:szCs w:val="24"/>
          <w:rtl/>
        </w:rPr>
        <w:t xml:space="preserve"> </w:t>
      </w:r>
      <w:r w:rsidRPr="00E820D9">
        <w:rPr>
          <w:rFonts w:cs="David" w:hint="cs"/>
          <w:i/>
          <w:iCs/>
          <w:sz w:val="24"/>
          <w:szCs w:val="24"/>
          <w:rtl/>
        </w:rPr>
        <w:t>באופן</w:t>
      </w:r>
      <w:r w:rsidRPr="00E820D9">
        <w:rPr>
          <w:rFonts w:cs="David"/>
          <w:i/>
          <w:iCs/>
          <w:sz w:val="24"/>
          <w:szCs w:val="24"/>
          <w:rtl/>
        </w:rPr>
        <w:t xml:space="preserve"> </w:t>
      </w:r>
      <w:r w:rsidRPr="00E820D9">
        <w:rPr>
          <w:rFonts w:cs="David" w:hint="cs"/>
          <w:i/>
          <w:iCs/>
          <w:sz w:val="24"/>
          <w:szCs w:val="24"/>
          <w:rtl/>
        </w:rPr>
        <w:t>אמיתי</w:t>
      </w:r>
      <w:r w:rsidRPr="00E820D9">
        <w:rPr>
          <w:rFonts w:cs="David" w:hint="cs"/>
          <w:sz w:val="24"/>
          <w:szCs w:val="24"/>
          <w:rtl/>
        </w:rPr>
        <w:t>".</w:t>
      </w:r>
      <w:r w:rsidRPr="00B50094">
        <w:rPr>
          <w:rStyle w:val="a6"/>
          <w:rFonts w:cs="David"/>
          <w:sz w:val="24"/>
          <w:szCs w:val="24"/>
          <w:rtl/>
        </w:rPr>
        <w:footnoteReference w:id="7"/>
      </w:r>
    </w:p>
    <w:p w:rsidR="003D61C5" w:rsidRPr="006D1163" w:rsidRDefault="003D61C5" w:rsidP="00E323DB">
      <w:pPr>
        <w:pStyle w:val="a3"/>
        <w:spacing w:after="0" w:line="300" w:lineRule="exact"/>
        <w:rPr>
          <w:rFonts w:cs="David"/>
          <w:sz w:val="4"/>
          <w:szCs w:val="4"/>
          <w:rtl/>
        </w:rPr>
      </w:pPr>
    </w:p>
    <w:p w:rsidR="00E820D9" w:rsidRPr="003D61C5" w:rsidRDefault="00E820D9" w:rsidP="00E323DB">
      <w:pPr>
        <w:pStyle w:val="a3"/>
        <w:numPr>
          <w:ilvl w:val="0"/>
          <w:numId w:val="11"/>
        </w:numPr>
        <w:spacing w:after="0" w:line="300" w:lineRule="exact"/>
        <w:jc w:val="both"/>
        <w:rPr>
          <w:rFonts w:cs="David"/>
          <w:sz w:val="24"/>
          <w:szCs w:val="24"/>
          <w:rtl/>
        </w:rPr>
      </w:pPr>
      <w:r w:rsidRPr="003D61C5">
        <w:rPr>
          <w:rFonts w:cs="David" w:hint="cs"/>
          <w:sz w:val="24"/>
          <w:szCs w:val="24"/>
          <w:rtl/>
        </w:rPr>
        <w:t>הצמצום של היסוד האובייקטיבי בבחינת התנהלותה של חברת הביטוח יכול להוביל לתוצאות קשות. דומה כי במיוחד בהקשר של חוזה ביטוח, נוכח פערי הכוחות בין הצדדים, נכון היה שבית המשפט יקבע סטנדרט התנהגות ראוי לחברות הביטוח.</w:t>
      </w:r>
      <w:r>
        <w:rPr>
          <w:rStyle w:val="a6"/>
          <w:rFonts w:cs="David"/>
          <w:sz w:val="24"/>
          <w:szCs w:val="24"/>
          <w:rtl/>
        </w:rPr>
        <w:footnoteReference w:id="8"/>
      </w:r>
    </w:p>
    <w:p w:rsidR="0010545D" w:rsidRDefault="0010545D" w:rsidP="00E323DB">
      <w:pPr>
        <w:spacing w:after="0" w:line="300" w:lineRule="exact"/>
        <w:jc w:val="both"/>
        <w:rPr>
          <w:rFonts w:cs="David"/>
          <w:sz w:val="24"/>
          <w:szCs w:val="24"/>
          <w:u w:val="single"/>
          <w:rtl/>
        </w:rPr>
      </w:pPr>
    </w:p>
    <w:p w:rsidR="0010545D" w:rsidRPr="0010545D" w:rsidRDefault="0010545D" w:rsidP="0010545D">
      <w:pPr>
        <w:spacing w:after="0" w:line="300" w:lineRule="exact"/>
        <w:jc w:val="both"/>
        <w:rPr>
          <w:rFonts w:cs="David"/>
          <w:sz w:val="24"/>
          <w:szCs w:val="24"/>
          <w:u w:val="single"/>
          <w:rtl/>
        </w:rPr>
      </w:pPr>
      <w:r w:rsidRPr="0010545D">
        <w:rPr>
          <w:rFonts w:cs="David" w:hint="cs"/>
          <w:sz w:val="24"/>
          <w:szCs w:val="24"/>
          <w:u w:val="single"/>
          <w:rtl/>
        </w:rPr>
        <w:t xml:space="preserve">פיצויים עונשיים בחקיקה </w:t>
      </w:r>
    </w:p>
    <w:p w:rsidR="0010545D" w:rsidRDefault="0010545D" w:rsidP="0010545D">
      <w:pPr>
        <w:spacing w:after="0" w:line="300" w:lineRule="exact"/>
        <w:jc w:val="both"/>
        <w:rPr>
          <w:rFonts w:cs="David"/>
          <w:b/>
          <w:bCs/>
          <w:sz w:val="24"/>
          <w:szCs w:val="24"/>
          <w:rtl/>
        </w:rPr>
      </w:pPr>
      <w:r w:rsidRPr="0010545D">
        <w:rPr>
          <w:rFonts w:cs="David" w:hint="cs"/>
          <w:sz w:val="24"/>
          <w:szCs w:val="24"/>
          <w:rtl/>
        </w:rPr>
        <w:t>בחקיקה בישראל קבועות היום מספר הוראות המעניקות "פיצויים לדוגמה"</w:t>
      </w:r>
      <w:r>
        <w:rPr>
          <w:rStyle w:val="a6"/>
          <w:rFonts w:cs="David"/>
          <w:sz w:val="24"/>
          <w:szCs w:val="24"/>
          <w:rtl/>
        </w:rPr>
        <w:footnoteReference w:id="9"/>
      </w:r>
      <w:r w:rsidRPr="0010545D">
        <w:rPr>
          <w:rFonts w:cs="David" w:hint="cs"/>
          <w:sz w:val="24"/>
          <w:szCs w:val="24"/>
          <w:rtl/>
        </w:rPr>
        <w:t xml:space="preserve"> או "פיצוי ללא הוכחת נזק",</w:t>
      </w:r>
      <w:r>
        <w:rPr>
          <w:rStyle w:val="a6"/>
          <w:rFonts w:cs="David"/>
          <w:sz w:val="24"/>
          <w:szCs w:val="24"/>
          <w:rtl/>
        </w:rPr>
        <w:footnoteReference w:id="10"/>
      </w:r>
      <w:r w:rsidRPr="0010545D">
        <w:rPr>
          <w:rFonts w:cs="David" w:hint="cs"/>
          <w:sz w:val="24"/>
          <w:szCs w:val="24"/>
          <w:rtl/>
        </w:rPr>
        <w:t xml:space="preserve"> וכן "פיצויי עונשין".</w:t>
      </w:r>
      <w:r>
        <w:rPr>
          <w:rStyle w:val="a6"/>
          <w:rFonts w:cs="David"/>
          <w:sz w:val="24"/>
          <w:szCs w:val="24"/>
          <w:rtl/>
        </w:rPr>
        <w:footnoteReference w:id="11"/>
      </w:r>
      <w:r w:rsidRPr="0010545D">
        <w:rPr>
          <w:rFonts w:cs="David" w:hint="cs"/>
          <w:sz w:val="24"/>
          <w:szCs w:val="24"/>
          <w:rtl/>
        </w:rPr>
        <w:t xml:space="preserve"> </w:t>
      </w:r>
    </w:p>
    <w:p w:rsidR="0010545D" w:rsidRDefault="0010545D" w:rsidP="0010545D">
      <w:pPr>
        <w:spacing w:after="0" w:line="300" w:lineRule="exact"/>
        <w:jc w:val="both"/>
        <w:rPr>
          <w:rFonts w:cs="David"/>
          <w:sz w:val="24"/>
          <w:szCs w:val="24"/>
          <w:rtl/>
        </w:rPr>
      </w:pPr>
      <w:r>
        <w:rPr>
          <w:rFonts w:cs="David" w:hint="cs"/>
          <w:b/>
          <w:bCs/>
          <w:sz w:val="24"/>
          <w:szCs w:val="24"/>
          <w:rtl/>
        </w:rPr>
        <w:t xml:space="preserve">כל </w:t>
      </w:r>
      <w:r w:rsidRPr="0010545D">
        <w:rPr>
          <w:rFonts w:cs="David" w:hint="cs"/>
          <w:b/>
          <w:bCs/>
          <w:sz w:val="24"/>
          <w:szCs w:val="24"/>
          <w:rtl/>
        </w:rPr>
        <w:t>ההוראות מבוססות על קיומה של התנהגות פסולה כלשהי</w:t>
      </w:r>
      <w:r w:rsidRPr="0010545D">
        <w:rPr>
          <w:rFonts w:cs="David" w:hint="cs"/>
          <w:sz w:val="24"/>
          <w:szCs w:val="24"/>
          <w:rtl/>
        </w:rPr>
        <w:t>. כך למשל, ניתן לתת פיצוי לדוגמה בשל הפרה של חובת מעסיק להעמיד</w:t>
      </w:r>
      <w:r w:rsidRPr="0010545D">
        <w:rPr>
          <w:rFonts w:cs="David"/>
          <w:sz w:val="24"/>
          <w:szCs w:val="24"/>
          <w:rtl/>
        </w:rPr>
        <w:t xml:space="preserve"> לרשות עובד מושב לעבודה</w:t>
      </w:r>
      <w:r w:rsidRPr="0010545D">
        <w:rPr>
          <w:rFonts w:cs="David" w:hint="cs"/>
          <w:sz w:val="24"/>
          <w:szCs w:val="24"/>
          <w:rtl/>
        </w:rPr>
        <w:t xml:space="preserve">, בשל גביית יתר של עוסק מצרכן </w:t>
      </w:r>
      <w:r w:rsidR="00BB5204">
        <w:rPr>
          <w:rFonts w:cs="David" w:hint="cs"/>
          <w:sz w:val="24"/>
          <w:szCs w:val="24"/>
          <w:rtl/>
        </w:rPr>
        <w:t>וכיוצ"ב</w:t>
      </w:r>
      <w:r w:rsidRPr="0010545D">
        <w:rPr>
          <w:rFonts w:cs="David" w:hint="cs"/>
          <w:sz w:val="24"/>
          <w:szCs w:val="24"/>
          <w:rtl/>
        </w:rPr>
        <w:t>, וכן ניתן לתת פיצוי ללא הוכחת נזק בשל הטרדה מינית, בשל פרסום לשון הרע ועוד.</w:t>
      </w:r>
    </w:p>
    <w:p w:rsidR="0010545D" w:rsidRPr="0010545D" w:rsidRDefault="0010545D" w:rsidP="0010545D">
      <w:pPr>
        <w:spacing w:after="0" w:line="300" w:lineRule="exact"/>
        <w:jc w:val="both"/>
        <w:rPr>
          <w:rFonts w:cs="David"/>
          <w:sz w:val="24"/>
          <w:szCs w:val="24"/>
          <w:rtl/>
        </w:rPr>
      </w:pPr>
    </w:p>
    <w:p w:rsidR="00117D65" w:rsidRPr="005241B7" w:rsidRDefault="00117D65" w:rsidP="00E323DB">
      <w:pPr>
        <w:spacing w:after="0" w:line="300" w:lineRule="exact"/>
        <w:jc w:val="both"/>
        <w:rPr>
          <w:rFonts w:cs="David"/>
          <w:sz w:val="24"/>
          <w:szCs w:val="24"/>
          <w:u w:val="single"/>
          <w:rtl/>
        </w:rPr>
      </w:pPr>
      <w:r w:rsidRPr="005241B7">
        <w:rPr>
          <w:rFonts w:cs="David" w:hint="cs"/>
          <w:sz w:val="24"/>
          <w:szCs w:val="24"/>
          <w:u w:val="single"/>
          <w:rtl/>
        </w:rPr>
        <w:t>תיקון מס' 8 לחוק חוזה הביטוח</w:t>
      </w:r>
    </w:p>
    <w:p w:rsidR="00117D65" w:rsidRDefault="005241B7" w:rsidP="009108CF">
      <w:pPr>
        <w:spacing w:after="0" w:line="300" w:lineRule="exact"/>
        <w:jc w:val="both"/>
        <w:rPr>
          <w:rFonts w:cs="David"/>
          <w:sz w:val="24"/>
          <w:szCs w:val="24"/>
          <w:rtl/>
        </w:rPr>
      </w:pPr>
      <w:r>
        <w:rPr>
          <w:rFonts w:cs="David" w:hint="cs"/>
          <w:sz w:val="24"/>
          <w:szCs w:val="24"/>
          <w:rtl/>
        </w:rPr>
        <w:t>לאחרונה</w:t>
      </w:r>
      <w:r w:rsidR="00117D65">
        <w:rPr>
          <w:rFonts w:cs="David" w:hint="cs"/>
          <w:sz w:val="24"/>
          <w:szCs w:val="24"/>
          <w:rtl/>
        </w:rPr>
        <w:t xml:space="preserve"> התקבל בכנסת תיקון </w:t>
      </w:r>
      <w:r w:rsidR="009108CF">
        <w:rPr>
          <w:rFonts w:cs="David" w:hint="cs"/>
          <w:sz w:val="24"/>
          <w:szCs w:val="24"/>
          <w:rtl/>
        </w:rPr>
        <w:t xml:space="preserve">מס' 8 </w:t>
      </w:r>
      <w:r w:rsidR="00117D65">
        <w:rPr>
          <w:rFonts w:cs="David" w:hint="cs"/>
          <w:sz w:val="24"/>
          <w:szCs w:val="24"/>
          <w:rtl/>
        </w:rPr>
        <w:t xml:space="preserve">לחוק חוזה הביטוח, </w:t>
      </w:r>
      <w:r w:rsidR="005B1B1A">
        <w:rPr>
          <w:rFonts w:cs="David" w:hint="cs"/>
          <w:sz w:val="24"/>
          <w:szCs w:val="24"/>
          <w:rtl/>
        </w:rPr>
        <w:t xml:space="preserve">שבמסגרתו הוגדלה משמעותית הריבית המיוחדת שניתן לפסוק לפי סעיף 28א </w:t>
      </w:r>
      <w:r w:rsidR="00BB5204">
        <w:rPr>
          <w:rFonts w:cs="David" w:hint="cs"/>
          <w:sz w:val="24"/>
          <w:szCs w:val="24"/>
          <w:rtl/>
        </w:rPr>
        <w:t>לחוק חוזה הביטוח</w:t>
      </w:r>
      <w:r w:rsidR="005B1B1A">
        <w:rPr>
          <w:rFonts w:cs="David" w:hint="cs"/>
          <w:sz w:val="24"/>
          <w:szCs w:val="24"/>
          <w:rtl/>
        </w:rPr>
        <w:t>. תיקון מס' 8 האמור נועד להתמודד עם אותה תופעה שלילית המתוארת גם בהצעת החוק הנוכחית של "משיכת" הליכים ואי תשלום תגמולים במועד, אך הוא התייחס לכל סוגי הביטוחים בעוד שהתיקון המוצע כעת מתייחס לביטוח סיעודי בלבד. התיקון כלל שני ראשים</w:t>
      </w:r>
      <w:r>
        <w:rPr>
          <w:rFonts w:cs="David" w:hint="cs"/>
          <w:sz w:val="24"/>
          <w:szCs w:val="24"/>
          <w:rtl/>
        </w:rPr>
        <w:t>:</w:t>
      </w:r>
    </w:p>
    <w:p w:rsidR="005241B7" w:rsidRDefault="005241B7" w:rsidP="00E323DB">
      <w:pPr>
        <w:pStyle w:val="a3"/>
        <w:numPr>
          <w:ilvl w:val="0"/>
          <w:numId w:val="9"/>
        </w:numPr>
        <w:spacing w:after="0" w:line="300" w:lineRule="exact"/>
        <w:jc w:val="both"/>
        <w:rPr>
          <w:rFonts w:cs="David"/>
          <w:sz w:val="24"/>
          <w:szCs w:val="24"/>
        </w:rPr>
      </w:pPr>
      <w:r w:rsidRPr="005241B7">
        <w:rPr>
          <w:rFonts w:cs="David" w:hint="cs"/>
          <w:b/>
          <w:bCs/>
          <w:sz w:val="24"/>
          <w:szCs w:val="24"/>
          <w:rtl/>
        </w:rPr>
        <w:t>הגדלת שיעור הריבית המיוחדת</w:t>
      </w:r>
      <w:r w:rsidRPr="005241B7">
        <w:rPr>
          <w:rFonts w:cs="David" w:hint="cs"/>
          <w:sz w:val="24"/>
          <w:szCs w:val="24"/>
          <w:rtl/>
        </w:rPr>
        <w:t>: נקבע כי שיעור הריבית המיוחדת לא יעלה על פי עשרים מהריבית הקבועה בהגדרה "הפרשי הצמדה וריבית" בחוק פסיקת ריבית, לעומת פי שלושה כפי שהיה קבוע בחוק לפני התיקון</w:t>
      </w:r>
      <w:r w:rsidR="00D65D66">
        <w:rPr>
          <w:rFonts w:cs="David" w:hint="cs"/>
          <w:sz w:val="24"/>
          <w:szCs w:val="24"/>
          <w:rtl/>
        </w:rPr>
        <w:t xml:space="preserve"> (הריבית היום היא 1%, כך שניתן לפסוק ריבית מיוחדת בשיעור של עד 20% מהתגמולים)</w:t>
      </w:r>
      <w:r>
        <w:rPr>
          <w:rFonts w:cs="David" w:hint="cs"/>
          <w:sz w:val="24"/>
          <w:szCs w:val="24"/>
          <w:rtl/>
        </w:rPr>
        <w:t>.</w:t>
      </w:r>
    </w:p>
    <w:p w:rsidR="005241B7" w:rsidRPr="005241B7" w:rsidRDefault="005241B7" w:rsidP="00F3154F">
      <w:pPr>
        <w:pStyle w:val="a3"/>
        <w:numPr>
          <w:ilvl w:val="0"/>
          <w:numId w:val="9"/>
        </w:numPr>
        <w:spacing w:after="0" w:line="300" w:lineRule="exact"/>
        <w:jc w:val="both"/>
        <w:rPr>
          <w:rFonts w:cs="David"/>
          <w:sz w:val="24"/>
          <w:szCs w:val="24"/>
        </w:rPr>
      </w:pPr>
      <w:r w:rsidRPr="005241B7">
        <w:rPr>
          <w:rFonts w:cs="David" w:hint="cs"/>
          <w:b/>
          <w:bCs/>
          <w:sz w:val="24"/>
          <w:szCs w:val="24"/>
          <w:rtl/>
        </w:rPr>
        <w:t>הרחבת ההגדרה של ביטוחים אישיים</w:t>
      </w:r>
      <w:r>
        <w:rPr>
          <w:rFonts w:cs="David" w:hint="cs"/>
          <w:sz w:val="24"/>
          <w:szCs w:val="24"/>
          <w:rtl/>
        </w:rPr>
        <w:t>: ל</w:t>
      </w:r>
      <w:r w:rsidRPr="005241B7">
        <w:rPr>
          <w:rFonts w:cs="David" w:hint="cs"/>
          <w:sz w:val="24"/>
          <w:szCs w:val="24"/>
          <w:rtl/>
        </w:rPr>
        <w:t xml:space="preserve">הגדרה "ביטוחים אישיים" </w:t>
      </w:r>
      <w:r>
        <w:rPr>
          <w:rFonts w:cs="David" w:hint="cs"/>
          <w:sz w:val="24"/>
          <w:szCs w:val="24"/>
          <w:rtl/>
        </w:rPr>
        <w:t xml:space="preserve">נוספו: </w:t>
      </w:r>
      <w:r w:rsidR="00D65D66">
        <w:rPr>
          <w:rFonts w:cs="David" w:hint="cs"/>
          <w:sz w:val="24"/>
          <w:szCs w:val="24"/>
          <w:rtl/>
        </w:rPr>
        <w:t>ביטוח מפני מחלות ואשפוז</w:t>
      </w:r>
      <w:r w:rsidRPr="005241B7">
        <w:rPr>
          <w:rFonts w:cs="David" w:hint="cs"/>
          <w:sz w:val="24"/>
          <w:szCs w:val="24"/>
          <w:rtl/>
        </w:rPr>
        <w:t xml:space="preserve"> </w:t>
      </w:r>
      <w:r w:rsidR="00D65D66">
        <w:rPr>
          <w:rFonts w:cs="David" w:hint="cs"/>
          <w:sz w:val="24"/>
          <w:szCs w:val="24"/>
          <w:rtl/>
        </w:rPr>
        <w:t>(</w:t>
      </w:r>
      <w:r w:rsidRPr="005241B7">
        <w:rPr>
          <w:rFonts w:cs="David" w:hint="cs"/>
          <w:sz w:val="24"/>
          <w:szCs w:val="24"/>
          <w:rtl/>
        </w:rPr>
        <w:t>הכולל ביטוח סיעודי</w:t>
      </w:r>
      <w:r w:rsidR="00D65D66">
        <w:rPr>
          <w:rFonts w:cs="David" w:hint="cs"/>
          <w:sz w:val="24"/>
          <w:szCs w:val="24"/>
          <w:rtl/>
        </w:rPr>
        <w:t>)</w:t>
      </w:r>
      <w:r w:rsidRPr="005241B7">
        <w:rPr>
          <w:rFonts w:cs="David" w:hint="cs"/>
          <w:sz w:val="24"/>
          <w:szCs w:val="24"/>
          <w:rtl/>
        </w:rPr>
        <w:t>, וביטוח לפי דרישות פקודת ביטוח רכב מנועי [נוס</w:t>
      </w:r>
      <w:r w:rsidR="00433D32">
        <w:rPr>
          <w:rFonts w:cs="David" w:hint="cs"/>
          <w:sz w:val="24"/>
          <w:szCs w:val="24"/>
          <w:rtl/>
        </w:rPr>
        <w:t xml:space="preserve">ח חדש], התש"ל–1970 (ביטוח רכב </w:t>
      </w:r>
      <w:r w:rsidRPr="005241B7">
        <w:rPr>
          <w:rFonts w:cs="David" w:hint="cs"/>
          <w:sz w:val="24"/>
          <w:szCs w:val="24"/>
          <w:rtl/>
        </w:rPr>
        <w:t xml:space="preserve">חובה) – כך שגם לגבי ביטוחים אלה, תקום חובה לפסוק ריבית מיוחדת אם בית המשפט קבע </w:t>
      </w:r>
      <w:r w:rsidR="00F3154F">
        <w:rPr>
          <w:rFonts w:cs="David" w:hint="cs"/>
          <w:sz w:val="24"/>
          <w:szCs w:val="24"/>
          <w:rtl/>
        </w:rPr>
        <w:t>שהמבטח עיכב</w:t>
      </w:r>
      <w:r w:rsidRPr="005241B7">
        <w:rPr>
          <w:rFonts w:cs="David" w:hint="cs"/>
          <w:sz w:val="24"/>
          <w:szCs w:val="24"/>
          <w:rtl/>
        </w:rPr>
        <w:t xml:space="preserve"> תשלומים בחוסר תום לב.</w:t>
      </w:r>
    </w:p>
    <w:p w:rsidR="00993C17" w:rsidRPr="00E323DB" w:rsidRDefault="00993C17" w:rsidP="00E323DB">
      <w:pPr>
        <w:pStyle w:val="a3"/>
        <w:spacing w:after="0" w:line="300" w:lineRule="exact"/>
        <w:jc w:val="both"/>
        <w:rPr>
          <w:rFonts w:cs="David"/>
          <w:sz w:val="16"/>
          <w:szCs w:val="16"/>
        </w:rPr>
      </w:pPr>
    </w:p>
    <w:p w:rsidR="00993C17" w:rsidRPr="00CA2CB6" w:rsidRDefault="006260EC" w:rsidP="00E323DB">
      <w:pPr>
        <w:spacing w:after="0" w:line="300" w:lineRule="exact"/>
        <w:jc w:val="both"/>
        <w:rPr>
          <w:rFonts w:cs="David"/>
          <w:sz w:val="24"/>
          <w:szCs w:val="24"/>
          <w:u w:val="single"/>
          <w:rtl/>
        </w:rPr>
      </w:pPr>
      <w:r>
        <w:rPr>
          <w:rFonts w:cs="David" w:hint="cs"/>
          <w:sz w:val="24"/>
          <w:szCs w:val="24"/>
          <w:u w:val="single"/>
          <w:rtl/>
        </w:rPr>
        <w:t>הצע</w:t>
      </w:r>
      <w:r w:rsidR="00993C17" w:rsidRPr="00CA2CB6">
        <w:rPr>
          <w:rFonts w:cs="David" w:hint="cs"/>
          <w:sz w:val="24"/>
          <w:szCs w:val="24"/>
          <w:u w:val="single"/>
          <w:rtl/>
        </w:rPr>
        <w:t>ת</w:t>
      </w:r>
      <w:r w:rsidR="00993C17" w:rsidRPr="00CA2CB6">
        <w:rPr>
          <w:rFonts w:cs="David"/>
          <w:sz w:val="24"/>
          <w:szCs w:val="24"/>
          <w:u w:val="single"/>
          <w:rtl/>
        </w:rPr>
        <w:t xml:space="preserve"> </w:t>
      </w:r>
      <w:r w:rsidR="00993C17" w:rsidRPr="00CA2CB6">
        <w:rPr>
          <w:rFonts w:cs="David" w:hint="cs"/>
          <w:sz w:val="24"/>
          <w:szCs w:val="24"/>
          <w:u w:val="single"/>
          <w:rtl/>
        </w:rPr>
        <w:t>החוק</w:t>
      </w:r>
    </w:p>
    <w:p w:rsidR="005241B7" w:rsidRDefault="00993C17" w:rsidP="00E323DB">
      <w:pPr>
        <w:spacing w:after="0" w:line="300" w:lineRule="exact"/>
        <w:jc w:val="both"/>
        <w:rPr>
          <w:rFonts w:cs="David"/>
          <w:sz w:val="24"/>
          <w:szCs w:val="24"/>
          <w:rtl/>
        </w:rPr>
      </w:pPr>
      <w:r w:rsidRPr="00A121DD">
        <w:rPr>
          <w:rFonts w:cs="David"/>
          <w:sz w:val="24"/>
          <w:szCs w:val="24"/>
          <w:rtl/>
        </w:rPr>
        <w:t xml:space="preserve">מוצע להחריג את הביטוח הסיעודי מתחולת סעיף 28א </w:t>
      </w:r>
      <w:r w:rsidR="00491E9C">
        <w:rPr>
          <w:rFonts w:cs="David" w:hint="cs"/>
          <w:sz w:val="24"/>
          <w:szCs w:val="24"/>
          <w:rtl/>
        </w:rPr>
        <w:t>(שלפיו ניתן לפסוק ריבית מיוחדת כפיצוי עונשי) ולקבוע</w:t>
      </w:r>
      <w:r w:rsidRPr="00A121DD">
        <w:rPr>
          <w:rFonts w:cs="David"/>
          <w:sz w:val="24"/>
          <w:szCs w:val="24"/>
          <w:rtl/>
        </w:rPr>
        <w:t xml:space="preserve"> </w:t>
      </w:r>
      <w:r w:rsidR="00491E9C">
        <w:rPr>
          <w:rFonts w:cs="David" w:hint="cs"/>
          <w:sz w:val="24"/>
          <w:szCs w:val="24"/>
          <w:rtl/>
        </w:rPr>
        <w:t xml:space="preserve">הסדר של </w:t>
      </w:r>
      <w:r w:rsidRPr="00A121DD">
        <w:rPr>
          <w:rFonts w:cs="David"/>
          <w:sz w:val="24"/>
          <w:szCs w:val="24"/>
          <w:rtl/>
        </w:rPr>
        <w:t>פיצ</w:t>
      </w:r>
      <w:r w:rsidR="005241B7">
        <w:rPr>
          <w:rFonts w:cs="David"/>
          <w:sz w:val="24"/>
          <w:szCs w:val="24"/>
          <w:rtl/>
        </w:rPr>
        <w:t xml:space="preserve">וי מיוחד </w:t>
      </w:r>
      <w:r w:rsidR="00433D32">
        <w:rPr>
          <w:rFonts w:cs="David" w:hint="cs"/>
          <w:sz w:val="24"/>
          <w:szCs w:val="24"/>
          <w:rtl/>
        </w:rPr>
        <w:t>בביטוח סיעודי.</w:t>
      </w:r>
      <w:r w:rsidR="005241B7">
        <w:rPr>
          <w:rFonts w:cs="David" w:hint="cs"/>
          <w:sz w:val="24"/>
          <w:szCs w:val="24"/>
          <w:rtl/>
        </w:rPr>
        <w:t xml:space="preserve"> </w:t>
      </w:r>
      <w:r w:rsidRPr="00A121DD">
        <w:rPr>
          <w:rFonts w:cs="David"/>
          <w:sz w:val="24"/>
          <w:szCs w:val="24"/>
          <w:rtl/>
        </w:rPr>
        <w:t>מבטח בביטוח סיעודי שלא שילם את תגמולי הביטוח במועדים הקבועים בחוק או שחדל מתשלומם שלא כדין,</w:t>
      </w:r>
      <w:r w:rsidR="005241B7">
        <w:rPr>
          <w:rFonts w:cs="David"/>
          <w:sz w:val="24"/>
          <w:szCs w:val="24"/>
          <w:rtl/>
        </w:rPr>
        <w:t xml:space="preserve"> בית המשפט יחייבו בפיצוי מיוחד</w:t>
      </w:r>
      <w:r w:rsidR="005241B7">
        <w:rPr>
          <w:rFonts w:cs="David" w:hint="cs"/>
          <w:sz w:val="24"/>
          <w:szCs w:val="24"/>
          <w:rtl/>
        </w:rPr>
        <w:t>. ואלו התנאים המיוחדים המוצעים לעניין הפיצוי:</w:t>
      </w:r>
    </w:p>
    <w:p w:rsidR="005241B7" w:rsidRPr="005241B7" w:rsidRDefault="00993C17" w:rsidP="00E323DB">
      <w:pPr>
        <w:pStyle w:val="a3"/>
        <w:numPr>
          <w:ilvl w:val="0"/>
          <w:numId w:val="10"/>
        </w:numPr>
        <w:spacing w:after="0" w:line="300" w:lineRule="exact"/>
        <w:jc w:val="both"/>
        <w:rPr>
          <w:rFonts w:cs="David"/>
          <w:sz w:val="24"/>
          <w:szCs w:val="24"/>
          <w:rtl/>
        </w:rPr>
      </w:pPr>
      <w:r w:rsidRPr="00DE204F">
        <w:rPr>
          <w:rFonts w:cs="David"/>
          <w:b/>
          <w:bCs/>
          <w:sz w:val="24"/>
          <w:szCs w:val="24"/>
          <w:rtl/>
        </w:rPr>
        <w:t xml:space="preserve">הפיצוי </w:t>
      </w:r>
      <w:r w:rsidR="005B1B1A">
        <w:rPr>
          <w:rFonts w:cs="David" w:hint="cs"/>
          <w:b/>
          <w:bCs/>
          <w:sz w:val="24"/>
          <w:szCs w:val="24"/>
          <w:rtl/>
        </w:rPr>
        <w:t xml:space="preserve">המיוחד </w:t>
      </w:r>
      <w:r w:rsidR="005241B7" w:rsidRPr="00DE204F">
        <w:rPr>
          <w:rFonts w:cs="David" w:hint="cs"/>
          <w:b/>
          <w:bCs/>
          <w:sz w:val="24"/>
          <w:szCs w:val="24"/>
          <w:rtl/>
        </w:rPr>
        <w:t xml:space="preserve">לא יותנה </w:t>
      </w:r>
      <w:r w:rsidRPr="00DE204F">
        <w:rPr>
          <w:rFonts w:cs="David"/>
          <w:b/>
          <w:bCs/>
          <w:sz w:val="24"/>
          <w:szCs w:val="24"/>
          <w:rtl/>
        </w:rPr>
        <w:t>בהוכחת חוסר תום הלב</w:t>
      </w:r>
      <w:r w:rsidRPr="005241B7">
        <w:rPr>
          <w:rFonts w:cs="David"/>
          <w:sz w:val="24"/>
          <w:szCs w:val="24"/>
          <w:rtl/>
        </w:rPr>
        <w:t xml:space="preserve"> של המבטח</w:t>
      </w:r>
      <w:r w:rsidR="00491E9C">
        <w:rPr>
          <w:rFonts w:cs="David" w:hint="cs"/>
          <w:sz w:val="24"/>
          <w:szCs w:val="24"/>
          <w:rtl/>
        </w:rPr>
        <w:t>,</w:t>
      </w:r>
      <w:r w:rsidR="005B1B1A">
        <w:rPr>
          <w:rFonts w:cs="David" w:hint="cs"/>
          <w:sz w:val="24"/>
          <w:szCs w:val="24"/>
          <w:rtl/>
        </w:rPr>
        <w:t xml:space="preserve"> אלא יינתן בכל מקרה שבו לא משולמים התגמולים למבוטח במועד,</w:t>
      </w:r>
      <w:r w:rsidR="00491E9C">
        <w:rPr>
          <w:rFonts w:cs="David" w:hint="cs"/>
          <w:sz w:val="24"/>
          <w:szCs w:val="24"/>
          <w:rtl/>
        </w:rPr>
        <w:t xml:space="preserve"> וזאת בשונה מהקיים היום לפי סעיף 28א לחוק</w:t>
      </w:r>
      <w:r w:rsidRPr="005241B7">
        <w:rPr>
          <w:rFonts w:cs="David"/>
          <w:sz w:val="24"/>
          <w:szCs w:val="24"/>
          <w:rtl/>
        </w:rPr>
        <w:t xml:space="preserve">. </w:t>
      </w:r>
    </w:p>
    <w:p w:rsidR="005241B7" w:rsidRPr="005241B7" w:rsidRDefault="005241B7" w:rsidP="00E323DB">
      <w:pPr>
        <w:pStyle w:val="a3"/>
        <w:numPr>
          <w:ilvl w:val="0"/>
          <w:numId w:val="10"/>
        </w:numPr>
        <w:spacing w:after="0" w:line="300" w:lineRule="exact"/>
        <w:jc w:val="both"/>
        <w:rPr>
          <w:rFonts w:cs="David"/>
          <w:sz w:val="24"/>
          <w:szCs w:val="24"/>
          <w:rtl/>
        </w:rPr>
      </w:pPr>
      <w:r w:rsidRPr="00DE204F">
        <w:rPr>
          <w:rFonts w:cs="David" w:hint="cs"/>
          <w:b/>
          <w:bCs/>
          <w:sz w:val="24"/>
          <w:szCs w:val="24"/>
          <w:rtl/>
        </w:rPr>
        <w:t>ייקבע סכום מינימום לפיצוי</w:t>
      </w:r>
      <w:r w:rsidRPr="005241B7">
        <w:rPr>
          <w:rFonts w:cs="David" w:hint="cs"/>
          <w:sz w:val="24"/>
          <w:szCs w:val="24"/>
          <w:rtl/>
        </w:rPr>
        <w:t xml:space="preserve"> </w:t>
      </w:r>
      <w:r w:rsidRPr="005241B7">
        <w:rPr>
          <w:rFonts w:cs="David"/>
          <w:sz w:val="24"/>
          <w:szCs w:val="24"/>
          <w:rtl/>
        </w:rPr>
        <w:t>–</w:t>
      </w:r>
      <w:r w:rsidRPr="005241B7">
        <w:rPr>
          <w:rFonts w:cs="David" w:hint="cs"/>
          <w:sz w:val="24"/>
          <w:szCs w:val="24"/>
          <w:rtl/>
        </w:rPr>
        <w:t xml:space="preserve"> ש</w:t>
      </w:r>
      <w:r w:rsidR="00993C17" w:rsidRPr="005241B7">
        <w:rPr>
          <w:rFonts w:cs="David"/>
          <w:sz w:val="24"/>
          <w:szCs w:val="24"/>
          <w:rtl/>
        </w:rPr>
        <w:t xml:space="preserve">לא יפחת </w:t>
      </w:r>
      <w:r w:rsidR="00993C17" w:rsidRPr="005241B7">
        <w:rPr>
          <w:rFonts w:cs="David" w:hint="cs"/>
          <w:sz w:val="24"/>
          <w:szCs w:val="24"/>
          <w:rtl/>
        </w:rPr>
        <w:t xml:space="preserve">מסכום </w:t>
      </w:r>
      <w:r w:rsidR="00993C17" w:rsidRPr="005241B7">
        <w:rPr>
          <w:rFonts w:cs="David"/>
          <w:sz w:val="24"/>
          <w:szCs w:val="24"/>
          <w:rtl/>
        </w:rPr>
        <w:t xml:space="preserve">ריבית של 20 אחוזים </w:t>
      </w:r>
      <w:r w:rsidR="00993C17" w:rsidRPr="005241B7">
        <w:rPr>
          <w:rFonts w:cs="David" w:hint="cs"/>
          <w:sz w:val="24"/>
          <w:szCs w:val="24"/>
          <w:rtl/>
        </w:rPr>
        <w:t xml:space="preserve">מסך </w:t>
      </w:r>
      <w:r w:rsidR="00993C17" w:rsidRPr="005241B7">
        <w:rPr>
          <w:rFonts w:cs="David"/>
          <w:sz w:val="24"/>
          <w:szCs w:val="24"/>
          <w:rtl/>
        </w:rPr>
        <w:t xml:space="preserve">תגמולי הביטוח שהיה על </w:t>
      </w:r>
      <w:r w:rsidR="00993C17" w:rsidRPr="005241B7">
        <w:rPr>
          <w:rFonts w:cs="David" w:hint="cs"/>
          <w:sz w:val="24"/>
          <w:szCs w:val="24"/>
          <w:rtl/>
        </w:rPr>
        <w:t>המבטח</w:t>
      </w:r>
      <w:r w:rsidR="00993C17" w:rsidRPr="005241B7">
        <w:rPr>
          <w:rFonts w:cs="David"/>
          <w:sz w:val="24"/>
          <w:szCs w:val="24"/>
          <w:rtl/>
        </w:rPr>
        <w:t xml:space="preserve"> לשלם </w:t>
      </w:r>
      <w:r w:rsidR="00993C17" w:rsidRPr="005241B7">
        <w:rPr>
          <w:rFonts w:cs="David" w:hint="cs"/>
          <w:sz w:val="24"/>
          <w:szCs w:val="24"/>
          <w:rtl/>
        </w:rPr>
        <w:t>לכל שנת פיגור בתשלום</w:t>
      </w:r>
      <w:r w:rsidRPr="005241B7">
        <w:rPr>
          <w:rFonts w:cs="David" w:hint="cs"/>
          <w:sz w:val="24"/>
          <w:szCs w:val="24"/>
          <w:rtl/>
        </w:rPr>
        <w:t>.</w:t>
      </w:r>
    </w:p>
    <w:p w:rsidR="00993C17" w:rsidRPr="005241B7" w:rsidRDefault="005241B7" w:rsidP="00E323DB">
      <w:pPr>
        <w:pStyle w:val="a3"/>
        <w:numPr>
          <w:ilvl w:val="0"/>
          <w:numId w:val="10"/>
        </w:numPr>
        <w:spacing w:after="0" w:line="300" w:lineRule="exact"/>
        <w:jc w:val="both"/>
        <w:rPr>
          <w:rFonts w:ascii="Arial" w:hAnsi="Arial" w:cs="Arial"/>
          <w:rtl/>
        </w:rPr>
      </w:pPr>
      <w:r w:rsidRPr="00DE204F">
        <w:rPr>
          <w:rFonts w:cs="David" w:hint="cs"/>
          <w:b/>
          <w:bCs/>
          <w:sz w:val="24"/>
          <w:szCs w:val="24"/>
          <w:rtl/>
        </w:rPr>
        <w:t xml:space="preserve">ייקבע סכום מקסימום לפיצוי </w:t>
      </w:r>
      <w:r w:rsidRPr="005241B7">
        <w:rPr>
          <w:rFonts w:cs="David"/>
          <w:sz w:val="24"/>
          <w:szCs w:val="24"/>
          <w:rtl/>
        </w:rPr>
        <w:t>–</w:t>
      </w:r>
      <w:r w:rsidRPr="005241B7">
        <w:rPr>
          <w:rFonts w:cs="David" w:hint="cs"/>
          <w:sz w:val="24"/>
          <w:szCs w:val="24"/>
          <w:rtl/>
        </w:rPr>
        <w:t xml:space="preserve"> ש</w:t>
      </w:r>
      <w:r w:rsidR="00993C17" w:rsidRPr="005241B7">
        <w:rPr>
          <w:rFonts w:cs="David"/>
          <w:sz w:val="24"/>
          <w:szCs w:val="24"/>
          <w:rtl/>
        </w:rPr>
        <w:t xml:space="preserve">לא יעלה על </w:t>
      </w:r>
      <w:r w:rsidR="00993C17" w:rsidRPr="005241B7">
        <w:rPr>
          <w:rFonts w:cs="David" w:hint="cs"/>
          <w:sz w:val="24"/>
          <w:szCs w:val="24"/>
          <w:rtl/>
        </w:rPr>
        <w:t>פי</w:t>
      </w:r>
      <w:r w:rsidR="00993C17" w:rsidRPr="005241B7">
        <w:rPr>
          <w:rFonts w:cs="David"/>
          <w:sz w:val="24"/>
          <w:szCs w:val="24"/>
          <w:rtl/>
        </w:rPr>
        <w:t xml:space="preserve"> שלושה </w:t>
      </w:r>
      <w:r w:rsidR="00993C17" w:rsidRPr="005241B7">
        <w:rPr>
          <w:rFonts w:cs="David" w:hint="cs"/>
          <w:sz w:val="24"/>
          <w:szCs w:val="24"/>
          <w:rtl/>
        </w:rPr>
        <w:t xml:space="preserve">מסכום </w:t>
      </w:r>
      <w:r w:rsidR="00993C17" w:rsidRPr="005241B7">
        <w:rPr>
          <w:rFonts w:cs="David"/>
          <w:sz w:val="24"/>
          <w:szCs w:val="24"/>
          <w:rtl/>
        </w:rPr>
        <w:t xml:space="preserve">תגמולי </w:t>
      </w:r>
      <w:r w:rsidR="00993C17" w:rsidRPr="005241B7">
        <w:rPr>
          <w:rFonts w:cs="David" w:hint="cs"/>
          <w:sz w:val="24"/>
          <w:szCs w:val="24"/>
          <w:rtl/>
        </w:rPr>
        <w:t>ה</w:t>
      </w:r>
      <w:r w:rsidR="00993C17" w:rsidRPr="005241B7">
        <w:rPr>
          <w:rFonts w:cs="David"/>
          <w:sz w:val="24"/>
          <w:szCs w:val="24"/>
          <w:rtl/>
        </w:rPr>
        <w:t xml:space="preserve">ביטוח שהיה </w:t>
      </w:r>
      <w:r w:rsidR="00DE204F">
        <w:rPr>
          <w:rFonts w:cs="David" w:hint="cs"/>
          <w:sz w:val="24"/>
          <w:szCs w:val="24"/>
          <w:rtl/>
        </w:rPr>
        <w:t>על המבטח</w:t>
      </w:r>
      <w:r w:rsidR="00993C17" w:rsidRPr="005241B7">
        <w:rPr>
          <w:rFonts w:cs="David"/>
          <w:sz w:val="24"/>
          <w:szCs w:val="24"/>
          <w:rtl/>
        </w:rPr>
        <w:t xml:space="preserve"> לשלם.</w:t>
      </w:r>
    </w:p>
    <w:p w:rsidR="009108CF" w:rsidRDefault="009108CF" w:rsidP="00E323DB">
      <w:pPr>
        <w:spacing w:after="0" w:line="300" w:lineRule="exact"/>
        <w:jc w:val="both"/>
        <w:rPr>
          <w:rFonts w:cs="David"/>
          <w:sz w:val="24"/>
          <w:szCs w:val="24"/>
          <w:u w:val="single"/>
          <w:rtl/>
        </w:rPr>
      </w:pPr>
    </w:p>
    <w:p w:rsidR="00993C17" w:rsidRPr="00CA2CB6" w:rsidRDefault="00993C17" w:rsidP="00E323DB">
      <w:pPr>
        <w:spacing w:after="0" w:line="300" w:lineRule="exact"/>
        <w:jc w:val="both"/>
        <w:rPr>
          <w:rFonts w:cs="David"/>
          <w:sz w:val="24"/>
          <w:szCs w:val="24"/>
          <w:u w:val="single"/>
          <w:rtl/>
        </w:rPr>
      </w:pPr>
      <w:r w:rsidRPr="00CA2CB6">
        <w:rPr>
          <w:rFonts w:cs="David" w:hint="cs"/>
          <w:sz w:val="24"/>
          <w:szCs w:val="24"/>
          <w:u w:val="single"/>
          <w:rtl/>
        </w:rPr>
        <w:t>נקודות</w:t>
      </w:r>
      <w:r w:rsidRPr="00CA2CB6">
        <w:rPr>
          <w:rFonts w:cs="David"/>
          <w:sz w:val="24"/>
          <w:szCs w:val="24"/>
          <w:u w:val="single"/>
          <w:rtl/>
        </w:rPr>
        <w:t xml:space="preserve"> </w:t>
      </w:r>
      <w:r w:rsidRPr="00CA2CB6">
        <w:rPr>
          <w:rFonts w:cs="David" w:hint="cs"/>
          <w:sz w:val="24"/>
          <w:szCs w:val="24"/>
          <w:u w:val="single"/>
          <w:rtl/>
        </w:rPr>
        <w:t>לדיון</w:t>
      </w:r>
      <w:r>
        <w:rPr>
          <w:rFonts w:cs="David" w:hint="cs"/>
          <w:sz w:val="24"/>
          <w:szCs w:val="24"/>
          <w:u w:val="single"/>
          <w:rtl/>
        </w:rPr>
        <w:t xml:space="preserve"> </w:t>
      </w:r>
    </w:p>
    <w:p w:rsidR="009108CF" w:rsidRDefault="006E1EDF" w:rsidP="009108CF">
      <w:pPr>
        <w:pStyle w:val="a3"/>
        <w:numPr>
          <w:ilvl w:val="0"/>
          <w:numId w:val="4"/>
        </w:numPr>
        <w:spacing w:after="0" w:line="300" w:lineRule="exact"/>
        <w:jc w:val="both"/>
        <w:rPr>
          <w:rFonts w:cs="David"/>
          <w:sz w:val="24"/>
          <w:szCs w:val="24"/>
        </w:rPr>
      </w:pPr>
      <w:r w:rsidRPr="005B7754">
        <w:rPr>
          <w:rFonts w:cs="David" w:hint="cs"/>
          <w:b/>
          <w:bCs/>
          <w:sz w:val="24"/>
          <w:szCs w:val="24"/>
          <w:rtl/>
        </w:rPr>
        <w:t>מוצע לדון בהסרת היסוד של תום לב</w:t>
      </w:r>
      <w:r w:rsidRPr="005B7754">
        <w:rPr>
          <w:rFonts w:cs="David" w:hint="cs"/>
          <w:sz w:val="24"/>
          <w:szCs w:val="24"/>
          <w:rtl/>
        </w:rPr>
        <w:t xml:space="preserve"> </w:t>
      </w:r>
      <w:r w:rsidRPr="005B7754">
        <w:rPr>
          <w:rFonts w:cs="David"/>
          <w:sz w:val="24"/>
          <w:szCs w:val="24"/>
          <w:rtl/>
        </w:rPr>
        <w:t>–</w:t>
      </w:r>
      <w:r w:rsidRPr="005B7754">
        <w:rPr>
          <w:rFonts w:cs="David" w:hint="cs"/>
          <w:sz w:val="24"/>
          <w:szCs w:val="24"/>
          <w:rtl/>
        </w:rPr>
        <w:t xml:space="preserve"> </w:t>
      </w:r>
      <w:r w:rsidR="00E323DB">
        <w:rPr>
          <w:rFonts w:cs="David" w:hint="cs"/>
          <w:sz w:val="24"/>
          <w:szCs w:val="24"/>
          <w:rtl/>
        </w:rPr>
        <w:t xml:space="preserve">מאחר שהריבית המיוחדת לפי סעיף 28א היא למעשה פיצוי עונשי שנועד בעיקר לתכלית הרתעתית, קיים קושי </w:t>
      </w:r>
      <w:r w:rsidR="00DE204F">
        <w:rPr>
          <w:rFonts w:cs="David" w:hint="cs"/>
          <w:sz w:val="24"/>
          <w:szCs w:val="24"/>
          <w:rtl/>
        </w:rPr>
        <w:t xml:space="preserve">רב </w:t>
      </w:r>
      <w:r w:rsidR="005B1B1A">
        <w:rPr>
          <w:rFonts w:cs="David" w:hint="cs"/>
          <w:sz w:val="24"/>
          <w:szCs w:val="24"/>
          <w:rtl/>
        </w:rPr>
        <w:t>להטיל</w:t>
      </w:r>
      <w:r w:rsidR="00E323DB">
        <w:rPr>
          <w:rFonts w:cs="David" w:hint="cs"/>
          <w:sz w:val="24"/>
          <w:szCs w:val="24"/>
          <w:rtl/>
        </w:rPr>
        <w:t xml:space="preserve"> תשלום מסוג זה </w:t>
      </w:r>
      <w:r w:rsidR="005B1B1A">
        <w:rPr>
          <w:rFonts w:cs="David" w:hint="cs"/>
          <w:sz w:val="24"/>
          <w:szCs w:val="24"/>
          <w:rtl/>
        </w:rPr>
        <w:t>בהיעדר</w:t>
      </w:r>
      <w:r w:rsidR="00E323DB">
        <w:rPr>
          <w:rFonts w:cs="David" w:hint="cs"/>
          <w:sz w:val="24"/>
          <w:szCs w:val="24"/>
          <w:rtl/>
        </w:rPr>
        <w:t xml:space="preserve"> יסוד של התנהגות בלתי ראויה (או הפרה של כלל ברור כלשהו). </w:t>
      </w:r>
    </w:p>
    <w:p w:rsidR="006E1EDF" w:rsidRPr="009108CF" w:rsidRDefault="005B7754" w:rsidP="009108CF">
      <w:pPr>
        <w:pStyle w:val="a3"/>
        <w:spacing w:after="0" w:line="300" w:lineRule="exact"/>
        <w:ind w:left="360" w:firstLine="360"/>
        <w:jc w:val="both"/>
        <w:rPr>
          <w:rFonts w:cs="David"/>
          <w:sz w:val="24"/>
          <w:szCs w:val="24"/>
        </w:rPr>
      </w:pPr>
      <w:r w:rsidRPr="009108CF">
        <w:rPr>
          <w:rFonts w:cs="David" w:hint="cs"/>
          <w:sz w:val="24"/>
          <w:szCs w:val="24"/>
          <w:rtl/>
        </w:rPr>
        <w:t xml:space="preserve">לפי ההצעה, בכל פעם שתביעת הביטוח לא נענית במלואה בתוך 30 ימים, יוטל על חברת הביטוח לשלם פיצוי עונשי. זאת, בעוד שייתכן שבחלק מהמקרים </w:t>
      </w:r>
      <w:r w:rsidR="009108CF" w:rsidRPr="009108CF">
        <w:rPr>
          <w:rFonts w:cs="David" w:hint="cs"/>
          <w:sz w:val="24"/>
          <w:szCs w:val="24"/>
          <w:rtl/>
        </w:rPr>
        <w:t>תביעת המבוטח אינה מוצדקת במלואה</w:t>
      </w:r>
      <w:r w:rsidRPr="009108CF">
        <w:rPr>
          <w:rFonts w:cs="David" w:hint="cs"/>
          <w:sz w:val="24"/>
          <w:szCs w:val="24"/>
          <w:rtl/>
        </w:rPr>
        <w:t xml:space="preserve">. כלל כזה אינו רצוי ולו מן הטעם שהוא עלול להוביל להמשך התדיינויות בבתי המשפט, כשחברת הביטוח תהיה זו שתובעת את המבוטח להשבת סכומים ששילמה לו ביתר. </w:t>
      </w:r>
      <w:r w:rsidR="00B71047" w:rsidRPr="009108CF">
        <w:rPr>
          <w:rFonts w:cs="David" w:hint="cs"/>
          <w:sz w:val="24"/>
          <w:szCs w:val="24"/>
          <w:rtl/>
        </w:rPr>
        <w:t xml:space="preserve">גם בפסיקה, צוין לא אחת כי </w:t>
      </w:r>
      <w:r w:rsidR="00B71047" w:rsidRPr="009108CF">
        <w:rPr>
          <w:rFonts w:cs="David" w:hint="cs"/>
          <w:b/>
          <w:bCs/>
          <w:sz w:val="24"/>
          <w:szCs w:val="24"/>
          <w:rtl/>
        </w:rPr>
        <w:t>ההצדקה לפסוק את הריבית המיוחדת לפי סעיף 28א, שתכליתה להעניש ולהרתיע את המבטח, נעוצה בהתנהגותו חסרת תום הלב</w:t>
      </w:r>
      <w:r w:rsidR="00B22584" w:rsidRPr="009108CF">
        <w:rPr>
          <w:rFonts w:cs="David" w:hint="cs"/>
          <w:sz w:val="24"/>
          <w:szCs w:val="24"/>
          <w:rtl/>
        </w:rPr>
        <w:t>. כך</w:t>
      </w:r>
      <w:r w:rsidR="00DE204F" w:rsidRPr="009108CF">
        <w:rPr>
          <w:rFonts w:cs="David" w:hint="cs"/>
          <w:sz w:val="24"/>
          <w:szCs w:val="24"/>
          <w:rtl/>
        </w:rPr>
        <w:t xml:space="preserve"> למשל</w:t>
      </w:r>
      <w:r w:rsidR="00B22584" w:rsidRPr="009108CF">
        <w:rPr>
          <w:rFonts w:cs="David" w:hint="cs"/>
          <w:sz w:val="24"/>
          <w:szCs w:val="24"/>
          <w:rtl/>
        </w:rPr>
        <w:t xml:space="preserve"> נפסק</w:t>
      </w:r>
      <w:r w:rsidR="00DE204F" w:rsidRPr="009108CF">
        <w:rPr>
          <w:rFonts w:cs="David" w:hint="cs"/>
          <w:sz w:val="24"/>
          <w:szCs w:val="24"/>
          <w:rtl/>
        </w:rPr>
        <w:t>,</w:t>
      </w:r>
      <w:r w:rsidR="00B22584" w:rsidRPr="009108CF">
        <w:rPr>
          <w:rFonts w:cs="David" w:hint="cs"/>
          <w:sz w:val="24"/>
          <w:szCs w:val="24"/>
          <w:rtl/>
        </w:rPr>
        <w:t xml:space="preserve"> כי השימוש בסעיף זה ייעשה "</w:t>
      </w:r>
      <w:r w:rsidR="00B22584" w:rsidRPr="009108CF">
        <w:rPr>
          <w:rFonts w:cs="David"/>
          <w:sz w:val="24"/>
          <w:szCs w:val="24"/>
          <w:rtl/>
        </w:rPr>
        <w:t>באותם מקרים שחברת הביטוח עשתה שימוש בהליך המשפטי כאמצעי לעכב את התשלום ולהתיש את המבוטח</w:t>
      </w:r>
      <w:r w:rsidR="00B22584" w:rsidRPr="009108CF">
        <w:rPr>
          <w:rFonts w:cs="David" w:hint="cs"/>
          <w:sz w:val="24"/>
          <w:szCs w:val="24"/>
          <w:rtl/>
        </w:rPr>
        <w:t>"</w:t>
      </w:r>
      <w:r w:rsidR="00DE204F" w:rsidRPr="009108CF">
        <w:rPr>
          <w:rFonts w:cs="David" w:hint="cs"/>
          <w:sz w:val="24"/>
          <w:szCs w:val="24"/>
          <w:rtl/>
        </w:rPr>
        <w:t>.</w:t>
      </w:r>
      <w:r w:rsidR="00B22584">
        <w:rPr>
          <w:rStyle w:val="a6"/>
          <w:rFonts w:cs="David"/>
          <w:sz w:val="24"/>
          <w:szCs w:val="24"/>
          <w:rtl/>
        </w:rPr>
        <w:footnoteReference w:id="12"/>
      </w:r>
    </w:p>
    <w:p w:rsidR="00D631B0" w:rsidRPr="009108CF" w:rsidRDefault="00D631B0" w:rsidP="00E323DB">
      <w:pPr>
        <w:pStyle w:val="a3"/>
        <w:spacing w:after="0" w:line="300" w:lineRule="exact"/>
        <w:jc w:val="both"/>
        <w:rPr>
          <w:rFonts w:cs="David"/>
          <w:sz w:val="4"/>
          <w:szCs w:val="4"/>
        </w:rPr>
      </w:pPr>
    </w:p>
    <w:p w:rsidR="00433D32" w:rsidRPr="009271D0" w:rsidRDefault="006E1EDF" w:rsidP="009108CF">
      <w:pPr>
        <w:pStyle w:val="a3"/>
        <w:numPr>
          <w:ilvl w:val="0"/>
          <w:numId w:val="4"/>
        </w:numPr>
        <w:spacing w:after="0" w:line="300" w:lineRule="exact"/>
        <w:jc w:val="both"/>
        <w:rPr>
          <w:rFonts w:cs="David"/>
          <w:sz w:val="24"/>
          <w:szCs w:val="24"/>
        </w:rPr>
      </w:pPr>
      <w:r w:rsidRPr="005B7754">
        <w:rPr>
          <w:rFonts w:cs="David" w:hint="cs"/>
          <w:b/>
          <w:bCs/>
          <w:sz w:val="24"/>
          <w:szCs w:val="24"/>
          <w:rtl/>
        </w:rPr>
        <w:t>מוצע לדון בשאלה של קביעת סכום מינימום לפיצוי</w:t>
      </w:r>
      <w:r w:rsidR="005B7754" w:rsidRPr="005B7754">
        <w:rPr>
          <w:rFonts w:cs="David" w:hint="cs"/>
          <w:b/>
          <w:bCs/>
          <w:sz w:val="24"/>
          <w:szCs w:val="24"/>
          <w:rtl/>
        </w:rPr>
        <w:t xml:space="preserve"> </w:t>
      </w:r>
      <w:r w:rsidR="005B7754" w:rsidRPr="005B7754">
        <w:rPr>
          <w:rFonts w:cs="David"/>
          <w:sz w:val="24"/>
          <w:szCs w:val="24"/>
          <w:rtl/>
        </w:rPr>
        <w:t>–</w:t>
      </w:r>
      <w:r w:rsidR="0085011A">
        <w:rPr>
          <w:rFonts w:cs="David" w:hint="cs"/>
          <w:sz w:val="24"/>
          <w:szCs w:val="24"/>
          <w:rtl/>
        </w:rPr>
        <w:t xml:space="preserve"> </w:t>
      </w:r>
      <w:r w:rsidR="009271D0">
        <w:rPr>
          <w:rFonts w:cs="David" w:hint="cs"/>
          <w:sz w:val="24"/>
          <w:szCs w:val="24"/>
          <w:rtl/>
        </w:rPr>
        <w:t xml:space="preserve">פיצוי עונשי הוא חריג מטיבו, וקיים קושי להגביל את שיקול הדעת של בית המשפט באמצעות קביעת סכום מינימום. בשל היסודות העונשיים שבו, </w:t>
      </w:r>
      <w:r w:rsidR="002F7467" w:rsidRPr="009271D0">
        <w:rPr>
          <w:rFonts w:cs="David" w:hint="cs"/>
          <w:sz w:val="24"/>
          <w:szCs w:val="24"/>
          <w:rtl/>
        </w:rPr>
        <w:t xml:space="preserve">מן הראוי </w:t>
      </w:r>
      <w:r w:rsidR="0085011A" w:rsidRPr="009271D0">
        <w:rPr>
          <w:rFonts w:cs="David" w:hint="cs"/>
          <w:sz w:val="24"/>
          <w:szCs w:val="24"/>
          <w:rtl/>
        </w:rPr>
        <w:t xml:space="preserve">לאפשר </w:t>
      </w:r>
      <w:r w:rsidR="009271D0">
        <w:rPr>
          <w:rFonts w:cs="David" w:hint="cs"/>
          <w:sz w:val="24"/>
          <w:szCs w:val="24"/>
          <w:rtl/>
        </w:rPr>
        <w:t xml:space="preserve">לבית המשפט </w:t>
      </w:r>
      <w:r w:rsidR="0085011A" w:rsidRPr="009271D0">
        <w:rPr>
          <w:rFonts w:cs="David" w:hint="cs"/>
          <w:sz w:val="24"/>
          <w:szCs w:val="24"/>
          <w:rtl/>
        </w:rPr>
        <w:t xml:space="preserve">להתאים את גובהו של הפיצוי </w:t>
      </w:r>
      <w:r w:rsidR="009108CF">
        <w:rPr>
          <w:rFonts w:cs="David" w:hint="cs"/>
          <w:sz w:val="24"/>
          <w:szCs w:val="24"/>
          <w:rtl/>
        </w:rPr>
        <w:t>כך</w:t>
      </w:r>
      <w:r w:rsidR="0085011A" w:rsidRPr="009271D0">
        <w:rPr>
          <w:rFonts w:cs="David" w:hint="cs"/>
          <w:sz w:val="24"/>
          <w:szCs w:val="24"/>
          <w:rtl/>
        </w:rPr>
        <w:t xml:space="preserve"> </w:t>
      </w:r>
      <w:r w:rsidR="009108CF">
        <w:rPr>
          <w:rFonts w:cs="David" w:hint="cs"/>
          <w:sz w:val="24"/>
          <w:szCs w:val="24"/>
          <w:rtl/>
        </w:rPr>
        <w:t>ש</w:t>
      </w:r>
      <w:r w:rsidR="0085011A" w:rsidRPr="009271D0">
        <w:rPr>
          <w:rFonts w:cs="David" w:hint="cs"/>
          <w:sz w:val="24"/>
          <w:szCs w:val="24"/>
          <w:rtl/>
        </w:rPr>
        <w:t xml:space="preserve">ישקף את מידת </w:t>
      </w:r>
      <w:r w:rsidR="009271D0">
        <w:rPr>
          <w:rFonts w:cs="David" w:hint="cs"/>
          <w:sz w:val="24"/>
          <w:szCs w:val="24"/>
          <w:rtl/>
        </w:rPr>
        <w:t>החומרה של</w:t>
      </w:r>
      <w:r w:rsidR="009108CF">
        <w:rPr>
          <w:rFonts w:cs="David" w:hint="cs"/>
          <w:sz w:val="24"/>
          <w:szCs w:val="24"/>
          <w:rtl/>
        </w:rPr>
        <w:t xml:space="preserve"> ההתנהגות שהובילה לפסיקתו</w:t>
      </w:r>
      <w:r w:rsidR="009271D0">
        <w:rPr>
          <w:rFonts w:cs="David" w:hint="cs"/>
          <w:sz w:val="24"/>
          <w:szCs w:val="24"/>
          <w:rtl/>
        </w:rPr>
        <w:t xml:space="preserve"> </w:t>
      </w:r>
      <w:r w:rsidR="00433D32" w:rsidRPr="009271D0">
        <w:rPr>
          <w:rFonts w:cs="David" w:hint="cs"/>
          <w:sz w:val="24"/>
          <w:szCs w:val="24"/>
          <w:rtl/>
        </w:rPr>
        <w:t xml:space="preserve">ואת </w:t>
      </w:r>
      <w:r w:rsidR="00DF63FD" w:rsidRPr="009271D0">
        <w:rPr>
          <w:rFonts w:cs="David" w:hint="cs"/>
          <w:sz w:val="24"/>
          <w:szCs w:val="24"/>
          <w:rtl/>
        </w:rPr>
        <w:t xml:space="preserve">יתר </w:t>
      </w:r>
      <w:r w:rsidR="009271D0">
        <w:rPr>
          <w:rFonts w:cs="David" w:hint="cs"/>
          <w:sz w:val="24"/>
          <w:szCs w:val="24"/>
          <w:rtl/>
        </w:rPr>
        <w:t>נסיבות המקרה</w:t>
      </w:r>
      <w:r w:rsidR="0085011A" w:rsidRPr="009271D0">
        <w:rPr>
          <w:rFonts w:cs="David" w:hint="cs"/>
          <w:sz w:val="24"/>
          <w:szCs w:val="24"/>
          <w:rtl/>
        </w:rPr>
        <w:t xml:space="preserve">. </w:t>
      </w:r>
    </w:p>
    <w:p w:rsidR="00D631B0" w:rsidRPr="00091E73" w:rsidRDefault="00D631B0" w:rsidP="00E323DB">
      <w:pPr>
        <w:pStyle w:val="a3"/>
        <w:spacing w:after="0" w:line="300" w:lineRule="exact"/>
        <w:jc w:val="both"/>
        <w:rPr>
          <w:rFonts w:cs="David"/>
          <w:sz w:val="4"/>
          <w:szCs w:val="4"/>
        </w:rPr>
      </w:pPr>
    </w:p>
    <w:p w:rsidR="009108CF" w:rsidRDefault="008678AC" w:rsidP="009A5ADA">
      <w:pPr>
        <w:pStyle w:val="a3"/>
        <w:numPr>
          <w:ilvl w:val="0"/>
          <w:numId w:val="4"/>
        </w:numPr>
        <w:spacing w:after="0" w:line="300" w:lineRule="exact"/>
        <w:jc w:val="both"/>
        <w:rPr>
          <w:rFonts w:cs="David"/>
          <w:sz w:val="24"/>
          <w:szCs w:val="24"/>
        </w:rPr>
      </w:pPr>
      <w:r>
        <w:rPr>
          <w:rFonts w:cs="David" w:hint="cs"/>
          <w:b/>
          <w:bCs/>
          <w:sz w:val="24"/>
          <w:szCs w:val="24"/>
          <w:rtl/>
        </w:rPr>
        <w:t xml:space="preserve">מוצע לדון בהצעה לקבוע סכום מקסימום שהוא פי שלושה מסכום התגמולים </w:t>
      </w:r>
      <w:r>
        <w:rPr>
          <w:rFonts w:cs="David"/>
          <w:sz w:val="24"/>
          <w:szCs w:val="24"/>
          <w:rtl/>
        </w:rPr>
        <w:t>–</w:t>
      </w:r>
      <w:r w:rsidR="009A5ADA">
        <w:rPr>
          <w:rFonts w:cs="David" w:hint="cs"/>
          <w:sz w:val="24"/>
          <w:szCs w:val="24"/>
          <w:rtl/>
        </w:rPr>
        <w:t xml:space="preserve"> </w:t>
      </w:r>
      <w:r>
        <w:rPr>
          <w:rFonts w:cs="David" w:hint="cs"/>
          <w:sz w:val="24"/>
          <w:szCs w:val="24"/>
          <w:rtl/>
        </w:rPr>
        <w:t>הפיצוי י</w:t>
      </w:r>
      <w:r w:rsidR="002F7467">
        <w:rPr>
          <w:rFonts w:cs="David" w:hint="cs"/>
          <w:sz w:val="24"/>
          <w:szCs w:val="24"/>
          <w:rtl/>
        </w:rPr>
        <w:t>וכ</w:t>
      </w:r>
      <w:r>
        <w:rPr>
          <w:rFonts w:cs="David" w:hint="cs"/>
          <w:sz w:val="24"/>
          <w:szCs w:val="24"/>
          <w:rtl/>
        </w:rPr>
        <w:t>ל להגיע לרף גבוה במיוחד</w:t>
      </w:r>
      <w:r w:rsidR="00433D32">
        <w:rPr>
          <w:rFonts w:cs="David" w:hint="cs"/>
          <w:sz w:val="24"/>
          <w:szCs w:val="24"/>
          <w:rtl/>
        </w:rPr>
        <w:t xml:space="preserve">, </w:t>
      </w:r>
      <w:r w:rsidR="009271D0">
        <w:rPr>
          <w:rFonts w:cs="David" w:hint="cs"/>
          <w:sz w:val="24"/>
          <w:szCs w:val="24"/>
          <w:rtl/>
        </w:rPr>
        <w:t>אשר אינו</w:t>
      </w:r>
      <w:r w:rsidR="00433D32">
        <w:rPr>
          <w:rFonts w:cs="David" w:hint="cs"/>
          <w:sz w:val="24"/>
          <w:szCs w:val="24"/>
          <w:rtl/>
        </w:rPr>
        <w:t xml:space="preserve"> מוגבל בסכום</w:t>
      </w:r>
      <w:r w:rsidR="009271D0">
        <w:rPr>
          <w:rFonts w:cs="David" w:hint="cs"/>
          <w:sz w:val="24"/>
          <w:szCs w:val="24"/>
          <w:rtl/>
        </w:rPr>
        <w:t>, משום שהוא תלוי בסכום התגמולים</w:t>
      </w:r>
      <w:r>
        <w:rPr>
          <w:rFonts w:cs="David" w:hint="cs"/>
          <w:sz w:val="24"/>
          <w:szCs w:val="24"/>
          <w:rtl/>
        </w:rPr>
        <w:t xml:space="preserve">. </w:t>
      </w:r>
    </w:p>
    <w:p w:rsidR="009108CF" w:rsidRPr="009108CF" w:rsidRDefault="00531697" w:rsidP="009108CF">
      <w:pPr>
        <w:pStyle w:val="a3"/>
        <w:spacing w:after="0" w:line="300" w:lineRule="exact"/>
        <w:ind w:left="360" w:firstLine="360"/>
        <w:jc w:val="both"/>
        <w:rPr>
          <w:rFonts w:cs="David"/>
          <w:sz w:val="24"/>
          <w:szCs w:val="24"/>
        </w:rPr>
      </w:pPr>
      <w:r w:rsidRPr="009108CF">
        <w:rPr>
          <w:rFonts w:cs="David" w:hint="cs"/>
          <w:sz w:val="24"/>
          <w:szCs w:val="24"/>
          <w:rtl/>
        </w:rPr>
        <w:t>במר</w:t>
      </w:r>
      <w:r w:rsidR="0028113D" w:rsidRPr="009108CF">
        <w:rPr>
          <w:rFonts w:cs="David" w:hint="cs"/>
          <w:sz w:val="24"/>
          <w:szCs w:val="24"/>
          <w:rtl/>
        </w:rPr>
        <w:t>בית המקרים הקיימים היום בחקיקה</w:t>
      </w:r>
      <w:r w:rsidRPr="009108CF">
        <w:rPr>
          <w:rFonts w:cs="David" w:hint="cs"/>
          <w:sz w:val="24"/>
          <w:szCs w:val="24"/>
          <w:rtl/>
        </w:rPr>
        <w:t xml:space="preserve"> </w:t>
      </w:r>
      <w:r w:rsidRPr="009108CF">
        <w:rPr>
          <w:rFonts w:cs="David" w:hint="cs"/>
          <w:sz w:val="24"/>
          <w:szCs w:val="24"/>
          <w:u w:val="single"/>
          <w:rtl/>
        </w:rPr>
        <w:t xml:space="preserve">סכום </w:t>
      </w:r>
      <w:r w:rsidR="0028113D" w:rsidRPr="009108CF">
        <w:rPr>
          <w:rFonts w:cs="David" w:hint="cs"/>
          <w:sz w:val="24"/>
          <w:szCs w:val="24"/>
          <w:u w:val="single"/>
          <w:rtl/>
        </w:rPr>
        <w:t>הפיצוי המקסימלי קבוע</w:t>
      </w:r>
      <w:r w:rsidRPr="009108CF">
        <w:rPr>
          <w:rFonts w:cs="David" w:hint="cs"/>
          <w:sz w:val="24"/>
          <w:szCs w:val="24"/>
          <w:u w:val="single"/>
          <w:rtl/>
        </w:rPr>
        <w:t xml:space="preserve"> בחוק</w:t>
      </w:r>
      <w:r w:rsidR="004A7CF6" w:rsidRPr="009108CF">
        <w:rPr>
          <w:rFonts w:cs="David" w:hint="cs"/>
          <w:sz w:val="24"/>
          <w:szCs w:val="24"/>
          <w:rtl/>
        </w:rPr>
        <w:t xml:space="preserve"> </w:t>
      </w:r>
      <w:r w:rsidR="004A7CF6" w:rsidRPr="009108CF">
        <w:rPr>
          <w:rFonts w:cs="David"/>
          <w:sz w:val="24"/>
          <w:szCs w:val="24"/>
          <w:rtl/>
        </w:rPr>
        <w:t>–</w:t>
      </w:r>
      <w:r w:rsidR="004A7CF6" w:rsidRPr="009108CF">
        <w:rPr>
          <w:rFonts w:cs="David" w:hint="cs"/>
          <w:sz w:val="24"/>
          <w:szCs w:val="24"/>
          <w:rtl/>
        </w:rPr>
        <w:t xml:space="preserve"> </w:t>
      </w:r>
      <w:r w:rsidRPr="009108CF">
        <w:rPr>
          <w:rFonts w:cs="David" w:hint="cs"/>
          <w:sz w:val="24"/>
          <w:szCs w:val="24"/>
          <w:rtl/>
        </w:rPr>
        <w:t>למשל</w:t>
      </w:r>
      <w:r w:rsidR="004A7CF6" w:rsidRPr="009108CF">
        <w:rPr>
          <w:rFonts w:cs="David" w:hint="cs"/>
          <w:sz w:val="24"/>
          <w:szCs w:val="24"/>
          <w:rtl/>
        </w:rPr>
        <w:t>,</w:t>
      </w:r>
      <w:r w:rsidRPr="009108CF">
        <w:rPr>
          <w:rFonts w:cs="David" w:hint="cs"/>
          <w:sz w:val="24"/>
          <w:szCs w:val="24"/>
          <w:rtl/>
        </w:rPr>
        <w:t xml:space="preserve"> בהפרה של חובת מעסיק שלא לפטר עובד שהתלונן נגדו</w:t>
      </w:r>
      <w:r w:rsidR="00D631B0" w:rsidRPr="00531697">
        <w:rPr>
          <w:rStyle w:val="a6"/>
          <w:rFonts w:cs="David"/>
          <w:sz w:val="26"/>
          <w:szCs w:val="26"/>
          <w:rtl/>
        </w:rPr>
        <w:footnoteReference w:id="13"/>
      </w:r>
      <w:r w:rsidR="00D631B0" w:rsidRPr="009108CF">
        <w:rPr>
          <w:rFonts w:cs="David" w:hint="cs"/>
          <w:sz w:val="24"/>
          <w:szCs w:val="24"/>
          <w:rtl/>
        </w:rPr>
        <w:t xml:space="preserve"> </w:t>
      </w:r>
      <w:r w:rsidRPr="009108CF">
        <w:rPr>
          <w:rFonts w:cs="David" w:hint="cs"/>
          <w:sz w:val="24"/>
          <w:szCs w:val="24"/>
          <w:rtl/>
        </w:rPr>
        <w:t>ניתן לפסוק 50,000 ₪, אך בית הדין רשאי לפסוק פיצויים לדוגמה בסכום ש</w:t>
      </w:r>
      <w:r w:rsidR="0028113D" w:rsidRPr="009108CF">
        <w:rPr>
          <w:rFonts w:cs="David" w:hint="cs"/>
          <w:sz w:val="24"/>
          <w:szCs w:val="24"/>
          <w:rtl/>
        </w:rPr>
        <w:t xml:space="preserve">לא יעלה על 500,000 שקלים חדשים </w:t>
      </w:r>
      <w:r w:rsidRPr="009108CF">
        <w:rPr>
          <w:rFonts w:cs="David" w:hint="cs"/>
          <w:sz w:val="24"/>
          <w:szCs w:val="24"/>
          <w:rtl/>
        </w:rPr>
        <w:t>בשל חומרת ההפרה או נסיבות הנוגעות להפרה, לרבות התנהגות המפר או היותה הפרה חוזרת;</w:t>
      </w:r>
    </w:p>
    <w:p w:rsidR="00531697" w:rsidRPr="009108CF" w:rsidRDefault="00531697" w:rsidP="009108CF">
      <w:pPr>
        <w:pStyle w:val="a3"/>
        <w:spacing w:after="0" w:line="300" w:lineRule="exact"/>
        <w:ind w:left="360" w:firstLine="360"/>
        <w:jc w:val="both"/>
        <w:rPr>
          <w:rFonts w:cs="David"/>
          <w:sz w:val="24"/>
          <w:szCs w:val="24"/>
          <w:rtl/>
        </w:rPr>
      </w:pPr>
      <w:r w:rsidRPr="009108CF">
        <w:rPr>
          <w:rFonts w:cs="David" w:hint="cs"/>
          <w:sz w:val="24"/>
          <w:szCs w:val="24"/>
          <w:rtl/>
        </w:rPr>
        <w:t xml:space="preserve">לצד זאת, </w:t>
      </w:r>
      <w:r w:rsidRPr="009108CF">
        <w:rPr>
          <w:rFonts w:cs="David" w:hint="cs"/>
          <w:sz w:val="24"/>
          <w:szCs w:val="24"/>
          <w:u w:val="single"/>
          <w:rtl/>
        </w:rPr>
        <w:t>יש מקרים שבהם אין הגבלה ברורה בסכום</w:t>
      </w:r>
      <w:r w:rsidRPr="009108CF">
        <w:rPr>
          <w:rFonts w:cs="David" w:hint="cs"/>
          <w:sz w:val="24"/>
          <w:szCs w:val="24"/>
          <w:rtl/>
        </w:rPr>
        <w:t xml:space="preserve"> </w:t>
      </w:r>
      <w:r w:rsidRPr="009108CF">
        <w:rPr>
          <w:rFonts w:cs="David"/>
          <w:sz w:val="24"/>
          <w:szCs w:val="24"/>
          <w:rtl/>
        </w:rPr>
        <w:t>–</w:t>
      </w:r>
      <w:r w:rsidR="009108CF">
        <w:rPr>
          <w:rFonts w:cs="David" w:hint="cs"/>
          <w:sz w:val="24"/>
          <w:szCs w:val="24"/>
          <w:rtl/>
        </w:rPr>
        <w:t xml:space="preserve"> </w:t>
      </w:r>
      <w:r w:rsidRPr="009108CF">
        <w:rPr>
          <w:rFonts w:cs="David" w:hint="cs"/>
          <w:sz w:val="24"/>
          <w:szCs w:val="24"/>
          <w:rtl/>
        </w:rPr>
        <w:t>למשל</w:t>
      </w:r>
      <w:r w:rsidR="009108CF">
        <w:rPr>
          <w:rFonts w:cs="David" w:hint="cs"/>
          <w:sz w:val="24"/>
          <w:szCs w:val="24"/>
          <w:rtl/>
        </w:rPr>
        <w:t>,</w:t>
      </w:r>
      <w:r w:rsidRPr="009108CF">
        <w:rPr>
          <w:rFonts w:cs="David" w:hint="cs"/>
          <w:sz w:val="24"/>
          <w:szCs w:val="24"/>
          <w:rtl/>
        </w:rPr>
        <w:t xml:space="preserve"> ניתן לחייב מעסיק שהפר הוראות </w:t>
      </w:r>
      <w:r w:rsidR="004A7CF6" w:rsidRPr="009108CF">
        <w:rPr>
          <w:rFonts w:cs="David" w:hint="cs"/>
          <w:sz w:val="24"/>
          <w:szCs w:val="24"/>
          <w:rtl/>
        </w:rPr>
        <w:t>ב</w:t>
      </w:r>
      <w:r w:rsidRPr="009108CF">
        <w:rPr>
          <w:rFonts w:cs="David" w:hint="cs"/>
          <w:sz w:val="24"/>
          <w:szCs w:val="24"/>
          <w:rtl/>
        </w:rPr>
        <w:t xml:space="preserve">חוק הגנת השכר בפיצויים לדוגמה </w:t>
      </w:r>
      <w:r w:rsidR="0028113D" w:rsidRPr="009108CF">
        <w:rPr>
          <w:rFonts w:cs="David" w:hint="cs"/>
          <w:sz w:val="24"/>
          <w:szCs w:val="24"/>
          <w:rtl/>
        </w:rPr>
        <w:t>של עד</w:t>
      </w:r>
      <w:r w:rsidRPr="009108CF">
        <w:rPr>
          <w:rFonts w:cs="David" w:hint="cs"/>
          <w:sz w:val="24"/>
          <w:szCs w:val="24"/>
          <w:rtl/>
        </w:rPr>
        <w:t xml:space="preserve"> 5,000 ש"ח</w:t>
      </w:r>
      <w:r w:rsidR="009108CF">
        <w:rPr>
          <w:rFonts w:cs="David" w:hint="cs"/>
          <w:sz w:val="24"/>
          <w:szCs w:val="24"/>
          <w:rtl/>
        </w:rPr>
        <w:t xml:space="preserve">, אך </w:t>
      </w:r>
      <w:r w:rsidRPr="009108CF">
        <w:rPr>
          <w:rFonts w:cs="David" w:hint="cs"/>
          <w:sz w:val="24"/>
          <w:szCs w:val="24"/>
          <w:rtl/>
        </w:rPr>
        <w:t>בית הדין לעבודה רשאי "לפסוק פיצוי בסכום אחר". יש לשים לב, כי במקרה זה יש נקודת ייחוס ברורה של 5,000 ₪, וכן, בית הדין יהיה חייב לנמק את החלטתו לסטות מסכום זה ב"טעמים מיוחדים שיירשמו".</w:t>
      </w:r>
      <w:r w:rsidR="00D15A1A">
        <w:rPr>
          <w:rStyle w:val="a6"/>
          <w:rFonts w:cs="David"/>
          <w:sz w:val="24"/>
          <w:szCs w:val="24"/>
          <w:rtl/>
        </w:rPr>
        <w:footnoteReference w:id="14"/>
      </w:r>
      <w:r w:rsidRPr="009108CF">
        <w:rPr>
          <w:rFonts w:cs="David" w:hint="cs"/>
          <w:sz w:val="24"/>
          <w:szCs w:val="24"/>
          <w:rtl/>
        </w:rPr>
        <w:t xml:space="preserve"> </w:t>
      </w:r>
    </w:p>
    <w:p w:rsidR="00D15A1A" w:rsidRPr="009108CF" w:rsidRDefault="00FD3D68" w:rsidP="009A5ADA">
      <w:pPr>
        <w:pStyle w:val="a3"/>
        <w:spacing w:after="0" w:line="300" w:lineRule="exact"/>
        <w:ind w:left="360" w:firstLine="360"/>
        <w:jc w:val="both"/>
        <w:rPr>
          <w:rFonts w:cs="David"/>
          <w:sz w:val="24"/>
          <w:szCs w:val="24"/>
          <w:rtl/>
        </w:rPr>
      </w:pPr>
      <w:r w:rsidRPr="0028113D">
        <w:rPr>
          <w:rFonts w:cs="David" w:hint="cs"/>
          <w:sz w:val="24"/>
          <w:szCs w:val="24"/>
          <w:rtl/>
        </w:rPr>
        <w:t>יצוין כי</w:t>
      </w:r>
      <w:r w:rsidR="00D15A1A" w:rsidRPr="0028113D">
        <w:rPr>
          <w:rFonts w:cs="David" w:hint="cs"/>
          <w:sz w:val="24"/>
          <w:szCs w:val="24"/>
          <w:rtl/>
        </w:rPr>
        <w:t xml:space="preserve"> </w:t>
      </w:r>
      <w:r w:rsidR="00D15A1A" w:rsidRPr="0028113D">
        <w:rPr>
          <w:rFonts w:cs="David" w:hint="cs"/>
          <w:sz w:val="24"/>
          <w:szCs w:val="24"/>
          <w:u w:val="single"/>
          <w:rtl/>
        </w:rPr>
        <w:t xml:space="preserve">יש </w:t>
      </w:r>
      <w:r w:rsidRPr="0028113D">
        <w:rPr>
          <w:rFonts w:cs="David" w:hint="cs"/>
          <w:sz w:val="24"/>
          <w:szCs w:val="24"/>
          <w:u w:val="single"/>
          <w:rtl/>
        </w:rPr>
        <w:t xml:space="preserve">גם </w:t>
      </w:r>
      <w:r w:rsidR="00D15A1A" w:rsidRPr="0028113D">
        <w:rPr>
          <w:rFonts w:cs="David" w:hint="cs"/>
          <w:sz w:val="24"/>
          <w:szCs w:val="24"/>
          <w:u w:val="single"/>
          <w:rtl/>
        </w:rPr>
        <w:t>מקרים</w:t>
      </w:r>
      <w:r w:rsidRPr="0028113D">
        <w:rPr>
          <w:rFonts w:cs="David" w:hint="cs"/>
          <w:sz w:val="24"/>
          <w:szCs w:val="24"/>
          <w:u w:val="single"/>
          <w:rtl/>
        </w:rPr>
        <w:t xml:space="preserve"> מעטים</w:t>
      </w:r>
      <w:r w:rsidR="00D15A1A" w:rsidRPr="0028113D">
        <w:rPr>
          <w:rFonts w:cs="David" w:hint="cs"/>
          <w:sz w:val="24"/>
          <w:szCs w:val="24"/>
          <w:u w:val="single"/>
          <w:rtl/>
        </w:rPr>
        <w:t>, שבהם החוק אינו נוקב בסכום</w:t>
      </w:r>
      <w:r w:rsidR="00F768D2">
        <w:rPr>
          <w:rStyle w:val="a6"/>
          <w:rFonts w:cs="David"/>
          <w:sz w:val="24"/>
          <w:szCs w:val="24"/>
          <w:rtl/>
        </w:rPr>
        <w:footnoteReference w:id="15"/>
      </w:r>
      <w:r w:rsidR="00D15A1A" w:rsidRPr="0028113D">
        <w:rPr>
          <w:rFonts w:cs="David" w:hint="cs"/>
          <w:sz w:val="24"/>
          <w:szCs w:val="24"/>
          <w:rtl/>
        </w:rPr>
        <w:t xml:space="preserve"> </w:t>
      </w:r>
      <w:r w:rsidR="00D15A1A" w:rsidRPr="0028113D">
        <w:rPr>
          <w:rFonts w:cs="David"/>
          <w:sz w:val="24"/>
          <w:szCs w:val="24"/>
          <w:rtl/>
        </w:rPr>
        <w:t>–</w:t>
      </w:r>
      <w:r w:rsidR="00F768D2" w:rsidRPr="0028113D">
        <w:rPr>
          <w:rFonts w:cs="David" w:hint="cs"/>
          <w:sz w:val="24"/>
          <w:szCs w:val="24"/>
          <w:rtl/>
        </w:rPr>
        <w:t xml:space="preserve"> למשל, </w:t>
      </w:r>
      <w:r w:rsidR="009108CF">
        <w:rPr>
          <w:rFonts w:cs="David" w:hint="cs"/>
          <w:sz w:val="24"/>
          <w:szCs w:val="24"/>
          <w:rtl/>
        </w:rPr>
        <w:t xml:space="preserve">לפי חוק </w:t>
      </w:r>
      <w:r w:rsidR="009A5ADA">
        <w:rPr>
          <w:rFonts w:cs="David" w:hint="cs"/>
          <w:sz w:val="24"/>
          <w:szCs w:val="24"/>
          <w:rtl/>
        </w:rPr>
        <w:t xml:space="preserve">הפטנטים </w:t>
      </w:r>
      <w:r w:rsidR="00D15A1A" w:rsidRPr="009108CF">
        <w:rPr>
          <w:rFonts w:cs="David" w:hint="cs"/>
          <w:sz w:val="24"/>
          <w:szCs w:val="24"/>
          <w:rtl/>
        </w:rPr>
        <w:t>ניתן לתת פיצוי עונשי על הפרת פטנט</w:t>
      </w:r>
      <w:r w:rsidR="00F768D2" w:rsidRPr="009108CF">
        <w:rPr>
          <w:rFonts w:cs="David" w:hint="cs"/>
          <w:sz w:val="24"/>
          <w:szCs w:val="24"/>
          <w:rtl/>
        </w:rPr>
        <w:t>,</w:t>
      </w:r>
      <w:r w:rsidR="00D15A1A" w:rsidRPr="009108CF">
        <w:rPr>
          <w:rFonts w:cs="David" w:hint="cs"/>
          <w:sz w:val="24"/>
          <w:szCs w:val="24"/>
          <w:rtl/>
        </w:rPr>
        <w:t xml:space="preserve"> בגובה ש</w:t>
      </w:r>
      <w:r w:rsidR="00A40D54" w:rsidRPr="009108CF">
        <w:rPr>
          <w:rFonts w:cs="David" w:hint="cs"/>
          <w:sz w:val="24"/>
          <w:szCs w:val="24"/>
          <w:rtl/>
        </w:rPr>
        <w:t>לא יעלה על סכום הפיצויים שנפסק</w:t>
      </w:r>
      <w:r w:rsidR="00F768D2" w:rsidRPr="009108CF">
        <w:rPr>
          <w:rFonts w:cs="David" w:hint="cs"/>
          <w:sz w:val="24"/>
          <w:szCs w:val="24"/>
          <w:rtl/>
        </w:rPr>
        <w:t xml:space="preserve">. אך זאת </w:t>
      </w:r>
      <w:r w:rsidR="00D15A1A" w:rsidRPr="009108CF">
        <w:rPr>
          <w:rFonts w:cs="David" w:hint="cs"/>
          <w:sz w:val="24"/>
          <w:szCs w:val="24"/>
          <w:rtl/>
        </w:rPr>
        <w:t xml:space="preserve">רק במקרה </w:t>
      </w:r>
      <w:r w:rsidR="00F768D2" w:rsidRPr="009108CF">
        <w:rPr>
          <w:rFonts w:cs="David" w:hint="cs"/>
          <w:sz w:val="24"/>
          <w:szCs w:val="24"/>
          <w:rtl/>
        </w:rPr>
        <w:t>שההפרה</w:t>
      </w:r>
      <w:r w:rsidR="00D15A1A" w:rsidRPr="009108CF">
        <w:rPr>
          <w:rFonts w:cs="David" w:hint="cs"/>
          <w:sz w:val="24"/>
          <w:szCs w:val="24"/>
          <w:rtl/>
        </w:rPr>
        <w:t xml:space="preserve"> נעשתה לאחר שבעל הפטנט ה</w:t>
      </w:r>
      <w:r w:rsidR="006C4C4D" w:rsidRPr="009108CF">
        <w:rPr>
          <w:rFonts w:cs="David" w:hint="cs"/>
          <w:sz w:val="24"/>
          <w:szCs w:val="24"/>
          <w:rtl/>
        </w:rPr>
        <w:t xml:space="preserve">זהיר את המפר (כך שחוסר תום הלב </w:t>
      </w:r>
      <w:r w:rsidR="00D15A1A" w:rsidRPr="009108CF">
        <w:rPr>
          <w:rFonts w:cs="David" w:hint="cs"/>
          <w:sz w:val="24"/>
          <w:szCs w:val="24"/>
          <w:rtl/>
        </w:rPr>
        <w:t>הוא בולט).</w:t>
      </w:r>
      <w:r w:rsidR="00DE204F" w:rsidRPr="009108CF">
        <w:rPr>
          <w:rFonts w:cs="David" w:hint="cs"/>
          <w:sz w:val="24"/>
          <w:szCs w:val="24"/>
          <w:rtl/>
        </w:rPr>
        <w:t xml:space="preserve"> </w:t>
      </w:r>
      <w:r w:rsidR="00BF3739" w:rsidRPr="009108CF">
        <w:rPr>
          <w:rFonts w:cs="David" w:hint="cs"/>
          <w:sz w:val="24"/>
          <w:szCs w:val="24"/>
          <w:rtl/>
        </w:rPr>
        <w:t xml:space="preserve">להבדיל מכך, </w:t>
      </w:r>
      <w:r w:rsidR="00DE204F" w:rsidRPr="009108CF">
        <w:rPr>
          <w:rFonts w:cs="David" w:hint="cs"/>
          <w:sz w:val="24"/>
          <w:szCs w:val="24"/>
          <w:rtl/>
        </w:rPr>
        <w:t>השילוב המוצע בהצעת החוק, בין קביעת הפיצוי העונשי ברף גבוה לבין הורדת יסוד חוסר תום הלב, הוא בעייתי במיוחד.</w:t>
      </w:r>
    </w:p>
    <w:p w:rsidR="00D15A1A" w:rsidRPr="00091E73" w:rsidRDefault="00D15A1A" w:rsidP="00E323DB">
      <w:pPr>
        <w:pStyle w:val="a3"/>
        <w:spacing w:after="0" w:line="300" w:lineRule="exact"/>
        <w:ind w:firstLine="720"/>
        <w:jc w:val="both"/>
        <w:rPr>
          <w:rFonts w:cs="David"/>
          <w:sz w:val="4"/>
          <w:szCs w:val="4"/>
          <w:rtl/>
        </w:rPr>
      </w:pPr>
    </w:p>
    <w:p w:rsidR="002F7467" w:rsidRPr="00DE204F" w:rsidRDefault="00491E9C" w:rsidP="009A5ADA">
      <w:pPr>
        <w:pStyle w:val="a3"/>
        <w:numPr>
          <w:ilvl w:val="0"/>
          <w:numId w:val="4"/>
        </w:numPr>
        <w:spacing w:after="0" w:line="300" w:lineRule="exact"/>
        <w:jc w:val="both"/>
        <w:rPr>
          <w:rFonts w:cs="David"/>
          <w:sz w:val="24"/>
          <w:szCs w:val="24"/>
        </w:rPr>
      </w:pPr>
      <w:r w:rsidRPr="002F7467">
        <w:rPr>
          <w:rFonts w:cs="David" w:hint="cs"/>
          <w:sz w:val="24"/>
          <w:szCs w:val="24"/>
          <w:rtl/>
        </w:rPr>
        <w:t>מוצע לבחון האם הפתרון המוצע הוא</w:t>
      </w:r>
      <w:r w:rsidR="002F7467" w:rsidRPr="002F7467">
        <w:rPr>
          <w:rFonts w:cs="David" w:hint="cs"/>
          <w:sz w:val="24"/>
          <w:szCs w:val="24"/>
          <w:rtl/>
        </w:rPr>
        <w:t xml:space="preserve"> הכלי האפקטיבי לטפל בבעיה שאותה מציפה הצעת החוק</w:t>
      </w:r>
      <w:r w:rsidR="00E726FA" w:rsidRPr="002F7467">
        <w:rPr>
          <w:rFonts w:cs="David" w:hint="cs"/>
          <w:sz w:val="24"/>
          <w:szCs w:val="24"/>
          <w:rtl/>
        </w:rPr>
        <w:t>, והאם קשייו לא עולים על יתרונותיו</w:t>
      </w:r>
      <w:r w:rsidRPr="002F7467">
        <w:rPr>
          <w:rFonts w:cs="David" w:hint="cs"/>
          <w:sz w:val="24"/>
          <w:szCs w:val="24"/>
          <w:rtl/>
        </w:rPr>
        <w:t xml:space="preserve">. </w:t>
      </w:r>
      <w:r w:rsidR="00E726FA" w:rsidRPr="002F7467">
        <w:rPr>
          <w:rFonts w:cs="David" w:hint="cs"/>
          <w:sz w:val="24"/>
          <w:szCs w:val="24"/>
          <w:rtl/>
        </w:rPr>
        <w:t xml:space="preserve">ניתן להעלות פתרונות </w:t>
      </w:r>
      <w:r w:rsidR="002F7467" w:rsidRPr="002F7467">
        <w:rPr>
          <w:rFonts w:cs="David" w:hint="cs"/>
          <w:sz w:val="24"/>
          <w:szCs w:val="24"/>
          <w:rtl/>
        </w:rPr>
        <w:t>אחרים</w:t>
      </w:r>
      <w:r w:rsidR="00E726FA" w:rsidRPr="002F7467">
        <w:rPr>
          <w:rFonts w:cs="David" w:hint="cs"/>
          <w:sz w:val="24"/>
          <w:szCs w:val="24"/>
          <w:rtl/>
        </w:rPr>
        <w:t xml:space="preserve"> </w:t>
      </w:r>
      <w:r w:rsidR="00231C98">
        <w:rPr>
          <w:rFonts w:cs="David" w:hint="cs"/>
          <w:sz w:val="24"/>
          <w:szCs w:val="24"/>
          <w:rtl/>
        </w:rPr>
        <w:t>לקושי שב</w:t>
      </w:r>
      <w:r w:rsidR="00E726FA" w:rsidRPr="002F7467">
        <w:rPr>
          <w:rFonts w:cs="David" w:hint="cs"/>
          <w:sz w:val="24"/>
          <w:szCs w:val="24"/>
          <w:rtl/>
        </w:rPr>
        <w:t>התמשכות ההליכים בתביעות ביטוח</w:t>
      </w:r>
      <w:r w:rsidR="009A5ADA">
        <w:rPr>
          <w:rFonts w:cs="David" w:hint="cs"/>
          <w:sz w:val="24"/>
          <w:szCs w:val="24"/>
          <w:rtl/>
        </w:rPr>
        <w:t>:</w:t>
      </w:r>
      <w:r w:rsidR="002F7467" w:rsidRPr="002F7467">
        <w:rPr>
          <w:rFonts w:cs="David" w:hint="cs"/>
          <w:sz w:val="24"/>
          <w:szCs w:val="24"/>
          <w:rtl/>
        </w:rPr>
        <w:t xml:space="preserve"> ניתן </w:t>
      </w:r>
      <w:r w:rsidR="009A5ADA">
        <w:rPr>
          <w:rFonts w:cs="David" w:hint="cs"/>
          <w:sz w:val="24"/>
          <w:szCs w:val="24"/>
          <w:rtl/>
        </w:rPr>
        <w:t xml:space="preserve">למשל </w:t>
      </w:r>
      <w:r w:rsidR="002F7467" w:rsidRPr="002F7467">
        <w:rPr>
          <w:rFonts w:cs="David" w:hint="cs"/>
          <w:b/>
          <w:bCs/>
          <w:sz w:val="24"/>
          <w:szCs w:val="24"/>
          <w:rtl/>
        </w:rPr>
        <w:t>לקבוע הוראה מיוחדת שתקצר את משך הדיון בתביעות ביטוח סיעודי</w:t>
      </w:r>
      <w:r w:rsidR="002F7467" w:rsidRPr="002F7467">
        <w:rPr>
          <w:rFonts w:cs="David" w:hint="cs"/>
          <w:sz w:val="24"/>
          <w:szCs w:val="24"/>
          <w:rtl/>
        </w:rPr>
        <w:t xml:space="preserve"> (לדוגמה </w:t>
      </w:r>
      <w:r w:rsidR="002F7467" w:rsidRPr="002F7467">
        <w:rPr>
          <w:rFonts w:cs="David"/>
          <w:sz w:val="24"/>
          <w:szCs w:val="24"/>
          <w:rtl/>
        </w:rPr>
        <w:t>–</w:t>
      </w:r>
      <w:r w:rsidR="009A5ADA">
        <w:rPr>
          <w:rFonts w:cs="David" w:hint="cs"/>
          <w:sz w:val="24"/>
          <w:szCs w:val="24"/>
          <w:rtl/>
        </w:rPr>
        <w:t xml:space="preserve"> ה</w:t>
      </w:r>
      <w:r w:rsidR="002F7467" w:rsidRPr="002F7467">
        <w:rPr>
          <w:rFonts w:cs="David" w:hint="cs"/>
          <w:sz w:val="24"/>
          <w:szCs w:val="24"/>
          <w:rtl/>
        </w:rPr>
        <w:t xml:space="preserve">נתבע ימציא כתב הגנה בתוך </w:t>
      </w:r>
      <w:r w:rsidR="009A5ADA">
        <w:rPr>
          <w:rFonts w:cs="David" w:hint="cs"/>
          <w:sz w:val="24"/>
          <w:szCs w:val="24"/>
          <w:rtl/>
        </w:rPr>
        <w:t>30</w:t>
      </w:r>
      <w:r w:rsidR="002F7467" w:rsidRPr="002F7467">
        <w:rPr>
          <w:rFonts w:cs="David" w:hint="cs"/>
          <w:sz w:val="24"/>
          <w:szCs w:val="24"/>
          <w:rtl/>
        </w:rPr>
        <w:t xml:space="preserve"> ימים מקבלת התביעה; ובית המשפט יקבע מועד לדיון </w:t>
      </w:r>
      <w:r w:rsidR="009A5ADA">
        <w:rPr>
          <w:rFonts w:cs="David" w:hint="cs"/>
          <w:sz w:val="24"/>
          <w:szCs w:val="24"/>
          <w:rtl/>
        </w:rPr>
        <w:t>עד 30</w:t>
      </w:r>
      <w:r w:rsidR="002F7467" w:rsidRPr="002F7467">
        <w:rPr>
          <w:rFonts w:cs="David" w:hint="cs"/>
          <w:sz w:val="24"/>
          <w:szCs w:val="24"/>
          <w:rtl/>
        </w:rPr>
        <w:t xml:space="preserve"> ימים מהמועד האחרון להגשת כתב ההגנה בתיק).</w:t>
      </w:r>
      <w:r w:rsidR="00DE204F" w:rsidRPr="00DE204F">
        <w:rPr>
          <w:rStyle w:val="a6"/>
          <w:rFonts w:cs="David"/>
          <w:sz w:val="24"/>
          <w:szCs w:val="24"/>
          <w:rtl/>
        </w:rPr>
        <w:footnoteReference w:id="16"/>
      </w:r>
      <w:r w:rsidR="002F7467" w:rsidRPr="00DE204F">
        <w:rPr>
          <w:rFonts w:cs="David" w:hint="cs"/>
          <w:sz w:val="24"/>
          <w:szCs w:val="24"/>
          <w:rtl/>
        </w:rPr>
        <w:t xml:space="preserve"> </w:t>
      </w:r>
    </w:p>
    <w:sectPr w:rsidR="002F7467" w:rsidRPr="00DE204F" w:rsidSect="00F45E02">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B20" w:rsidRDefault="00686B20" w:rsidP="00993C17">
      <w:pPr>
        <w:spacing w:after="0" w:line="240" w:lineRule="auto"/>
      </w:pPr>
      <w:r>
        <w:separator/>
      </w:r>
    </w:p>
  </w:endnote>
  <w:endnote w:type="continuationSeparator" w:id="0">
    <w:p w:rsidR="00686B20" w:rsidRDefault="00686B20" w:rsidP="00993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0259852"/>
      <w:docPartObj>
        <w:docPartGallery w:val="Page Numbers (Bottom of Page)"/>
        <w:docPartUnique/>
      </w:docPartObj>
    </w:sdtPr>
    <w:sdtEndPr>
      <w:rPr>
        <w:cs/>
      </w:rPr>
    </w:sdtEndPr>
    <w:sdtContent>
      <w:p w:rsidR="006D2FC5" w:rsidRDefault="008557F6">
        <w:pPr>
          <w:pStyle w:val="a7"/>
          <w:jc w:val="right"/>
          <w:rPr>
            <w:rtl/>
            <w:cs/>
          </w:rPr>
        </w:pPr>
        <w:r w:rsidRPr="0021482E">
          <w:rPr>
            <w:rFonts w:cs="David"/>
          </w:rPr>
          <w:fldChar w:fldCharType="begin"/>
        </w:r>
        <w:r w:rsidRPr="0021482E">
          <w:rPr>
            <w:rFonts w:cs="David"/>
            <w:rtl/>
            <w:cs/>
          </w:rPr>
          <w:instrText>PAGE   \* MERGEFORMAT</w:instrText>
        </w:r>
        <w:r w:rsidRPr="0021482E">
          <w:rPr>
            <w:rFonts w:cs="David"/>
          </w:rPr>
          <w:fldChar w:fldCharType="separate"/>
        </w:r>
        <w:r w:rsidR="00957A20" w:rsidRPr="00957A20">
          <w:rPr>
            <w:rFonts w:cs="David"/>
            <w:noProof/>
            <w:rtl/>
            <w:lang w:val="he-IL"/>
          </w:rPr>
          <w:t>3</w:t>
        </w:r>
        <w:r w:rsidRPr="0021482E">
          <w:rPr>
            <w:rFonts w:cs="David"/>
          </w:rPr>
          <w:fldChar w:fldCharType="end"/>
        </w:r>
      </w:p>
    </w:sdtContent>
  </w:sdt>
  <w:p w:rsidR="006D2FC5" w:rsidRDefault="00686B2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B20" w:rsidRDefault="00686B20" w:rsidP="00993C17">
      <w:pPr>
        <w:spacing w:after="0" w:line="240" w:lineRule="auto"/>
      </w:pPr>
      <w:r>
        <w:separator/>
      </w:r>
    </w:p>
  </w:footnote>
  <w:footnote w:type="continuationSeparator" w:id="0">
    <w:p w:rsidR="00686B20" w:rsidRDefault="00686B20" w:rsidP="00993C17">
      <w:pPr>
        <w:spacing w:after="0" w:line="240" w:lineRule="auto"/>
      </w:pPr>
      <w:r>
        <w:continuationSeparator/>
      </w:r>
    </w:p>
  </w:footnote>
  <w:footnote w:id="1">
    <w:p w:rsidR="00993C17" w:rsidRPr="00D7493A" w:rsidRDefault="00993C17" w:rsidP="00993C17">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סעיף 27 לחוק חוזה הביטוח קובע כך: "</w:t>
      </w:r>
      <w:r w:rsidRPr="00D7493A">
        <w:rPr>
          <w:rFonts w:cs="David"/>
          <w:rtl/>
        </w:rPr>
        <w:t>תג</w:t>
      </w:r>
      <w:r w:rsidRPr="00D7493A">
        <w:rPr>
          <w:rFonts w:cs="David" w:hint="cs"/>
          <w:rtl/>
        </w:rPr>
        <w:t>מולי הביטוח ישולמו תו</w:t>
      </w:r>
      <w:r w:rsidRPr="00D7493A">
        <w:rPr>
          <w:rFonts w:cs="David"/>
          <w:rtl/>
        </w:rPr>
        <w:t xml:space="preserve">ך 30 </w:t>
      </w:r>
      <w:r w:rsidRPr="00D7493A">
        <w:rPr>
          <w:rFonts w:cs="David" w:hint="cs"/>
          <w:rtl/>
        </w:rPr>
        <w:t>ימים מהיום שהיו בידי המבטח המידע והמסמכים הדרושים לבירור חבותו, אולם תגמולי ביטוח שאינם שנויים במחלוקת בתום לב ישולמו תוך 30 ימים מהיום שנמסרה למבטח תביעה לפי סעיף 23(א), והם ניתנים לתביעה בנפרד מיתר התגמולים".</w:t>
      </w:r>
    </w:p>
  </w:footnote>
  <w:footnote w:id="2">
    <w:p w:rsidR="00EA6AFB" w:rsidRPr="00D7493A" w:rsidRDefault="00EA6AFB">
      <w:pPr>
        <w:pStyle w:val="a4"/>
        <w:rPr>
          <w:rFonts w:cs="David"/>
        </w:rPr>
      </w:pPr>
      <w:r w:rsidRPr="00D7493A">
        <w:rPr>
          <w:rStyle w:val="a6"/>
          <w:rFonts w:cs="David"/>
        </w:rPr>
        <w:footnoteRef/>
      </w:r>
      <w:r w:rsidRPr="00D7493A">
        <w:rPr>
          <w:rFonts w:cs="David"/>
          <w:rtl/>
        </w:rPr>
        <w:t xml:space="preserve"> </w:t>
      </w:r>
      <w:r w:rsidRPr="00D7493A">
        <w:rPr>
          <w:rFonts w:cs="David" w:hint="cs"/>
          <w:rtl/>
        </w:rPr>
        <w:t>המינוח שקיים בחוק הוא: ביטוח לפי דרישות פקודת ביטוח רכב מנועי [נוסח חדש].</w:t>
      </w:r>
    </w:p>
  </w:footnote>
  <w:footnote w:id="3">
    <w:p w:rsidR="00EA6AFB" w:rsidRPr="00D7493A" w:rsidRDefault="00EA6AFB" w:rsidP="00EA6AFB">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חוק חוזה הב</w:t>
      </w:r>
      <w:r w:rsidR="00921038" w:rsidRPr="00D7493A">
        <w:rPr>
          <w:rFonts w:cs="David" w:hint="cs"/>
          <w:rtl/>
        </w:rPr>
        <w:t>יטוח (תיקון מס' 8), התשע"ז-2016 (</w:t>
      </w:r>
      <w:r w:rsidRPr="00D7493A">
        <w:rPr>
          <w:rFonts w:cs="David" w:hint="cs"/>
          <w:rtl/>
        </w:rPr>
        <w:t>ס"ח התשע"ז, עמ' 26</w:t>
      </w:r>
      <w:r w:rsidR="00921038" w:rsidRPr="00D7493A">
        <w:rPr>
          <w:rFonts w:cs="David" w:hint="cs"/>
          <w:rtl/>
        </w:rPr>
        <w:t xml:space="preserve"> (</w:t>
      </w:r>
      <w:r w:rsidRPr="00D7493A">
        <w:rPr>
          <w:rFonts w:cs="David" w:hint="cs"/>
          <w:rtl/>
        </w:rPr>
        <w:t>מיום 27.11.2016)</w:t>
      </w:r>
      <w:r w:rsidR="00921038" w:rsidRPr="00D7493A">
        <w:rPr>
          <w:rFonts w:cs="David" w:hint="cs"/>
          <w:rtl/>
        </w:rPr>
        <w:t>)</w:t>
      </w:r>
      <w:r w:rsidRPr="00D7493A">
        <w:rPr>
          <w:rFonts w:cs="David" w:hint="cs"/>
          <w:rtl/>
        </w:rPr>
        <w:t>.</w:t>
      </w:r>
    </w:p>
  </w:footnote>
  <w:footnote w:id="4">
    <w:p w:rsidR="0010545D" w:rsidRPr="00D7493A" w:rsidRDefault="0010545D" w:rsidP="0010545D">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הצעת חוק חוזה הביטוח (תיקון מס' 2), התשמ"ח-1988 (ה"ח התשמ"ח 1873; של חה"כ מרדכי וירשובסקי).</w:t>
      </w:r>
    </w:p>
  </w:footnote>
  <w:footnote w:id="5">
    <w:p w:rsidR="0010545D" w:rsidRPr="00D7493A" w:rsidRDefault="0010545D" w:rsidP="0010545D">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הצעת חוק חוזה הביטוח (תיקון מס' 4) (ריבית מיוחדת), התש"ע-2010 (ה"ח התש"ע 299; של חה"כ אמנון כהן).</w:t>
      </w:r>
    </w:p>
  </w:footnote>
  <w:footnote w:id="6">
    <w:p w:rsidR="00E820D9" w:rsidRPr="00D7493A" w:rsidRDefault="00E820D9" w:rsidP="00BA1E69">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 xml:space="preserve">ע"א 4819/92 </w:t>
      </w:r>
      <w:r w:rsidRPr="00D7493A">
        <w:rPr>
          <w:rFonts w:cs="David" w:hint="cs"/>
          <w:b/>
          <w:bCs/>
          <w:rtl/>
        </w:rPr>
        <w:t xml:space="preserve">אליהו חברה לביטוח בע"מ ואח' נ' ישר, </w:t>
      </w:r>
      <w:r w:rsidRPr="00D7493A">
        <w:rPr>
          <w:rFonts w:cs="David" w:hint="cs"/>
          <w:rtl/>
        </w:rPr>
        <w:t>פ"ד מט(2), 749,</w:t>
      </w:r>
      <w:r w:rsidRPr="00D7493A">
        <w:rPr>
          <w:rFonts w:cs="David" w:hint="cs"/>
          <w:b/>
          <w:bCs/>
          <w:rtl/>
        </w:rPr>
        <w:t xml:space="preserve"> </w:t>
      </w:r>
      <w:r w:rsidR="00BA1E69" w:rsidRPr="00D7493A">
        <w:rPr>
          <w:rFonts w:cs="David" w:hint="cs"/>
          <w:rtl/>
        </w:rPr>
        <w:t>778 (1995)</w:t>
      </w:r>
      <w:r w:rsidRPr="00D7493A">
        <w:rPr>
          <w:rFonts w:cs="David" w:hint="cs"/>
          <w:rtl/>
        </w:rPr>
        <w:t>.</w:t>
      </w:r>
    </w:p>
  </w:footnote>
  <w:footnote w:id="7">
    <w:p w:rsidR="00E820D9" w:rsidRPr="00D7493A" w:rsidRDefault="00E820D9" w:rsidP="009271D0">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רע</w:t>
      </w:r>
      <w:r w:rsidRPr="00D7493A">
        <w:rPr>
          <w:rFonts w:cs="David"/>
          <w:rtl/>
        </w:rPr>
        <w:t>"</w:t>
      </w:r>
      <w:r w:rsidRPr="00D7493A">
        <w:rPr>
          <w:rFonts w:cs="David" w:hint="cs"/>
          <w:rtl/>
        </w:rPr>
        <w:t xml:space="preserve">א </w:t>
      </w:r>
      <w:r w:rsidRPr="00D7493A">
        <w:rPr>
          <w:rFonts w:cs="David"/>
          <w:rtl/>
        </w:rPr>
        <w:t xml:space="preserve">2244/04 </w:t>
      </w:r>
      <w:r w:rsidRPr="00D7493A">
        <w:rPr>
          <w:rFonts w:cs="David" w:hint="cs"/>
          <w:b/>
          <w:bCs/>
          <w:rtl/>
        </w:rPr>
        <w:t>ר</w:t>
      </w:r>
      <w:r w:rsidRPr="00D7493A">
        <w:rPr>
          <w:rFonts w:cs="David"/>
          <w:b/>
          <w:bCs/>
          <w:rtl/>
        </w:rPr>
        <w:t>.</w:t>
      </w:r>
      <w:r w:rsidRPr="00D7493A">
        <w:rPr>
          <w:rFonts w:cs="David" w:hint="cs"/>
          <w:b/>
          <w:bCs/>
          <w:rtl/>
        </w:rPr>
        <w:t>ד</w:t>
      </w:r>
      <w:r w:rsidRPr="00D7493A">
        <w:rPr>
          <w:rFonts w:cs="David"/>
          <w:b/>
          <w:bCs/>
          <w:rtl/>
        </w:rPr>
        <w:t xml:space="preserve"> </w:t>
      </w:r>
      <w:r w:rsidRPr="00D7493A">
        <w:rPr>
          <w:rFonts w:cs="David" w:hint="cs"/>
          <w:b/>
          <w:bCs/>
          <w:rtl/>
        </w:rPr>
        <w:t>משקאות</w:t>
      </w:r>
      <w:r w:rsidRPr="00D7493A">
        <w:rPr>
          <w:rFonts w:cs="David"/>
          <w:b/>
          <w:bCs/>
          <w:rtl/>
        </w:rPr>
        <w:t xml:space="preserve"> </w:t>
      </w:r>
      <w:r w:rsidRPr="00D7493A">
        <w:rPr>
          <w:rFonts w:cs="David" w:hint="cs"/>
          <w:b/>
          <w:bCs/>
          <w:rtl/>
        </w:rPr>
        <w:t>גורמה</w:t>
      </w:r>
      <w:r w:rsidRPr="00D7493A">
        <w:rPr>
          <w:rFonts w:cs="David"/>
          <w:b/>
          <w:bCs/>
          <w:rtl/>
        </w:rPr>
        <w:t xml:space="preserve"> </w:t>
      </w:r>
      <w:r w:rsidRPr="00D7493A">
        <w:rPr>
          <w:rFonts w:cs="David" w:hint="cs"/>
          <w:b/>
          <w:bCs/>
          <w:rtl/>
        </w:rPr>
        <w:t>בע</w:t>
      </w:r>
      <w:r w:rsidRPr="00D7493A">
        <w:rPr>
          <w:rFonts w:cs="David"/>
          <w:b/>
          <w:bCs/>
          <w:rtl/>
        </w:rPr>
        <w:t>"</w:t>
      </w:r>
      <w:r w:rsidRPr="00D7493A">
        <w:rPr>
          <w:rFonts w:cs="David" w:hint="cs"/>
          <w:b/>
          <w:bCs/>
          <w:rtl/>
        </w:rPr>
        <w:t>מ</w:t>
      </w:r>
      <w:r w:rsidRPr="00D7493A">
        <w:rPr>
          <w:rFonts w:cs="David"/>
          <w:b/>
          <w:bCs/>
          <w:rtl/>
        </w:rPr>
        <w:t xml:space="preserve"> </w:t>
      </w:r>
      <w:r w:rsidRPr="00D7493A">
        <w:rPr>
          <w:rFonts w:cs="David" w:hint="cs"/>
          <w:b/>
          <w:bCs/>
          <w:rtl/>
        </w:rPr>
        <w:t>נ</w:t>
      </w:r>
      <w:r w:rsidRPr="00D7493A">
        <w:rPr>
          <w:rFonts w:cs="David"/>
          <w:b/>
          <w:bCs/>
          <w:rtl/>
        </w:rPr>
        <w:t xml:space="preserve">' </w:t>
      </w:r>
      <w:r w:rsidRPr="00D7493A">
        <w:rPr>
          <w:rFonts w:cs="David" w:hint="cs"/>
          <w:b/>
          <w:bCs/>
          <w:rtl/>
        </w:rPr>
        <w:t>אליהו</w:t>
      </w:r>
      <w:r w:rsidRPr="00D7493A">
        <w:rPr>
          <w:rFonts w:cs="David"/>
          <w:b/>
          <w:bCs/>
          <w:rtl/>
        </w:rPr>
        <w:t xml:space="preserve"> </w:t>
      </w:r>
      <w:r w:rsidRPr="00D7493A">
        <w:rPr>
          <w:rFonts w:cs="David" w:hint="cs"/>
          <w:b/>
          <w:bCs/>
          <w:rtl/>
        </w:rPr>
        <w:t>חברה</w:t>
      </w:r>
      <w:r w:rsidRPr="00D7493A">
        <w:rPr>
          <w:rFonts w:cs="David"/>
          <w:b/>
          <w:bCs/>
          <w:rtl/>
        </w:rPr>
        <w:t xml:space="preserve"> </w:t>
      </w:r>
      <w:r w:rsidRPr="00D7493A">
        <w:rPr>
          <w:rFonts w:cs="David" w:hint="cs"/>
          <w:b/>
          <w:bCs/>
          <w:rtl/>
        </w:rPr>
        <w:t>לביטוח</w:t>
      </w:r>
      <w:r w:rsidRPr="00D7493A">
        <w:rPr>
          <w:rFonts w:cs="David"/>
          <w:b/>
          <w:bCs/>
          <w:rtl/>
        </w:rPr>
        <w:t xml:space="preserve"> </w:t>
      </w:r>
      <w:r w:rsidRPr="00D7493A">
        <w:rPr>
          <w:rFonts w:cs="David" w:hint="cs"/>
          <w:b/>
          <w:bCs/>
          <w:rtl/>
        </w:rPr>
        <w:t>בע</w:t>
      </w:r>
      <w:r w:rsidRPr="00D7493A">
        <w:rPr>
          <w:rFonts w:cs="David"/>
          <w:b/>
          <w:bCs/>
          <w:rtl/>
        </w:rPr>
        <w:t>"</w:t>
      </w:r>
      <w:r w:rsidRPr="00D7493A">
        <w:rPr>
          <w:rFonts w:cs="David" w:hint="cs"/>
          <w:b/>
          <w:bCs/>
          <w:rtl/>
        </w:rPr>
        <w:t>מ</w:t>
      </w:r>
      <w:r w:rsidRPr="00D7493A">
        <w:rPr>
          <w:rFonts w:cs="David"/>
          <w:rtl/>
        </w:rPr>
        <w:t xml:space="preserve">, </w:t>
      </w:r>
      <w:r w:rsidRPr="00D7493A">
        <w:rPr>
          <w:rFonts w:cs="David" w:hint="cs"/>
          <w:rtl/>
        </w:rPr>
        <w:t>פיסקה</w:t>
      </w:r>
      <w:r w:rsidRPr="00D7493A">
        <w:rPr>
          <w:rFonts w:cs="David"/>
          <w:rtl/>
        </w:rPr>
        <w:t xml:space="preserve"> 6 (1.12.</w:t>
      </w:r>
      <w:r w:rsidRPr="00D7493A">
        <w:rPr>
          <w:rFonts w:cs="David" w:hint="cs"/>
          <w:rtl/>
        </w:rPr>
        <w:t>2004</w:t>
      </w:r>
      <w:r w:rsidRPr="00D7493A">
        <w:rPr>
          <w:rFonts w:cs="David"/>
          <w:rtl/>
        </w:rPr>
        <w:t>)</w:t>
      </w:r>
      <w:r w:rsidR="009271D0" w:rsidRPr="00D7493A">
        <w:rPr>
          <w:rFonts w:cs="David" w:hint="cs"/>
          <w:rtl/>
        </w:rPr>
        <w:t>.</w:t>
      </w:r>
    </w:p>
  </w:footnote>
  <w:footnote w:id="8">
    <w:p w:rsidR="00E820D9" w:rsidRPr="00D7493A" w:rsidRDefault="00E820D9" w:rsidP="00BA1E69">
      <w:pPr>
        <w:pStyle w:val="a4"/>
        <w:jc w:val="both"/>
        <w:rPr>
          <w:rFonts w:cs="David"/>
        </w:rPr>
      </w:pPr>
      <w:r w:rsidRPr="00D7493A">
        <w:rPr>
          <w:rStyle w:val="a6"/>
          <w:rFonts w:cs="David"/>
        </w:rPr>
        <w:footnoteRef/>
      </w:r>
      <w:r w:rsidRPr="00D7493A">
        <w:rPr>
          <w:rFonts w:cs="David"/>
          <w:rtl/>
        </w:rPr>
        <w:t xml:space="preserve"> </w:t>
      </w:r>
      <w:r w:rsidRPr="00D7493A">
        <w:rPr>
          <w:rFonts w:cs="David" w:hint="cs"/>
          <w:b/>
          <w:bCs/>
          <w:rtl/>
        </w:rPr>
        <w:t>שחר ולר</w:t>
      </w:r>
      <w:r w:rsidRPr="00D7493A">
        <w:rPr>
          <w:rFonts w:cs="David" w:hint="cs"/>
          <w:rtl/>
        </w:rPr>
        <w:t xml:space="preserve"> חוק חוזה הביטוח תשמ"א-1981, פירוש </w:t>
      </w:r>
      <w:r w:rsidR="00BA1E69" w:rsidRPr="00D7493A">
        <w:rPr>
          <w:rFonts w:cs="David" w:hint="cs"/>
          <w:rtl/>
        </w:rPr>
        <w:t xml:space="preserve">לחוקי החוזים מיסודו של ג' טדסקי, כרך 1 </w:t>
      </w:r>
      <w:r w:rsidRPr="00D7493A">
        <w:rPr>
          <w:rFonts w:cs="David" w:hint="cs"/>
          <w:rtl/>
        </w:rPr>
        <w:t>(2005), בעמ' 643.</w:t>
      </w:r>
    </w:p>
  </w:footnote>
  <w:footnote w:id="9">
    <w:p w:rsidR="0010545D" w:rsidRPr="00D7493A" w:rsidRDefault="0010545D" w:rsidP="0010545D">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סעיף 4 לחוק הזכות לעבודה בישיבה, התשס"ז-2007; סעיף 31א לחוק הגנת הצרכן, התשמ"א-1981; סעיף 26א לחוק הגנת השכר, התשי"ח-1958; סעיף 33יא לחוק הסכמים קיבוציים, התשי"ז-1957; סעיף 22 לחוק הפיקדון על מיכלי משקה, התשנ"ט-1999; סעיף 3 לחוק הגנה על עובדים (חשיפת עבירות ופגיעה בטוהר המידות או במינהל התקין), התשנ"ז-1997; סעיף 5 ל</w:t>
      </w:r>
      <w:r w:rsidRPr="00D7493A">
        <w:rPr>
          <w:rFonts w:cs="David"/>
          <w:rtl/>
        </w:rPr>
        <w:t xml:space="preserve">חוק הודעה לעובד </w:t>
      </w:r>
      <w:r w:rsidRPr="00D7493A">
        <w:rPr>
          <w:rFonts w:cs="David" w:hint="cs"/>
          <w:rtl/>
        </w:rPr>
        <w:t xml:space="preserve">ולמועמד לעבודה </w:t>
      </w:r>
      <w:r w:rsidRPr="00D7493A">
        <w:rPr>
          <w:rFonts w:cs="David"/>
          <w:rtl/>
        </w:rPr>
        <w:t>(תנאי עבודה</w:t>
      </w:r>
      <w:r w:rsidRPr="00D7493A">
        <w:rPr>
          <w:rFonts w:cs="David" w:hint="cs"/>
          <w:rtl/>
        </w:rPr>
        <w:t xml:space="preserve"> והליכי מיון וקבלה לעבודה</w:t>
      </w:r>
      <w:r w:rsidRPr="00D7493A">
        <w:rPr>
          <w:rFonts w:cs="David"/>
          <w:rtl/>
        </w:rPr>
        <w:t xml:space="preserve">), </w:t>
      </w:r>
      <w:r w:rsidRPr="00D7493A">
        <w:rPr>
          <w:rFonts w:cs="David" w:hint="cs"/>
          <w:rtl/>
        </w:rPr>
        <w:t>ה</w:t>
      </w:r>
      <w:r w:rsidRPr="00D7493A">
        <w:rPr>
          <w:rFonts w:cs="David"/>
          <w:rtl/>
        </w:rPr>
        <w:t>תשס"ב-2002</w:t>
      </w:r>
      <w:r w:rsidRPr="00D7493A">
        <w:rPr>
          <w:rFonts w:cs="David" w:hint="cs"/>
          <w:rtl/>
        </w:rPr>
        <w:t>; סעיף 30א(י) ל</w:t>
      </w:r>
      <w:r w:rsidRPr="00D7493A">
        <w:rPr>
          <w:rFonts w:cs="David"/>
          <w:rtl/>
        </w:rPr>
        <w:t xml:space="preserve">חוק התקשורת (בזק ושידורים), </w:t>
      </w:r>
      <w:r w:rsidRPr="00D7493A">
        <w:rPr>
          <w:rFonts w:cs="David" w:hint="cs"/>
          <w:rtl/>
        </w:rPr>
        <w:t>ה</w:t>
      </w:r>
      <w:r w:rsidRPr="00D7493A">
        <w:rPr>
          <w:rFonts w:cs="David"/>
          <w:rtl/>
        </w:rPr>
        <w:t>תשמ"ב-1982</w:t>
      </w:r>
      <w:r w:rsidRPr="00D7493A">
        <w:rPr>
          <w:rFonts w:cs="David" w:hint="cs"/>
          <w:rtl/>
        </w:rPr>
        <w:t>; סעיף 11 לחוק שירותי תעופה (פיצוי וסיוע בשל ביטול טיסה או שינוי בתנאיה), התשע"ב-2012.</w:t>
      </w:r>
    </w:p>
  </w:footnote>
  <w:footnote w:id="10">
    <w:p w:rsidR="0010545D" w:rsidRPr="00D7493A" w:rsidRDefault="0010545D" w:rsidP="0010545D">
      <w:pPr>
        <w:pStyle w:val="a4"/>
        <w:jc w:val="both"/>
        <w:rPr>
          <w:rFonts w:cs="David"/>
          <w:rtl/>
        </w:rPr>
      </w:pPr>
      <w:r w:rsidRPr="00D7493A">
        <w:rPr>
          <w:rStyle w:val="a6"/>
          <w:rFonts w:cs="David"/>
        </w:rPr>
        <w:footnoteRef/>
      </w:r>
      <w:r w:rsidRPr="00D7493A">
        <w:rPr>
          <w:rFonts w:cs="David" w:hint="cs"/>
          <w:rtl/>
        </w:rPr>
        <w:t>סעיף 6 לחוק למניעת הטרדה מינית, התשנ"ח-1998; סעיף 7א לחוק איסור לשון הרע, התשכ"ה-1965; סעיף 10 לחוק שוויון הזדמנויות בעבודה, התשמ"ח-1988; סעיף 56 לחוק זכות יוצרים, התשס"ח-2007.</w:t>
      </w:r>
    </w:p>
  </w:footnote>
  <w:footnote w:id="11">
    <w:p w:rsidR="0010545D" w:rsidRPr="00D7493A" w:rsidRDefault="0010545D" w:rsidP="0010545D">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סעיף 183(ג) לחוק הפטנטים, התשכ"ז-1967; סעיף 65(ג) ל</w:t>
      </w:r>
      <w:r w:rsidRPr="00D7493A">
        <w:rPr>
          <w:rFonts w:cs="David"/>
          <w:rtl/>
        </w:rPr>
        <w:t xml:space="preserve">חוק זכות מטפחים של זני צמחים, </w:t>
      </w:r>
      <w:r w:rsidRPr="00D7493A">
        <w:rPr>
          <w:rFonts w:cs="David" w:hint="cs"/>
          <w:rtl/>
        </w:rPr>
        <w:t>ה</w:t>
      </w:r>
      <w:r w:rsidRPr="00D7493A">
        <w:rPr>
          <w:rFonts w:cs="David"/>
          <w:rtl/>
        </w:rPr>
        <w:t>תשל"ג</w:t>
      </w:r>
      <w:r w:rsidRPr="00D7493A">
        <w:rPr>
          <w:rFonts w:cs="David" w:hint="cs"/>
          <w:rtl/>
        </w:rPr>
        <w:t>-</w:t>
      </w:r>
      <w:r w:rsidRPr="00D7493A">
        <w:rPr>
          <w:rFonts w:cs="David"/>
          <w:rtl/>
        </w:rPr>
        <w:t>1973</w:t>
      </w:r>
      <w:r w:rsidRPr="00D7493A">
        <w:rPr>
          <w:rFonts w:cs="David" w:hint="cs"/>
          <w:rtl/>
        </w:rPr>
        <w:t>.</w:t>
      </w:r>
    </w:p>
  </w:footnote>
  <w:footnote w:id="12">
    <w:p w:rsidR="00B22584" w:rsidRPr="00D7493A" w:rsidRDefault="00B22584" w:rsidP="0028113D">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 xml:space="preserve">ע"א </w:t>
      </w:r>
      <w:r w:rsidRPr="00D7493A">
        <w:rPr>
          <w:rFonts w:cs="David" w:hint="cs"/>
          <w:b/>
          <w:bCs/>
          <w:rtl/>
        </w:rPr>
        <w:t>אליהו</w:t>
      </w:r>
      <w:r w:rsidRPr="00D7493A">
        <w:rPr>
          <w:rFonts w:cs="David" w:hint="cs"/>
          <w:rtl/>
        </w:rPr>
        <w:t>,</w:t>
      </w:r>
      <w:r w:rsidR="00DE204F" w:rsidRPr="00D7493A">
        <w:rPr>
          <w:rFonts w:cs="David" w:hint="cs"/>
          <w:rtl/>
        </w:rPr>
        <w:t xml:space="preserve"> ה"ש </w:t>
      </w:r>
      <w:r w:rsidR="0028113D" w:rsidRPr="00D7493A">
        <w:rPr>
          <w:rFonts w:cs="David" w:hint="cs"/>
          <w:rtl/>
        </w:rPr>
        <w:t>6</w:t>
      </w:r>
      <w:r w:rsidR="00DE204F" w:rsidRPr="00D7493A">
        <w:rPr>
          <w:rFonts w:cs="David" w:hint="cs"/>
          <w:rtl/>
        </w:rPr>
        <w:t xml:space="preserve"> לעיל,</w:t>
      </w:r>
      <w:r w:rsidRPr="00D7493A">
        <w:rPr>
          <w:rFonts w:cs="David" w:hint="cs"/>
          <w:rtl/>
        </w:rPr>
        <w:t xml:space="preserve"> </w:t>
      </w:r>
      <w:r w:rsidR="00DE204F" w:rsidRPr="00D7493A">
        <w:rPr>
          <w:rFonts w:cs="David" w:hint="cs"/>
          <w:rtl/>
        </w:rPr>
        <w:t>ב</w:t>
      </w:r>
      <w:r w:rsidRPr="00D7493A">
        <w:rPr>
          <w:rFonts w:cs="David" w:hint="cs"/>
          <w:rtl/>
        </w:rPr>
        <w:t xml:space="preserve">סעיף 20 לפסק הדין. </w:t>
      </w:r>
    </w:p>
  </w:footnote>
  <w:footnote w:id="13">
    <w:p w:rsidR="00D631B0" w:rsidRPr="00D7493A" w:rsidRDefault="00D631B0" w:rsidP="00D631B0">
      <w:pPr>
        <w:pStyle w:val="a4"/>
        <w:jc w:val="both"/>
        <w:rPr>
          <w:rFonts w:cs="David"/>
        </w:rPr>
      </w:pPr>
      <w:r w:rsidRPr="00D7493A">
        <w:rPr>
          <w:rStyle w:val="a6"/>
          <w:rFonts w:cs="David"/>
        </w:rPr>
        <w:footnoteRef/>
      </w:r>
      <w:r w:rsidRPr="00D7493A">
        <w:rPr>
          <w:rFonts w:cs="David"/>
          <w:rtl/>
        </w:rPr>
        <w:t xml:space="preserve"> </w:t>
      </w:r>
      <w:r w:rsidRPr="00D7493A">
        <w:rPr>
          <w:rFonts w:cs="David" w:hint="cs"/>
          <w:rtl/>
        </w:rPr>
        <w:t xml:space="preserve">חוק הגנה על עובדים </w:t>
      </w:r>
      <w:r w:rsidRPr="00D7493A">
        <w:rPr>
          <w:rFonts w:cs="David"/>
          <w:rtl/>
        </w:rPr>
        <w:t xml:space="preserve">(חשיפת עבירות ופגיעה בטוהר המידות או במינהל התקין), </w:t>
      </w:r>
      <w:r w:rsidRPr="00D7493A">
        <w:rPr>
          <w:rFonts w:cs="David" w:hint="cs"/>
          <w:rtl/>
        </w:rPr>
        <w:t>ה</w:t>
      </w:r>
      <w:r w:rsidRPr="00D7493A">
        <w:rPr>
          <w:rFonts w:cs="David"/>
          <w:rtl/>
        </w:rPr>
        <w:t>תשנ"ז-1997</w:t>
      </w:r>
      <w:r w:rsidRPr="00D7493A">
        <w:rPr>
          <w:rFonts w:cs="David" w:hint="cs"/>
          <w:rtl/>
        </w:rPr>
        <w:t>.</w:t>
      </w:r>
    </w:p>
  </w:footnote>
  <w:footnote w:id="14">
    <w:p w:rsidR="00D15A1A" w:rsidRPr="00D7493A" w:rsidRDefault="00D15A1A" w:rsidP="00D15A1A">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סעיף 26א לחוק הגנת השכר, התשי"ח-1958.</w:t>
      </w:r>
    </w:p>
  </w:footnote>
  <w:footnote w:id="15">
    <w:p w:rsidR="00F768D2" w:rsidRPr="00D7493A" w:rsidRDefault="00F768D2" w:rsidP="00F768D2">
      <w:pPr>
        <w:pStyle w:val="a4"/>
        <w:jc w:val="both"/>
        <w:rPr>
          <w:rFonts w:cs="David"/>
          <w:rtl/>
        </w:rPr>
      </w:pPr>
      <w:r w:rsidRPr="00D7493A">
        <w:rPr>
          <w:rStyle w:val="a6"/>
          <w:rFonts w:cs="David"/>
        </w:rPr>
        <w:footnoteRef/>
      </w:r>
      <w:r w:rsidRPr="00D7493A">
        <w:rPr>
          <w:rFonts w:cs="David"/>
          <w:rtl/>
        </w:rPr>
        <w:t xml:space="preserve"> </w:t>
      </w:r>
      <w:r w:rsidRPr="00D7493A">
        <w:rPr>
          <w:rFonts w:cs="David" w:hint="cs"/>
          <w:rtl/>
        </w:rPr>
        <w:t>סעיף 183 לחוק הפטנטים, התשכ"ז-1967; סעיף 65 ל</w:t>
      </w:r>
      <w:r w:rsidRPr="00D7493A">
        <w:rPr>
          <w:rFonts w:cs="David"/>
          <w:rtl/>
        </w:rPr>
        <w:t xml:space="preserve">חוק זכות מטפחים של זני צמחים, </w:t>
      </w:r>
      <w:r w:rsidRPr="00D7493A">
        <w:rPr>
          <w:rFonts w:cs="David" w:hint="cs"/>
          <w:rtl/>
        </w:rPr>
        <w:t>ה</w:t>
      </w:r>
      <w:r w:rsidRPr="00D7493A">
        <w:rPr>
          <w:rFonts w:cs="David"/>
          <w:rtl/>
        </w:rPr>
        <w:t>תשל"ג</w:t>
      </w:r>
      <w:r w:rsidRPr="00D7493A">
        <w:rPr>
          <w:rFonts w:cs="David" w:hint="cs"/>
          <w:rtl/>
        </w:rPr>
        <w:t>-</w:t>
      </w:r>
      <w:r w:rsidRPr="00D7493A">
        <w:rPr>
          <w:rFonts w:cs="David"/>
          <w:rtl/>
        </w:rPr>
        <w:t>1973</w:t>
      </w:r>
      <w:r w:rsidRPr="00D7493A">
        <w:rPr>
          <w:rFonts w:cs="David" w:hint="cs"/>
          <w:rtl/>
        </w:rPr>
        <w:t>.</w:t>
      </w:r>
    </w:p>
  </w:footnote>
  <w:footnote w:id="16">
    <w:p w:rsidR="00DE204F" w:rsidRPr="00D7493A" w:rsidRDefault="00DE204F" w:rsidP="009108CF">
      <w:pPr>
        <w:pStyle w:val="a4"/>
        <w:rPr>
          <w:rFonts w:cs="David"/>
          <w:rtl/>
        </w:rPr>
      </w:pPr>
      <w:r w:rsidRPr="00D7493A">
        <w:rPr>
          <w:rStyle w:val="a6"/>
          <w:rFonts w:cs="David"/>
        </w:rPr>
        <w:footnoteRef/>
      </w:r>
      <w:r w:rsidRPr="00D7493A">
        <w:rPr>
          <w:rFonts w:cs="David"/>
          <w:rtl/>
        </w:rPr>
        <w:t xml:space="preserve"> </w:t>
      </w:r>
      <w:r w:rsidRPr="00D7493A">
        <w:rPr>
          <w:rFonts w:cs="David" w:hint="cs"/>
          <w:rtl/>
        </w:rPr>
        <w:t xml:space="preserve">ראו לדוגמא סעיפים 251י ו-215יא לתקנות סדר הדין האזרחי, התשמ"ד-1984 העוסקים בתביעה לפינוי מושכר: </w:t>
      </w:r>
    </w:p>
    <w:p w:rsidR="00DE204F" w:rsidRPr="00D7493A" w:rsidRDefault="00DE204F" w:rsidP="008461AF">
      <w:pPr>
        <w:pStyle w:val="P00"/>
        <w:tabs>
          <w:tab w:val="left" w:pos="8164"/>
        </w:tabs>
        <w:spacing w:before="0"/>
        <w:ind w:left="84" w:right="142"/>
        <w:rPr>
          <w:rStyle w:val="default"/>
          <w:rFonts w:cs="David"/>
          <w:sz w:val="20"/>
          <w:szCs w:val="20"/>
          <w:rtl/>
        </w:rPr>
      </w:pPr>
      <w:r w:rsidRPr="00D7493A">
        <w:rPr>
          <w:rStyle w:val="big-number"/>
          <w:rFonts w:cs="David" w:hint="cs"/>
          <w:sz w:val="20"/>
          <w:szCs w:val="20"/>
          <w:rtl/>
        </w:rPr>
        <w:t>"</w:t>
      </w:r>
      <w:r w:rsidRPr="00D7493A">
        <w:rPr>
          <w:rStyle w:val="big-number"/>
          <w:rFonts w:cs="David"/>
          <w:sz w:val="20"/>
          <w:szCs w:val="20"/>
          <w:rtl/>
        </w:rPr>
        <w:t>21</w:t>
      </w:r>
      <w:r w:rsidRPr="00D7493A">
        <w:rPr>
          <w:rStyle w:val="big-number"/>
          <w:rFonts w:cs="David" w:hint="cs"/>
          <w:sz w:val="20"/>
          <w:szCs w:val="20"/>
          <w:rtl/>
        </w:rPr>
        <w:t>5</w:t>
      </w:r>
      <w:r w:rsidRPr="00D7493A">
        <w:rPr>
          <w:rStyle w:val="default"/>
          <w:rFonts w:cs="David" w:hint="cs"/>
          <w:sz w:val="20"/>
          <w:szCs w:val="20"/>
          <w:rtl/>
        </w:rPr>
        <w:t>י</w:t>
      </w:r>
      <w:r w:rsidRPr="00D7493A">
        <w:rPr>
          <w:rStyle w:val="default"/>
          <w:rFonts w:cs="David"/>
          <w:sz w:val="20"/>
          <w:szCs w:val="20"/>
          <w:rtl/>
        </w:rPr>
        <w:t>.</w:t>
      </w:r>
      <w:r w:rsidRPr="00D7493A">
        <w:rPr>
          <w:rStyle w:val="default"/>
          <w:rFonts w:cs="David" w:hint="cs"/>
          <w:sz w:val="20"/>
          <w:szCs w:val="20"/>
          <w:rtl/>
        </w:rPr>
        <w:t xml:space="preserve"> המצאה: </w:t>
      </w:r>
      <w:r w:rsidR="009B4AB1" w:rsidRPr="00D7493A">
        <w:rPr>
          <w:rStyle w:val="default"/>
          <w:rFonts w:cs="David" w:hint="cs"/>
          <w:sz w:val="20"/>
          <w:szCs w:val="20"/>
          <w:rtl/>
        </w:rPr>
        <w:t>...</w:t>
      </w:r>
      <w:r w:rsidRPr="00D7493A">
        <w:rPr>
          <w:rStyle w:val="default"/>
          <w:rFonts w:cs="David" w:hint="cs"/>
          <w:sz w:val="20"/>
          <w:szCs w:val="20"/>
          <w:rtl/>
        </w:rPr>
        <w:t xml:space="preserve"> (ב) הנתבע ימציא לבית המשפט ולבעלי הדין את כתב ההגנה </w:t>
      </w:r>
      <w:r w:rsidR="009B4AB1" w:rsidRPr="00D7493A">
        <w:rPr>
          <w:rStyle w:val="default"/>
          <w:rFonts w:cs="David" w:hint="cs"/>
          <w:sz w:val="20"/>
          <w:szCs w:val="20"/>
          <w:rtl/>
        </w:rPr>
        <w:t xml:space="preserve">... </w:t>
      </w:r>
      <w:r w:rsidRPr="00D7493A">
        <w:rPr>
          <w:rStyle w:val="default"/>
          <w:rFonts w:cs="David" w:hint="cs"/>
          <w:sz w:val="20"/>
          <w:szCs w:val="20"/>
          <w:rtl/>
        </w:rPr>
        <w:t>בתוך מועד שלא יאוחר משלושים ימים מהמועד שהומצא לו כתב התביעה</w:t>
      </w:r>
      <w:r w:rsidR="009B4AB1" w:rsidRPr="00D7493A">
        <w:rPr>
          <w:rStyle w:val="default"/>
          <w:rFonts w:cs="David" w:hint="cs"/>
          <w:sz w:val="20"/>
          <w:szCs w:val="20"/>
          <w:rtl/>
        </w:rPr>
        <w:t>.</w:t>
      </w:r>
      <w:r w:rsidR="009B4AB1" w:rsidRPr="00D7493A">
        <w:rPr>
          <w:rStyle w:val="big-number"/>
          <w:rFonts w:cs="David"/>
          <w:sz w:val="20"/>
          <w:szCs w:val="20"/>
          <w:rtl/>
        </w:rPr>
        <w:t xml:space="preserve"> </w:t>
      </w:r>
      <w:r w:rsidR="009B4AB1" w:rsidRPr="00D7493A">
        <w:rPr>
          <w:rStyle w:val="big-number"/>
          <w:rFonts w:cs="David"/>
          <w:sz w:val="20"/>
          <w:szCs w:val="20"/>
          <w:rtl/>
        </w:rPr>
        <w:t>21</w:t>
      </w:r>
      <w:r w:rsidR="009B4AB1" w:rsidRPr="00D7493A">
        <w:rPr>
          <w:rStyle w:val="big-number"/>
          <w:rFonts w:cs="David" w:hint="cs"/>
          <w:sz w:val="20"/>
          <w:szCs w:val="20"/>
          <w:rtl/>
        </w:rPr>
        <w:t>5</w:t>
      </w:r>
      <w:r w:rsidR="009B4AB1" w:rsidRPr="00D7493A">
        <w:rPr>
          <w:rStyle w:val="default"/>
          <w:rFonts w:cs="David" w:hint="cs"/>
          <w:sz w:val="20"/>
          <w:szCs w:val="20"/>
          <w:rtl/>
        </w:rPr>
        <w:t>יא</w:t>
      </w:r>
      <w:r w:rsidR="009B4AB1" w:rsidRPr="00D7493A">
        <w:rPr>
          <w:rStyle w:val="default"/>
          <w:rFonts w:cs="David"/>
          <w:sz w:val="20"/>
          <w:szCs w:val="20"/>
          <w:rtl/>
        </w:rPr>
        <w:t>.</w:t>
      </w:r>
      <w:r w:rsidR="009B4AB1" w:rsidRPr="00D7493A">
        <w:rPr>
          <w:rStyle w:val="default"/>
          <w:rFonts w:cs="David" w:hint="cs"/>
          <w:sz w:val="20"/>
          <w:szCs w:val="20"/>
          <w:rtl/>
        </w:rPr>
        <w:t xml:space="preserve"> קביעת מועד דיון: בית המשפט יקבע מועד לדיון בתובענה שלא יהיה</w:t>
      </w:r>
      <w:r w:rsidR="009B4AB1" w:rsidRPr="00D7493A">
        <w:rPr>
          <w:rStyle w:val="default"/>
          <w:rFonts w:cs="David" w:hint="cs"/>
          <w:sz w:val="20"/>
          <w:szCs w:val="20"/>
          <w:rtl/>
        </w:rPr>
        <w:t xml:space="preserve"> </w:t>
      </w:r>
      <w:r w:rsidR="009B4AB1" w:rsidRPr="00D7493A">
        <w:rPr>
          <w:rStyle w:val="default"/>
          <w:rFonts w:cs="David" w:hint="cs"/>
          <w:sz w:val="20"/>
          <w:szCs w:val="20"/>
          <w:rtl/>
        </w:rPr>
        <w:t>מאוחר משלושים ימים מהמועד האחרון להגשת כתב ההגנה האחרון בתיק.".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1654"/>
    <w:multiLevelType w:val="hybridMultilevel"/>
    <w:tmpl w:val="186EBB6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FC70F8"/>
    <w:multiLevelType w:val="hybridMultilevel"/>
    <w:tmpl w:val="87C03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A143B5"/>
    <w:multiLevelType w:val="hybridMultilevel"/>
    <w:tmpl w:val="CE10BF1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A1959"/>
    <w:multiLevelType w:val="hybridMultilevel"/>
    <w:tmpl w:val="E578BF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7E1B1E"/>
    <w:multiLevelType w:val="hybridMultilevel"/>
    <w:tmpl w:val="4E6AAAD0"/>
    <w:lvl w:ilvl="0" w:tplc="4CAAAE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2F307E"/>
    <w:multiLevelType w:val="hybridMultilevel"/>
    <w:tmpl w:val="375E95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0D0C6D"/>
    <w:multiLevelType w:val="hybridMultilevel"/>
    <w:tmpl w:val="A3C67A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8DA3BFB"/>
    <w:multiLevelType w:val="hybridMultilevel"/>
    <w:tmpl w:val="FD707DFA"/>
    <w:lvl w:ilvl="0" w:tplc="85A6CC58">
      <w:start w:val="1"/>
      <w:numFmt w:val="decimal"/>
      <w:lvlText w:val="%1."/>
      <w:lvlJc w:val="left"/>
      <w:pPr>
        <w:ind w:left="360" w:hanging="360"/>
      </w:pPr>
      <w:rPr>
        <w:rFonts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F7107F3"/>
    <w:multiLevelType w:val="hybridMultilevel"/>
    <w:tmpl w:val="D730E522"/>
    <w:lvl w:ilvl="0" w:tplc="0409000F">
      <w:start w:val="1"/>
      <w:numFmt w:val="decimal"/>
      <w:lvlText w:val="%1."/>
      <w:lvlJc w:val="left"/>
      <w:pPr>
        <w:ind w:left="360" w:hanging="360"/>
      </w:pPr>
      <w:rPr>
        <w:rFonts w:ascii="Times New Roman" w:hAnsi="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55E2579"/>
    <w:multiLevelType w:val="hybridMultilevel"/>
    <w:tmpl w:val="F9D4D854"/>
    <w:lvl w:ilvl="0" w:tplc="88CEB898">
      <w:start w:val="1"/>
      <w:numFmt w:val="decimal"/>
      <w:lvlText w:val="%1."/>
      <w:lvlJc w:val="left"/>
      <w:pPr>
        <w:ind w:left="360" w:hanging="360"/>
      </w:pPr>
      <w:rPr>
        <w:rFonts w:cs="David"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2C375F7"/>
    <w:multiLevelType w:val="hybridMultilevel"/>
    <w:tmpl w:val="5ABEB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2E0F3D"/>
    <w:multiLevelType w:val="hybridMultilevel"/>
    <w:tmpl w:val="AAB2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475417"/>
    <w:multiLevelType w:val="hybridMultilevel"/>
    <w:tmpl w:val="1326DB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0"/>
  </w:num>
  <w:num w:numId="3">
    <w:abstractNumId w:val="5"/>
  </w:num>
  <w:num w:numId="4">
    <w:abstractNumId w:val="0"/>
  </w:num>
  <w:num w:numId="5">
    <w:abstractNumId w:val="12"/>
  </w:num>
  <w:num w:numId="6">
    <w:abstractNumId w:val="1"/>
  </w:num>
  <w:num w:numId="7">
    <w:abstractNumId w:val="8"/>
  </w:num>
  <w:num w:numId="8">
    <w:abstractNumId w:val="11"/>
  </w:num>
  <w:num w:numId="9">
    <w:abstractNumId w:val="6"/>
  </w:num>
  <w:num w:numId="10">
    <w:abstractNumId w:val="7"/>
  </w:num>
  <w:num w:numId="11">
    <w:abstractNumId w:val="3"/>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049"/>
    <w:rsid w:val="00091E73"/>
    <w:rsid w:val="000939AD"/>
    <w:rsid w:val="000B3016"/>
    <w:rsid w:val="0010545D"/>
    <w:rsid w:val="00117D65"/>
    <w:rsid w:val="001512D8"/>
    <w:rsid w:val="001D54E1"/>
    <w:rsid w:val="001F0B00"/>
    <w:rsid w:val="002019B7"/>
    <w:rsid w:val="00207E12"/>
    <w:rsid w:val="00231C98"/>
    <w:rsid w:val="00246311"/>
    <w:rsid w:val="0028113D"/>
    <w:rsid w:val="002F2ED3"/>
    <w:rsid w:val="002F7467"/>
    <w:rsid w:val="00376EB9"/>
    <w:rsid w:val="003D61C5"/>
    <w:rsid w:val="004309F2"/>
    <w:rsid w:val="00433D32"/>
    <w:rsid w:val="00464FE2"/>
    <w:rsid w:val="00491E9C"/>
    <w:rsid w:val="004A7CF6"/>
    <w:rsid w:val="004E1D7C"/>
    <w:rsid w:val="0050536B"/>
    <w:rsid w:val="00516FCE"/>
    <w:rsid w:val="005241B7"/>
    <w:rsid w:val="00531697"/>
    <w:rsid w:val="005B1B1A"/>
    <w:rsid w:val="005B7754"/>
    <w:rsid w:val="005C6049"/>
    <w:rsid w:val="005D430A"/>
    <w:rsid w:val="006260EC"/>
    <w:rsid w:val="00686B20"/>
    <w:rsid w:val="006C4C4D"/>
    <w:rsid w:val="006D1163"/>
    <w:rsid w:val="006D1987"/>
    <w:rsid w:val="006E1EDF"/>
    <w:rsid w:val="006F247F"/>
    <w:rsid w:val="0079616C"/>
    <w:rsid w:val="008461AF"/>
    <w:rsid w:val="0085011A"/>
    <w:rsid w:val="008557F6"/>
    <w:rsid w:val="008678AC"/>
    <w:rsid w:val="008B7F15"/>
    <w:rsid w:val="009108CF"/>
    <w:rsid w:val="00921038"/>
    <w:rsid w:val="009271D0"/>
    <w:rsid w:val="00957A20"/>
    <w:rsid w:val="00974195"/>
    <w:rsid w:val="00993C17"/>
    <w:rsid w:val="009A5ADA"/>
    <w:rsid w:val="009B4AB1"/>
    <w:rsid w:val="009C6EF6"/>
    <w:rsid w:val="009D1BC6"/>
    <w:rsid w:val="009D52C1"/>
    <w:rsid w:val="009E7134"/>
    <w:rsid w:val="00A40D54"/>
    <w:rsid w:val="00A9464F"/>
    <w:rsid w:val="00AB0512"/>
    <w:rsid w:val="00AE1602"/>
    <w:rsid w:val="00B01DA3"/>
    <w:rsid w:val="00B22584"/>
    <w:rsid w:val="00B71047"/>
    <w:rsid w:val="00BA1E69"/>
    <w:rsid w:val="00BB5204"/>
    <w:rsid w:val="00BE466C"/>
    <w:rsid w:val="00BF3739"/>
    <w:rsid w:val="00CB4EE8"/>
    <w:rsid w:val="00D0430C"/>
    <w:rsid w:val="00D15A1A"/>
    <w:rsid w:val="00D631B0"/>
    <w:rsid w:val="00D65D66"/>
    <w:rsid w:val="00D67769"/>
    <w:rsid w:val="00D7493A"/>
    <w:rsid w:val="00DD363E"/>
    <w:rsid w:val="00DE204F"/>
    <w:rsid w:val="00DF63FD"/>
    <w:rsid w:val="00E323DB"/>
    <w:rsid w:val="00E507DF"/>
    <w:rsid w:val="00E726FA"/>
    <w:rsid w:val="00E820D9"/>
    <w:rsid w:val="00E93163"/>
    <w:rsid w:val="00EA6AFB"/>
    <w:rsid w:val="00EE434B"/>
    <w:rsid w:val="00F3154F"/>
    <w:rsid w:val="00F75481"/>
    <w:rsid w:val="00F768D2"/>
    <w:rsid w:val="00F91F06"/>
    <w:rsid w:val="00FA3974"/>
    <w:rsid w:val="00FD3D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5941E-F534-46C3-A8D6-58D02331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C1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993C17"/>
    <w:rPr>
      <w:color w:val="0563C1" w:themeColor="hyperlink"/>
      <w:u w:val="single"/>
    </w:rPr>
  </w:style>
  <w:style w:type="paragraph" w:styleId="a3">
    <w:name w:val="List Paragraph"/>
    <w:basedOn w:val="a"/>
    <w:uiPriority w:val="34"/>
    <w:qFormat/>
    <w:rsid w:val="00993C17"/>
    <w:pPr>
      <w:ind w:left="720"/>
      <w:contextualSpacing/>
    </w:pPr>
  </w:style>
  <w:style w:type="paragraph" w:styleId="a4">
    <w:name w:val="footnote text"/>
    <w:basedOn w:val="a"/>
    <w:link w:val="a5"/>
    <w:uiPriority w:val="99"/>
    <w:unhideWhenUsed/>
    <w:rsid w:val="00993C17"/>
    <w:pPr>
      <w:spacing w:after="0" w:line="240" w:lineRule="auto"/>
    </w:pPr>
    <w:rPr>
      <w:sz w:val="20"/>
      <w:szCs w:val="20"/>
    </w:rPr>
  </w:style>
  <w:style w:type="character" w:customStyle="1" w:styleId="a5">
    <w:name w:val="טקסט הערת שוליים תו"/>
    <w:basedOn w:val="a0"/>
    <w:link w:val="a4"/>
    <w:uiPriority w:val="99"/>
    <w:rsid w:val="00993C17"/>
    <w:rPr>
      <w:sz w:val="20"/>
      <w:szCs w:val="20"/>
    </w:rPr>
  </w:style>
  <w:style w:type="character" w:styleId="a6">
    <w:name w:val="footnote reference"/>
    <w:basedOn w:val="a0"/>
    <w:uiPriority w:val="99"/>
    <w:semiHidden/>
    <w:unhideWhenUsed/>
    <w:rsid w:val="00993C17"/>
    <w:rPr>
      <w:vertAlign w:val="superscript"/>
    </w:rPr>
  </w:style>
  <w:style w:type="paragraph" w:styleId="a7">
    <w:name w:val="footer"/>
    <w:basedOn w:val="a"/>
    <w:link w:val="a8"/>
    <w:uiPriority w:val="99"/>
    <w:unhideWhenUsed/>
    <w:rsid w:val="00993C17"/>
    <w:pPr>
      <w:tabs>
        <w:tab w:val="center" w:pos="4153"/>
        <w:tab w:val="right" w:pos="8306"/>
      </w:tabs>
      <w:spacing w:after="0" w:line="240" w:lineRule="auto"/>
    </w:pPr>
  </w:style>
  <w:style w:type="character" w:customStyle="1" w:styleId="a8">
    <w:name w:val="כותרת תחתונה תו"/>
    <w:basedOn w:val="a0"/>
    <w:link w:val="a7"/>
    <w:uiPriority w:val="99"/>
    <w:rsid w:val="00993C17"/>
  </w:style>
  <w:style w:type="table" w:styleId="a9">
    <w:name w:val="Table Grid"/>
    <w:basedOn w:val="a1"/>
    <w:uiPriority w:val="39"/>
    <w:rsid w:val="00993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nhideWhenUsed/>
    <w:rsid w:val="00993C17"/>
    <w:pPr>
      <w:tabs>
        <w:tab w:val="center" w:pos="4153"/>
        <w:tab w:val="right" w:pos="8306"/>
      </w:tabs>
      <w:spacing w:after="0" w:line="240" w:lineRule="auto"/>
    </w:pPr>
  </w:style>
  <w:style w:type="character" w:customStyle="1" w:styleId="ab">
    <w:name w:val="כותרת עליונה תו"/>
    <w:basedOn w:val="a0"/>
    <w:link w:val="aa"/>
    <w:uiPriority w:val="99"/>
    <w:rsid w:val="00993C17"/>
  </w:style>
  <w:style w:type="character" w:customStyle="1" w:styleId="default">
    <w:name w:val="default"/>
    <w:basedOn w:val="a0"/>
    <w:rsid w:val="00EA6AFB"/>
    <w:rPr>
      <w:rFonts w:ascii="Times New Roman" w:hAnsi="Times New Roman" w:cs="Times New Roman"/>
      <w:sz w:val="26"/>
      <w:szCs w:val="26"/>
    </w:rPr>
  </w:style>
  <w:style w:type="paragraph" w:customStyle="1" w:styleId="Hesber">
    <w:name w:val="Hesber"/>
    <w:basedOn w:val="a"/>
    <w:rsid w:val="005241B7"/>
    <w:pPr>
      <w:widowControl w:val="0"/>
      <w:autoSpaceDE w:val="0"/>
      <w:autoSpaceDN w:val="0"/>
      <w:adjustRightInd w:val="0"/>
      <w:snapToGrid w:val="0"/>
      <w:spacing w:after="0" w:line="360" w:lineRule="auto"/>
      <w:ind w:firstLine="340"/>
      <w:jc w:val="both"/>
    </w:pPr>
    <w:rPr>
      <w:rFonts w:ascii="Arial" w:eastAsia="Arial Unicode MS" w:hAnsi="Arial" w:cs="David"/>
      <w:color w:val="000000"/>
      <w:sz w:val="20"/>
      <w:szCs w:val="26"/>
      <w:lang w:eastAsia="ja-JP"/>
    </w:rPr>
  </w:style>
  <w:style w:type="paragraph" w:styleId="ac">
    <w:name w:val="Balloon Text"/>
    <w:basedOn w:val="a"/>
    <w:link w:val="ad"/>
    <w:uiPriority w:val="99"/>
    <w:semiHidden/>
    <w:unhideWhenUsed/>
    <w:rsid w:val="00D67769"/>
    <w:pPr>
      <w:spacing w:after="0" w:line="240" w:lineRule="auto"/>
    </w:pPr>
    <w:rPr>
      <w:rFonts w:ascii="Tahoma" w:hAnsi="Tahoma" w:cs="Tahoma"/>
      <w:sz w:val="18"/>
      <w:szCs w:val="18"/>
    </w:rPr>
  </w:style>
  <w:style w:type="character" w:customStyle="1" w:styleId="ad">
    <w:name w:val="טקסט בלונים תו"/>
    <w:basedOn w:val="a0"/>
    <w:link w:val="ac"/>
    <w:uiPriority w:val="99"/>
    <w:semiHidden/>
    <w:rsid w:val="00D67769"/>
    <w:rPr>
      <w:rFonts w:ascii="Tahoma" w:hAnsi="Tahoma" w:cs="Tahoma"/>
      <w:sz w:val="18"/>
      <w:szCs w:val="18"/>
    </w:rPr>
  </w:style>
  <w:style w:type="paragraph" w:customStyle="1" w:styleId="P00">
    <w:name w:val="P00"/>
    <w:link w:val="P000"/>
    <w:rsid w:val="0079616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79616C"/>
    <w:rPr>
      <w:rFonts w:ascii="Times New Roman" w:hAnsi="Times New Roman" w:cs="Times New Roman"/>
      <w:sz w:val="32"/>
      <w:szCs w:val="32"/>
    </w:rPr>
  </w:style>
  <w:style w:type="character" w:customStyle="1" w:styleId="P000">
    <w:name w:val="P00 תו"/>
    <w:link w:val="P00"/>
    <w:rsid w:val="0079616C"/>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2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8A1E4-DE57-48A2-A515-39745247F43D}"/>
</file>

<file path=customXml/itemProps2.xml><?xml version="1.0" encoding="utf-8"?>
<ds:datastoreItem xmlns:ds="http://schemas.openxmlformats.org/officeDocument/2006/customXml" ds:itemID="{B53195CD-8EB4-40BA-B055-5AB42F8491C5}"/>
</file>

<file path=customXml/itemProps3.xml><?xml version="1.0" encoding="utf-8"?>
<ds:datastoreItem xmlns:ds="http://schemas.openxmlformats.org/officeDocument/2006/customXml" ds:itemID="{11B2B67B-41D6-44A8-B6F2-EC69128ABBF2}"/>
</file>

<file path=docProps/app.xml><?xml version="1.0" encoding="utf-8"?>
<Properties xmlns="http://schemas.openxmlformats.org/officeDocument/2006/extended-properties" xmlns:vt="http://schemas.openxmlformats.org/officeDocument/2006/docPropsVTypes">
  <Template>Normal</Template>
  <TotalTime>1</TotalTime>
  <Pages>1</Pages>
  <Words>1626</Words>
  <Characters>8134</Characters>
  <Application>Microsoft Office Word</Application>
  <DocSecurity>0</DocSecurity>
  <Lines>67</Lines>
  <Paragraphs>19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ניצן רוזנברג</cp:lastModifiedBy>
  <cp:revision>2</cp:revision>
  <cp:lastPrinted>2017-02-02T13:23:00Z</cp:lastPrinted>
  <dcterms:created xsi:type="dcterms:W3CDTF">2017-02-02T13:24:00Z</dcterms:created>
  <dcterms:modified xsi:type="dcterms:W3CDTF">2017-02-02T13:24:00Z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2013068</vt:r8>
  </property>
</Properties>
</file>