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B2" w:rsidRPr="005F46DB" w:rsidRDefault="005F46DB" w:rsidP="00103DFC">
      <w:pPr>
        <w:spacing w:before="0" w:line="240" w:lineRule="auto"/>
        <w:jc w:val="right"/>
        <w:rPr>
          <w:rFonts w:cs="David"/>
          <w:sz w:val="22"/>
          <w:szCs w:val="22"/>
        </w:rPr>
      </w:pPr>
      <w:r w:rsidRPr="005F46DB">
        <w:rPr>
          <w:rFonts w:cs="David" w:hint="cs"/>
          <w:sz w:val="22"/>
          <w:szCs w:val="22"/>
          <w:rtl/>
        </w:rPr>
        <w:t>י</w:t>
      </w:r>
      <w:r w:rsidR="007F418E" w:rsidRPr="005F46DB">
        <w:rPr>
          <w:rFonts w:cs="David" w:hint="cs"/>
          <w:sz w:val="22"/>
          <w:szCs w:val="22"/>
          <w:rtl/>
        </w:rPr>
        <w:t>'</w:t>
      </w:r>
      <w:r w:rsidR="009008B2" w:rsidRPr="005F46DB">
        <w:rPr>
          <w:rFonts w:cs="David" w:hint="cs"/>
          <w:sz w:val="22"/>
          <w:szCs w:val="22"/>
          <w:rtl/>
        </w:rPr>
        <w:t xml:space="preserve"> ב</w:t>
      </w:r>
      <w:r w:rsidR="00103DFC" w:rsidRPr="005F46DB">
        <w:rPr>
          <w:rFonts w:cs="David" w:hint="cs"/>
          <w:sz w:val="22"/>
          <w:szCs w:val="22"/>
          <w:rtl/>
        </w:rPr>
        <w:t>שבט</w:t>
      </w:r>
      <w:r w:rsidR="009008B2" w:rsidRPr="005F46DB">
        <w:rPr>
          <w:rFonts w:cs="David" w:hint="cs"/>
          <w:sz w:val="22"/>
          <w:szCs w:val="22"/>
          <w:rtl/>
        </w:rPr>
        <w:t xml:space="preserve"> </w:t>
      </w:r>
      <w:proofErr w:type="spellStart"/>
      <w:r w:rsidR="009008B2" w:rsidRPr="005F46DB">
        <w:rPr>
          <w:rFonts w:cs="David" w:hint="cs"/>
          <w:sz w:val="22"/>
          <w:szCs w:val="22"/>
          <w:rtl/>
        </w:rPr>
        <w:t>התשע"ז</w:t>
      </w:r>
      <w:proofErr w:type="spellEnd"/>
    </w:p>
    <w:p w:rsidR="009008B2" w:rsidRDefault="005F46DB" w:rsidP="009008B2">
      <w:pPr>
        <w:spacing w:before="0" w:line="240" w:lineRule="auto"/>
        <w:jc w:val="right"/>
        <w:rPr>
          <w:rFonts w:cs="David"/>
          <w:sz w:val="22"/>
          <w:szCs w:val="22"/>
          <w:rtl/>
        </w:rPr>
      </w:pPr>
      <w:r w:rsidRPr="005F46DB">
        <w:rPr>
          <w:rFonts w:cs="David" w:hint="cs"/>
          <w:sz w:val="22"/>
          <w:szCs w:val="22"/>
          <w:rtl/>
        </w:rPr>
        <w:t>6</w:t>
      </w:r>
      <w:r w:rsidR="00103DFC" w:rsidRPr="005F46DB">
        <w:rPr>
          <w:rFonts w:cs="David" w:hint="cs"/>
          <w:sz w:val="22"/>
          <w:szCs w:val="22"/>
          <w:rtl/>
        </w:rPr>
        <w:t xml:space="preserve"> בפברואר</w:t>
      </w:r>
      <w:r w:rsidR="009008B2" w:rsidRPr="005F46DB">
        <w:rPr>
          <w:rFonts w:cs="David" w:hint="cs"/>
          <w:sz w:val="22"/>
          <w:szCs w:val="22"/>
          <w:rtl/>
        </w:rPr>
        <w:t xml:space="preserve"> 2017</w:t>
      </w:r>
    </w:p>
    <w:p w:rsidR="009008B2" w:rsidRDefault="009008B2" w:rsidP="009008B2">
      <w:pPr>
        <w:spacing w:before="0" w:line="240" w:lineRule="auto"/>
        <w:rPr>
          <w:rFonts w:cs="David"/>
          <w:sz w:val="24"/>
          <w:szCs w:val="24"/>
          <w:u w:val="single"/>
          <w:rtl/>
        </w:rPr>
      </w:pPr>
    </w:p>
    <w:p w:rsidR="009008B2" w:rsidRDefault="009008B2" w:rsidP="009008B2">
      <w:pPr>
        <w:spacing w:before="0" w:line="240" w:lineRule="auto"/>
        <w:rPr>
          <w:rFonts w:cs="David"/>
          <w:sz w:val="24"/>
          <w:szCs w:val="24"/>
          <w:u w:val="single"/>
          <w:rtl/>
        </w:rPr>
      </w:pPr>
    </w:p>
    <w:p w:rsidR="009008B2" w:rsidRDefault="009008B2" w:rsidP="009008B2">
      <w:pPr>
        <w:spacing w:before="0" w:line="240" w:lineRule="auto"/>
        <w:ind w:firstLine="0"/>
        <w:rPr>
          <w:rFonts w:cs="David"/>
          <w:sz w:val="24"/>
          <w:szCs w:val="24"/>
          <w:rtl/>
        </w:rPr>
      </w:pPr>
      <w:r>
        <w:rPr>
          <w:rFonts w:cs="David" w:hint="cs"/>
          <w:sz w:val="24"/>
          <w:szCs w:val="24"/>
          <w:u w:val="single"/>
          <w:rtl/>
        </w:rPr>
        <w:t>אל</w:t>
      </w:r>
      <w:r>
        <w:rPr>
          <w:rFonts w:cs="David" w:hint="cs"/>
          <w:sz w:val="24"/>
          <w:szCs w:val="24"/>
          <w:rtl/>
        </w:rPr>
        <w:t>: חברי ועדת החוקה, חוק ומשפט</w:t>
      </w:r>
    </w:p>
    <w:p w:rsidR="009008B2" w:rsidRDefault="009008B2" w:rsidP="009008B2">
      <w:pPr>
        <w:spacing w:before="0" w:line="240" w:lineRule="auto"/>
        <w:ind w:firstLine="0"/>
        <w:rPr>
          <w:rFonts w:cs="David"/>
          <w:sz w:val="24"/>
          <w:szCs w:val="24"/>
          <w:rtl/>
        </w:rPr>
      </w:pPr>
      <w:r>
        <w:rPr>
          <w:rFonts w:cs="David" w:hint="cs"/>
          <w:sz w:val="24"/>
          <w:szCs w:val="24"/>
          <w:u w:val="single"/>
          <w:rtl/>
        </w:rPr>
        <w:t>מאת</w:t>
      </w:r>
      <w:r>
        <w:rPr>
          <w:rFonts w:cs="David" w:hint="cs"/>
          <w:sz w:val="24"/>
          <w:szCs w:val="24"/>
          <w:rtl/>
        </w:rPr>
        <w:t>: הייעוץ המשפטי לוועדה</w:t>
      </w:r>
    </w:p>
    <w:p w:rsidR="0096578F" w:rsidRDefault="0096578F" w:rsidP="0096578F">
      <w:pPr>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Pr="00530D10" w:rsidRDefault="00530D10" w:rsidP="00530D10">
      <w:pPr>
        <w:spacing w:before="0" w:line="240" w:lineRule="auto"/>
        <w:ind w:firstLine="0"/>
        <w:jc w:val="center"/>
        <w:rPr>
          <w:rFonts w:cs="David"/>
          <w:b/>
          <w:bCs/>
          <w:sz w:val="26"/>
          <w:szCs w:val="28"/>
          <w:u w:val="single"/>
          <w:rtl/>
        </w:rPr>
      </w:pPr>
      <w:r w:rsidRPr="00530D10">
        <w:rPr>
          <w:rFonts w:cs="David" w:hint="cs"/>
          <w:b/>
          <w:bCs/>
          <w:sz w:val="26"/>
          <w:szCs w:val="28"/>
          <w:u w:val="single"/>
          <w:rtl/>
        </w:rPr>
        <w:t>תקנות ההוצאה לפועל (אגרות שכר והוצאות) (תיקון), התשע"ו-2016</w:t>
      </w:r>
    </w:p>
    <w:p w:rsidR="00530D10" w:rsidRDefault="00530D10" w:rsidP="0096578F">
      <w:pPr>
        <w:spacing w:before="0" w:line="240" w:lineRule="auto"/>
        <w:ind w:firstLine="0"/>
        <w:rPr>
          <w:rFonts w:cs="David"/>
          <w:sz w:val="24"/>
          <w:szCs w:val="24"/>
          <w:rtl/>
        </w:rPr>
      </w:pPr>
    </w:p>
    <w:p w:rsidR="008E5D1D" w:rsidRPr="00EF4D87" w:rsidRDefault="00F5045B" w:rsidP="00A7142F">
      <w:pPr>
        <w:spacing w:before="0" w:after="120" w:line="240" w:lineRule="auto"/>
        <w:ind w:firstLine="0"/>
        <w:rPr>
          <w:rFonts w:cs="David"/>
          <w:b/>
          <w:bCs/>
          <w:color w:val="auto"/>
          <w:sz w:val="24"/>
          <w:szCs w:val="24"/>
          <w:u w:val="single"/>
          <w:rtl/>
        </w:rPr>
      </w:pPr>
      <w:r w:rsidRPr="00EF4D87">
        <w:rPr>
          <w:rFonts w:cs="David" w:hint="cs"/>
          <w:b/>
          <w:bCs/>
          <w:color w:val="auto"/>
          <w:sz w:val="24"/>
          <w:szCs w:val="24"/>
          <w:u w:val="single"/>
          <w:rtl/>
        </w:rPr>
        <w:t>תשלום לצד שלישי בהלי</w:t>
      </w:r>
      <w:r w:rsidR="00770EA9" w:rsidRPr="00EF4D87">
        <w:rPr>
          <w:rFonts w:cs="David" w:hint="cs"/>
          <w:b/>
          <w:bCs/>
          <w:color w:val="auto"/>
          <w:sz w:val="24"/>
          <w:szCs w:val="24"/>
          <w:u w:val="single"/>
          <w:rtl/>
        </w:rPr>
        <w:t>כי</w:t>
      </w:r>
      <w:r w:rsidRPr="00EF4D87">
        <w:rPr>
          <w:rFonts w:cs="David" w:hint="cs"/>
          <w:b/>
          <w:bCs/>
          <w:color w:val="auto"/>
          <w:sz w:val="24"/>
          <w:szCs w:val="24"/>
          <w:u w:val="single"/>
          <w:rtl/>
        </w:rPr>
        <w:t xml:space="preserve"> ההוצאה לפועל</w:t>
      </w:r>
      <w:r w:rsidR="00770EA9" w:rsidRPr="00EF4D87">
        <w:rPr>
          <w:rFonts w:cs="David" w:hint="cs"/>
          <w:b/>
          <w:bCs/>
          <w:color w:val="auto"/>
          <w:sz w:val="24"/>
          <w:szCs w:val="24"/>
          <w:u w:val="single"/>
          <w:rtl/>
        </w:rPr>
        <w:t xml:space="preserve"> בגין עיקול או מסירת מידע</w:t>
      </w:r>
    </w:p>
    <w:p w:rsidR="00C91FD2" w:rsidRPr="00EF4D87" w:rsidRDefault="004F2A12" w:rsidP="00A7142F">
      <w:pPr>
        <w:spacing w:before="0" w:after="120" w:line="360" w:lineRule="auto"/>
        <w:ind w:firstLine="0"/>
        <w:rPr>
          <w:rFonts w:cs="David"/>
          <w:color w:val="auto"/>
          <w:sz w:val="24"/>
          <w:szCs w:val="24"/>
          <w:rtl/>
        </w:rPr>
      </w:pPr>
      <w:r w:rsidRPr="00EF4D87">
        <w:rPr>
          <w:rFonts w:cs="David" w:hint="cs"/>
          <w:color w:val="auto"/>
          <w:sz w:val="24"/>
          <w:szCs w:val="24"/>
          <w:rtl/>
        </w:rPr>
        <w:t>במסגרת הליכים שמתנהלים לפי חוק ה</w:t>
      </w:r>
      <w:bookmarkStart w:id="0" w:name="_GoBack"/>
      <w:bookmarkEnd w:id="0"/>
      <w:r w:rsidRPr="00EF4D87">
        <w:rPr>
          <w:rFonts w:cs="David" w:hint="cs"/>
          <w:color w:val="auto"/>
          <w:sz w:val="24"/>
          <w:szCs w:val="24"/>
          <w:rtl/>
        </w:rPr>
        <w:t xml:space="preserve">הוצאה לפועל, התשכ"ז-1967 (להלן </w:t>
      </w:r>
      <w:r w:rsidRPr="00EF4D87">
        <w:rPr>
          <w:rFonts w:cs="David"/>
          <w:color w:val="auto"/>
          <w:sz w:val="24"/>
          <w:szCs w:val="24"/>
          <w:rtl/>
        </w:rPr>
        <w:t>–</w:t>
      </w:r>
      <w:r w:rsidRPr="00EF4D87">
        <w:rPr>
          <w:rFonts w:cs="David" w:hint="cs"/>
          <w:color w:val="auto"/>
          <w:sz w:val="24"/>
          <w:szCs w:val="24"/>
          <w:rtl/>
        </w:rPr>
        <w:t xml:space="preserve"> החוק), נדרשים לעיתים צדדים שלישיים לבצע פעולות שונות לטובת </w:t>
      </w:r>
      <w:r w:rsidR="009F4A2E" w:rsidRPr="00EF4D87">
        <w:rPr>
          <w:rFonts w:cs="David" w:hint="cs"/>
          <w:color w:val="auto"/>
          <w:sz w:val="24"/>
          <w:szCs w:val="24"/>
          <w:rtl/>
        </w:rPr>
        <w:t xml:space="preserve">קידום </w:t>
      </w:r>
      <w:r w:rsidR="00A17AAA" w:rsidRPr="00EF4D87">
        <w:rPr>
          <w:rFonts w:cs="David" w:hint="cs"/>
          <w:color w:val="auto"/>
          <w:sz w:val="24"/>
          <w:szCs w:val="24"/>
          <w:rtl/>
        </w:rPr>
        <w:t xml:space="preserve">ההליך. </w:t>
      </w:r>
      <w:r w:rsidR="00BB217A" w:rsidRPr="00EF4D87">
        <w:rPr>
          <w:rFonts w:cs="David" w:hint="cs"/>
          <w:color w:val="auto"/>
          <w:sz w:val="24"/>
          <w:szCs w:val="24"/>
          <w:rtl/>
        </w:rPr>
        <w:t>המחוקק</w:t>
      </w:r>
      <w:r w:rsidR="00A17AAA" w:rsidRPr="00EF4D87">
        <w:rPr>
          <w:rFonts w:cs="David" w:hint="cs"/>
          <w:color w:val="auto"/>
          <w:sz w:val="24"/>
          <w:szCs w:val="24"/>
          <w:rtl/>
        </w:rPr>
        <w:t xml:space="preserve"> </w:t>
      </w:r>
      <w:r w:rsidR="009F4A2E" w:rsidRPr="00EF4D87">
        <w:rPr>
          <w:rFonts w:cs="David" w:hint="cs"/>
          <w:color w:val="auto"/>
          <w:sz w:val="24"/>
          <w:szCs w:val="24"/>
          <w:rtl/>
        </w:rPr>
        <w:t xml:space="preserve">הכיר בכך שלצד השלישי עשויות להיות הוצאות בגין ביצוע הפעולות האמורות, והקשרים </w:t>
      </w:r>
      <w:r w:rsidR="0057593C" w:rsidRPr="00EF4D87">
        <w:rPr>
          <w:rFonts w:cs="David" w:hint="cs"/>
          <w:color w:val="auto"/>
          <w:sz w:val="24"/>
          <w:szCs w:val="24"/>
          <w:rtl/>
        </w:rPr>
        <w:t xml:space="preserve">שונים </w:t>
      </w:r>
      <w:r w:rsidR="009F4A2E" w:rsidRPr="00EF4D87">
        <w:rPr>
          <w:rFonts w:cs="David" w:hint="cs"/>
          <w:color w:val="auto"/>
          <w:sz w:val="24"/>
          <w:szCs w:val="24"/>
          <w:rtl/>
        </w:rPr>
        <w:t xml:space="preserve">קבע מנגנון </w:t>
      </w:r>
      <w:r w:rsidR="00C91FD2" w:rsidRPr="00EF4D87">
        <w:rPr>
          <w:rFonts w:cs="David" w:hint="cs"/>
          <w:color w:val="auto"/>
          <w:sz w:val="24"/>
          <w:szCs w:val="24"/>
          <w:rtl/>
        </w:rPr>
        <w:t xml:space="preserve">שמאפשר לצדדים שלישיים </w:t>
      </w:r>
      <w:r w:rsidR="00BB217A" w:rsidRPr="00EF4D87">
        <w:rPr>
          <w:rFonts w:cs="David" w:hint="cs"/>
          <w:color w:val="auto"/>
          <w:sz w:val="24"/>
          <w:szCs w:val="24"/>
          <w:rtl/>
        </w:rPr>
        <w:t xml:space="preserve">לקבל תשלום </w:t>
      </w:r>
      <w:r w:rsidR="00C91FD2" w:rsidRPr="00EF4D87">
        <w:rPr>
          <w:rFonts w:cs="David" w:hint="cs"/>
          <w:color w:val="auto"/>
          <w:sz w:val="24"/>
          <w:szCs w:val="24"/>
          <w:rtl/>
        </w:rPr>
        <w:t xml:space="preserve">בגין </w:t>
      </w:r>
      <w:r w:rsidR="004E32C2" w:rsidRPr="00EF4D87">
        <w:rPr>
          <w:rFonts w:cs="David" w:hint="cs"/>
          <w:color w:val="auto"/>
          <w:sz w:val="24"/>
          <w:szCs w:val="24"/>
          <w:rtl/>
        </w:rPr>
        <w:t>הפעולות שהם נדרשים לעשות</w:t>
      </w:r>
      <w:r w:rsidR="00C91FD2" w:rsidRPr="00EF4D87">
        <w:rPr>
          <w:rFonts w:cs="David" w:hint="cs"/>
          <w:color w:val="auto"/>
          <w:sz w:val="24"/>
          <w:szCs w:val="24"/>
          <w:rtl/>
        </w:rPr>
        <w:t>: לגבי מידע שצד שלישי נדרש למסור על חייב לפי סעיף 7ב לחוק</w:t>
      </w:r>
      <w:r w:rsidR="00BB217A" w:rsidRPr="00EF4D87">
        <w:rPr>
          <w:rFonts w:cs="David" w:hint="cs"/>
          <w:color w:val="auto"/>
          <w:sz w:val="24"/>
          <w:szCs w:val="24"/>
          <w:rtl/>
        </w:rPr>
        <w:t>,</w:t>
      </w:r>
      <w:r w:rsidR="00C91FD2" w:rsidRPr="00EF4D87">
        <w:rPr>
          <w:rFonts w:cs="David" w:hint="cs"/>
          <w:color w:val="auto"/>
          <w:sz w:val="24"/>
          <w:szCs w:val="24"/>
          <w:rtl/>
        </w:rPr>
        <w:t xml:space="preserve"> ולגבי עיקול של נכסי חייב הנמצאים אצל צד שלישי לפי סעיף 49א לחוק.</w:t>
      </w:r>
    </w:p>
    <w:p w:rsidR="00C91FD2" w:rsidRPr="00EF4D87" w:rsidRDefault="00812DD1" w:rsidP="00A7142F">
      <w:pPr>
        <w:spacing w:before="0" w:after="120" w:line="360" w:lineRule="auto"/>
        <w:ind w:firstLine="0"/>
        <w:rPr>
          <w:rFonts w:cs="David"/>
          <w:color w:val="auto"/>
          <w:sz w:val="24"/>
          <w:szCs w:val="24"/>
          <w:rtl/>
        </w:rPr>
      </w:pPr>
      <w:r w:rsidRPr="00EF4D87">
        <w:rPr>
          <w:rFonts w:cs="David" w:hint="cs"/>
          <w:color w:val="auto"/>
          <w:sz w:val="24"/>
          <w:szCs w:val="24"/>
          <w:rtl/>
        </w:rPr>
        <w:t xml:space="preserve">בשני המקרים, הסמיך </w:t>
      </w:r>
      <w:r w:rsidR="0057593C" w:rsidRPr="00EF4D87">
        <w:rPr>
          <w:rFonts w:cs="David" w:hint="cs"/>
          <w:color w:val="auto"/>
          <w:sz w:val="24"/>
          <w:szCs w:val="24"/>
          <w:rtl/>
        </w:rPr>
        <w:t xml:space="preserve">החוק </w:t>
      </w:r>
      <w:r w:rsidRPr="00EF4D87">
        <w:rPr>
          <w:rFonts w:cs="David" w:hint="cs"/>
          <w:color w:val="auto"/>
          <w:sz w:val="24"/>
          <w:szCs w:val="24"/>
          <w:rtl/>
        </w:rPr>
        <w:t>את שר המשפטים לקבוע, באישור ועדת החוקה, חוק ומשפט של הכנסת, את התנאים לזכאות לתשלום ואת גובה התשלום, וכן הסדרים לתשלום החוב ולדרכי גבייתו. בין היתר, השר רשאי לקבוע כי התנאים לזכאות לתשלום הם קבלת כמות מזערית של צווי עיקול בפרק זמן שקבע, והפעלת מערכת ממוחשבת לרבות לקבלת הצווים ולמשלוח התשובות</w:t>
      </w:r>
      <w:r w:rsidRPr="00EF4D87">
        <w:rPr>
          <w:rStyle w:val="a5"/>
          <w:rFonts w:cs="David"/>
          <w:color w:val="auto"/>
          <w:sz w:val="20"/>
          <w:szCs w:val="20"/>
          <w:rtl/>
        </w:rPr>
        <w:footnoteReference w:id="1"/>
      </w:r>
      <w:r w:rsidRPr="00EF4D87">
        <w:rPr>
          <w:rFonts w:cs="David" w:hint="cs"/>
          <w:color w:val="auto"/>
          <w:sz w:val="24"/>
          <w:szCs w:val="24"/>
          <w:rtl/>
        </w:rPr>
        <w:t>.</w:t>
      </w:r>
      <w:r w:rsidR="0057593C" w:rsidRPr="00EF4D87">
        <w:rPr>
          <w:rFonts w:cs="David" w:hint="cs"/>
          <w:color w:val="auto"/>
          <w:sz w:val="24"/>
          <w:szCs w:val="24"/>
          <w:rtl/>
        </w:rPr>
        <w:t xml:space="preserve"> </w:t>
      </w:r>
    </w:p>
    <w:p w:rsidR="00812DD1" w:rsidRPr="00EF4D87" w:rsidRDefault="00812DD1" w:rsidP="00A7142F">
      <w:pPr>
        <w:spacing w:before="0" w:after="120" w:line="360" w:lineRule="auto"/>
        <w:ind w:firstLine="0"/>
        <w:rPr>
          <w:rFonts w:cs="David"/>
          <w:color w:val="auto"/>
          <w:sz w:val="24"/>
          <w:szCs w:val="24"/>
          <w:rtl/>
        </w:rPr>
      </w:pPr>
    </w:p>
    <w:p w:rsidR="000B4FC4" w:rsidRPr="00EF4D87" w:rsidRDefault="000B4FC4" w:rsidP="00A7142F">
      <w:pPr>
        <w:spacing w:before="0" w:after="120" w:line="240" w:lineRule="auto"/>
        <w:ind w:firstLine="0"/>
        <w:rPr>
          <w:rFonts w:cs="David"/>
          <w:b/>
          <w:bCs/>
          <w:color w:val="auto"/>
          <w:sz w:val="24"/>
          <w:szCs w:val="24"/>
          <w:u w:val="single"/>
          <w:rtl/>
        </w:rPr>
      </w:pPr>
      <w:r w:rsidRPr="00EF4D87">
        <w:rPr>
          <w:rFonts w:cs="David" w:hint="cs"/>
          <w:b/>
          <w:bCs/>
          <w:color w:val="auto"/>
          <w:sz w:val="24"/>
          <w:szCs w:val="24"/>
          <w:u w:val="single"/>
          <w:rtl/>
        </w:rPr>
        <w:t xml:space="preserve">זכאות לתשלום של צד שלישי </w:t>
      </w:r>
      <w:r w:rsidRPr="00EF4D87">
        <w:rPr>
          <w:rFonts w:cs="David"/>
          <w:b/>
          <w:bCs/>
          <w:color w:val="auto"/>
          <w:sz w:val="24"/>
          <w:szCs w:val="24"/>
          <w:u w:val="single"/>
          <w:rtl/>
        </w:rPr>
        <w:t>–</w:t>
      </w:r>
      <w:r w:rsidRPr="00EF4D87">
        <w:rPr>
          <w:rFonts w:cs="David" w:hint="cs"/>
          <w:b/>
          <w:bCs/>
          <w:color w:val="auto"/>
          <w:sz w:val="24"/>
          <w:szCs w:val="24"/>
          <w:u w:val="single"/>
          <w:rtl/>
        </w:rPr>
        <w:t xml:space="preserve"> ההסדר הקיים</w:t>
      </w:r>
    </w:p>
    <w:p w:rsidR="00B84FE7" w:rsidRPr="00EF4D87" w:rsidRDefault="00B84FE7" w:rsidP="00A7142F">
      <w:pPr>
        <w:spacing w:before="0" w:after="120" w:line="360" w:lineRule="auto"/>
        <w:ind w:firstLine="0"/>
        <w:rPr>
          <w:rFonts w:cs="David"/>
          <w:noProof/>
          <w:color w:val="auto"/>
          <w:sz w:val="24"/>
          <w:szCs w:val="24"/>
          <w:rtl/>
        </w:rPr>
      </w:pPr>
      <w:r w:rsidRPr="00EF4D87">
        <w:rPr>
          <w:rFonts w:cs="David" w:hint="cs"/>
          <w:noProof/>
          <w:color w:val="auto"/>
          <w:sz w:val="24"/>
          <w:szCs w:val="24"/>
          <w:rtl/>
        </w:rPr>
        <w:t>בתקנות ההוצאה לפועל (אגרות שכר והוצאות), התשכ"ח</w:t>
      </w:r>
      <w:r w:rsidR="00D9306B" w:rsidRPr="00EF4D87">
        <w:rPr>
          <w:rFonts w:cs="David" w:hint="cs"/>
          <w:noProof/>
          <w:color w:val="auto"/>
          <w:sz w:val="24"/>
          <w:szCs w:val="24"/>
          <w:rtl/>
        </w:rPr>
        <w:t>-</w:t>
      </w:r>
      <w:r w:rsidRPr="00EF4D87">
        <w:rPr>
          <w:rFonts w:cs="David" w:hint="cs"/>
          <w:noProof/>
          <w:color w:val="auto"/>
          <w:sz w:val="24"/>
          <w:szCs w:val="24"/>
          <w:rtl/>
        </w:rPr>
        <w:t xml:space="preserve">1968 </w:t>
      </w:r>
      <w:r w:rsidR="001B6A06" w:rsidRPr="00EF4D87">
        <w:rPr>
          <w:rFonts w:cs="David" w:hint="cs"/>
          <w:noProof/>
          <w:color w:val="auto"/>
          <w:sz w:val="24"/>
          <w:szCs w:val="24"/>
          <w:rtl/>
        </w:rPr>
        <w:t>(להלן</w:t>
      </w:r>
      <w:r w:rsidR="00D9306B" w:rsidRPr="00EF4D87">
        <w:rPr>
          <w:rFonts w:cs="David" w:hint="cs"/>
          <w:noProof/>
          <w:color w:val="auto"/>
          <w:sz w:val="24"/>
          <w:szCs w:val="24"/>
          <w:rtl/>
        </w:rPr>
        <w:t xml:space="preserve"> </w:t>
      </w:r>
      <w:r w:rsidR="00D9306B" w:rsidRPr="00EF4D87">
        <w:rPr>
          <w:rFonts w:cs="David"/>
          <w:noProof/>
          <w:color w:val="auto"/>
          <w:sz w:val="24"/>
          <w:szCs w:val="24"/>
          <w:rtl/>
        </w:rPr>
        <w:t>–</w:t>
      </w:r>
      <w:r w:rsidR="00D9306B" w:rsidRPr="00EF4D87">
        <w:rPr>
          <w:rFonts w:cs="David" w:hint="cs"/>
          <w:noProof/>
          <w:color w:val="auto"/>
          <w:sz w:val="24"/>
          <w:szCs w:val="24"/>
          <w:rtl/>
        </w:rPr>
        <w:t xml:space="preserve"> התקנות) </w:t>
      </w:r>
      <w:r w:rsidRPr="00EF4D87">
        <w:rPr>
          <w:rFonts w:cs="David" w:hint="cs"/>
          <w:noProof/>
          <w:color w:val="auto"/>
          <w:sz w:val="24"/>
          <w:szCs w:val="24"/>
          <w:rtl/>
        </w:rPr>
        <w:t xml:space="preserve">קבוע מנגנון המאפשר תשלום שכר לצד שלישי, בגין הטלת עיקולים ובגין קבלת מידע. </w:t>
      </w:r>
    </w:p>
    <w:p w:rsidR="00B84FE7" w:rsidRPr="00EF4D87" w:rsidRDefault="00B84FE7" w:rsidP="00A7142F">
      <w:pPr>
        <w:spacing w:before="0" w:after="120" w:line="360" w:lineRule="auto"/>
        <w:ind w:firstLine="0"/>
        <w:rPr>
          <w:rFonts w:cs="David"/>
          <w:noProof/>
          <w:color w:val="auto"/>
          <w:sz w:val="24"/>
          <w:szCs w:val="24"/>
          <w:rtl/>
        </w:rPr>
      </w:pPr>
      <w:r w:rsidRPr="00EF4D87">
        <w:rPr>
          <w:rFonts w:cs="David" w:hint="cs"/>
          <w:noProof/>
          <w:color w:val="auto"/>
          <w:sz w:val="24"/>
          <w:szCs w:val="24"/>
          <w:rtl/>
        </w:rPr>
        <w:t xml:space="preserve">על פי הקבוע בתקנות, תשלום השכר יהיה למי שהוכר </w:t>
      </w:r>
      <w:r w:rsidR="0012629B" w:rsidRPr="00EF4D87">
        <w:rPr>
          <w:rFonts w:cs="David" w:hint="cs"/>
          <w:noProof/>
          <w:color w:val="auto"/>
          <w:sz w:val="24"/>
          <w:szCs w:val="24"/>
          <w:rtl/>
        </w:rPr>
        <w:t>על ידי מנהל מערכת ההוצאה לפ</w:t>
      </w:r>
      <w:r w:rsidR="00537CF6" w:rsidRPr="00EF4D87">
        <w:rPr>
          <w:rFonts w:cs="David" w:hint="cs"/>
          <w:noProof/>
          <w:color w:val="auto"/>
          <w:sz w:val="24"/>
          <w:szCs w:val="24"/>
          <w:rtl/>
        </w:rPr>
        <w:t>ו</w:t>
      </w:r>
      <w:r w:rsidR="0012629B" w:rsidRPr="00EF4D87">
        <w:rPr>
          <w:rFonts w:cs="David" w:hint="cs"/>
          <w:noProof/>
          <w:color w:val="auto"/>
          <w:sz w:val="24"/>
          <w:szCs w:val="24"/>
          <w:rtl/>
        </w:rPr>
        <w:t xml:space="preserve">על </w:t>
      </w:r>
      <w:r w:rsidR="00537CF6" w:rsidRPr="00EF4D87">
        <w:rPr>
          <w:rFonts w:cs="David" w:hint="cs"/>
          <w:noProof/>
          <w:color w:val="auto"/>
          <w:sz w:val="24"/>
          <w:szCs w:val="24"/>
          <w:rtl/>
        </w:rPr>
        <w:t xml:space="preserve">(להלן </w:t>
      </w:r>
      <w:r w:rsidR="00537CF6" w:rsidRPr="00EF4D87">
        <w:rPr>
          <w:rFonts w:cs="David"/>
          <w:noProof/>
          <w:color w:val="auto"/>
          <w:sz w:val="24"/>
          <w:szCs w:val="24"/>
          <w:rtl/>
        </w:rPr>
        <w:t>–</w:t>
      </w:r>
      <w:r w:rsidR="00537CF6" w:rsidRPr="00EF4D87">
        <w:rPr>
          <w:rFonts w:cs="David" w:hint="cs"/>
          <w:noProof/>
          <w:color w:val="auto"/>
          <w:sz w:val="24"/>
          <w:szCs w:val="24"/>
          <w:rtl/>
        </w:rPr>
        <w:t xml:space="preserve"> המנהל) </w:t>
      </w:r>
      <w:r w:rsidRPr="00EF4D87">
        <w:rPr>
          <w:rFonts w:cs="David" w:hint="cs"/>
          <w:noProof/>
          <w:color w:val="auto"/>
          <w:sz w:val="24"/>
          <w:szCs w:val="24"/>
          <w:rtl/>
        </w:rPr>
        <w:t>כ"צד שלישי מוכר"</w:t>
      </w:r>
      <w:r w:rsidR="00EF1FBE" w:rsidRPr="00EF4D87">
        <w:rPr>
          <w:rFonts w:cs="David" w:hint="cs"/>
          <w:noProof/>
          <w:color w:val="auto"/>
          <w:sz w:val="24"/>
          <w:szCs w:val="24"/>
          <w:rtl/>
        </w:rPr>
        <w:t xml:space="preserve">. </w:t>
      </w:r>
      <w:r w:rsidR="00537CF6" w:rsidRPr="00EF4D87">
        <w:rPr>
          <w:rFonts w:cs="David" w:hint="cs"/>
          <w:noProof/>
          <w:color w:val="auto"/>
          <w:sz w:val="24"/>
          <w:szCs w:val="24"/>
          <w:rtl/>
        </w:rPr>
        <w:t>ה</w:t>
      </w:r>
      <w:r w:rsidR="00EF1FBE" w:rsidRPr="00EF4D87">
        <w:rPr>
          <w:rFonts w:cs="David" w:hint="cs"/>
          <w:noProof/>
          <w:color w:val="auto"/>
          <w:sz w:val="24"/>
          <w:szCs w:val="24"/>
          <w:rtl/>
        </w:rPr>
        <w:t xml:space="preserve">מנהל </w:t>
      </w:r>
      <w:r w:rsidR="00012C08" w:rsidRPr="00EF4D87">
        <w:rPr>
          <w:rFonts w:cs="David" w:hint="cs"/>
          <w:noProof/>
          <w:color w:val="auto"/>
          <w:sz w:val="24"/>
          <w:szCs w:val="24"/>
          <w:rtl/>
        </w:rPr>
        <w:t xml:space="preserve">יאשר הכרה </w:t>
      </w:r>
      <w:r w:rsidRPr="00EF4D87">
        <w:rPr>
          <w:rFonts w:cs="David" w:hint="cs"/>
          <w:noProof/>
          <w:color w:val="auto"/>
          <w:sz w:val="24"/>
          <w:szCs w:val="24"/>
          <w:rtl/>
        </w:rPr>
        <w:t>בגורם כ</w:t>
      </w:r>
      <w:r w:rsidR="0012629B" w:rsidRPr="00EF4D87">
        <w:rPr>
          <w:rFonts w:cs="David" w:hint="cs"/>
          <w:noProof/>
          <w:color w:val="auto"/>
          <w:sz w:val="24"/>
          <w:szCs w:val="24"/>
          <w:rtl/>
        </w:rPr>
        <w:t>"</w:t>
      </w:r>
      <w:r w:rsidRPr="00EF4D87">
        <w:rPr>
          <w:rFonts w:cs="David" w:hint="cs"/>
          <w:noProof/>
          <w:color w:val="auto"/>
          <w:sz w:val="24"/>
          <w:szCs w:val="24"/>
          <w:rtl/>
        </w:rPr>
        <w:t>צד שלישי מוכר</w:t>
      </w:r>
      <w:r w:rsidR="0012629B" w:rsidRPr="00EF4D87">
        <w:rPr>
          <w:rFonts w:cs="David" w:hint="cs"/>
          <w:noProof/>
          <w:color w:val="auto"/>
          <w:sz w:val="24"/>
          <w:szCs w:val="24"/>
          <w:rtl/>
        </w:rPr>
        <w:t>"</w:t>
      </w:r>
      <w:r w:rsidRPr="00EF4D87">
        <w:rPr>
          <w:rFonts w:cs="David" w:hint="cs"/>
          <w:noProof/>
          <w:color w:val="auto"/>
          <w:sz w:val="24"/>
          <w:szCs w:val="24"/>
          <w:rtl/>
        </w:rPr>
        <w:t xml:space="preserve"> הזכאי </w:t>
      </w:r>
      <w:r w:rsidR="0012629B" w:rsidRPr="00EF4D87">
        <w:rPr>
          <w:rFonts w:cs="David" w:hint="cs"/>
          <w:noProof/>
          <w:color w:val="auto"/>
          <w:sz w:val="24"/>
          <w:szCs w:val="24"/>
          <w:rtl/>
        </w:rPr>
        <w:t>לתשלום</w:t>
      </w:r>
      <w:r w:rsidRPr="00EF4D87">
        <w:rPr>
          <w:rFonts w:cs="David" w:hint="cs"/>
          <w:noProof/>
          <w:color w:val="auto"/>
          <w:sz w:val="24"/>
          <w:szCs w:val="24"/>
          <w:rtl/>
        </w:rPr>
        <w:t xml:space="preserve">, </w:t>
      </w:r>
      <w:r w:rsidR="00012C08" w:rsidRPr="00EF4D87">
        <w:rPr>
          <w:rFonts w:cs="David" w:hint="cs"/>
          <w:noProof/>
          <w:color w:val="auto"/>
          <w:sz w:val="24"/>
          <w:szCs w:val="24"/>
          <w:rtl/>
        </w:rPr>
        <w:t xml:space="preserve">רק </w:t>
      </w:r>
      <w:r w:rsidRPr="00EF4D87">
        <w:rPr>
          <w:rFonts w:cs="David" w:hint="cs"/>
          <w:noProof/>
          <w:color w:val="auto"/>
          <w:sz w:val="24"/>
          <w:szCs w:val="24"/>
          <w:rtl/>
        </w:rPr>
        <w:t xml:space="preserve">אם ניתן להמציא לאותו גורם </w:t>
      </w:r>
      <w:r w:rsidR="0012629B" w:rsidRPr="00EF4D87">
        <w:rPr>
          <w:rFonts w:cs="David" w:hint="cs"/>
          <w:noProof/>
          <w:color w:val="auto"/>
          <w:sz w:val="24"/>
          <w:szCs w:val="24"/>
          <w:rtl/>
        </w:rPr>
        <w:t>צווים ולקבל ממנו תשובות לצווים בצורה ממוחשבת, ולגבי צווי עיקול</w:t>
      </w:r>
      <w:r w:rsidR="00EF1FBE" w:rsidRPr="00EF4D87">
        <w:rPr>
          <w:rFonts w:cs="David" w:hint="cs"/>
          <w:noProof/>
          <w:color w:val="auto"/>
          <w:sz w:val="24"/>
          <w:szCs w:val="24"/>
          <w:rtl/>
        </w:rPr>
        <w:t xml:space="preserve"> </w:t>
      </w:r>
      <w:r w:rsidR="00EF1FBE" w:rsidRPr="00EF4D87">
        <w:rPr>
          <w:rFonts w:cs="David"/>
          <w:noProof/>
          <w:color w:val="auto"/>
          <w:sz w:val="24"/>
          <w:szCs w:val="24"/>
          <w:rtl/>
        </w:rPr>
        <w:t>–</w:t>
      </w:r>
      <w:r w:rsidR="0012629B" w:rsidRPr="00EF4D87">
        <w:rPr>
          <w:rFonts w:cs="David" w:hint="cs"/>
          <w:noProof/>
          <w:color w:val="auto"/>
          <w:sz w:val="24"/>
          <w:szCs w:val="24"/>
          <w:rtl/>
        </w:rPr>
        <w:t xml:space="preserve"> </w:t>
      </w:r>
      <w:r w:rsidR="00EF1FBE" w:rsidRPr="00EF4D87">
        <w:rPr>
          <w:rFonts w:cs="David" w:hint="cs"/>
          <w:noProof/>
          <w:color w:val="auto"/>
          <w:sz w:val="24"/>
          <w:szCs w:val="24"/>
          <w:rtl/>
        </w:rPr>
        <w:t>נדרש, בנוסף, ש</w:t>
      </w:r>
      <w:r w:rsidRPr="00EF4D87">
        <w:rPr>
          <w:rFonts w:cs="David" w:hint="cs"/>
          <w:noProof/>
          <w:color w:val="auto"/>
          <w:sz w:val="24"/>
          <w:szCs w:val="24"/>
          <w:rtl/>
        </w:rPr>
        <w:t>במהלך 12 החודשים שקדמו לבקשה של הצד השלישי להיות מוכר הומצאו לו לפחות 2,500 צווי עיקול</w:t>
      </w:r>
      <w:r w:rsidR="0012629B" w:rsidRPr="00EF4D87">
        <w:rPr>
          <w:rStyle w:val="a5"/>
          <w:rFonts w:cs="David"/>
          <w:noProof/>
          <w:color w:val="auto"/>
          <w:sz w:val="20"/>
          <w:szCs w:val="20"/>
          <w:rtl/>
        </w:rPr>
        <w:footnoteReference w:id="2"/>
      </w:r>
      <w:r w:rsidRPr="00EF4D87">
        <w:rPr>
          <w:rFonts w:cs="David" w:hint="cs"/>
          <w:noProof/>
          <w:color w:val="auto"/>
          <w:sz w:val="24"/>
          <w:szCs w:val="24"/>
          <w:rtl/>
        </w:rPr>
        <w:t>.</w:t>
      </w:r>
      <w:r w:rsidR="00012C08" w:rsidRPr="00EF4D87">
        <w:rPr>
          <w:rFonts w:cs="David" w:hint="cs"/>
          <w:noProof/>
          <w:color w:val="auto"/>
          <w:sz w:val="24"/>
          <w:szCs w:val="24"/>
          <w:rtl/>
        </w:rPr>
        <w:t xml:space="preserve"> </w:t>
      </w:r>
      <w:r w:rsidR="00537CF6" w:rsidRPr="00EF4D87">
        <w:rPr>
          <w:rFonts w:cs="David" w:hint="cs"/>
          <w:noProof/>
          <w:color w:val="auto"/>
          <w:sz w:val="24"/>
          <w:szCs w:val="24"/>
          <w:rtl/>
        </w:rPr>
        <w:t>לאחר שאישר בקשה כאמור, יפרסם המנהל את שמו של הצד השלישי המוכר בהודעה ברשומות ובאתר האינטרנט של מערכת ההוצאה לפועל.</w:t>
      </w:r>
    </w:p>
    <w:p w:rsidR="00D034B9" w:rsidRPr="00EF4D87" w:rsidRDefault="00E213BF" w:rsidP="00A7142F">
      <w:pPr>
        <w:spacing w:before="0" w:after="120" w:line="360" w:lineRule="auto"/>
        <w:ind w:firstLine="0"/>
        <w:rPr>
          <w:rFonts w:cs="David"/>
          <w:noProof/>
          <w:color w:val="auto"/>
          <w:sz w:val="24"/>
          <w:szCs w:val="24"/>
          <w:rtl/>
        </w:rPr>
      </w:pPr>
      <w:r w:rsidRPr="00EF4D87">
        <w:rPr>
          <w:rFonts w:cs="David" w:hint="cs"/>
          <w:noProof/>
          <w:color w:val="auto"/>
          <w:sz w:val="24"/>
          <w:szCs w:val="24"/>
          <w:rtl/>
        </w:rPr>
        <w:t>באשר ל</w:t>
      </w:r>
      <w:r w:rsidR="00EA6F06" w:rsidRPr="00EF4D87">
        <w:rPr>
          <w:rFonts w:cs="David" w:hint="cs"/>
          <w:noProof/>
          <w:color w:val="auto"/>
          <w:sz w:val="24"/>
          <w:szCs w:val="24"/>
          <w:rtl/>
        </w:rPr>
        <w:t>שיעור התשלום לצד שלישי מוכר</w:t>
      </w:r>
      <w:r w:rsidRPr="00EF4D87">
        <w:rPr>
          <w:rFonts w:cs="David" w:hint="cs"/>
          <w:noProof/>
          <w:color w:val="auto"/>
          <w:sz w:val="24"/>
          <w:szCs w:val="24"/>
          <w:rtl/>
        </w:rPr>
        <w:t>:</w:t>
      </w:r>
      <w:r w:rsidR="00EA6F06" w:rsidRPr="00EF4D87">
        <w:rPr>
          <w:rFonts w:cs="David" w:hint="cs"/>
          <w:noProof/>
          <w:color w:val="auto"/>
          <w:sz w:val="24"/>
          <w:szCs w:val="24"/>
          <w:rtl/>
        </w:rPr>
        <w:t xml:space="preserve"> </w:t>
      </w:r>
    </w:p>
    <w:p w:rsidR="00D034B9" w:rsidRPr="00EF4D87" w:rsidRDefault="00EA6F06" w:rsidP="00A7142F">
      <w:pPr>
        <w:pStyle w:val="a6"/>
        <w:numPr>
          <w:ilvl w:val="0"/>
          <w:numId w:val="2"/>
        </w:numPr>
        <w:spacing w:before="0" w:after="120" w:line="360" w:lineRule="auto"/>
        <w:rPr>
          <w:rFonts w:cs="David"/>
          <w:noProof/>
          <w:color w:val="auto"/>
          <w:sz w:val="24"/>
          <w:szCs w:val="24"/>
        </w:rPr>
      </w:pPr>
      <w:r w:rsidRPr="00EF4D87">
        <w:rPr>
          <w:rFonts w:cs="David" w:hint="cs"/>
          <w:noProof/>
          <w:color w:val="auto"/>
          <w:sz w:val="24"/>
          <w:szCs w:val="24"/>
          <w:rtl/>
        </w:rPr>
        <w:t xml:space="preserve">בגין </w:t>
      </w:r>
      <w:r w:rsidR="00E213BF" w:rsidRPr="00EF4D87">
        <w:rPr>
          <w:rFonts w:cs="David" w:hint="cs"/>
          <w:noProof/>
          <w:color w:val="auto"/>
          <w:sz w:val="24"/>
          <w:szCs w:val="24"/>
          <w:rtl/>
        </w:rPr>
        <w:t xml:space="preserve">הטלת עיקול אצל צד שלישי מוכר </w:t>
      </w:r>
      <w:r w:rsidR="00E213BF" w:rsidRPr="00EF4D87">
        <w:rPr>
          <w:rFonts w:cs="David"/>
          <w:noProof/>
          <w:color w:val="auto"/>
          <w:sz w:val="24"/>
          <w:szCs w:val="24"/>
          <w:rtl/>
        </w:rPr>
        <w:t>–</w:t>
      </w:r>
      <w:r w:rsidR="00E213BF" w:rsidRPr="00EF4D87">
        <w:rPr>
          <w:rFonts w:cs="David" w:hint="cs"/>
          <w:noProof/>
          <w:color w:val="auto"/>
          <w:sz w:val="24"/>
          <w:szCs w:val="24"/>
          <w:rtl/>
        </w:rPr>
        <w:t xml:space="preserve"> ישולם לצד השלישי </w:t>
      </w:r>
      <w:r w:rsidR="008E3587" w:rsidRPr="00EF4D87">
        <w:rPr>
          <w:rFonts w:cs="David" w:hint="cs"/>
          <w:noProof/>
          <w:color w:val="auto"/>
          <w:sz w:val="24"/>
          <w:szCs w:val="24"/>
          <w:rtl/>
        </w:rPr>
        <w:t>סכום</w:t>
      </w:r>
      <w:r w:rsidR="00E213BF" w:rsidRPr="00EF4D87">
        <w:rPr>
          <w:rFonts w:cs="David" w:hint="cs"/>
          <w:noProof/>
          <w:color w:val="auto"/>
          <w:sz w:val="24"/>
          <w:szCs w:val="24"/>
          <w:rtl/>
        </w:rPr>
        <w:t xml:space="preserve"> של 9 ₪, בין אם נמצאו נכסים של החייב בידיו ובין אם לאו</w:t>
      </w:r>
      <w:r w:rsidR="00E213BF" w:rsidRPr="00EF4D87">
        <w:rPr>
          <w:rStyle w:val="a5"/>
          <w:rFonts w:cs="David"/>
          <w:noProof/>
          <w:color w:val="auto"/>
          <w:sz w:val="20"/>
          <w:szCs w:val="20"/>
          <w:rtl/>
        </w:rPr>
        <w:footnoteReference w:id="3"/>
      </w:r>
      <w:r w:rsidR="00E213BF" w:rsidRPr="00EF4D87">
        <w:rPr>
          <w:rFonts w:cs="David" w:hint="cs"/>
          <w:noProof/>
          <w:color w:val="auto"/>
          <w:sz w:val="24"/>
          <w:szCs w:val="24"/>
          <w:rtl/>
        </w:rPr>
        <w:t xml:space="preserve">; </w:t>
      </w:r>
    </w:p>
    <w:p w:rsidR="00E213BF" w:rsidRPr="00EF4D87" w:rsidRDefault="00E213BF" w:rsidP="00A7142F">
      <w:pPr>
        <w:pStyle w:val="a6"/>
        <w:numPr>
          <w:ilvl w:val="0"/>
          <w:numId w:val="2"/>
        </w:numPr>
        <w:spacing w:before="0" w:after="120" w:line="360" w:lineRule="auto"/>
        <w:rPr>
          <w:rFonts w:cs="David"/>
          <w:noProof/>
          <w:color w:val="auto"/>
          <w:sz w:val="24"/>
          <w:szCs w:val="24"/>
          <w:rtl/>
        </w:rPr>
      </w:pPr>
      <w:r w:rsidRPr="00EF4D87">
        <w:rPr>
          <w:rFonts w:cs="David" w:hint="cs"/>
          <w:noProof/>
          <w:color w:val="auto"/>
          <w:sz w:val="24"/>
          <w:szCs w:val="24"/>
          <w:rtl/>
        </w:rPr>
        <w:t xml:space="preserve">בגין קבלת מידע </w:t>
      </w:r>
      <w:r w:rsidR="00D034B9" w:rsidRPr="00EF4D87">
        <w:rPr>
          <w:rFonts w:cs="David"/>
          <w:noProof/>
          <w:color w:val="auto"/>
          <w:sz w:val="24"/>
          <w:szCs w:val="24"/>
          <w:rtl/>
        </w:rPr>
        <w:t>–</w:t>
      </w:r>
      <w:r w:rsidR="00D034B9" w:rsidRPr="00EF4D87">
        <w:rPr>
          <w:rFonts w:cs="David" w:hint="cs"/>
          <w:noProof/>
          <w:color w:val="auto"/>
          <w:sz w:val="24"/>
          <w:szCs w:val="24"/>
          <w:rtl/>
        </w:rPr>
        <w:t xml:space="preserve"> </w:t>
      </w:r>
      <w:r w:rsidRPr="00EF4D87">
        <w:rPr>
          <w:rFonts w:cs="David" w:hint="cs"/>
          <w:noProof/>
          <w:color w:val="auto"/>
          <w:sz w:val="24"/>
          <w:szCs w:val="24"/>
          <w:rtl/>
        </w:rPr>
        <w:t xml:space="preserve">ישולם </w:t>
      </w:r>
      <w:r w:rsidR="00D034B9" w:rsidRPr="00EF4D87">
        <w:rPr>
          <w:rFonts w:cs="David" w:hint="cs"/>
          <w:noProof/>
          <w:color w:val="auto"/>
          <w:sz w:val="24"/>
          <w:szCs w:val="24"/>
          <w:rtl/>
        </w:rPr>
        <w:t xml:space="preserve">לצד השלישי </w:t>
      </w:r>
      <w:r w:rsidR="008E3587" w:rsidRPr="00EF4D87">
        <w:rPr>
          <w:rFonts w:cs="David" w:hint="cs"/>
          <w:noProof/>
          <w:color w:val="auto"/>
          <w:sz w:val="24"/>
          <w:szCs w:val="24"/>
          <w:rtl/>
        </w:rPr>
        <w:t xml:space="preserve">סכום </w:t>
      </w:r>
      <w:r w:rsidRPr="00EF4D87">
        <w:rPr>
          <w:rFonts w:cs="David" w:hint="cs"/>
          <w:noProof/>
          <w:color w:val="auto"/>
          <w:sz w:val="24"/>
          <w:szCs w:val="24"/>
          <w:rtl/>
        </w:rPr>
        <w:t>של בין 2 ל-5 ₪, תלוי בזהותו של הצד השלישי המוכר וטיב המידע המבוקש</w:t>
      </w:r>
      <w:r w:rsidRPr="00EF4D87">
        <w:rPr>
          <w:rStyle w:val="a5"/>
          <w:rFonts w:cs="David"/>
          <w:noProof/>
          <w:color w:val="auto"/>
          <w:sz w:val="20"/>
          <w:szCs w:val="20"/>
          <w:rtl/>
        </w:rPr>
        <w:footnoteReference w:id="4"/>
      </w:r>
      <w:r w:rsidRPr="00EF4D87">
        <w:rPr>
          <w:rFonts w:cs="David" w:hint="cs"/>
          <w:noProof/>
          <w:color w:val="auto"/>
          <w:sz w:val="24"/>
          <w:szCs w:val="24"/>
          <w:rtl/>
        </w:rPr>
        <w:t xml:space="preserve">. </w:t>
      </w:r>
    </w:p>
    <w:p w:rsidR="00E213BF" w:rsidRPr="00EF4D87" w:rsidRDefault="00E213BF" w:rsidP="00A7142F">
      <w:pPr>
        <w:spacing w:before="0" w:after="120" w:line="360" w:lineRule="auto"/>
        <w:ind w:firstLine="0"/>
        <w:rPr>
          <w:rFonts w:cs="David"/>
          <w:noProof/>
          <w:color w:val="auto"/>
          <w:sz w:val="24"/>
          <w:szCs w:val="24"/>
          <w:rtl/>
        </w:rPr>
      </w:pPr>
    </w:p>
    <w:p w:rsidR="00537CF6" w:rsidRPr="00EF4D87" w:rsidRDefault="0093258D" w:rsidP="00A7142F">
      <w:pPr>
        <w:spacing w:before="0" w:after="120" w:line="240" w:lineRule="auto"/>
        <w:ind w:firstLine="0"/>
        <w:rPr>
          <w:rFonts w:cs="David"/>
          <w:b/>
          <w:bCs/>
          <w:noProof/>
          <w:color w:val="auto"/>
          <w:sz w:val="24"/>
          <w:szCs w:val="24"/>
          <w:u w:val="single"/>
          <w:rtl/>
        </w:rPr>
      </w:pPr>
      <w:r w:rsidRPr="00EF4D87">
        <w:rPr>
          <w:rFonts w:cs="David" w:hint="cs"/>
          <w:b/>
          <w:bCs/>
          <w:color w:val="auto"/>
          <w:sz w:val="24"/>
          <w:szCs w:val="24"/>
          <w:u w:val="single"/>
          <w:rtl/>
        </w:rPr>
        <w:t xml:space="preserve">זכאות לתשלום של צד שלישי </w:t>
      </w:r>
      <w:r w:rsidRPr="00EF4D87">
        <w:rPr>
          <w:rFonts w:cs="David"/>
          <w:b/>
          <w:bCs/>
          <w:color w:val="auto"/>
          <w:sz w:val="24"/>
          <w:szCs w:val="24"/>
          <w:u w:val="single"/>
          <w:rtl/>
        </w:rPr>
        <w:t>–</w:t>
      </w:r>
      <w:r w:rsidRPr="00EF4D87">
        <w:rPr>
          <w:rFonts w:cs="David" w:hint="cs"/>
          <w:b/>
          <w:bCs/>
          <w:color w:val="auto"/>
          <w:sz w:val="24"/>
          <w:szCs w:val="24"/>
          <w:u w:val="single"/>
          <w:rtl/>
        </w:rPr>
        <w:t xml:space="preserve"> </w:t>
      </w:r>
      <w:r w:rsidR="00537CF6" w:rsidRPr="00EF4D87">
        <w:rPr>
          <w:rFonts w:cs="David" w:hint="cs"/>
          <w:b/>
          <w:bCs/>
          <w:noProof/>
          <w:color w:val="auto"/>
          <w:sz w:val="24"/>
          <w:szCs w:val="24"/>
          <w:u w:val="single"/>
          <w:rtl/>
        </w:rPr>
        <w:t>התיקונים המוצעים</w:t>
      </w:r>
    </w:p>
    <w:p w:rsidR="00CE39FC" w:rsidRPr="00EF4D87" w:rsidRDefault="00CE39FC" w:rsidP="00A7142F">
      <w:pPr>
        <w:spacing w:before="0" w:after="120" w:line="360" w:lineRule="auto"/>
        <w:ind w:firstLine="0"/>
        <w:rPr>
          <w:rFonts w:cs="David"/>
          <w:noProof/>
          <w:color w:val="auto"/>
          <w:sz w:val="24"/>
          <w:szCs w:val="24"/>
          <w:rtl/>
        </w:rPr>
      </w:pPr>
      <w:r w:rsidRPr="00EF4D87">
        <w:rPr>
          <w:rFonts w:cs="David" w:hint="cs"/>
          <w:noProof/>
          <w:color w:val="auto"/>
          <w:sz w:val="24"/>
          <w:szCs w:val="24"/>
          <w:rtl/>
        </w:rPr>
        <w:t>התקנות המוצעות מבקשות לערוך שני תיקונים מרכזיים בהסדר הקיים:</w:t>
      </w:r>
    </w:p>
    <w:p w:rsidR="00B84FE7" w:rsidRPr="00EF4D87" w:rsidRDefault="00CE39FC" w:rsidP="00A7142F">
      <w:pPr>
        <w:spacing w:before="0" w:after="120" w:line="360" w:lineRule="auto"/>
        <w:ind w:firstLine="0"/>
        <w:rPr>
          <w:rFonts w:cs="David"/>
          <w:noProof/>
          <w:color w:val="auto"/>
          <w:sz w:val="24"/>
          <w:szCs w:val="24"/>
          <w:rtl/>
        </w:rPr>
      </w:pPr>
      <w:r w:rsidRPr="00EF4D87">
        <w:rPr>
          <w:rFonts w:cs="David" w:hint="cs"/>
          <w:b/>
          <w:bCs/>
          <w:noProof/>
          <w:color w:val="auto"/>
          <w:sz w:val="24"/>
          <w:szCs w:val="24"/>
          <w:rtl/>
        </w:rPr>
        <w:t>(1) מנגנון ההכרה בצד שלישי</w:t>
      </w:r>
      <w:r w:rsidRPr="00EF4D87">
        <w:rPr>
          <w:rFonts w:cs="David" w:hint="cs"/>
          <w:noProof/>
          <w:color w:val="auto"/>
          <w:sz w:val="24"/>
          <w:szCs w:val="24"/>
          <w:rtl/>
        </w:rPr>
        <w:t xml:space="preserve"> </w:t>
      </w:r>
      <w:r w:rsidRPr="00EF4D87">
        <w:rPr>
          <w:rFonts w:cs="David"/>
          <w:noProof/>
          <w:color w:val="auto"/>
          <w:sz w:val="24"/>
          <w:szCs w:val="24"/>
          <w:rtl/>
        </w:rPr>
        <w:t>–</w:t>
      </w:r>
      <w:r w:rsidRPr="00EF4D87">
        <w:rPr>
          <w:rFonts w:cs="David" w:hint="cs"/>
          <w:noProof/>
          <w:color w:val="auto"/>
          <w:sz w:val="24"/>
          <w:szCs w:val="24"/>
          <w:rtl/>
        </w:rPr>
        <w:t xml:space="preserve"> ה</w:t>
      </w:r>
      <w:r w:rsidR="00B84FE7" w:rsidRPr="00EF4D87">
        <w:rPr>
          <w:rFonts w:cs="David" w:hint="cs"/>
          <w:noProof/>
          <w:color w:val="auto"/>
          <w:sz w:val="24"/>
          <w:szCs w:val="24"/>
          <w:rtl/>
        </w:rPr>
        <w:t>מנגנון המתואר לעיל, נקבע בתחילת שנות ה-2000 מתוך מטרה לתמרץ את הגופים להתממשק בממשק מחשובי למערכת ההוצאה לפועל כדי להקל על הצורך משלוח עיקולים בדואר וקבלת תשובות ידניות לצווי העיקול. המנגנון מחייב כי תוגש בקשה למנהל מערכת ההוצאה לפועל המוסמך לקבוע אם יש לקבל את הבקשה של הצד השלישי להיות מוגדר כצד שלישי מוכר, ואת החלטתו של מנהל מערכת ההוצאה לפועל יש לפרסם באתר האינטרנט וברשומות.</w:t>
      </w:r>
      <w:r w:rsidRPr="00EF4D87">
        <w:rPr>
          <w:rFonts w:cs="David" w:hint="cs"/>
          <w:noProof/>
          <w:color w:val="auto"/>
          <w:sz w:val="24"/>
          <w:szCs w:val="24"/>
          <w:rtl/>
        </w:rPr>
        <w:t xml:space="preserve"> בדברי ההסבר לתיקון המוצע נטען, כי </w:t>
      </w:r>
      <w:r w:rsidR="00B84FE7" w:rsidRPr="00EF4D87">
        <w:rPr>
          <w:rFonts w:cs="David" w:hint="cs"/>
          <w:noProof/>
          <w:color w:val="auto"/>
          <w:sz w:val="24"/>
          <w:szCs w:val="24"/>
          <w:rtl/>
        </w:rPr>
        <w:t xml:space="preserve">בחלוף למעלה מעשור מקביעת המנגנון, נמצא </w:t>
      </w:r>
      <w:r w:rsidRPr="00EF4D87">
        <w:rPr>
          <w:rFonts w:cs="David" w:hint="cs"/>
          <w:noProof/>
          <w:color w:val="auto"/>
          <w:sz w:val="24"/>
          <w:szCs w:val="24"/>
          <w:rtl/>
        </w:rPr>
        <w:t>ש</w:t>
      </w:r>
      <w:r w:rsidR="00B84FE7" w:rsidRPr="00EF4D87">
        <w:rPr>
          <w:rFonts w:cs="David" w:hint="cs"/>
          <w:noProof/>
          <w:color w:val="auto"/>
          <w:sz w:val="24"/>
          <w:szCs w:val="24"/>
          <w:rtl/>
        </w:rPr>
        <w:t xml:space="preserve">המנגנון המחייב החלטת מנהל מערכת ההוצאה לפועל בבקשת הצד השלישי, ופרסום הודעת ההכרה ברשומות ובאתר האינטרנט, מסורבל מאוד. </w:t>
      </w:r>
    </w:p>
    <w:p w:rsidR="00B84FE7" w:rsidRPr="00EF4D87" w:rsidRDefault="00B84FE7" w:rsidP="00A7142F">
      <w:pPr>
        <w:spacing w:before="0" w:after="120" w:line="360" w:lineRule="auto"/>
        <w:ind w:firstLine="0"/>
        <w:rPr>
          <w:rFonts w:cs="David"/>
          <w:noProof/>
          <w:color w:val="auto"/>
          <w:sz w:val="24"/>
          <w:szCs w:val="24"/>
          <w:rtl/>
        </w:rPr>
      </w:pPr>
      <w:r w:rsidRPr="00EF4D87">
        <w:rPr>
          <w:rFonts w:cs="David" w:hint="cs"/>
          <w:noProof/>
          <w:color w:val="auto"/>
          <w:sz w:val="24"/>
          <w:szCs w:val="24"/>
          <w:rtl/>
        </w:rPr>
        <w:t>כמו כן, לנוכח</w:t>
      </w:r>
      <w:r w:rsidRPr="00EF4D87">
        <w:rPr>
          <w:rFonts w:cs="David"/>
          <w:noProof/>
          <w:color w:val="auto"/>
          <w:sz w:val="24"/>
          <w:szCs w:val="24"/>
          <w:rtl/>
        </w:rPr>
        <w:t xml:space="preserve"> </w:t>
      </w:r>
      <w:r w:rsidRPr="00EF4D87">
        <w:rPr>
          <w:rFonts w:cs="David" w:hint="cs"/>
          <w:noProof/>
          <w:color w:val="auto"/>
          <w:sz w:val="24"/>
          <w:szCs w:val="24"/>
          <w:rtl/>
        </w:rPr>
        <w:t>שינויים במבנה שוק ההון ו</w:t>
      </w:r>
      <w:r w:rsidRPr="00EF4D87">
        <w:rPr>
          <w:rFonts w:cs="David"/>
          <w:noProof/>
          <w:color w:val="auto"/>
          <w:sz w:val="24"/>
          <w:szCs w:val="24"/>
          <w:rtl/>
        </w:rPr>
        <w:t xml:space="preserve">התנודתיות הגבוהה מאוד בשוק ההון, </w:t>
      </w:r>
      <w:r w:rsidRPr="00EF4D87">
        <w:rPr>
          <w:rFonts w:cs="David" w:hint="cs"/>
          <w:noProof/>
          <w:color w:val="auto"/>
          <w:sz w:val="24"/>
          <w:szCs w:val="24"/>
          <w:rtl/>
        </w:rPr>
        <w:t>המוכתבת על ידי אגף שוק ההון באוצר, נוצרים מצבים בהם הכרה בגוף מסוים כצד שלישי מוכר מחייבת הכרה מחדש, בחברה החדשה שנוצרה לאחר המיזוג. כמו כן, בגלל המבנה ההסטורי של שוק ההון, בו בעבר, קופת גמל, הייתה יכולה להיות חברה בע"מ (מה שהיום אינו אפשרי לפי חוק הפיקוח על שירותים פיננסיים (קופות גמל) התשס"ה- 2005) ו</w:t>
      </w:r>
      <w:r w:rsidRPr="00EF4D87">
        <w:rPr>
          <w:rFonts w:cs="David"/>
          <w:noProof/>
          <w:color w:val="auto"/>
          <w:sz w:val="24"/>
          <w:szCs w:val="24"/>
          <w:rtl/>
        </w:rPr>
        <w:t>מיזוג</w:t>
      </w:r>
      <w:r w:rsidRPr="00EF4D87">
        <w:rPr>
          <w:rFonts w:cs="David" w:hint="cs"/>
          <w:noProof/>
          <w:color w:val="auto"/>
          <w:sz w:val="24"/>
          <w:szCs w:val="24"/>
          <w:rtl/>
        </w:rPr>
        <w:t xml:space="preserve">ן של </w:t>
      </w:r>
      <w:r w:rsidRPr="00EF4D87">
        <w:rPr>
          <w:rFonts w:cs="David"/>
          <w:noProof/>
          <w:color w:val="auto"/>
          <w:sz w:val="24"/>
          <w:szCs w:val="24"/>
          <w:rtl/>
        </w:rPr>
        <w:t xml:space="preserve"> חברות מנהלות</w:t>
      </w:r>
      <w:r w:rsidRPr="00EF4D87">
        <w:rPr>
          <w:rFonts w:cs="David" w:hint="cs"/>
          <w:noProof/>
          <w:color w:val="auto"/>
          <w:sz w:val="24"/>
          <w:szCs w:val="24"/>
          <w:rtl/>
        </w:rPr>
        <w:t xml:space="preserve"> וקיומן של </w:t>
      </w:r>
      <w:r w:rsidRPr="00EF4D87">
        <w:rPr>
          <w:rFonts w:cs="David"/>
          <w:noProof/>
          <w:color w:val="auto"/>
          <w:sz w:val="24"/>
          <w:szCs w:val="24"/>
          <w:rtl/>
        </w:rPr>
        <w:t xml:space="preserve">קופות גמל רבות (כ-900) </w:t>
      </w:r>
      <w:r w:rsidRPr="00EF4D87">
        <w:rPr>
          <w:rFonts w:cs="David" w:hint="cs"/>
          <w:noProof/>
          <w:color w:val="auto"/>
          <w:sz w:val="24"/>
          <w:szCs w:val="24"/>
          <w:rtl/>
        </w:rPr>
        <w:t>ורצונם של כל הגופים להתממשק</w:t>
      </w:r>
      <w:r w:rsidR="00590913" w:rsidRPr="00EF4D87">
        <w:rPr>
          <w:rFonts w:cs="David" w:hint="cs"/>
          <w:noProof/>
          <w:color w:val="auto"/>
          <w:sz w:val="24"/>
          <w:szCs w:val="24"/>
          <w:rtl/>
        </w:rPr>
        <w:t>,</w:t>
      </w:r>
      <w:r w:rsidRPr="00EF4D87">
        <w:rPr>
          <w:rFonts w:cs="David" w:hint="cs"/>
          <w:noProof/>
          <w:color w:val="auto"/>
          <w:sz w:val="24"/>
          <w:szCs w:val="24"/>
          <w:rtl/>
        </w:rPr>
        <w:t xml:space="preserve"> נמצא כי נכון לשנות את המנגנון כך,</w:t>
      </w:r>
      <w:r w:rsidRPr="00EF4D87">
        <w:rPr>
          <w:rFonts w:cs="David"/>
          <w:noProof/>
          <w:color w:val="auto"/>
          <w:sz w:val="24"/>
          <w:szCs w:val="24"/>
          <w:rtl/>
        </w:rPr>
        <w:t xml:space="preserve"> </w:t>
      </w:r>
      <w:r w:rsidRPr="00EF4D87">
        <w:rPr>
          <w:rFonts w:cs="David"/>
          <w:noProof/>
          <w:color w:val="auto"/>
          <w:sz w:val="24"/>
          <w:szCs w:val="24"/>
          <w:u w:val="single"/>
          <w:rtl/>
        </w:rPr>
        <w:t>שכל גורם שמבקש לעבוד מול</w:t>
      </w:r>
      <w:r w:rsidRPr="00EF4D87">
        <w:rPr>
          <w:rFonts w:cs="David" w:hint="cs"/>
          <w:noProof/>
          <w:color w:val="auto"/>
          <w:sz w:val="24"/>
          <w:szCs w:val="24"/>
          <w:u w:val="single"/>
          <w:rtl/>
        </w:rPr>
        <w:t xml:space="preserve"> מערכת ההוצאה לפועל</w:t>
      </w:r>
      <w:r w:rsidRPr="00EF4D87">
        <w:rPr>
          <w:rFonts w:cs="David"/>
          <w:noProof/>
          <w:color w:val="auto"/>
          <w:sz w:val="24"/>
          <w:szCs w:val="24"/>
          <w:u w:val="single"/>
          <w:rtl/>
        </w:rPr>
        <w:t xml:space="preserve"> בצורה ממוחשבת, בממשק, יהיה זכאי לתשלום</w:t>
      </w:r>
      <w:r w:rsidRPr="00EF4D87">
        <w:rPr>
          <w:rFonts w:cs="David" w:hint="cs"/>
          <w:noProof/>
          <w:color w:val="auto"/>
          <w:sz w:val="24"/>
          <w:szCs w:val="24"/>
          <w:u w:val="single"/>
          <w:rtl/>
        </w:rPr>
        <w:t xml:space="preserve">, בלי צורך בתהליך הכרה על ידי מנהל מערכת הוצאה לפועל, כך שאותו צד שלישי יהיה זכאי לשכר, </w:t>
      </w:r>
      <w:r w:rsidRPr="00EF4D87">
        <w:rPr>
          <w:rFonts w:cs="David"/>
          <w:noProof/>
          <w:color w:val="auto"/>
          <w:sz w:val="24"/>
          <w:szCs w:val="24"/>
          <w:u w:val="single"/>
          <w:rtl/>
        </w:rPr>
        <w:t>30 יום לאחר מתן הודעה באתר הרשות</w:t>
      </w:r>
      <w:r w:rsidRPr="00EF4D87">
        <w:rPr>
          <w:rFonts w:cs="David"/>
          <w:noProof/>
          <w:color w:val="auto"/>
          <w:sz w:val="24"/>
          <w:szCs w:val="24"/>
          <w:rtl/>
        </w:rPr>
        <w:t>.</w:t>
      </w:r>
    </w:p>
    <w:p w:rsidR="00B84FE7" w:rsidRPr="00EF4D87" w:rsidRDefault="00CE39FC" w:rsidP="00A7142F">
      <w:pPr>
        <w:spacing w:before="0" w:after="120" w:line="360" w:lineRule="auto"/>
        <w:ind w:firstLine="0"/>
        <w:rPr>
          <w:rFonts w:cs="David"/>
          <w:noProof/>
          <w:color w:val="auto"/>
          <w:sz w:val="24"/>
          <w:szCs w:val="24"/>
          <w:rtl/>
        </w:rPr>
      </w:pPr>
      <w:r w:rsidRPr="00EF4D87">
        <w:rPr>
          <w:rFonts w:cs="David" w:hint="cs"/>
          <w:b/>
          <w:bCs/>
          <w:noProof/>
          <w:color w:val="auto"/>
          <w:sz w:val="24"/>
          <w:szCs w:val="24"/>
          <w:rtl/>
        </w:rPr>
        <w:t>(2) שינוי בשיעור גובה התשלום לצד שלישי</w:t>
      </w:r>
      <w:r w:rsidRPr="00EF4D87">
        <w:rPr>
          <w:rFonts w:cs="David" w:hint="cs"/>
          <w:noProof/>
          <w:color w:val="auto"/>
          <w:sz w:val="24"/>
          <w:szCs w:val="24"/>
          <w:rtl/>
        </w:rPr>
        <w:t xml:space="preserve"> </w:t>
      </w:r>
      <w:r w:rsidRPr="00EF4D87">
        <w:rPr>
          <w:rFonts w:cs="David"/>
          <w:noProof/>
          <w:color w:val="auto"/>
          <w:sz w:val="24"/>
          <w:szCs w:val="24"/>
          <w:rtl/>
        </w:rPr>
        <w:t>–</w:t>
      </w:r>
      <w:r w:rsidRPr="00EF4D87">
        <w:rPr>
          <w:rFonts w:cs="David" w:hint="cs"/>
          <w:noProof/>
          <w:color w:val="auto"/>
          <w:sz w:val="24"/>
          <w:szCs w:val="24"/>
          <w:rtl/>
        </w:rPr>
        <w:t xml:space="preserve"> כאמור לעיל, </w:t>
      </w:r>
      <w:r w:rsidR="0012629B" w:rsidRPr="00EF4D87">
        <w:rPr>
          <w:rFonts w:cs="David" w:hint="cs"/>
          <w:noProof/>
          <w:color w:val="auto"/>
          <w:sz w:val="24"/>
          <w:szCs w:val="24"/>
          <w:rtl/>
        </w:rPr>
        <w:t xml:space="preserve">בגין הטלת עיקולים משולם </w:t>
      </w:r>
      <w:r w:rsidRPr="00EF4D87">
        <w:rPr>
          <w:rFonts w:cs="David" w:hint="cs"/>
          <w:noProof/>
          <w:color w:val="auto"/>
          <w:sz w:val="24"/>
          <w:szCs w:val="24"/>
          <w:rtl/>
        </w:rPr>
        <w:t xml:space="preserve">סכום </w:t>
      </w:r>
      <w:r w:rsidR="0012629B" w:rsidRPr="00EF4D87">
        <w:rPr>
          <w:rFonts w:cs="David" w:hint="cs"/>
          <w:noProof/>
          <w:color w:val="auto"/>
          <w:sz w:val="24"/>
          <w:szCs w:val="24"/>
          <w:rtl/>
        </w:rPr>
        <w:t>של 9 ₪</w:t>
      </w:r>
      <w:r w:rsidRPr="00EF4D87">
        <w:rPr>
          <w:rFonts w:cs="David" w:hint="cs"/>
          <w:noProof/>
          <w:color w:val="auto"/>
          <w:sz w:val="24"/>
          <w:szCs w:val="24"/>
          <w:rtl/>
        </w:rPr>
        <w:t>,</w:t>
      </w:r>
      <w:r w:rsidR="0012629B" w:rsidRPr="00EF4D87">
        <w:rPr>
          <w:rFonts w:cs="David" w:hint="cs"/>
          <w:noProof/>
          <w:color w:val="auto"/>
          <w:sz w:val="24"/>
          <w:szCs w:val="24"/>
          <w:rtl/>
        </w:rPr>
        <w:t xml:space="preserve"> </w:t>
      </w:r>
      <w:r w:rsidRPr="00EF4D87">
        <w:rPr>
          <w:rFonts w:cs="David" w:hint="cs"/>
          <w:noProof/>
          <w:color w:val="auto"/>
          <w:sz w:val="24"/>
          <w:szCs w:val="24"/>
          <w:rtl/>
        </w:rPr>
        <w:t>ו</w:t>
      </w:r>
      <w:r w:rsidR="0012629B" w:rsidRPr="00EF4D87">
        <w:rPr>
          <w:rFonts w:cs="David" w:hint="cs"/>
          <w:noProof/>
          <w:color w:val="auto"/>
          <w:sz w:val="24"/>
          <w:szCs w:val="24"/>
          <w:rtl/>
        </w:rPr>
        <w:t xml:space="preserve">בגין קבלת מידע משולם </w:t>
      </w:r>
      <w:r w:rsidRPr="00EF4D87">
        <w:rPr>
          <w:rFonts w:cs="David" w:hint="cs"/>
          <w:noProof/>
          <w:color w:val="auto"/>
          <w:sz w:val="24"/>
          <w:szCs w:val="24"/>
          <w:rtl/>
        </w:rPr>
        <w:t xml:space="preserve">סכום של בין 2 ל-5 ₪. </w:t>
      </w:r>
      <w:r w:rsidR="00B9606C" w:rsidRPr="00EF4D87">
        <w:rPr>
          <w:rFonts w:cs="David" w:hint="cs"/>
          <w:noProof/>
          <w:color w:val="auto"/>
          <w:sz w:val="24"/>
          <w:szCs w:val="24"/>
          <w:rtl/>
        </w:rPr>
        <w:t xml:space="preserve">בדברי ההסבר לתיקון המוצע נטען, כי </w:t>
      </w:r>
      <w:r w:rsidR="00B84FE7" w:rsidRPr="00EF4D87">
        <w:rPr>
          <w:rFonts w:cs="David" w:hint="cs"/>
          <w:noProof/>
          <w:color w:val="auto"/>
          <w:sz w:val="24"/>
          <w:szCs w:val="24"/>
          <w:rtl/>
        </w:rPr>
        <w:t>הסכום של 9 ₪</w:t>
      </w:r>
      <w:r w:rsidRPr="00EF4D87">
        <w:rPr>
          <w:rStyle w:val="a5"/>
          <w:rFonts w:cs="David"/>
          <w:noProof/>
          <w:color w:val="auto"/>
          <w:sz w:val="20"/>
          <w:szCs w:val="20"/>
          <w:rtl/>
        </w:rPr>
        <w:footnoteReference w:id="5"/>
      </w:r>
      <w:r w:rsidR="00B84FE7" w:rsidRPr="00EF4D87">
        <w:rPr>
          <w:rFonts w:cs="David" w:hint="cs"/>
          <w:noProof/>
          <w:color w:val="auto"/>
          <w:sz w:val="24"/>
          <w:szCs w:val="24"/>
          <w:rtl/>
        </w:rPr>
        <w:t xml:space="preserve"> נקבע בתחילת שנ</w:t>
      </w:r>
      <w:r w:rsidR="00B9606C" w:rsidRPr="00EF4D87">
        <w:rPr>
          <w:rFonts w:cs="David" w:hint="cs"/>
          <w:noProof/>
          <w:color w:val="auto"/>
          <w:sz w:val="24"/>
          <w:szCs w:val="24"/>
          <w:rtl/>
        </w:rPr>
        <w:t>ו</w:t>
      </w:r>
      <w:r w:rsidR="00B84FE7" w:rsidRPr="00EF4D87">
        <w:rPr>
          <w:rFonts w:cs="David" w:hint="cs"/>
          <w:noProof/>
          <w:color w:val="auto"/>
          <w:sz w:val="24"/>
          <w:szCs w:val="24"/>
          <w:rtl/>
        </w:rPr>
        <w:t>ת ה-2000</w:t>
      </w:r>
      <w:r w:rsidRPr="00EF4D87">
        <w:rPr>
          <w:rFonts w:cs="David" w:hint="cs"/>
          <w:noProof/>
          <w:color w:val="auto"/>
          <w:sz w:val="24"/>
          <w:szCs w:val="24"/>
          <w:rtl/>
        </w:rPr>
        <w:t>,</w:t>
      </w:r>
      <w:r w:rsidR="00B84FE7" w:rsidRPr="00EF4D87">
        <w:rPr>
          <w:rFonts w:cs="David" w:hint="cs"/>
          <w:noProof/>
          <w:color w:val="auto"/>
          <w:sz w:val="24"/>
          <w:szCs w:val="24"/>
          <w:rtl/>
        </w:rPr>
        <w:t xml:space="preserve"> ושיקלל לתוכו באותן שנים עלויות מחשוב שונות שאינן רלבנטיות היום ושמביאות לכך, שמוטל על  החייב, נטל כבד של הוצאות בגין הליכי עיקול  (מכפלה של 9 ₪</w:t>
      </w:r>
      <w:r w:rsidR="00B9606C" w:rsidRPr="00EF4D87">
        <w:rPr>
          <w:rFonts w:cs="David" w:hint="cs"/>
          <w:noProof/>
          <w:color w:val="auto"/>
          <w:sz w:val="24"/>
          <w:szCs w:val="24"/>
          <w:rtl/>
        </w:rPr>
        <w:t xml:space="preserve"> כפול</w:t>
      </w:r>
      <w:r w:rsidR="00B84FE7" w:rsidRPr="00EF4D87">
        <w:rPr>
          <w:rFonts w:cs="David" w:hint="cs"/>
          <w:noProof/>
          <w:color w:val="auto"/>
          <w:sz w:val="24"/>
          <w:szCs w:val="24"/>
          <w:rtl/>
        </w:rPr>
        <w:t xml:space="preserve"> כלל הגורמים הזכאים לשכר, אצלם מבקש הזוכה להטיל עיקול). ניתוח כלכלי שנערך </w:t>
      </w:r>
      <w:r w:rsidR="00B9606C" w:rsidRPr="00EF4D87">
        <w:rPr>
          <w:rFonts w:cs="David" w:hint="cs"/>
          <w:noProof/>
          <w:color w:val="auto"/>
          <w:sz w:val="24"/>
          <w:szCs w:val="24"/>
          <w:rtl/>
        </w:rPr>
        <w:t>עבור רשות האכיפה והגבייה</w:t>
      </w:r>
      <w:r w:rsidR="00B33247" w:rsidRPr="00EF4D87">
        <w:rPr>
          <w:rFonts w:cs="David" w:hint="cs"/>
          <w:noProof/>
          <w:color w:val="auto"/>
          <w:sz w:val="24"/>
          <w:szCs w:val="24"/>
          <w:rtl/>
        </w:rPr>
        <w:t xml:space="preserve"> על ידי חברת תבור כלכלה ופיננסיים בע"מ</w:t>
      </w:r>
      <w:r w:rsidR="00B9606C" w:rsidRPr="00EF4D87">
        <w:rPr>
          <w:rFonts w:cs="David" w:hint="cs"/>
          <w:noProof/>
          <w:color w:val="auto"/>
          <w:sz w:val="24"/>
          <w:szCs w:val="24"/>
          <w:rtl/>
        </w:rPr>
        <w:t xml:space="preserve">, </w:t>
      </w:r>
      <w:r w:rsidR="00B84FE7" w:rsidRPr="00EF4D87">
        <w:rPr>
          <w:rFonts w:cs="David" w:hint="cs"/>
          <w:noProof/>
          <w:color w:val="auto"/>
          <w:sz w:val="24"/>
          <w:szCs w:val="24"/>
          <w:rtl/>
        </w:rPr>
        <w:t xml:space="preserve">העלה כי הסכום הנגבה כיום גבוה מהעלות הממשית של צדדי ג' אצלם מוטל העיקול. לכן, </w:t>
      </w:r>
      <w:r w:rsidR="00B9606C" w:rsidRPr="00EF4D87">
        <w:rPr>
          <w:rFonts w:cs="David" w:hint="cs"/>
          <w:noProof/>
          <w:color w:val="auto"/>
          <w:sz w:val="24"/>
          <w:szCs w:val="24"/>
          <w:rtl/>
        </w:rPr>
        <w:t xml:space="preserve">מוצע להעמיד את סכום התשלום בגין עיקול אצל צד שלישי מוכר, על סך של 6 ₪, </w:t>
      </w:r>
      <w:r w:rsidR="00B84FE7" w:rsidRPr="00EF4D87">
        <w:rPr>
          <w:rFonts w:cs="David" w:hint="cs"/>
          <w:noProof/>
          <w:color w:val="auto"/>
          <w:sz w:val="24"/>
          <w:szCs w:val="24"/>
          <w:rtl/>
        </w:rPr>
        <w:t xml:space="preserve">כך </w:t>
      </w:r>
      <w:r w:rsidR="00B9606C" w:rsidRPr="00EF4D87">
        <w:rPr>
          <w:rFonts w:cs="David" w:hint="cs"/>
          <w:noProof/>
          <w:color w:val="auto"/>
          <w:sz w:val="24"/>
          <w:szCs w:val="24"/>
          <w:rtl/>
        </w:rPr>
        <w:t xml:space="preserve">שהסכום יתאים </w:t>
      </w:r>
      <w:r w:rsidR="00B84FE7" w:rsidRPr="00EF4D87">
        <w:rPr>
          <w:rFonts w:cs="David" w:hint="cs"/>
          <w:noProof/>
          <w:color w:val="auto"/>
          <w:sz w:val="24"/>
          <w:szCs w:val="24"/>
          <w:rtl/>
        </w:rPr>
        <w:t xml:space="preserve">לעלות הממשית. </w:t>
      </w:r>
    </w:p>
    <w:p w:rsidR="0093258D" w:rsidRPr="00A7142F" w:rsidRDefault="0093258D" w:rsidP="00A7142F">
      <w:pPr>
        <w:spacing w:before="0" w:after="120" w:line="360" w:lineRule="auto"/>
        <w:ind w:firstLine="0"/>
        <w:rPr>
          <w:rFonts w:cs="David"/>
          <w:noProof/>
          <w:color w:val="auto"/>
          <w:sz w:val="24"/>
          <w:szCs w:val="24"/>
          <w:rtl/>
        </w:rPr>
      </w:pPr>
    </w:p>
    <w:p w:rsidR="00B9606C" w:rsidRPr="00A7142F" w:rsidRDefault="0093258D" w:rsidP="00A7142F">
      <w:pPr>
        <w:spacing w:before="0" w:after="120" w:line="240" w:lineRule="auto"/>
        <w:ind w:firstLine="0"/>
        <w:rPr>
          <w:rFonts w:cs="David"/>
          <w:b/>
          <w:bCs/>
          <w:noProof/>
          <w:color w:val="auto"/>
          <w:sz w:val="24"/>
          <w:szCs w:val="24"/>
          <w:u w:val="single"/>
          <w:rtl/>
        </w:rPr>
      </w:pPr>
      <w:r w:rsidRPr="00A7142F">
        <w:rPr>
          <w:rFonts w:cs="David" w:hint="cs"/>
          <w:b/>
          <w:bCs/>
          <w:noProof/>
          <w:color w:val="auto"/>
          <w:sz w:val="24"/>
          <w:szCs w:val="24"/>
          <w:u w:val="single"/>
          <w:rtl/>
        </w:rPr>
        <w:t>נקודות לדיון</w:t>
      </w:r>
      <w:r w:rsidR="00077EB4" w:rsidRPr="00A7142F">
        <w:rPr>
          <w:rFonts w:cs="David" w:hint="cs"/>
          <w:b/>
          <w:bCs/>
          <w:noProof/>
          <w:color w:val="auto"/>
          <w:sz w:val="24"/>
          <w:szCs w:val="24"/>
          <w:u w:val="single"/>
          <w:rtl/>
        </w:rPr>
        <w:t xml:space="preserve"> </w:t>
      </w:r>
    </w:p>
    <w:p w:rsidR="009008B2" w:rsidRPr="00A7142F" w:rsidRDefault="00EF4D87" w:rsidP="00A7142F">
      <w:pPr>
        <w:spacing w:before="0" w:after="120" w:line="360" w:lineRule="auto"/>
        <w:ind w:firstLine="0"/>
        <w:rPr>
          <w:rFonts w:cs="David"/>
          <w:color w:val="auto"/>
          <w:sz w:val="24"/>
          <w:szCs w:val="24"/>
          <w:rtl/>
        </w:rPr>
      </w:pPr>
      <w:r w:rsidRPr="00A7142F">
        <w:rPr>
          <w:rFonts w:cs="David" w:hint="cs"/>
          <w:b/>
          <w:bCs/>
          <w:color w:val="auto"/>
          <w:sz w:val="24"/>
          <w:szCs w:val="24"/>
          <w:rtl/>
        </w:rPr>
        <w:t xml:space="preserve">(1) </w:t>
      </w:r>
      <w:r w:rsidR="0093258D" w:rsidRPr="00A7142F">
        <w:rPr>
          <w:rFonts w:cs="David" w:hint="cs"/>
          <w:b/>
          <w:bCs/>
          <w:color w:val="auto"/>
          <w:sz w:val="24"/>
          <w:szCs w:val="24"/>
          <w:rtl/>
        </w:rPr>
        <w:t>הערת ניסוח: תקנה 4א</w:t>
      </w:r>
      <w:r w:rsidRPr="00A7142F">
        <w:rPr>
          <w:rFonts w:cs="David" w:hint="cs"/>
          <w:b/>
          <w:bCs/>
          <w:color w:val="auto"/>
          <w:sz w:val="24"/>
          <w:szCs w:val="24"/>
          <w:rtl/>
        </w:rPr>
        <w:t>1</w:t>
      </w:r>
      <w:r w:rsidR="0093258D" w:rsidRPr="00A7142F">
        <w:rPr>
          <w:rFonts w:cs="David" w:hint="cs"/>
          <w:b/>
          <w:bCs/>
          <w:color w:val="auto"/>
          <w:sz w:val="24"/>
          <w:szCs w:val="24"/>
          <w:rtl/>
        </w:rPr>
        <w:t>(</w:t>
      </w:r>
      <w:r w:rsidRPr="00A7142F">
        <w:rPr>
          <w:rFonts w:cs="David" w:hint="cs"/>
          <w:b/>
          <w:bCs/>
          <w:color w:val="auto"/>
          <w:sz w:val="24"/>
          <w:szCs w:val="24"/>
          <w:rtl/>
        </w:rPr>
        <w:t>ה</w:t>
      </w:r>
      <w:r w:rsidR="0093258D" w:rsidRPr="00A7142F">
        <w:rPr>
          <w:rFonts w:cs="David" w:hint="cs"/>
          <w:b/>
          <w:bCs/>
          <w:color w:val="auto"/>
          <w:sz w:val="24"/>
          <w:szCs w:val="24"/>
          <w:rtl/>
        </w:rPr>
        <w:t xml:space="preserve">) </w:t>
      </w:r>
      <w:r w:rsidR="0093258D" w:rsidRPr="00A7142F">
        <w:rPr>
          <w:rFonts w:cs="David"/>
          <w:color w:val="auto"/>
          <w:sz w:val="24"/>
          <w:szCs w:val="24"/>
          <w:rtl/>
        </w:rPr>
        <w:t>–</w:t>
      </w:r>
      <w:r w:rsidR="0093258D" w:rsidRPr="00A7142F">
        <w:rPr>
          <w:rFonts w:cs="David" w:hint="cs"/>
          <w:color w:val="auto"/>
          <w:sz w:val="24"/>
          <w:szCs w:val="24"/>
          <w:rtl/>
        </w:rPr>
        <w:t xml:space="preserve"> </w:t>
      </w:r>
      <w:r w:rsidRPr="00A7142F">
        <w:rPr>
          <w:rFonts w:cs="David" w:hint="cs"/>
          <w:color w:val="auto"/>
          <w:sz w:val="24"/>
          <w:szCs w:val="24"/>
          <w:rtl/>
        </w:rPr>
        <w:t xml:space="preserve">מופיע הביטוי "לצד השלישי המוכר", ונוכח התיקונים המוצעים </w:t>
      </w:r>
      <w:r w:rsidR="0093258D" w:rsidRPr="00A7142F">
        <w:rPr>
          <w:rFonts w:cs="David" w:hint="cs"/>
          <w:color w:val="auto"/>
          <w:sz w:val="24"/>
          <w:szCs w:val="24"/>
          <w:rtl/>
        </w:rPr>
        <w:t xml:space="preserve">יש למחוק את </w:t>
      </w:r>
      <w:r w:rsidRPr="00A7142F">
        <w:rPr>
          <w:rFonts w:cs="David" w:hint="cs"/>
          <w:color w:val="auto"/>
          <w:sz w:val="24"/>
          <w:szCs w:val="24"/>
          <w:rtl/>
        </w:rPr>
        <w:t xml:space="preserve">המילה </w:t>
      </w:r>
      <w:r w:rsidR="0093258D" w:rsidRPr="00A7142F">
        <w:rPr>
          <w:rFonts w:cs="David" w:hint="cs"/>
          <w:color w:val="auto"/>
          <w:sz w:val="24"/>
          <w:szCs w:val="24"/>
          <w:rtl/>
        </w:rPr>
        <w:t>"המוכר".</w:t>
      </w:r>
    </w:p>
    <w:p w:rsidR="004F793E" w:rsidRPr="00A7142F" w:rsidRDefault="00EF4D87" w:rsidP="00E40887">
      <w:pPr>
        <w:spacing w:before="0" w:line="360" w:lineRule="auto"/>
        <w:ind w:firstLine="0"/>
        <w:rPr>
          <w:rFonts w:cs="David"/>
          <w:color w:val="auto"/>
          <w:sz w:val="24"/>
          <w:szCs w:val="24"/>
          <w:rtl/>
        </w:rPr>
      </w:pPr>
      <w:r w:rsidRPr="00A7142F">
        <w:rPr>
          <w:rFonts w:cs="David" w:hint="cs"/>
          <w:b/>
          <w:bCs/>
          <w:color w:val="auto"/>
          <w:sz w:val="24"/>
          <w:szCs w:val="24"/>
          <w:rtl/>
        </w:rPr>
        <w:t xml:space="preserve">(2) </w:t>
      </w:r>
      <w:r w:rsidR="004F793E" w:rsidRPr="00A7142F">
        <w:rPr>
          <w:rFonts w:cs="David" w:hint="cs"/>
          <w:b/>
          <w:bCs/>
          <w:color w:val="auto"/>
          <w:sz w:val="24"/>
          <w:szCs w:val="24"/>
          <w:rtl/>
        </w:rPr>
        <w:t>נתונים</w:t>
      </w:r>
      <w:r w:rsidRPr="00A7142F">
        <w:rPr>
          <w:rFonts w:cs="David" w:hint="cs"/>
          <w:b/>
          <w:bCs/>
          <w:color w:val="auto"/>
          <w:sz w:val="24"/>
          <w:szCs w:val="24"/>
          <w:rtl/>
        </w:rPr>
        <w:t xml:space="preserve"> </w:t>
      </w:r>
      <w:r w:rsidRPr="00A7142F">
        <w:rPr>
          <w:rFonts w:cs="David"/>
          <w:color w:val="auto"/>
          <w:sz w:val="24"/>
          <w:szCs w:val="24"/>
          <w:rtl/>
        </w:rPr>
        <w:t>–</w:t>
      </w:r>
      <w:r w:rsidRPr="00A7142F">
        <w:rPr>
          <w:rFonts w:cs="David" w:hint="cs"/>
          <w:color w:val="auto"/>
          <w:sz w:val="24"/>
          <w:szCs w:val="24"/>
          <w:rtl/>
        </w:rPr>
        <w:t xml:space="preserve"> מוצע לקבל מרשות האכיפה והגבייה את הנתונים הבאים:</w:t>
      </w:r>
    </w:p>
    <w:p w:rsidR="004007C5" w:rsidRPr="00A7142F" w:rsidRDefault="00F05155" w:rsidP="00A7142F">
      <w:pPr>
        <w:pStyle w:val="a6"/>
        <w:numPr>
          <w:ilvl w:val="0"/>
          <w:numId w:val="3"/>
        </w:numPr>
        <w:spacing w:before="0" w:after="120" w:line="360" w:lineRule="auto"/>
        <w:rPr>
          <w:rFonts w:cs="David"/>
          <w:color w:val="auto"/>
          <w:sz w:val="24"/>
          <w:szCs w:val="24"/>
        </w:rPr>
      </w:pPr>
      <w:r w:rsidRPr="00A7142F">
        <w:rPr>
          <w:rFonts w:cs="David" w:hint="cs"/>
          <w:color w:val="auto"/>
          <w:sz w:val="24"/>
          <w:szCs w:val="24"/>
          <w:rtl/>
        </w:rPr>
        <w:t xml:space="preserve">כמה צווי עיקול </w:t>
      </w:r>
      <w:r w:rsidR="008435BF" w:rsidRPr="00A7142F">
        <w:rPr>
          <w:rFonts w:cs="David" w:hint="cs"/>
          <w:color w:val="auto"/>
          <w:sz w:val="24"/>
          <w:szCs w:val="24"/>
          <w:rtl/>
        </w:rPr>
        <w:t xml:space="preserve">אצל צד ג' </w:t>
      </w:r>
      <w:r w:rsidR="00EF4D87" w:rsidRPr="00A7142F">
        <w:rPr>
          <w:rFonts w:cs="David" w:hint="cs"/>
          <w:color w:val="auto"/>
          <w:sz w:val="24"/>
          <w:szCs w:val="24"/>
          <w:rtl/>
        </w:rPr>
        <w:t xml:space="preserve">יש בכל שנה וכמה זה יחסוך באופן מצטבר לכלל החייבים? </w:t>
      </w:r>
    </w:p>
    <w:p w:rsidR="00EF4D87" w:rsidRPr="00A7142F" w:rsidRDefault="004F793E" w:rsidP="00A7142F">
      <w:pPr>
        <w:pStyle w:val="a6"/>
        <w:numPr>
          <w:ilvl w:val="0"/>
          <w:numId w:val="3"/>
        </w:numPr>
        <w:spacing w:before="0" w:after="120" w:line="360" w:lineRule="auto"/>
        <w:rPr>
          <w:rFonts w:cs="David"/>
          <w:color w:val="auto"/>
          <w:sz w:val="24"/>
          <w:szCs w:val="24"/>
        </w:rPr>
      </w:pPr>
      <w:r w:rsidRPr="00A7142F">
        <w:rPr>
          <w:rFonts w:cs="David" w:hint="cs"/>
          <w:color w:val="auto"/>
          <w:sz w:val="24"/>
          <w:szCs w:val="24"/>
          <w:rtl/>
        </w:rPr>
        <w:lastRenderedPageBreak/>
        <w:t xml:space="preserve">כמה בקשות מידע </w:t>
      </w:r>
      <w:r w:rsidR="008435BF" w:rsidRPr="00A7142F">
        <w:rPr>
          <w:rFonts w:cs="David" w:hint="cs"/>
          <w:color w:val="auto"/>
          <w:sz w:val="24"/>
          <w:szCs w:val="24"/>
          <w:rtl/>
        </w:rPr>
        <w:t xml:space="preserve">לפי סעיף 7ב </w:t>
      </w:r>
      <w:r w:rsidR="00EF4D87" w:rsidRPr="00A7142F">
        <w:rPr>
          <w:rFonts w:cs="David" w:hint="cs"/>
          <w:color w:val="auto"/>
          <w:sz w:val="24"/>
          <w:szCs w:val="24"/>
          <w:rtl/>
        </w:rPr>
        <w:t xml:space="preserve">יש בכל שנה? כמה בקשות מידע יש </w:t>
      </w:r>
      <w:r w:rsidRPr="00A7142F">
        <w:rPr>
          <w:rFonts w:cs="David" w:hint="cs"/>
          <w:color w:val="auto"/>
          <w:sz w:val="24"/>
          <w:szCs w:val="24"/>
          <w:rtl/>
        </w:rPr>
        <w:t xml:space="preserve">בממוצע </w:t>
      </w:r>
      <w:r w:rsidR="00EF4D87" w:rsidRPr="00A7142F">
        <w:rPr>
          <w:rFonts w:cs="David" w:hint="cs"/>
          <w:color w:val="auto"/>
          <w:sz w:val="24"/>
          <w:szCs w:val="24"/>
          <w:rtl/>
        </w:rPr>
        <w:t>ל</w:t>
      </w:r>
      <w:r w:rsidRPr="00A7142F">
        <w:rPr>
          <w:rFonts w:cs="David" w:hint="cs"/>
          <w:color w:val="auto"/>
          <w:sz w:val="24"/>
          <w:szCs w:val="24"/>
          <w:rtl/>
        </w:rPr>
        <w:t>תיק?</w:t>
      </w:r>
      <w:r w:rsidR="008435BF" w:rsidRPr="00A7142F">
        <w:rPr>
          <w:rFonts w:cs="David" w:hint="cs"/>
          <w:color w:val="auto"/>
          <w:sz w:val="24"/>
          <w:szCs w:val="24"/>
          <w:rtl/>
        </w:rPr>
        <w:t xml:space="preserve"> </w:t>
      </w:r>
    </w:p>
    <w:p w:rsidR="001308BE" w:rsidRPr="00A7142F" w:rsidRDefault="004F793E" w:rsidP="00A7142F">
      <w:pPr>
        <w:pStyle w:val="a6"/>
        <w:numPr>
          <w:ilvl w:val="0"/>
          <w:numId w:val="3"/>
        </w:numPr>
        <w:spacing w:before="0" w:after="120" w:line="360" w:lineRule="auto"/>
        <w:rPr>
          <w:rFonts w:cs="David"/>
          <w:color w:val="auto"/>
          <w:sz w:val="24"/>
          <w:szCs w:val="24"/>
        </w:rPr>
      </w:pPr>
      <w:r w:rsidRPr="00A7142F">
        <w:rPr>
          <w:rFonts w:cs="David" w:hint="cs"/>
          <w:color w:val="auto"/>
          <w:sz w:val="24"/>
          <w:szCs w:val="24"/>
          <w:rtl/>
        </w:rPr>
        <w:t xml:space="preserve">בכמה אחוז מהמקרים יש נכסים / מידע אצל הצד השלישי ובכמה אחוז מהמקרים אין? </w:t>
      </w:r>
    </w:p>
    <w:p w:rsidR="00EF4D87" w:rsidRPr="00A7142F" w:rsidRDefault="00EF4D87" w:rsidP="00A7142F">
      <w:pPr>
        <w:spacing w:before="0" w:after="120" w:line="360" w:lineRule="auto"/>
        <w:ind w:firstLine="0"/>
        <w:rPr>
          <w:rFonts w:cs="David"/>
          <w:color w:val="auto"/>
          <w:sz w:val="24"/>
          <w:szCs w:val="24"/>
          <w:rtl/>
        </w:rPr>
      </w:pPr>
      <w:r w:rsidRPr="00A7142F">
        <w:rPr>
          <w:rFonts w:cs="David" w:hint="cs"/>
          <w:b/>
          <w:bCs/>
          <w:color w:val="auto"/>
          <w:sz w:val="24"/>
          <w:szCs w:val="24"/>
          <w:rtl/>
        </w:rPr>
        <w:t xml:space="preserve">(3) תשלום דיפרנציאלי </w:t>
      </w:r>
      <w:r w:rsidRPr="00A7142F">
        <w:rPr>
          <w:rFonts w:cs="David"/>
          <w:b/>
          <w:bCs/>
          <w:color w:val="auto"/>
          <w:sz w:val="24"/>
          <w:szCs w:val="24"/>
          <w:rtl/>
        </w:rPr>
        <w:t>–</w:t>
      </w:r>
      <w:r w:rsidRPr="00A7142F">
        <w:rPr>
          <w:rFonts w:cs="David" w:hint="cs"/>
          <w:b/>
          <w:bCs/>
          <w:color w:val="auto"/>
          <w:sz w:val="24"/>
          <w:szCs w:val="24"/>
          <w:rtl/>
        </w:rPr>
        <w:t xml:space="preserve"> </w:t>
      </w:r>
      <w:r w:rsidRPr="00A7142F">
        <w:rPr>
          <w:rFonts w:cs="David" w:hint="cs"/>
          <w:color w:val="auto"/>
          <w:sz w:val="24"/>
          <w:szCs w:val="24"/>
          <w:rtl/>
        </w:rPr>
        <w:t xml:space="preserve">בתקנות המסים (גביה) (תשלום לצד שלישי שהומצא לו צו עיקול בדרך אלקטרונית), התשע"ה-2015 </w:t>
      </w:r>
      <w:r w:rsidR="00DF322E" w:rsidRPr="00A7142F">
        <w:rPr>
          <w:rFonts w:cs="David" w:hint="cs"/>
          <w:color w:val="auto"/>
          <w:sz w:val="24"/>
          <w:szCs w:val="24"/>
          <w:rtl/>
        </w:rPr>
        <w:t xml:space="preserve">(להלן </w:t>
      </w:r>
      <w:r w:rsidR="00DF322E" w:rsidRPr="00A7142F">
        <w:rPr>
          <w:rFonts w:cs="David"/>
          <w:color w:val="auto"/>
          <w:sz w:val="24"/>
          <w:szCs w:val="24"/>
          <w:rtl/>
        </w:rPr>
        <w:t>–</w:t>
      </w:r>
      <w:r w:rsidR="00DF322E" w:rsidRPr="00A7142F">
        <w:rPr>
          <w:rFonts w:cs="David" w:hint="cs"/>
          <w:color w:val="auto"/>
          <w:sz w:val="24"/>
          <w:szCs w:val="24"/>
          <w:rtl/>
        </w:rPr>
        <w:t xml:space="preserve"> תקנות המסים גביה) </w:t>
      </w:r>
      <w:r w:rsidRPr="00A7142F">
        <w:rPr>
          <w:rFonts w:cs="David" w:hint="cs"/>
          <w:color w:val="auto"/>
          <w:sz w:val="24"/>
          <w:szCs w:val="24"/>
          <w:rtl/>
        </w:rPr>
        <w:t xml:space="preserve">שנדונו לפני מספר חודשים בוועדה, הוצע לקבוע תשלום דיפרנציאלי </w:t>
      </w:r>
      <w:r w:rsidR="0088375B" w:rsidRPr="00A7142F">
        <w:rPr>
          <w:rFonts w:cs="David" w:hint="cs"/>
          <w:color w:val="auto"/>
          <w:sz w:val="24"/>
          <w:szCs w:val="24"/>
          <w:rtl/>
        </w:rPr>
        <w:t xml:space="preserve">לצד שלישי בגין טיפול בצו עיקול שהומצא בדרך אלקטרונית, </w:t>
      </w:r>
      <w:r w:rsidRPr="00A7142F">
        <w:rPr>
          <w:rFonts w:cs="David" w:hint="cs"/>
          <w:color w:val="auto"/>
          <w:sz w:val="24"/>
          <w:szCs w:val="24"/>
          <w:rtl/>
        </w:rPr>
        <w:t xml:space="preserve">כך שבמקרים </w:t>
      </w:r>
      <w:r w:rsidR="00972824" w:rsidRPr="00A7142F">
        <w:rPr>
          <w:rFonts w:cs="David" w:hint="cs"/>
          <w:color w:val="auto"/>
          <w:sz w:val="24"/>
          <w:szCs w:val="24"/>
          <w:rtl/>
        </w:rPr>
        <w:t xml:space="preserve">שבהם נמצאו נכסים ברי עיקול של החייב בידי הצד השלישי </w:t>
      </w:r>
      <w:r w:rsidR="00972824" w:rsidRPr="00A7142F">
        <w:rPr>
          <w:rFonts w:cs="David"/>
          <w:color w:val="auto"/>
          <w:sz w:val="24"/>
          <w:szCs w:val="24"/>
          <w:rtl/>
        </w:rPr>
        <w:t>–</w:t>
      </w:r>
      <w:r w:rsidR="00972824" w:rsidRPr="00A7142F">
        <w:rPr>
          <w:rFonts w:cs="David" w:hint="cs"/>
          <w:color w:val="auto"/>
          <w:sz w:val="24"/>
          <w:szCs w:val="24"/>
          <w:rtl/>
        </w:rPr>
        <w:t xml:space="preserve"> הוא יקבל תשלום של 19 ₪</w:t>
      </w:r>
      <w:r w:rsidR="0088375B" w:rsidRPr="00A7142F">
        <w:rPr>
          <w:rFonts w:cs="David" w:hint="cs"/>
          <w:color w:val="auto"/>
          <w:sz w:val="24"/>
          <w:szCs w:val="24"/>
          <w:rtl/>
        </w:rPr>
        <w:t>,</w:t>
      </w:r>
      <w:r w:rsidR="00972824" w:rsidRPr="00A7142F">
        <w:rPr>
          <w:rFonts w:cs="David" w:hint="cs"/>
          <w:color w:val="auto"/>
          <w:sz w:val="24"/>
          <w:szCs w:val="24"/>
          <w:rtl/>
        </w:rPr>
        <w:t xml:space="preserve"> ובמקרים שבהם לא נמצאו נכסים ברי עיקול של החייב בידי הצד השלישי </w:t>
      </w:r>
      <w:r w:rsidR="00972824" w:rsidRPr="00A7142F">
        <w:rPr>
          <w:rFonts w:cs="David"/>
          <w:color w:val="auto"/>
          <w:sz w:val="24"/>
          <w:szCs w:val="24"/>
          <w:rtl/>
        </w:rPr>
        <w:t>–</w:t>
      </w:r>
      <w:r w:rsidR="00972824" w:rsidRPr="00A7142F">
        <w:rPr>
          <w:rFonts w:cs="David" w:hint="cs"/>
          <w:color w:val="auto"/>
          <w:sz w:val="24"/>
          <w:szCs w:val="24"/>
          <w:rtl/>
        </w:rPr>
        <w:t xml:space="preserve"> הוא יקבל תשלום של 2 ₪. </w:t>
      </w:r>
      <w:r w:rsidR="004007C5" w:rsidRPr="00A7142F">
        <w:rPr>
          <w:rFonts w:cs="David" w:hint="cs"/>
          <w:color w:val="auto"/>
          <w:sz w:val="24"/>
          <w:szCs w:val="24"/>
          <w:rtl/>
        </w:rPr>
        <w:t xml:space="preserve">מדוע </w:t>
      </w:r>
      <w:r w:rsidR="00DF322E" w:rsidRPr="00A7142F">
        <w:rPr>
          <w:rFonts w:cs="David" w:hint="cs"/>
          <w:color w:val="auto"/>
          <w:sz w:val="24"/>
          <w:szCs w:val="24"/>
          <w:rtl/>
        </w:rPr>
        <w:t>בהקשר שלנו ההצעה היא לתשלום אחיד ולא דיפרנציאלי</w:t>
      </w:r>
      <w:r w:rsidR="0025039C" w:rsidRPr="00A7142F">
        <w:rPr>
          <w:rFonts w:cs="David" w:hint="cs"/>
          <w:color w:val="auto"/>
          <w:sz w:val="24"/>
          <w:szCs w:val="24"/>
          <w:rtl/>
        </w:rPr>
        <w:t>?</w:t>
      </w:r>
      <w:r w:rsidR="00DF322E" w:rsidRPr="00A7142F">
        <w:rPr>
          <w:rFonts w:cs="David" w:hint="cs"/>
          <w:color w:val="auto"/>
          <w:sz w:val="24"/>
          <w:szCs w:val="24"/>
          <w:rtl/>
        </w:rPr>
        <w:t xml:space="preserve"> לפי התחשיבים שנמסרו לוועדה בדיון בעניין תקנות המסים גביה </w:t>
      </w:r>
      <w:r w:rsidR="00D97E24" w:rsidRPr="00A7142F">
        <w:rPr>
          <w:rFonts w:cs="David" w:hint="cs"/>
          <w:color w:val="auto"/>
          <w:sz w:val="24"/>
          <w:szCs w:val="24"/>
          <w:rtl/>
        </w:rPr>
        <w:t xml:space="preserve">תשלום דיפרנציאלי </w:t>
      </w:r>
      <w:r w:rsidR="0025039C" w:rsidRPr="00A7142F">
        <w:rPr>
          <w:rFonts w:cs="David" w:hint="cs"/>
          <w:color w:val="auto"/>
          <w:sz w:val="24"/>
          <w:szCs w:val="24"/>
          <w:rtl/>
        </w:rPr>
        <w:t xml:space="preserve">גם </w:t>
      </w:r>
      <w:r w:rsidR="00D97E24" w:rsidRPr="00A7142F">
        <w:rPr>
          <w:rFonts w:cs="David" w:hint="cs"/>
          <w:color w:val="auto"/>
          <w:sz w:val="24"/>
          <w:szCs w:val="24"/>
          <w:rtl/>
        </w:rPr>
        <w:t>מדויק יותר מבחינת העלויות של הצדדים השלישיים, ו</w:t>
      </w:r>
      <w:r w:rsidR="0025039C" w:rsidRPr="00A7142F">
        <w:rPr>
          <w:rFonts w:cs="David" w:hint="cs"/>
          <w:color w:val="auto"/>
          <w:sz w:val="24"/>
          <w:szCs w:val="24"/>
          <w:rtl/>
        </w:rPr>
        <w:t xml:space="preserve">גם </w:t>
      </w:r>
      <w:r w:rsidR="00D97E24" w:rsidRPr="00A7142F">
        <w:rPr>
          <w:rFonts w:cs="David" w:hint="cs"/>
          <w:color w:val="auto"/>
          <w:sz w:val="24"/>
          <w:szCs w:val="24"/>
          <w:rtl/>
        </w:rPr>
        <w:t xml:space="preserve">יפחית </w:t>
      </w:r>
      <w:r w:rsidR="0025039C" w:rsidRPr="00A7142F">
        <w:rPr>
          <w:rFonts w:cs="David" w:hint="cs"/>
          <w:color w:val="auto"/>
          <w:sz w:val="24"/>
          <w:szCs w:val="24"/>
          <w:rtl/>
        </w:rPr>
        <w:t xml:space="preserve">באופן משמעותי יותר </w:t>
      </w:r>
      <w:r w:rsidR="00D97E24" w:rsidRPr="00A7142F">
        <w:rPr>
          <w:rFonts w:cs="David" w:hint="cs"/>
          <w:color w:val="auto"/>
          <w:sz w:val="24"/>
          <w:szCs w:val="24"/>
          <w:rtl/>
        </w:rPr>
        <w:t>את העל</w:t>
      </w:r>
      <w:r w:rsidR="0025039C" w:rsidRPr="00A7142F">
        <w:rPr>
          <w:rFonts w:cs="David" w:hint="cs"/>
          <w:color w:val="auto"/>
          <w:sz w:val="24"/>
          <w:szCs w:val="24"/>
          <w:rtl/>
        </w:rPr>
        <w:t>וי</w:t>
      </w:r>
      <w:r w:rsidR="00D97E24" w:rsidRPr="00A7142F">
        <w:rPr>
          <w:rFonts w:cs="David" w:hint="cs"/>
          <w:color w:val="auto"/>
          <w:sz w:val="24"/>
          <w:szCs w:val="24"/>
          <w:rtl/>
        </w:rPr>
        <w:t>ות לחייבים (</w:t>
      </w:r>
      <w:r w:rsidR="0025039C" w:rsidRPr="00A7142F">
        <w:rPr>
          <w:rFonts w:cs="David" w:hint="cs"/>
          <w:color w:val="auto"/>
          <w:sz w:val="24"/>
          <w:szCs w:val="24"/>
          <w:rtl/>
        </w:rPr>
        <w:t xml:space="preserve">זאת, </w:t>
      </w:r>
      <w:r w:rsidR="00D97E24" w:rsidRPr="00A7142F">
        <w:rPr>
          <w:rFonts w:cs="David" w:hint="cs"/>
          <w:color w:val="auto"/>
          <w:sz w:val="24"/>
          <w:szCs w:val="24"/>
          <w:rtl/>
        </w:rPr>
        <w:t>נוכח העובדה שבכ</w:t>
      </w:r>
      <w:r w:rsidR="004007C5" w:rsidRPr="00A7142F">
        <w:rPr>
          <w:rFonts w:cs="David" w:hint="cs"/>
          <w:color w:val="auto"/>
          <w:sz w:val="24"/>
          <w:szCs w:val="24"/>
          <w:rtl/>
        </w:rPr>
        <w:t>-87% מצווי העיקול לא נמצאים בידי הצד השלישי נכסים ברי עיקול</w:t>
      </w:r>
      <w:r w:rsidR="00D97E24" w:rsidRPr="00A7142F">
        <w:rPr>
          <w:rFonts w:cs="David" w:hint="cs"/>
          <w:color w:val="auto"/>
          <w:sz w:val="24"/>
          <w:szCs w:val="24"/>
          <w:rtl/>
        </w:rPr>
        <w:t>)</w:t>
      </w:r>
      <w:r w:rsidR="008B68A7" w:rsidRPr="00A7142F">
        <w:rPr>
          <w:rFonts w:cs="David" w:hint="cs"/>
          <w:color w:val="auto"/>
          <w:sz w:val="24"/>
          <w:szCs w:val="24"/>
          <w:rtl/>
        </w:rPr>
        <w:t>? האם התחשיבים באשר להוצאה לפועל הם שונים? האם יש שיקולים אחרים?</w:t>
      </w:r>
      <w:r w:rsidR="004007C5" w:rsidRPr="00A7142F">
        <w:rPr>
          <w:rFonts w:cs="David" w:hint="cs"/>
          <w:color w:val="auto"/>
          <w:sz w:val="24"/>
          <w:szCs w:val="24"/>
          <w:rtl/>
        </w:rPr>
        <w:t xml:space="preserve"> </w:t>
      </w:r>
    </w:p>
    <w:p w:rsidR="004007C5" w:rsidRPr="00A7142F" w:rsidRDefault="0009183D" w:rsidP="00A7142F">
      <w:pPr>
        <w:spacing w:before="0" w:after="120" w:line="360" w:lineRule="auto"/>
        <w:ind w:firstLine="0"/>
        <w:rPr>
          <w:rFonts w:cs="David"/>
          <w:color w:val="auto"/>
          <w:sz w:val="24"/>
          <w:szCs w:val="24"/>
          <w:rtl/>
        </w:rPr>
      </w:pPr>
      <w:r w:rsidRPr="00A7142F">
        <w:rPr>
          <w:rFonts w:cs="David" w:hint="cs"/>
          <w:b/>
          <w:bCs/>
          <w:color w:val="auto"/>
          <w:sz w:val="24"/>
          <w:szCs w:val="24"/>
          <w:rtl/>
        </w:rPr>
        <w:t>(4) תחשיבי עלויות לגבי מידע</w:t>
      </w:r>
      <w:r w:rsidRPr="00A7142F">
        <w:rPr>
          <w:rFonts w:cs="David" w:hint="cs"/>
          <w:color w:val="auto"/>
          <w:sz w:val="24"/>
          <w:szCs w:val="24"/>
          <w:rtl/>
        </w:rPr>
        <w:t xml:space="preserve"> </w:t>
      </w:r>
      <w:r w:rsidRPr="00A7142F">
        <w:rPr>
          <w:rFonts w:cs="David"/>
          <w:color w:val="auto"/>
          <w:sz w:val="24"/>
          <w:szCs w:val="24"/>
          <w:rtl/>
        </w:rPr>
        <w:t>–</w:t>
      </w:r>
      <w:r w:rsidRPr="00A7142F">
        <w:rPr>
          <w:rFonts w:cs="David" w:hint="cs"/>
          <w:color w:val="auto"/>
          <w:sz w:val="24"/>
          <w:szCs w:val="24"/>
          <w:rtl/>
        </w:rPr>
        <w:t xml:space="preserve"> </w:t>
      </w:r>
      <w:r w:rsidR="0025039C" w:rsidRPr="00A7142F">
        <w:rPr>
          <w:rFonts w:cs="David" w:hint="cs"/>
          <w:color w:val="auto"/>
          <w:sz w:val="24"/>
          <w:szCs w:val="24"/>
          <w:rtl/>
        </w:rPr>
        <w:t>האם נערכו תחשיבי</w:t>
      </w:r>
      <w:r w:rsidR="004A7C4C" w:rsidRPr="00A7142F">
        <w:rPr>
          <w:rFonts w:cs="David" w:hint="cs"/>
          <w:color w:val="auto"/>
          <w:sz w:val="24"/>
          <w:szCs w:val="24"/>
          <w:rtl/>
        </w:rPr>
        <w:t>ם חדשים של</w:t>
      </w:r>
      <w:r w:rsidR="0025039C" w:rsidRPr="00A7142F">
        <w:rPr>
          <w:rFonts w:cs="David" w:hint="cs"/>
          <w:color w:val="auto"/>
          <w:sz w:val="24"/>
          <w:szCs w:val="24"/>
          <w:rtl/>
        </w:rPr>
        <w:t xml:space="preserve"> עלויות גם לגבי תחום בקשות המידע? </w:t>
      </w:r>
      <w:r w:rsidR="004A7C4C" w:rsidRPr="00A7142F">
        <w:rPr>
          <w:rFonts w:cs="David" w:hint="cs"/>
          <w:color w:val="auto"/>
          <w:sz w:val="24"/>
          <w:szCs w:val="24"/>
          <w:rtl/>
        </w:rPr>
        <w:t>האם סכומים של 4 ₪ או 5 ₪ לבקשת מידע אכן משקפים את העלויות, שעה שלפי המוצע סכום של 6 ₪ משקף את העלויות של טיפול בצווי עיקול (</w:t>
      </w:r>
      <w:r w:rsidR="00CC2265" w:rsidRPr="00A7142F">
        <w:rPr>
          <w:rFonts w:cs="David" w:hint="cs"/>
          <w:color w:val="auto"/>
          <w:sz w:val="24"/>
          <w:szCs w:val="24"/>
          <w:rtl/>
        </w:rPr>
        <w:t xml:space="preserve">שסביר להניח שההשקעה הנדרשת לגביהן היא גדולה יותר)? </w:t>
      </w:r>
    </w:p>
    <w:p w:rsidR="0004699E" w:rsidRPr="00A7142F" w:rsidRDefault="00737F8C" w:rsidP="00A7142F">
      <w:pPr>
        <w:spacing w:before="0" w:after="120" w:line="360" w:lineRule="auto"/>
        <w:ind w:firstLine="0"/>
        <w:rPr>
          <w:rFonts w:cs="David"/>
          <w:color w:val="auto"/>
          <w:sz w:val="24"/>
          <w:szCs w:val="24"/>
          <w:rtl/>
        </w:rPr>
      </w:pPr>
      <w:r w:rsidRPr="00A7142F">
        <w:rPr>
          <w:rFonts w:cs="David" w:hint="cs"/>
          <w:b/>
          <w:bCs/>
          <w:color w:val="auto"/>
          <w:sz w:val="24"/>
          <w:szCs w:val="24"/>
          <w:rtl/>
        </w:rPr>
        <w:t xml:space="preserve">(5) </w:t>
      </w:r>
      <w:r w:rsidR="00CB5FAB" w:rsidRPr="00A7142F">
        <w:rPr>
          <w:rFonts w:cs="David" w:hint="cs"/>
          <w:b/>
          <w:bCs/>
          <w:color w:val="auto"/>
          <w:sz w:val="24"/>
          <w:szCs w:val="24"/>
          <w:rtl/>
        </w:rPr>
        <w:t>אופן שליחת</w:t>
      </w:r>
      <w:r w:rsidR="006A127D" w:rsidRPr="00A7142F">
        <w:rPr>
          <w:rFonts w:cs="David" w:hint="cs"/>
          <w:b/>
          <w:bCs/>
          <w:color w:val="auto"/>
          <w:sz w:val="24"/>
          <w:szCs w:val="24"/>
          <w:rtl/>
        </w:rPr>
        <w:t xml:space="preserve"> צווי עיקול</w:t>
      </w:r>
      <w:r w:rsidR="00CB5FAB" w:rsidRPr="00A7142F">
        <w:rPr>
          <w:rFonts w:cs="David" w:hint="cs"/>
          <w:b/>
          <w:bCs/>
          <w:color w:val="auto"/>
          <w:sz w:val="24"/>
          <w:szCs w:val="24"/>
          <w:rtl/>
        </w:rPr>
        <w:t xml:space="preserve"> </w:t>
      </w:r>
      <w:r w:rsidR="006A127D" w:rsidRPr="00A7142F">
        <w:rPr>
          <w:rFonts w:cs="David" w:hint="cs"/>
          <w:b/>
          <w:bCs/>
          <w:color w:val="auto"/>
          <w:sz w:val="24"/>
          <w:szCs w:val="24"/>
          <w:rtl/>
        </w:rPr>
        <w:t xml:space="preserve">ובקשות מידע </w:t>
      </w:r>
      <w:r w:rsidR="006A127D" w:rsidRPr="00A7142F">
        <w:rPr>
          <w:rFonts w:cs="David"/>
          <w:color w:val="auto"/>
          <w:sz w:val="24"/>
          <w:szCs w:val="24"/>
          <w:rtl/>
        </w:rPr>
        <w:t>–</w:t>
      </w:r>
      <w:r w:rsidR="006A127D" w:rsidRPr="00A7142F">
        <w:rPr>
          <w:rFonts w:cs="David" w:hint="cs"/>
          <w:color w:val="auto"/>
          <w:sz w:val="24"/>
          <w:szCs w:val="24"/>
          <w:rtl/>
        </w:rPr>
        <w:t xml:space="preserve"> איך הדברים עובדים בפועל? לגבי צווי עיקול </w:t>
      </w:r>
      <w:r w:rsidR="006A127D" w:rsidRPr="00A7142F">
        <w:rPr>
          <w:rFonts w:cs="David"/>
          <w:color w:val="auto"/>
          <w:sz w:val="24"/>
          <w:szCs w:val="24"/>
          <w:rtl/>
        </w:rPr>
        <w:t>–</w:t>
      </w:r>
      <w:r w:rsidR="006A127D" w:rsidRPr="00A7142F">
        <w:rPr>
          <w:rFonts w:cs="David" w:hint="cs"/>
          <w:color w:val="auto"/>
          <w:sz w:val="24"/>
          <w:szCs w:val="24"/>
          <w:rtl/>
        </w:rPr>
        <w:t xml:space="preserve"> האם בכל תיק מערכת ההוצאה לפועל שולחת באופן אוטומטי צווי עיקול לכל הגופים הפיננסיים המוסדיים? </w:t>
      </w:r>
      <w:r w:rsidR="002A77DF" w:rsidRPr="00A7142F">
        <w:rPr>
          <w:rFonts w:cs="David" w:hint="cs"/>
          <w:color w:val="auto"/>
          <w:sz w:val="24"/>
          <w:szCs w:val="24"/>
          <w:rtl/>
        </w:rPr>
        <w:t xml:space="preserve">לגבי בקשות מידע </w:t>
      </w:r>
      <w:r w:rsidR="002A77DF" w:rsidRPr="00A7142F">
        <w:rPr>
          <w:rFonts w:cs="David"/>
          <w:color w:val="auto"/>
          <w:sz w:val="24"/>
          <w:szCs w:val="24"/>
          <w:rtl/>
        </w:rPr>
        <w:t>–</w:t>
      </w:r>
      <w:r w:rsidR="002A77DF" w:rsidRPr="00A7142F">
        <w:rPr>
          <w:rFonts w:cs="David" w:hint="cs"/>
          <w:color w:val="auto"/>
          <w:sz w:val="24"/>
          <w:szCs w:val="24"/>
          <w:rtl/>
        </w:rPr>
        <w:t xml:space="preserve"> כמה אחוזים מבקשות המידע הן של הזוכים וכמה ביוזמת הרשמים? האם שולחים בקשות מידע באופן אוטומטי למכלול הגופים המופיעים בתוספת, או שכל פעם מנסים לשלוח לגורם נוסף ואם המידע אינו מספק שולחים לגופים נוספים?</w:t>
      </w:r>
      <w:r w:rsidR="0004699E" w:rsidRPr="00A7142F">
        <w:rPr>
          <w:rFonts w:cs="David" w:hint="cs"/>
          <w:color w:val="auto"/>
          <w:sz w:val="24"/>
          <w:szCs w:val="24"/>
          <w:rtl/>
        </w:rPr>
        <w:t xml:space="preserve"> </w:t>
      </w:r>
    </w:p>
    <w:p w:rsidR="00737F8C" w:rsidRPr="00A7142F" w:rsidRDefault="00737F8C" w:rsidP="00A7142F">
      <w:pPr>
        <w:spacing w:before="0" w:after="120" w:line="360" w:lineRule="auto"/>
        <w:ind w:firstLine="0"/>
        <w:rPr>
          <w:rFonts w:cs="David"/>
          <w:color w:val="auto"/>
          <w:sz w:val="24"/>
          <w:szCs w:val="24"/>
          <w:rtl/>
        </w:rPr>
      </w:pPr>
    </w:p>
    <w:p w:rsidR="0004699E" w:rsidRPr="00A7142F" w:rsidRDefault="0004699E" w:rsidP="00A7142F">
      <w:pPr>
        <w:spacing w:before="0" w:after="120" w:line="240" w:lineRule="auto"/>
        <w:ind w:firstLine="0"/>
        <w:rPr>
          <w:rFonts w:cs="David"/>
          <w:color w:val="auto"/>
          <w:sz w:val="24"/>
          <w:szCs w:val="24"/>
          <w:rtl/>
        </w:rPr>
      </w:pPr>
    </w:p>
    <w:p w:rsidR="0096578F" w:rsidRPr="0093258D" w:rsidRDefault="0096578F" w:rsidP="0096578F">
      <w:pPr>
        <w:spacing w:before="0" w:line="240" w:lineRule="auto"/>
        <w:ind w:firstLine="0"/>
        <w:rPr>
          <w:rFonts w:cs="David"/>
          <w:color w:val="0070C0"/>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rPr>
          <w:rFonts w:cs="David"/>
          <w:sz w:val="24"/>
          <w:szCs w:val="24"/>
          <w:rtl/>
        </w:rPr>
      </w:pPr>
    </w:p>
    <w:p w:rsidR="0096578F" w:rsidRDefault="0096578F" w:rsidP="0096578F">
      <w:pPr>
        <w:spacing w:before="0" w:line="240" w:lineRule="auto"/>
        <w:ind w:firstLine="0"/>
      </w:pPr>
    </w:p>
    <w:sectPr w:rsidR="0096578F" w:rsidSect="0021218F">
      <w:footerReference w:type="default" r:id="rId7"/>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45B" w:rsidRDefault="00F5045B" w:rsidP="00F5045B">
      <w:pPr>
        <w:spacing w:before="0" w:line="240" w:lineRule="auto"/>
      </w:pPr>
      <w:r>
        <w:separator/>
      </w:r>
    </w:p>
  </w:endnote>
  <w:endnote w:type="continuationSeparator" w:id="0">
    <w:p w:rsidR="00F5045B" w:rsidRDefault="00F5045B" w:rsidP="00F5045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56396860"/>
      <w:docPartObj>
        <w:docPartGallery w:val="Page Numbers (Bottom of Page)"/>
        <w:docPartUnique/>
      </w:docPartObj>
    </w:sdtPr>
    <w:sdtEndPr/>
    <w:sdtContent>
      <w:p w:rsidR="00BA5A0B" w:rsidRDefault="00BA5A0B">
        <w:pPr>
          <w:pStyle w:val="a9"/>
          <w:jc w:val="center"/>
          <w:rPr>
            <w:rtl/>
            <w:cs/>
          </w:rPr>
        </w:pPr>
        <w:r w:rsidRPr="00BA5A0B">
          <w:rPr>
            <w:sz w:val="16"/>
            <w:szCs w:val="16"/>
          </w:rPr>
          <w:fldChar w:fldCharType="begin"/>
        </w:r>
        <w:r w:rsidRPr="00BA5A0B">
          <w:rPr>
            <w:sz w:val="16"/>
            <w:szCs w:val="16"/>
            <w:rtl/>
            <w:cs/>
          </w:rPr>
          <w:instrText xml:space="preserve">PAGE   </w:instrText>
        </w:r>
        <w:r w:rsidRPr="00BA5A0B">
          <w:rPr>
            <w:sz w:val="16"/>
            <w:szCs w:val="16"/>
            <w:cs/>
          </w:rPr>
          <w:instrText>\</w:instrText>
        </w:r>
        <w:r w:rsidRPr="00BA5A0B">
          <w:rPr>
            <w:sz w:val="16"/>
            <w:szCs w:val="16"/>
            <w:rtl/>
            <w:cs/>
          </w:rPr>
          <w:instrText xml:space="preserve">* </w:instrText>
        </w:r>
        <w:r w:rsidRPr="00BA5A0B">
          <w:rPr>
            <w:sz w:val="16"/>
            <w:szCs w:val="16"/>
            <w:cs/>
          </w:rPr>
          <w:instrText>MERGEFORMAT</w:instrText>
        </w:r>
        <w:r w:rsidRPr="00BA5A0B">
          <w:rPr>
            <w:sz w:val="16"/>
            <w:szCs w:val="16"/>
          </w:rPr>
          <w:fldChar w:fldCharType="separate"/>
        </w:r>
        <w:r w:rsidR="005F46DB" w:rsidRPr="005F46DB">
          <w:rPr>
            <w:noProof/>
            <w:sz w:val="16"/>
            <w:szCs w:val="16"/>
            <w:rtl/>
            <w:lang w:val="he-IL"/>
          </w:rPr>
          <w:t>3</w:t>
        </w:r>
        <w:r w:rsidRPr="00BA5A0B">
          <w:rPr>
            <w:sz w:val="16"/>
            <w:szCs w:val="16"/>
          </w:rPr>
          <w:fldChar w:fldCharType="end"/>
        </w:r>
      </w:p>
    </w:sdtContent>
  </w:sdt>
  <w:p w:rsidR="00BA5A0B" w:rsidRDefault="00BA5A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45B" w:rsidRDefault="00F5045B" w:rsidP="00F5045B">
      <w:pPr>
        <w:spacing w:before="0" w:line="240" w:lineRule="auto"/>
      </w:pPr>
      <w:r>
        <w:separator/>
      </w:r>
    </w:p>
  </w:footnote>
  <w:footnote w:type="continuationSeparator" w:id="0">
    <w:p w:rsidR="00F5045B" w:rsidRDefault="00F5045B" w:rsidP="00F5045B">
      <w:pPr>
        <w:spacing w:before="0" w:line="240" w:lineRule="auto"/>
      </w:pPr>
      <w:r>
        <w:continuationSeparator/>
      </w:r>
    </w:p>
  </w:footnote>
  <w:footnote w:id="1">
    <w:p w:rsidR="00812DD1" w:rsidRDefault="00812DD1" w:rsidP="00D034B9">
      <w:pPr>
        <w:pStyle w:val="a3"/>
        <w:spacing w:line="240" w:lineRule="auto"/>
        <w:rPr>
          <w:rtl/>
        </w:rPr>
      </w:pPr>
      <w:r>
        <w:rPr>
          <w:rStyle w:val="a5"/>
        </w:rPr>
        <w:footnoteRef/>
      </w:r>
      <w:r>
        <w:rPr>
          <w:rtl/>
        </w:rPr>
        <w:t xml:space="preserve"> </w:t>
      </w:r>
      <w:r w:rsidRPr="00812DD1">
        <w:rPr>
          <w:rFonts w:cs="David" w:hint="cs"/>
          <w:rtl/>
        </w:rPr>
        <w:t>סעיפים 7ב(ז) ו-49א(ב) ו-(ג) לחוק</w:t>
      </w:r>
      <w:r>
        <w:rPr>
          <w:rFonts w:hint="cs"/>
          <w:rtl/>
        </w:rPr>
        <w:t>.</w:t>
      </w:r>
    </w:p>
  </w:footnote>
  <w:footnote w:id="2">
    <w:p w:rsidR="0012629B" w:rsidRDefault="0012629B" w:rsidP="001377EF">
      <w:pPr>
        <w:pStyle w:val="a3"/>
        <w:spacing w:line="240" w:lineRule="auto"/>
        <w:rPr>
          <w:rtl/>
        </w:rPr>
      </w:pPr>
      <w:r>
        <w:rPr>
          <w:rStyle w:val="a5"/>
        </w:rPr>
        <w:footnoteRef/>
      </w:r>
      <w:r>
        <w:rPr>
          <w:rFonts w:cs="David" w:hint="cs"/>
          <w:noProof/>
          <w:rtl/>
        </w:rPr>
        <w:t xml:space="preserve"> ת</w:t>
      </w:r>
      <w:r w:rsidRPr="0012629B">
        <w:rPr>
          <w:rFonts w:cs="David" w:hint="cs"/>
          <w:noProof/>
          <w:rtl/>
        </w:rPr>
        <w:t>קנ</w:t>
      </w:r>
      <w:r>
        <w:rPr>
          <w:rFonts w:cs="David" w:hint="cs"/>
          <w:noProof/>
          <w:rtl/>
        </w:rPr>
        <w:t>ה</w:t>
      </w:r>
      <w:r w:rsidRPr="0012629B">
        <w:rPr>
          <w:rFonts w:cs="David" w:hint="cs"/>
          <w:noProof/>
          <w:rtl/>
        </w:rPr>
        <w:t xml:space="preserve"> 4א(ב) </w:t>
      </w:r>
      <w:r w:rsidR="001377EF">
        <w:rPr>
          <w:rFonts w:cs="David" w:hint="cs"/>
          <w:noProof/>
          <w:rtl/>
        </w:rPr>
        <w:t xml:space="preserve">לתקנות </w:t>
      </w:r>
      <w:r>
        <w:rPr>
          <w:rFonts w:cs="David"/>
          <w:noProof/>
          <w:rtl/>
        </w:rPr>
        <w:t>–</w:t>
      </w:r>
      <w:r>
        <w:rPr>
          <w:rFonts w:cs="David" w:hint="cs"/>
          <w:noProof/>
          <w:rtl/>
        </w:rPr>
        <w:t xml:space="preserve"> </w:t>
      </w:r>
      <w:r w:rsidRPr="0012629B">
        <w:rPr>
          <w:rFonts w:cs="David" w:hint="cs"/>
          <w:noProof/>
          <w:rtl/>
        </w:rPr>
        <w:t>לעניין צווי עיקול</w:t>
      </w:r>
      <w:r w:rsidR="001377EF">
        <w:rPr>
          <w:rFonts w:cs="David" w:hint="cs"/>
          <w:noProof/>
          <w:rtl/>
        </w:rPr>
        <w:t>,</w:t>
      </w:r>
      <w:r>
        <w:rPr>
          <w:rFonts w:cs="David" w:hint="cs"/>
          <w:noProof/>
          <w:rtl/>
        </w:rPr>
        <w:t xml:space="preserve"> ותקנה</w:t>
      </w:r>
      <w:r w:rsidRPr="0012629B">
        <w:rPr>
          <w:rFonts w:cs="David" w:hint="cs"/>
          <w:noProof/>
          <w:rtl/>
        </w:rPr>
        <w:t xml:space="preserve"> 4א1(ב) </w:t>
      </w:r>
      <w:r w:rsidR="001377EF">
        <w:rPr>
          <w:rFonts w:cs="David" w:hint="cs"/>
          <w:noProof/>
          <w:rtl/>
        </w:rPr>
        <w:t xml:space="preserve">לתקנות </w:t>
      </w:r>
      <w:r>
        <w:rPr>
          <w:rFonts w:cs="David"/>
          <w:noProof/>
          <w:rtl/>
        </w:rPr>
        <w:t>–</w:t>
      </w:r>
      <w:r>
        <w:rPr>
          <w:rFonts w:cs="David" w:hint="cs"/>
          <w:noProof/>
          <w:rtl/>
        </w:rPr>
        <w:t xml:space="preserve"> </w:t>
      </w:r>
      <w:r w:rsidRPr="0012629B">
        <w:rPr>
          <w:rFonts w:cs="David" w:hint="cs"/>
          <w:noProof/>
          <w:rtl/>
        </w:rPr>
        <w:t>לעניין צווים לקבלת מידע</w:t>
      </w:r>
      <w:r>
        <w:rPr>
          <w:rFonts w:hint="cs"/>
          <w:rtl/>
        </w:rPr>
        <w:t>.</w:t>
      </w:r>
    </w:p>
  </w:footnote>
  <w:footnote w:id="3">
    <w:p w:rsidR="00E213BF" w:rsidRDefault="00E213BF" w:rsidP="00D034B9">
      <w:pPr>
        <w:pStyle w:val="a3"/>
        <w:spacing w:line="240" w:lineRule="auto"/>
        <w:rPr>
          <w:rtl/>
        </w:rPr>
      </w:pPr>
      <w:r>
        <w:rPr>
          <w:rStyle w:val="a5"/>
        </w:rPr>
        <w:footnoteRef/>
      </w:r>
      <w:r>
        <w:rPr>
          <w:rtl/>
        </w:rPr>
        <w:t xml:space="preserve"> </w:t>
      </w:r>
      <w:r w:rsidRPr="00E213BF">
        <w:rPr>
          <w:rFonts w:cs="David" w:hint="cs"/>
          <w:noProof/>
          <w:rtl/>
        </w:rPr>
        <w:t xml:space="preserve">תקנה 4א(ד) </w:t>
      </w:r>
      <w:r>
        <w:rPr>
          <w:rFonts w:cs="David" w:hint="cs"/>
          <w:noProof/>
          <w:rtl/>
        </w:rPr>
        <w:t xml:space="preserve">לתקנות </w:t>
      </w:r>
      <w:r w:rsidRPr="00E213BF">
        <w:rPr>
          <w:rFonts w:cs="David" w:hint="cs"/>
          <w:noProof/>
          <w:rtl/>
        </w:rPr>
        <w:t>ופרט (ב)(7) בתוספת</w:t>
      </w:r>
      <w:r>
        <w:rPr>
          <w:rFonts w:cs="David" w:hint="cs"/>
          <w:noProof/>
          <w:rtl/>
        </w:rPr>
        <w:t>.</w:t>
      </w:r>
    </w:p>
  </w:footnote>
  <w:footnote w:id="4">
    <w:p w:rsidR="00E213BF" w:rsidRPr="00D034B9" w:rsidRDefault="00E213BF" w:rsidP="00D034B9">
      <w:pPr>
        <w:pStyle w:val="a3"/>
        <w:spacing w:line="240" w:lineRule="auto"/>
        <w:rPr>
          <w:rFonts w:cs="David"/>
          <w:noProof/>
        </w:rPr>
      </w:pPr>
      <w:r>
        <w:rPr>
          <w:rStyle w:val="a5"/>
        </w:rPr>
        <w:footnoteRef/>
      </w:r>
      <w:r>
        <w:rPr>
          <w:rtl/>
        </w:rPr>
        <w:t xml:space="preserve"> </w:t>
      </w:r>
      <w:r w:rsidRPr="00E213BF">
        <w:rPr>
          <w:rFonts w:cs="David" w:hint="cs"/>
          <w:noProof/>
          <w:rtl/>
        </w:rPr>
        <w:t xml:space="preserve">תקנה 4א1(ד) </w:t>
      </w:r>
      <w:r>
        <w:rPr>
          <w:rFonts w:cs="David" w:hint="cs"/>
          <w:noProof/>
          <w:rtl/>
        </w:rPr>
        <w:t xml:space="preserve">לתקנות </w:t>
      </w:r>
      <w:r w:rsidRPr="00E213BF">
        <w:rPr>
          <w:rFonts w:cs="David" w:hint="cs"/>
          <w:noProof/>
          <w:rtl/>
        </w:rPr>
        <w:t>ופרטים (ז) ו-(ט) בתוספת</w:t>
      </w:r>
      <w:r>
        <w:rPr>
          <w:rFonts w:cs="David" w:hint="cs"/>
          <w:noProof/>
          <w:rtl/>
        </w:rPr>
        <w:t>.</w:t>
      </w:r>
      <w:r w:rsidR="008E3587" w:rsidRPr="00D034B9">
        <w:rPr>
          <w:rFonts w:cs="David" w:hint="cs"/>
          <w:noProof/>
          <w:rtl/>
        </w:rPr>
        <w:t xml:space="preserve"> בבקשה לקבלת מידע בדבר כתובתו של חייב מכל אחד מהגופים המפורטים בתוספת השלישית </w:t>
      </w:r>
      <w:r w:rsidR="008E3587" w:rsidRPr="00D034B9">
        <w:rPr>
          <w:rFonts w:cs="David"/>
          <w:noProof/>
          <w:rtl/>
        </w:rPr>
        <w:t>–</w:t>
      </w:r>
      <w:r w:rsidR="008E3587" w:rsidRPr="00D034B9">
        <w:rPr>
          <w:rFonts w:cs="David" w:hint="cs"/>
          <w:noProof/>
          <w:rtl/>
        </w:rPr>
        <w:t xml:space="preserve"> </w:t>
      </w:r>
      <w:r w:rsidR="00D034B9">
        <w:rPr>
          <w:rFonts w:cs="David" w:hint="cs"/>
          <w:noProof/>
          <w:rtl/>
        </w:rPr>
        <w:t>הסכום</w:t>
      </w:r>
      <w:r w:rsidR="008E3587" w:rsidRPr="00D034B9">
        <w:rPr>
          <w:rFonts w:cs="David" w:hint="cs"/>
          <w:noProof/>
          <w:rtl/>
        </w:rPr>
        <w:t xml:space="preserve"> הוא 2 ₪ (פרט (ט) בתוספת); בבקשת מידע אחרת: אם מדובר בגוף מתפעל, חברת כרטיסי אשראי, תאגיד בנקאי ומבטח </w:t>
      </w:r>
      <w:r w:rsidR="008E3587" w:rsidRPr="00D034B9">
        <w:rPr>
          <w:rFonts w:cs="David"/>
          <w:noProof/>
          <w:rtl/>
        </w:rPr>
        <w:t>–</w:t>
      </w:r>
      <w:r w:rsidR="008E3587" w:rsidRPr="00D034B9">
        <w:rPr>
          <w:rFonts w:cs="David" w:hint="cs"/>
          <w:noProof/>
          <w:rtl/>
        </w:rPr>
        <w:t xml:space="preserve"> </w:t>
      </w:r>
      <w:r w:rsidR="00D034B9">
        <w:rPr>
          <w:rFonts w:cs="David" w:hint="cs"/>
          <w:noProof/>
          <w:rtl/>
        </w:rPr>
        <w:t xml:space="preserve">הסכום </w:t>
      </w:r>
      <w:r w:rsidR="008E3587" w:rsidRPr="00D034B9">
        <w:rPr>
          <w:rFonts w:cs="David" w:hint="cs"/>
          <w:noProof/>
          <w:rtl/>
        </w:rPr>
        <w:t xml:space="preserve">הוא 5 ₪, אם מדובר בחברה מנהלת של קופת גמל </w:t>
      </w:r>
      <w:r w:rsidR="008E3587" w:rsidRPr="00D034B9">
        <w:rPr>
          <w:rFonts w:cs="David"/>
          <w:noProof/>
          <w:rtl/>
        </w:rPr>
        <w:t>–</w:t>
      </w:r>
      <w:r w:rsidR="008E3587" w:rsidRPr="00D034B9">
        <w:rPr>
          <w:rFonts w:cs="David" w:hint="cs"/>
          <w:noProof/>
          <w:rtl/>
        </w:rPr>
        <w:t xml:space="preserve"> </w:t>
      </w:r>
      <w:r w:rsidR="00D034B9">
        <w:rPr>
          <w:rFonts w:cs="David" w:hint="cs"/>
          <w:noProof/>
          <w:rtl/>
        </w:rPr>
        <w:t xml:space="preserve">הסכום </w:t>
      </w:r>
      <w:r w:rsidR="008E3587" w:rsidRPr="00D034B9">
        <w:rPr>
          <w:rFonts w:cs="David" w:hint="cs"/>
          <w:noProof/>
          <w:rtl/>
        </w:rPr>
        <w:t xml:space="preserve">הוא 3 ₪, ואם מדובר בצד שלישי מוכר אחר </w:t>
      </w:r>
      <w:r w:rsidR="008E3587" w:rsidRPr="00D034B9">
        <w:rPr>
          <w:rFonts w:cs="David"/>
          <w:noProof/>
          <w:rtl/>
        </w:rPr>
        <w:t>–</w:t>
      </w:r>
      <w:r w:rsidR="00D034B9">
        <w:rPr>
          <w:rFonts w:cs="David" w:hint="cs"/>
          <w:noProof/>
          <w:rtl/>
        </w:rPr>
        <w:t xml:space="preserve"> הסכום הוא</w:t>
      </w:r>
      <w:r w:rsidR="008E3587" w:rsidRPr="00D034B9">
        <w:rPr>
          <w:rFonts w:cs="David" w:hint="cs"/>
          <w:noProof/>
          <w:rtl/>
        </w:rPr>
        <w:t xml:space="preserve"> 4 ₪ (פרט (ז) בתוספת). </w:t>
      </w:r>
    </w:p>
  </w:footnote>
  <w:footnote w:id="5">
    <w:p w:rsidR="00CE39FC" w:rsidRDefault="00CE39FC">
      <w:pPr>
        <w:pStyle w:val="a3"/>
        <w:rPr>
          <w:rtl/>
        </w:rPr>
      </w:pPr>
      <w:r>
        <w:rPr>
          <w:rStyle w:val="a5"/>
        </w:rPr>
        <w:footnoteRef/>
      </w:r>
      <w:r>
        <w:rPr>
          <w:rtl/>
        </w:rPr>
        <w:t xml:space="preserve"> </w:t>
      </w:r>
      <w:r w:rsidRPr="00CE39FC">
        <w:rPr>
          <w:rFonts w:cs="David" w:hint="cs"/>
          <w:noProof/>
          <w:rtl/>
        </w:rPr>
        <w:t>במקור הסכום עמד על 7 ₪, אולם בעקבות שינויי מדד עודכן הסכום לסך של 9 ₪ הקבוע היום</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F2483"/>
    <w:multiLevelType w:val="hybridMultilevel"/>
    <w:tmpl w:val="9A4E37FA"/>
    <w:lvl w:ilvl="0" w:tplc="FEC68D64">
      <w:start w:val="5"/>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67FBE"/>
    <w:multiLevelType w:val="hybridMultilevel"/>
    <w:tmpl w:val="04AA3DFE"/>
    <w:lvl w:ilvl="0" w:tplc="57BAD294">
      <w:start w:val="3"/>
      <w:numFmt w:val="bullet"/>
      <w:lvlText w:val="-"/>
      <w:lvlJc w:val="left"/>
      <w:pPr>
        <w:ind w:left="720" w:hanging="360"/>
      </w:pPr>
      <w:rPr>
        <w:rFonts w:ascii="Hadasa Roso SL" w:eastAsia="MS Mincho" w:hAnsi="Hadasa Roso S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A5713"/>
    <w:multiLevelType w:val="hybridMultilevel"/>
    <w:tmpl w:val="92E62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74B7A"/>
    <w:multiLevelType w:val="hybridMultilevel"/>
    <w:tmpl w:val="B2F0129C"/>
    <w:lvl w:ilvl="0" w:tplc="509CF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78F"/>
    <w:rsid w:val="00012C08"/>
    <w:rsid w:val="0004699E"/>
    <w:rsid w:val="00077EB4"/>
    <w:rsid w:val="0009183D"/>
    <w:rsid w:val="000B4FC4"/>
    <w:rsid w:val="00103DFC"/>
    <w:rsid w:val="00117071"/>
    <w:rsid w:val="0012629B"/>
    <w:rsid w:val="001308BE"/>
    <w:rsid w:val="001377EF"/>
    <w:rsid w:val="001713F6"/>
    <w:rsid w:val="001B6A06"/>
    <w:rsid w:val="0021218F"/>
    <w:rsid w:val="0024133A"/>
    <w:rsid w:val="0025039C"/>
    <w:rsid w:val="00264539"/>
    <w:rsid w:val="002A77DF"/>
    <w:rsid w:val="002C4467"/>
    <w:rsid w:val="002E5AC0"/>
    <w:rsid w:val="004007C5"/>
    <w:rsid w:val="00415AA0"/>
    <w:rsid w:val="00460512"/>
    <w:rsid w:val="00496CC6"/>
    <w:rsid w:val="004A7C4C"/>
    <w:rsid w:val="004E32C2"/>
    <w:rsid w:val="004F2A12"/>
    <w:rsid w:val="004F793E"/>
    <w:rsid w:val="00500C0C"/>
    <w:rsid w:val="00530D10"/>
    <w:rsid w:val="00533151"/>
    <w:rsid w:val="00537CF6"/>
    <w:rsid w:val="0057593C"/>
    <w:rsid w:val="00590913"/>
    <w:rsid w:val="0059091C"/>
    <w:rsid w:val="005E07E3"/>
    <w:rsid w:val="005F46DB"/>
    <w:rsid w:val="00676CD5"/>
    <w:rsid w:val="0069478C"/>
    <w:rsid w:val="006A127D"/>
    <w:rsid w:val="006E7883"/>
    <w:rsid w:val="00737F8C"/>
    <w:rsid w:val="00770EA9"/>
    <w:rsid w:val="007D70A5"/>
    <w:rsid w:val="007F418E"/>
    <w:rsid w:val="00802CCE"/>
    <w:rsid w:val="00812DD1"/>
    <w:rsid w:val="008435BF"/>
    <w:rsid w:val="00856A37"/>
    <w:rsid w:val="00867D9E"/>
    <w:rsid w:val="0088375B"/>
    <w:rsid w:val="00884559"/>
    <w:rsid w:val="008B68A7"/>
    <w:rsid w:val="008E3587"/>
    <w:rsid w:val="008E5D1D"/>
    <w:rsid w:val="009008B2"/>
    <w:rsid w:val="00901EC7"/>
    <w:rsid w:val="0093258D"/>
    <w:rsid w:val="0096578F"/>
    <w:rsid w:val="00972824"/>
    <w:rsid w:val="009F4A2E"/>
    <w:rsid w:val="00A17AAA"/>
    <w:rsid w:val="00A33B2D"/>
    <w:rsid w:val="00A4067A"/>
    <w:rsid w:val="00A7142F"/>
    <w:rsid w:val="00A85469"/>
    <w:rsid w:val="00AE0050"/>
    <w:rsid w:val="00AF7AE1"/>
    <w:rsid w:val="00B263E1"/>
    <w:rsid w:val="00B33247"/>
    <w:rsid w:val="00B504CA"/>
    <w:rsid w:val="00B84FE7"/>
    <w:rsid w:val="00B9606C"/>
    <w:rsid w:val="00BA5A0B"/>
    <w:rsid w:val="00BB217A"/>
    <w:rsid w:val="00C21927"/>
    <w:rsid w:val="00C81FA1"/>
    <w:rsid w:val="00C91FD2"/>
    <w:rsid w:val="00CA1A2E"/>
    <w:rsid w:val="00CB5FAB"/>
    <w:rsid w:val="00CC2265"/>
    <w:rsid w:val="00CE39FC"/>
    <w:rsid w:val="00D034B9"/>
    <w:rsid w:val="00D06AC5"/>
    <w:rsid w:val="00D276EF"/>
    <w:rsid w:val="00D40AF3"/>
    <w:rsid w:val="00D9306B"/>
    <w:rsid w:val="00D97E24"/>
    <w:rsid w:val="00DA4A2E"/>
    <w:rsid w:val="00DB2B72"/>
    <w:rsid w:val="00DD7816"/>
    <w:rsid w:val="00DF322E"/>
    <w:rsid w:val="00E213BF"/>
    <w:rsid w:val="00E40887"/>
    <w:rsid w:val="00E7321B"/>
    <w:rsid w:val="00E92AFA"/>
    <w:rsid w:val="00EA6F06"/>
    <w:rsid w:val="00ED253C"/>
    <w:rsid w:val="00EE4BF7"/>
    <w:rsid w:val="00EF1FBE"/>
    <w:rsid w:val="00EF4D87"/>
    <w:rsid w:val="00F05155"/>
    <w:rsid w:val="00F346D0"/>
    <w:rsid w:val="00F5045B"/>
    <w:rsid w:val="00F80F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20E40-475E-4F2E-8407-F6E62A809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78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9"/>
    <w:qFormat/>
    <w:rsid w:val="00EF4D87"/>
    <w:pPr>
      <w:keepNext/>
      <w:widowControl/>
      <w:spacing w:line="360" w:lineRule="auto"/>
      <w:jc w:val="center"/>
      <w:outlineLvl w:val="0"/>
    </w:pPr>
    <w:rPr>
      <w:rFonts w:cs="David"/>
      <w:b/>
      <w:bCs/>
      <w:sz w:val="28"/>
      <w:szCs w:val="28"/>
      <w:u w:val="single"/>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link w:val="P000"/>
    <w:rsid w:val="00AE005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AE0050"/>
    <w:rPr>
      <w:rFonts w:ascii="Times New Roman" w:hAnsi="Times New Roman" w:cs="Times New Roman"/>
      <w:sz w:val="20"/>
      <w:szCs w:val="26"/>
    </w:rPr>
  </w:style>
  <w:style w:type="character" w:customStyle="1" w:styleId="big-number">
    <w:name w:val="big-number"/>
    <w:basedOn w:val="default"/>
    <w:rsid w:val="00AE0050"/>
    <w:rPr>
      <w:rFonts w:ascii="Times New Roman" w:hAnsi="Times New Roman" w:cs="Miriam"/>
      <w:sz w:val="20"/>
      <w:szCs w:val="32"/>
    </w:rPr>
  </w:style>
  <w:style w:type="character" w:styleId="Hyperlink">
    <w:name w:val="Hyperlink"/>
    <w:basedOn w:val="a0"/>
    <w:rsid w:val="00AE0050"/>
    <w:rPr>
      <w:color w:val="0000FF"/>
      <w:u w:val="single"/>
    </w:rPr>
  </w:style>
  <w:style w:type="paragraph" w:customStyle="1" w:styleId="P01">
    <w:name w:val="P01"/>
    <w:basedOn w:val="P00"/>
    <w:rsid w:val="00AE0050"/>
    <w:pPr>
      <w:ind w:right="624" w:hanging="624"/>
    </w:pPr>
  </w:style>
  <w:style w:type="paragraph" w:customStyle="1" w:styleId="P02">
    <w:name w:val="P02"/>
    <w:basedOn w:val="P00"/>
    <w:rsid w:val="00AE0050"/>
    <w:pPr>
      <w:ind w:right="1021" w:hanging="1021"/>
    </w:pPr>
  </w:style>
  <w:style w:type="paragraph" w:customStyle="1" w:styleId="medium2-header">
    <w:name w:val="medium2-header"/>
    <w:basedOn w:val="a"/>
    <w:rsid w:val="00AE0050"/>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FrankRuehl"/>
      <w:bCs/>
      <w:color w:val="auto"/>
      <w:spacing w:val="0"/>
      <w:sz w:val="24"/>
      <w:szCs w:val="24"/>
      <w:lang w:eastAsia="he-IL"/>
    </w:rPr>
  </w:style>
  <w:style w:type="paragraph" w:customStyle="1" w:styleId="P22">
    <w:name w:val="P22"/>
    <w:basedOn w:val="P00"/>
    <w:rsid w:val="00AE0050"/>
    <w:pPr>
      <w:tabs>
        <w:tab w:val="clear" w:pos="624"/>
        <w:tab w:val="clear" w:pos="1021"/>
      </w:tabs>
      <w:ind w:right="1021"/>
    </w:pPr>
  </w:style>
  <w:style w:type="paragraph" w:customStyle="1" w:styleId="sig-0">
    <w:name w:val="sig-0"/>
    <w:basedOn w:val="P00"/>
    <w:rsid w:val="00AE0050"/>
    <w:pPr>
      <w:tabs>
        <w:tab w:val="clear" w:pos="624"/>
        <w:tab w:val="clear" w:pos="1021"/>
        <w:tab w:val="clear" w:pos="1474"/>
        <w:tab w:val="clear" w:pos="1928"/>
        <w:tab w:val="clear" w:pos="2381"/>
        <w:tab w:val="clear" w:pos="2835"/>
        <w:tab w:val="clear" w:pos="6259"/>
        <w:tab w:val="center" w:pos="4820"/>
      </w:tabs>
    </w:pPr>
  </w:style>
  <w:style w:type="paragraph" w:customStyle="1" w:styleId="TableBlock">
    <w:name w:val="Table Block"/>
    <w:basedOn w:val="a"/>
    <w:rsid w:val="009008B2"/>
    <w:pPr>
      <w:keepLines/>
      <w:tabs>
        <w:tab w:val="left" w:pos="624"/>
        <w:tab w:val="left" w:pos="1247"/>
      </w:tabs>
      <w:snapToGrid w:val="0"/>
      <w:spacing w:before="0" w:line="360" w:lineRule="auto"/>
      <w:ind w:firstLine="0"/>
    </w:pPr>
    <w:rPr>
      <w:rFonts w:ascii="Arial" w:eastAsia="Arial Unicode MS" w:hAnsi="Arial" w:cs="David"/>
      <w:snapToGrid w:val="0"/>
      <w:spacing w:val="0"/>
      <w:sz w:val="20"/>
      <w:szCs w:val="26"/>
    </w:rPr>
  </w:style>
  <w:style w:type="paragraph" w:styleId="a3">
    <w:name w:val="footnote text"/>
    <w:basedOn w:val="a"/>
    <w:link w:val="a4"/>
    <w:semiHidden/>
    <w:rsid w:val="00F5045B"/>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4">
    <w:name w:val="טקסט הערת שוליים תו"/>
    <w:basedOn w:val="a0"/>
    <w:link w:val="a3"/>
    <w:semiHidden/>
    <w:rsid w:val="00F5045B"/>
    <w:rPr>
      <w:rFonts w:ascii="Times New Roman" w:eastAsia="Times New Roman" w:hAnsi="Times New Roman" w:cs="Times New Roman"/>
      <w:sz w:val="20"/>
      <w:szCs w:val="20"/>
      <w:lang w:eastAsia="he-IL"/>
    </w:rPr>
  </w:style>
  <w:style w:type="character" w:styleId="a5">
    <w:name w:val="footnote reference"/>
    <w:semiHidden/>
    <w:rsid w:val="00F5045B"/>
    <w:rPr>
      <w:rFonts w:ascii="Times New Roman" w:hAnsi="Times New Roman" w:cs="Times New Roman"/>
      <w:vertAlign w:val="superscript"/>
    </w:rPr>
  </w:style>
  <w:style w:type="character" w:customStyle="1" w:styleId="P000">
    <w:name w:val="P00 תו"/>
    <w:link w:val="P00"/>
    <w:rsid w:val="00F5045B"/>
    <w:rPr>
      <w:rFonts w:ascii="Times New Roman" w:eastAsia="Times New Roman" w:hAnsi="Times New Roman" w:cs="FrankRuehl"/>
      <w:noProof/>
      <w:sz w:val="20"/>
      <w:szCs w:val="26"/>
      <w:lang w:eastAsia="he-IL"/>
    </w:rPr>
  </w:style>
  <w:style w:type="paragraph" w:styleId="a6">
    <w:name w:val="List Paragraph"/>
    <w:basedOn w:val="a"/>
    <w:uiPriority w:val="34"/>
    <w:qFormat/>
    <w:rsid w:val="00F05155"/>
    <w:pPr>
      <w:ind w:left="720"/>
      <w:contextualSpacing/>
    </w:pPr>
  </w:style>
  <w:style w:type="character" w:customStyle="1" w:styleId="10">
    <w:name w:val="כותרת 1 תו"/>
    <w:basedOn w:val="a0"/>
    <w:link w:val="1"/>
    <w:uiPriority w:val="99"/>
    <w:rsid w:val="00EF4D87"/>
    <w:rPr>
      <w:rFonts w:ascii="Hadasa Roso SL" w:eastAsia="MS Mincho" w:hAnsi="Hadasa Roso SL" w:cs="David"/>
      <w:b/>
      <w:bCs/>
      <w:color w:val="000000"/>
      <w:spacing w:val="1"/>
      <w:sz w:val="28"/>
      <w:szCs w:val="28"/>
      <w:u w:val="single"/>
      <w:lang w:eastAsia="he-IL"/>
    </w:rPr>
  </w:style>
  <w:style w:type="paragraph" w:customStyle="1" w:styleId="TableText">
    <w:name w:val="Table Text"/>
    <w:basedOn w:val="a"/>
    <w:rsid w:val="0097282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72824"/>
  </w:style>
  <w:style w:type="paragraph" w:styleId="a7">
    <w:name w:val="header"/>
    <w:basedOn w:val="a"/>
    <w:link w:val="a8"/>
    <w:uiPriority w:val="99"/>
    <w:unhideWhenUsed/>
    <w:rsid w:val="00BA5A0B"/>
    <w:pPr>
      <w:tabs>
        <w:tab w:val="center" w:pos="4153"/>
        <w:tab w:val="right" w:pos="8306"/>
      </w:tabs>
      <w:spacing w:before="0" w:line="240" w:lineRule="auto"/>
    </w:pPr>
  </w:style>
  <w:style w:type="character" w:customStyle="1" w:styleId="a8">
    <w:name w:val="כותרת עליונה תו"/>
    <w:basedOn w:val="a0"/>
    <w:link w:val="a7"/>
    <w:uiPriority w:val="99"/>
    <w:rsid w:val="00BA5A0B"/>
    <w:rPr>
      <w:rFonts w:ascii="Hadasa Roso SL" w:eastAsia="MS Mincho" w:hAnsi="Hadasa Roso SL" w:cs="Hadasa Roso SL"/>
      <w:color w:val="000000"/>
      <w:spacing w:val="1"/>
      <w:sz w:val="17"/>
      <w:szCs w:val="17"/>
      <w:lang w:eastAsia="ja-JP"/>
    </w:rPr>
  </w:style>
  <w:style w:type="paragraph" w:styleId="a9">
    <w:name w:val="footer"/>
    <w:basedOn w:val="a"/>
    <w:link w:val="aa"/>
    <w:uiPriority w:val="99"/>
    <w:unhideWhenUsed/>
    <w:rsid w:val="00BA5A0B"/>
    <w:pPr>
      <w:tabs>
        <w:tab w:val="center" w:pos="4153"/>
        <w:tab w:val="right" w:pos="8306"/>
      </w:tabs>
      <w:spacing w:before="0" w:line="240" w:lineRule="auto"/>
    </w:pPr>
  </w:style>
  <w:style w:type="character" w:customStyle="1" w:styleId="aa">
    <w:name w:val="כותרת תחתונה תו"/>
    <w:basedOn w:val="a0"/>
    <w:link w:val="a9"/>
    <w:uiPriority w:val="99"/>
    <w:rsid w:val="00BA5A0B"/>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32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02734E-9C3D-4531-965D-5AF2BA9424E9}"/>
</file>

<file path=customXml/itemProps2.xml><?xml version="1.0" encoding="utf-8"?>
<ds:datastoreItem xmlns:ds="http://schemas.openxmlformats.org/officeDocument/2006/customXml" ds:itemID="{C374CE68-C741-4E06-94AB-127FD77D79BA}"/>
</file>

<file path=customXml/itemProps3.xml><?xml version="1.0" encoding="utf-8"?>
<ds:datastoreItem xmlns:ds="http://schemas.openxmlformats.org/officeDocument/2006/customXml" ds:itemID="{7E167A4E-EEA1-4DC9-84E9-C858987CB1DB}"/>
</file>

<file path=docProps/app.xml><?xml version="1.0" encoding="utf-8"?>
<Properties xmlns="http://schemas.openxmlformats.org/officeDocument/2006/extended-properties" xmlns:vt="http://schemas.openxmlformats.org/officeDocument/2006/docPropsVTypes">
  <Template>Normal</Template>
  <TotalTime>1281</TotalTime>
  <Pages>3</Pages>
  <Words>972</Words>
  <Characters>4865</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82</cp:revision>
  <dcterms:created xsi:type="dcterms:W3CDTF">2017-01-16T13:11:00Z</dcterms:created>
  <dcterms:modified xsi:type="dcterms:W3CDTF">2017-02-06T06:57:00Z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2013570</vt:r8>
  </property>
</Properties>
</file>