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35" w:rsidRDefault="00571D35" w:rsidP="00571D35">
      <w:pPr>
        <w:rPr>
          <w:rFonts w:ascii="Arial" w:hAnsi="Arial" w:cs="Arial" w:hint="cs"/>
          <w:color w:val="1F497D"/>
          <w:rtl/>
        </w:rPr>
      </w:pPr>
      <w:bookmarkStart w:id="0" w:name="_GoBack"/>
      <w:bookmarkEnd w:id="0"/>
    </w:p>
    <w:p w:rsidR="0096578F" w:rsidRDefault="0096578F" w:rsidP="0096578F">
      <w:pPr>
        <w:spacing w:before="0" w:line="240" w:lineRule="auto"/>
        <w:ind w:firstLine="0"/>
        <w:rPr>
          <w:rFonts w:cs="David"/>
          <w:sz w:val="24"/>
          <w:szCs w:val="24"/>
          <w:rtl/>
        </w:rPr>
      </w:pPr>
    </w:p>
    <w:p w:rsidR="0096578F" w:rsidRPr="00530D10" w:rsidRDefault="00530D10" w:rsidP="00530D10">
      <w:pPr>
        <w:spacing w:before="0" w:line="240" w:lineRule="auto"/>
        <w:ind w:firstLine="0"/>
        <w:jc w:val="center"/>
        <w:rPr>
          <w:rFonts w:cs="David"/>
          <w:b/>
          <w:bCs/>
          <w:sz w:val="26"/>
          <w:szCs w:val="28"/>
          <w:u w:val="single"/>
          <w:rtl/>
        </w:rPr>
      </w:pPr>
      <w:r w:rsidRPr="00530D10">
        <w:rPr>
          <w:rFonts w:cs="David" w:hint="cs"/>
          <w:b/>
          <w:bCs/>
          <w:sz w:val="26"/>
          <w:szCs w:val="28"/>
          <w:u w:val="single"/>
          <w:rtl/>
        </w:rPr>
        <w:t>תקנות ההוצאה לפועל (אגרות שכר והוצאות) (תיקון), התשע"ו-2016</w:t>
      </w:r>
    </w:p>
    <w:p w:rsidR="00530D10" w:rsidRDefault="00530D10" w:rsidP="0096578F">
      <w:pPr>
        <w:spacing w:before="0" w:line="240" w:lineRule="auto"/>
        <w:ind w:firstLine="0"/>
        <w:rPr>
          <w:rFonts w:cs="David"/>
          <w:sz w:val="24"/>
          <w:szCs w:val="24"/>
          <w:rtl/>
        </w:rPr>
      </w:pPr>
    </w:p>
    <w:p w:rsidR="009008B2" w:rsidRPr="00A7142F" w:rsidRDefault="00EF4D87" w:rsidP="00A7142F">
      <w:pPr>
        <w:spacing w:before="0" w:after="120" w:line="360" w:lineRule="auto"/>
        <w:ind w:firstLine="0"/>
        <w:rPr>
          <w:rFonts w:cs="David"/>
          <w:color w:val="auto"/>
          <w:sz w:val="24"/>
          <w:szCs w:val="24"/>
          <w:rtl/>
        </w:rPr>
      </w:pPr>
      <w:r w:rsidRPr="00A7142F">
        <w:rPr>
          <w:rFonts w:cs="David" w:hint="cs"/>
          <w:b/>
          <w:bCs/>
          <w:color w:val="auto"/>
          <w:sz w:val="24"/>
          <w:szCs w:val="24"/>
          <w:rtl/>
        </w:rPr>
        <w:t xml:space="preserve">(1) </w:t>
      </w:r>
      <w:r w:rsidR="0093258D" w:rsidRPr="00A7142F">
        <w:rPr>
          <w:rFonts w:cs="David" w:hint="cs"/>
          <w:b/>
          <w:bCs/>
          <w:color w:val="auto"/>
          <w:sz w:val="24"/>
          <w:szCs w:val="24"/>
          <w:rtl/>
        </w:rPr>
        <w:t>הערת ניסוח: תקנה 4א</w:t>
      </w:r>
      <w:r w:rsidRPr="00A7142F">
        <w:rPr>
          <w:rFonts w:cs="David" w:hint="cs"/>
          <w:b/>
          <w:bCs/>
          <w:color w:val="auto"/>
          <w:sz w:val="24"/>
          <w:szCs w:val="24"/>
          <w:rtl/>
        </w:rPr>
        <w:t>1</w:t>
      </w:r>
      <w:r w:rsidR="0093258D" w:rsidRPr="00A7142F">
        <w:rPr>
          <w:rFonts w:cs="David" w:hint="cs"/>
          <w:b/>
          <w:bCs/>
          <w:color w:val="auto"/>
          <w:sz w:val="24"/>
          <w:szCs w:val="24"/>
          <w:rtl/>
        </w:rPr>
        <w:t>(</w:t>
      </w:r>
      <w:r w:rsidRPr="00A7142F">
        <w:rPr>
          <w:rFonts w:cs="David" w:hint="cs"/>
          <w:b/>
          <w:bCs/>
          <w:color w:val="auto"/>
          <w:sz w:val="24"/>
          <w:szCs w:val="24"/>
          <w:rtl/>
        </w:rPr>
        <w:t>ה</w:t>
      </w:r>
      <w:r w:rsidR="0093258D" w:rsidRPr="00A7142F">
        <w:rPr>
          <w:rFonts w:cs="David" w:hint="cs"/>
          <w:b/>
          <w:bCs/>
          <w:color w:val="auto"/>
          <w:sz w:val="24"/>
          <w:szCs w:val="24"/>
          <w:rtl/>
        </w:rPr>
        <w:t xml:space="preserve">) </w:t>
      </w:r>
      <w:r w:rsidR="0093258D" w:rsidRPr="00A7142F">
        <w:rPr>
          <w:rFonts w:cs="David"/>
          <w:color w:val="auto"/>
          <w:sz w:val="24"/>
          <w:szCs w:val="24"/>
          <w:rtl/>
        </w:rPr>
        <w:t>–</w:t>
      </w:r>
      <w:r w:rsidR="0093258D" w:rsidRPr="00A7142F">
        <w:rPr>
          <w:rFonts w:cs="David" w:hint="cs"/>
          <w:color w:val="auto"/>
          <w:sz w:val="24"/>
          <w:szCs w:val="24"/>
          <w:rtl/>
        </w:rPr>
        <w:t xml:space="preserve"> </w:t>
      </w:r>
      <w:r w:rsidRPr="00A7142F">
        <w:rPr>
          <w:rFonts w:cs="David" w:hint="cs"/>
          <w:color w:val="auto"/>
          <w:sz w:val="24"/>
          <w:szCs w:val="24"/>
          <w:rtl/>
        </w:rPr>
        <w:t xml:space="preserve">מופיע הביטוי "לצד השלישי המוכר", ונוכח התיקונים המוצעים </w:t>
      </w:r>
      <w:r w:rsidR="0093258D" w:rsidRPr="00A7142F">
        <w:rPr>
          <w:rFonts w:cs="David" w:hint="cs"/>
          <w:color w:val="auto"/>
          <w:sz w:val="24"/>
          <w:szCs w:val="24"/>
          <w:rtl/>
        </w:rPr>
        <w:t xml:space="preserve">יש למחוק את </w:t>
      </w:r>
      <w:r w:rsidRPr="00A7142F">
        <w:rPr>
          <w:rFonts w:cs="David" w:hint="cs"/>
          <w:color w:val="auto"/>
          <w:sz w:val="24"/>
          <w:szCs w:val="24"/>
          <w:rtl/>
        </w:rPr>
        <w:t xml:space="preserve">המילה </w:t>
      </w:r>
      <w:r w:rsidR="0093258D" w:rsidRPr="00A7142F">
        <w:rPr>
          <w:rFonts w:cs="David" w:hint="cs"/>
          <w:color w:val="auto"/>
          <w:sz w:val="24"/>
          <w:szCs w:val="24"/>
          <w:rtl/>
        </w:rPr>
        <w:t>"המוכר".</w:t>
      </w:r>
      <w:r w:rsidR="007C319D">
        <w:rPr>
          <w:rFonts w:cs="David" w:hint="cs"/>
          <w:color w:val="auto"/>
          <w:sz w:val="24"/>
          <w:szCs w:val="24"/>
          <w:rtl/>
        </w:rPr>
        <w:t xml:space="preserve"> </w:t>
      </w:r>
      <w:r w:rsidR="007C319D" w:rsidRPr="007C319D">
        <w:rPr>
          <w:rFonts w:cs="David" w:hint="cs"/>
          <w:color w:val="auto"/>
          <w:sz w:val="24"/>
          <w:szCs w:val="24"/>
          <w:highlight w:val="yellow"/>
          <w:rtl/>
        </w:rPr>
        <w:t>מקובל.</w:t>
      </w:r>
    </w:p>
    <w:p w:rsidR="004F793E" w:rsidRPr="00A7142F" w:rsidRDefault="00EF4D87" w:rsidP="00E40887">
      <w:pPr>
        <w:spacing w:before="0" w:line="360" w:lineRule="auto"/>
        <w:ind w:firstLine="0"/>
        <w:rPr>
          <w:rFonts w:cs="David"/>
          <w:color w:val="auto"/>
          <w:sz w:val="24"/>
          <w:szCs w:val="24"/>
          <w:rtl/>
        </w:rPr>
      </w:pPr>
      <w:r w:rsidRPr="00A7142F">
        <w:rPr>
          <w:rFonts w:cs="David" w:hint="cs"/>
          <w:b/>
          <w:bCs/>
          <w:color w:val="auto"/>
          <w:sz w:val="24"/>
          <w:szCs w:val="24"/>
          <w:rtl/>
        </w:rPr>
        <w:t xml:space="preserve">(2) </w:t>
      </w:r>
      <w:r w:rsidR="004F793E" w:rsidRPr="00A7142F">
        <w:rPr>
          <w:rFonts w:cs="David" w:hint="cs"/>
          <w:b/>
          <w:bCs/>
          <w:color w:val="auto"/>
          <w:sz w:val="24"/>
          <w:szCs w:val="24"/>
          <w:rtl/>
        </w:rPr>
        <w:t>נתונים</w:t>
      </w:r>
      <w:r w:rsidRPr="00A7142F">
        <w:rPr>
          <w:rFonts w:cs="David" w:hint="cs"/>
          <w:b/>
          <w:bCs/>
          <w:color w:val="auto"/>
          <w:sz w:val="24"/>
          <w:szCs w:val="24"/>
          <w:rtl/>
        </w:rPr>
        <w:t xml:space="preserve"> </w:t>
      </w:r>
      <w:r w:rsidRPr="00A7142F">
        <w:rPr>
          <w:rFonts w:cs="David"/>
          <w:color w:val="auto"/>
          <w:sz w:val="24"/>
          <w:szCs w:val="24"/>
          <w:rtl/>
        </w:rPr>
        <w:t>–</w:t>
      </w:r>
      <w:r w:rsidRPr="00A7142F">
        <w:rPr>
          <w:rFonts w:cs="David" w:hint="cs"/>
          <w:color w:val="auto"/>
          <w:sz w:val="24"/>
          <w:szCs w:val="24"/>
          <w:rtl/>
        </w:rPr>
        <w:t xml:space="preserve"> מוצע לקבל מרשות האכיפה והגבייה את הנתונים הבאים:</w:t>
      </w:r>
    </w:p>
    <w:p w:rsidR="004007C5" w:rsidRPr="00A7142F" w:rsidRDefault="00F05155" w:rsidP="00A7142F">
      <w:pPr>
        <w:pStyle w:val="a6"/>
        <w:numPr>
          <w:ilvl w:val="0"/>
          <w:numId w:val="3"/>
        </w:numPr>
        <w:spacing w:before="0" w:after="120" w:line="360" w:lineRule="auto"/>
        <w:rPr>
          <w:rFonts w:cs="David"/>
          <w:color w:val="auto"/>
          <w:sz w:val="24"/>
          <w:szCs w:val="24"/>
        </w:rPr>
      </w:pPr>
      <w:r w:rsidRPr="00A7142F">
        <w:rPr>
          <w:rFonts w:cs="David" w:hint="cs"/>
          <w:color w:val="auto"/>
          <w:sz w:val="24"/>
          <w:szCs w:val="24"/>
          <w:rtl/>
        </w:rPr>
        <w:t xml:space="preserve">כמה צווי עיקול </w:t>
      </w:r>
      <w:r w:rsidR="008435BF" w:rsidRPr="00A7142F">
        <w:rPr>
          <w:rFonts w:cs="David" w:hint="cs"/>
          <w:color w:val="auto"/>
          <w:sz w:val="24"/>
          <w:szCs w:val="24"/>
          <w:rtl/>
        </w:rPr>
        <w:t xml:space="preserve">אצל צד ג' </w:t>
      </w:r>
      <w:r w:rsidR="00EF4D87" w:rsidRPr="00A7142F">
        <w:rPr>
          <w:rFonts w:cs="David" w:hint="cs"/>
          <w:color w:val="auto"/>
          <w:sz w:val="24"/>
          <w:szCs w:val="24"/>
          <w:rtl/>
        </w:rPr>
        <w:t xml:space="preserve">יש בכל שנה וכמה זה יחסוך באופן מצטבר לכלל החייבים? </w:t>
      </w:r>
    </w:p>
    <w:p w:rsidR="00EF4D87" w:rsidRPr="00A7142F" w:rsidRDefault="004F793E" w:rsidP="00A7142F">
      <w:pPr>
        <w:pStyle w:val="a6"/>
        <w:numPr>
          <w:ilvl w:val="0"/>
          <w:numId w:val="3"/>
        </w:numPr>
        <w:spacing w:before="0" w:after="120" w:line="360" w:lineRule="auto"/>
        <w:rPr>
          <w:rFonts w:cs="David"/>
          <w:color w:val="auto"/>
          <w:sz w:val="24"/>
          <w:szCs w:val="24"/>
        </w:rPr>
      </w:pPr>
      <w:r w:rsidRPr="00A7142F">
        <w:rPr>
          <w:rFonts w:cs="David" w:hint="cs"/>
          <w:color w:val="auto"/>
          <w:sz w:val="24"/>
          <w:szCs w:val="24"/>
          <w:rtl/>
        </w:rPr>
        <w:t xml:space="preserve">כמה בקשות מידע </w:t>
      </w:r>
      <w:r w:rsidR="008435BF" w:rsidRPr="00A7142F">
        <w:rPr>
          <w:rFonts w:cs="David" w:hint="cs"/>
          <w:color w:val="auto"/>
          <w:sz w:val="24"/>
          <w:szCs w:val="24"/>
          <w:rtl/>
        </w:rPr>
        <w:t xml:space="preserve">לפי סעיף 7ב </w:t>
      </w:r>
      <w:r w:rsidR="00EF4D87" w:rsidRPr="00A7142F">
        <w:rPr>
          <w:rFonts w:cs="David" w:hint="cs"/>
          <w:color w:val="auto"/>
          <w:sz w:val="24"/>
          <w:szCs w:val="24"/>
          <w:rtl/>
        </w:rPr>
        <w:t xml:space="preserve">יש בכל שנה? כמה בקשות מידע יש </w:t>
      </w:r>
      <w:r w:rsidRPr="00A7142F">
        <w:rPr>
          <w:rFonts w:cs="David" w:hint="cs"/>
          <w:color w:val="auto"/>
          <w:sz w:val="24"/>
          <w:szCs w:val="24"/>
          <w:rtl/>
        </w:rPr>
        <w:t xml:space="preserve">בממוצע </w:t>
      </w:r>
      <w:r w:rsidR="00EF4D87" w:rsidRPr="00A7142F">
        <w:rPr>
          <w:rFonts w:cs="David" w:hint="cs"/>
          <w:color w:val="auto"/>
          <w:sz w:val="24"/>
          <w:szCs w:val="24"/>
          <w:rtl/>
        </w:rPr>
        <w:t>ל</w:t>
      </w:r>
      <w:r w:rsidRPr="00A7142F">
        <w:rPr>
          <w:rFonts w:cs="David" w:hint="cs"/>
          <w:color w:val="auto"/>
          <w:sz w:val="24"/>
          <w:szCs w:val="24"/>
          <w:rtl/>
        </w:rPr>
        <w:t>תיק?</w:t>
      </w:r>
      <w:r w:rsidR="008435BF" w:rsidRPr="00A7142F">
        <w:rPr>
          <w:rFonts w:cs="David" w:hint="cs"/>
          <w:color w:val="auto"/>
          <w:sz w:val="24"/>
          <w:szCs w:val="24"/>
          <w:rtl/>
        </w:rPr>
        <w:t xml:space="preserve"> </w:t>
      </w:r>
    </w:p>
    <w:p w:rsidR="001308BE" w:rsidRDefault="004F793E" w:rsidP="00A7142F">
      <w:pPr>
        <w:pStyle w:val="a6"/>
        <w:numPr>
          <w:ilvl w:val="0"/>
          <w:numId w:val="3"/>
        </w:numPr>
        <w:spacing w:before="0" w:after="120" w:line="360" w:lineRule="auto"/>
        <w:rPr>
          <w:rFonts w:cs="David"/>
          <w:color w:val="auto"/>
          <w:sz w:val="24"/>
          <w:szCs w:val="24"/>
        </w:rPr>
      </w:pPr>
      <w:r w:rsidRPr="00A7142F">
        <w:rPr>
          <w:rFonts w:cs="David" w:hint="cs"/>
          <w:color w:val="auto"/>
          <w:sz w:val="24"/>
          <w:szCs w:val="24"/>
          <w:rtl/>
        </w:rPr>
        <w:t xml:space="preserve">בכמה אחוז מהמקרים יש נכסים / מידע אצל הצד השלישי ובכמה אחוז מהמקרים אין? </w:t>
      </w:r>
    </w:p>
    <w:p w:rsidR="007C319D" w:rsidRPr="007C319D" w:rsidRDefault="007C319D" w:rsidP="007C319D">
      <w:pPr>
        <w:spacing w:before="0" w:after="120" w:line="360" w:lineRule="auto"/>
        <w:ind w:left="360" w:firstLine="0"/>
        <w:rPr>
          <w:rFonts w:cs="David"/>
          <w:color w:val="auto"/>
          <w:sz w:val="24"/>
          <w:szCs w:val="24"/>
          <w:highlight w:val="yellow"/>
          <w:rtl/>
        </w:rPr>
      </w:pPr>
      <w:r w:rsidRPr="007C319D">
        <w:rPr>
          <w:rFonts w:cs="David" w:hint="cs"/>
          <w:color w:val="auto"/>
          <w:sz w:val="24"/>
          <w:szCs w:val="24"/>
          <w:highlight w:val="yellow"/>
          <w:rtl/>
        </w:rPr>
        <w:t>התשובות תינתנה לפי הנתונים הקיימים בדו"ח השנתי האחרון שפורסם</w:t>
      </w:r>
      <w:r w:rsidR="00B55E64">
        <w:rPr>
          <w:rFonts w:cs="David" w:hint="cs"/>
          <w:color w:val="auto"/>
          <w:sz w:val="24"/>
          <w:szCs w:val="24"/>
          <w:highlight w:val="yellow"/>
          <w:rtl/>
        </w:rPr>
        <w:t xml:space="preserve"> בתחילת 2016</w:t>
      </w:r>
      <w:r w:rsidRPr="007C319D">
        <w:rPr>
          <w:rFonts w:cs="David" w:hint="cs"/>
          <w:color w:val="auto"/>
          <w:sz w:val="24"/>
          <w:szCs w:val="24"/>
          <w:highlight w:val="yellow"/>
          <w:rtl/>
        </w:rPr>
        <w:t>. ביקשתי מגורמי המחשוב להוציא נתונים עדכניים.</w:t>
      </w:r>
    </w:p>
    <w:p w:rsidR="007C319D" w:rsidRPr="007C319D" w:rsidRDefault="007C319D" w:rsidP="007C319D">
      <w:pPr>
        <w:pStyle w:val="a6"/>
        <w:numPr>
          <w:ilvl w:val="0"/>
          <w:numId w:val="3"/>
        </w:numPr>
        <w:spacing w:before="0" w:after="120" w:line="360" w:lineRule="auto"/>
        <w:rPr>
          <w:rFonts w:cs="David"/>
          <w:color w:val="auto"/>
          <w:sz w:val="24"/>
          <w:szCs w:val="24"/>
          <w:highlight w:val="yellow"/>
        </w:rPr>
      </w:pPr>
      <w:r w:rsidRPr="007C319D">
        <w:rPr>
          <w:rFonts w:cs="David" w:hint="cs"/>
          <w:color w:val="auto"/>
          <w:sz w:val="24"/>
          <w:szCs w:val="24"/>
          <w:highlight w:val="yellow"/>
          <w:rtl/>
        </w:rPr>
        <w:t xml:space="preserve">כמה צווי עיקול אצל צד ג' יש בכל שנה וכמה זה יחסוך באופן מצטבר לכלל החייבים? </w:t>
      </w:r>
    </w:p>
    <w:p w:rsidR="007C319D" w:rsidRPr="007C319D" w:rsidRDefault="007C319D" w:rsidP="007C319D">
      <w:pPr>
        <w:pStyle w:val="a6"/>
        <w:spacing w:before="0" w:after="120" w:line="360" w:lineRule="auto"/>
        <w:ind w:firstLine="0"/>
        <w:rPr>
          <w:rFonts w:cs="David"/>
          <w:color w:val="auto"/>
          <w:sz w:val="24"/>
          <w:szCs w:val="24"/>
          <w:highlight w:val="yellow"/>
          <w:rtl/>
        </w:rPr>
      </w:pPr>
      <w:r w:rsidRPr="007C319D">
        <w:rPr>
          <w:rFonts w:cs="David" w:hint="cs"/>
          <w:color w:val="auto"/>
          <w:sz w:val="24"/>
          <w:szCs w:val="24"/>
          <w:highlight w:val="yellow"/>
          <w:rtl/>
        </w:rPr>
        <w:t xml:space="preserve">בשנת 2015 </w:t>
      </w:r>
      <w:r w:rsidRPr="007C319D">
        <w:rPr>
          <w:rFonts w:cs="David"/>
          <w:color w:val="auto"/>
          <w:sz w:val="24"/>
          <w:szCs w:val="24"/>
          <w:highlight w:val="yellow"/>
          <w:rtl/>
        </w:rPr>
        <w:t>–</w:t>
      </w:r>
      <w:r w:rsidRPr="007C319D">
        <w:rPr>
          <w:rFonts w:cs="David" w:hint="cs"/>
          <w:color w:val="auto"/>
          <w:sz w:val="24"/>
          <w:szCs w:val="24"/>
          <w:highlight w:val="yellow"/>
          <w:rtl/>
        </w:rPr>
        <w:t xml:space="preserve"> 27,77,247</w:t>
      </w:r>
      <w:r w:rsidR="00571D35">
        <w:rPr>
          <w:rFonts w:cs="David" w:hint="cs"/>
          <w:color w:val="auto"/>
          <w:sz w:val="24"/>
          <w:szCs w:val="24"/>
          <w:highlight w:val="yellow"/>
          <w:rtl/>
        </w:rPr>
        <w:t xml:space="preserve"> מתוכם בתשלום </w:t>
      </w:r>
      <w:r w:rsidR="00571D35" w:rsidRPr="00571D35">
        <w:rPr>
          <w:rFonts w:cs="David"/>
          <w:color w:val="auto"/>
          <w:sz w:val="24"/>
          <w:szCs w:val="24"/>
          <w:highlight w:val="yellow"/>
          <w:rtl/>
        </w:rPr>
        <w:t>4,526,528</w:t>
      </w:r>
    </w:p>
    <w:p w:rsidR="007C319D" w:rsidRPr="007C319D" w:rsidRDefault="007C319D" w:rsidP="007C319D">
      <w:pPr>
        <w:pStyle w:val="a6"/>
        <w:spacing w:before="0" w:after="120" w:line="360" w:lineRule="auto"/>
        <w:ind w:firstLine="0"/>
        <w:rPr>
          <w:rFonts w:cs="David"/>
          <w:color w:val="auto"/>
          <w:sz w:val="24"/>
          <w:szCs w:val="24"/>
          <w:highlight w:val="yellow"/>
          <w:rtl/>
        </w:rPr>
      </w:pPr>
      <w:r w:rsidRPr="007C319D">
        <w:rPr>
          <w:rFonts w:cs="David" w:hint="cs"/>
          <w:color w:val="auto"/>
          <w:sz w:val="24"/>
          <w:szCs w:val="24"/>
          <w:highlight w:val="yellow"/>
          <w:rtl/>
        </w:rPr>
        <w:t>בשנת 2014- 23,144,424</w:t>
      </w:r>
    </w:p>
    <w:p w:rsidR="007C319D" w:rsidRPr="007C319D" w:rsidRDefault="007C319D" w:rsidP="007C319D">
      <w:pPr>
        <w:pStyle w:val="a6"/>
        <w:spacing w:before="0" w:after="120" w:line="360" w:lineRule="auto"/>
        <w:ind w:firstLine="0"/>
        <w:rPr>
          <w:rFonts w:cs="David"/>
          <w:color w:val="auto"/>
          <w:sz w:val="24"/>
          <w:szCs w:val="24"/>
          <w:highlight w:val="yellow"/>
          <w:rtl/>
        </w:rPr>
      </w:pPr>
      <w:r w:rsidRPr="007C319D">
        <w:rPr>
          <w:rFonts w:cs="David" w:hint="cs"/>
          <w:color w:val="auto"/>
          <w:sz w:val="24"/>
          <w:szCs w:val="24"/>
          <w:highlight w:val="yellow"/>
          <w:rtl/>
        </w:rPr>
        <w:t>בשנת 2013- 35,631,395</w:t>
      </w:r>
    </w:p>
    <w:p w:rsidR="007C319D" w:rsidRPr="007C319D" w:rsidRDefault="007C319D" w:rsidP="007C319D">
      <w:pPr>
        <w:pStyle w:val="a6"/>
        <w:spacing w:before="0" w:after="120" w:line="360" w:lineRule="auto"/>
        <w:ind w:firstLine="0"/>
        <w:rPr>
          <w:rFonts w:cs="David"/>
          <w:color w:val="auto"/>
          <w:sz w:val="24"/>
          <w:szCs w:val="24"/>
          <w:highlight w:val="yellow"/>
          <w:rtl/>
        </w:rPr>
      </w:pPr>
      <w:r w:rsidRPr="007C319D">
        <w:rPr>
          <w:rFonts w:cs="David" w:hint="cs"/>
          <w:color w:val="auto"/>
          <w:sz w:val="24"/>
          <w:szCs w:val="24"/>
          <w:highlight w:val="yellow"/>
          <w:rtl/>
        </w:rPr>
        <w:t xml:space="preserve">בשנת 2012 </w:t>
      </w:r>
      <w:r w:rsidRPr="007C319D">
        <w:rPr>
          <w:rFonts w:cs="David"/>
          <w:color w:val="auto"/>
          <w:sz w:val="24"/>
          <w:szCs w:val="24"/>
          <w:highlight w:val="yellow"/>
          <w:rtl/>
        </w:rPr>
        <w:t>–</w:t>
      </w:r>
      <w:r w:rsidRPr="007C319D">
        <w:rPr>
          <w:rFonts w:cs="David" w:hint="cs"/>
          <w:color w:val="auto"/>
          <w:sz w:val="24"/>
          <w:szCs w:val="24"/>
          <w:highlight w:val="yellow"/>
          <w:rtl/>
        </w:rPr>
        <w:t xml:space="preserve"> 28,103,617</w:t>
      </w:r>
    </w:p>
    <w:p w:rsidR="007C319D" w:rsidRDefault="007C319D" w:rsidP="00571D35">
      <w:pPr>
        <w:pStyle w:val="a6"/>
        <w:spacing w:before="0" w:after="120" w:line="360" w:lineRule="auto"/>
        <w:ind w:firstLine="0"/>
        <w:rPr>
          <w:rFonts w:cs="David"/>
          <w:color w:val="auto"/>
          <w:sz w:val="24"/>
          <w:szCs w:val="24"/>
          <w:highlight w:val="yellow"/>
          <w:rtl/>
        </w:rPr>
      </w:pPr>
      <w:r w:rsidRPr="007C319D">
        <w:rPr>
          <w:rFonts w:cs="David" w:hint="cs"/>
          <w:color w:val="auto"/>
          <w:sz w:val="24"/>
          <w:szCs w:val="24"/>
          <w:highlight w:val="yellow"/>
          <w:rtl/>
        </w:rPr>
        <w:t xml:space="preserve">*אציין כי </w:t>
      </w:r>
      <w:r>
        <w:rPr>
          <w:rFonts w:cs="David" w:hint="cs"/>
          <w:color w:val="auto"/>
          <w:sz w:val="24"/>
          <w:szCs w:val="24"/>
          <w:highlight w:val="yellow"/>
          <w:rtl/>
        </w:rPr>
        <w:t xml:space="preserve">בדו"ח השנתי, אין </w:t>
      </w:r>
      <w:r w:rsidR="00571D35">
        <w:rPr>
          <w:rFonts w:cs="David" w:hint="cs"/>
          <w:color w:val="auto"/>
          <w:sz w:val="24"/>
          <w:szCs w:val="24"/>
          <w:highlight w:val="yellow"/>
          <w:rtl/>
        </w:rPr>
        <w:t>ה</w:t>
      </w:r>
      <w:r>
        <w:rPr>
          <w:rFonts w:cs="David" w:hint="cs"/>
          <w:color w:val="auto"/>
          <w:sz w:val="24"/>
          <w:szCs w:val="24"/>
          <w:highlight w:val="yellow"/>
          <w:rtl/>
        </w:rPr>
        <w:t>בחנה בין עיקולי צד ג' ממוחשבים (שיש בהם עלות) לבין כאלה שאינם ממוחשבים (ושאינם כרוכים בעלות) לבין כאלה שהם ממוחשבים ושלא הוכרו</w:t>
      </w:r>
      <w:r w:rsidR="00571D35">
        <w:rPr>
          <w:rFonts w:cs="David" w:hint="cs"/>
          <w:color w:val="auto"/>
          <w:sz w:val="24"/>
          <w:szCs w:val="24"/>
          <w:highlight w:val="yellow"/>
          <w:rtl/>
        </w:rPr>
        <w:t xml:space="preserve"> </w:t>
      </w:r>
      <w:r>
        <w:rPr>
          <w:rFonts w:cs="David" w:hint="cs"/>
          <w:color w:val="auto"/>
          <w:sz w:val="24"/>
          <w:szCs w:val="24"/>
          <w:highlight w:val="yellow"/>
          <w:rtl/>
        </w:rPr>
        <w:t>(ועל כן אינם כרוכים בעלות). על פי נתונים שבדקתי בעבר לשנת 2013, אחוז העיקולים בתשלום היה 15% מכלל העיקולים משום שזוכים רבים נקטו בהליך העיקול הממוחשב החינמי.</w:t>
      </w:r>
    </w:p>
    <w:p w:rsidR="007C319D" w:rsidRDefault="007C319D" w:rsidP="007C319D">
      <w:pPr>
        <w:pStyle w:val="a6"/>
        <w:spacing w:before="0" w:after="120" w:line="360" w:lineRule="auto"/>
        <w:ind w:firstLine="0"/>
        <w:rPr>
          <w:rFonts w:cs="David"/>
          <w:color w:val="auto"/>
          <w:sz w:val="24"/>
          <w:szCs w:val="24"/>
          <w:highlight w:val="yellow"/>
          <w:rtl/>
        </w:rPr>
      </w:pPr>
      <w:r>
        <w:rPr>
          <w:rFonts w:cs="David" w:hint="cs"/>
          <w:color w:val="auto"/>
          <w:sz w:val="24"/>
          <w:szCs w:val="24"/>
          <w:highlight w:val="yellow"/>
          <w:rtl/>
        </w:rPr>
        <w:t xml:space="preserve">לדוג' ביחס לגורם מסוים שבשנת 2015  היה מולו ממשק, אך הוא לא היה צד שלישי מוכר, היו 561,223 עיקולים, ובשנת 2016 לאחר שהפך למוכר הצטמצמו כמות העיקולים ל 49,386 עיקולים </w:t>
      </w:r>
      <w:r w:rsidRPr="00B55E64">
        <w:rPr>
          <w:rFonts w:cs="David" w:hint="cs"/>
          <w:b/>
          <w:bCs/>
          <w:color w:val="auto"/>
          <w:sz w:val="24"/>
          <w:szCs w:val="24"/>
          <w:highlight w:val="yellow"/>
          <w:u w:val="single"/>
          <w:rtl/>
        </w:rPr>
        <w:t>כלומר ירידה ב 92% בכמות העיקולים שנשלחו לגורם זה.</w:t>
      </w:r>
      <w:r w:rsidR="00B55E64">
        <w:rPr>
          <w:rFonts w:cs="David" w:hint="cs"/>
          <w:color w:val="auto"/>
          <w:sz w:val="24"/>
          <w:szCs w:val="24"/>
          <w:highlight w:val="yellow"/>
          <w:rtl/>
        </w:rPr>
        <w:t xml:space="preserve"> נציין כי ירידה של 90% בהיקף העיקולים  היא ירידה שנדגמה בשנת 2000 כאשר החלנו לגבות סכומים בגין עיקולים והיא הירידה הקבועה, כאשר גוף שאיתו יש ממשק, הופך להיות גוף מוכר.</w:t>
      </w:r>
    </w:p>
    <w:p w:rsidR="007C319D" w:rsidRPr="007C319D" w:rsidRDefault="007C319D" w:rsidP="007C319D">
      <w:pPr>
        <w:pStyle w:val="a6"/>
        <w:spacing w:before="0" w:after="120" w:line="360" w:lineRule="auto"/>
        <w:ind w:firstLine="0"/>
        <w:rPr>
          <w:rFonts w:cs="David"/>
          <w:color w:val="auto"/>
          <w:sz w:val="24"/>
          <w:szCs w:val="24"/>
          <w:highlight w:val="yellow"/>
        </w:rPr>
      </w:pPr>
      <w:r>
        <w:rPr>
          <w:rFonts w:cs="David" w:hint="cs"/>
          <w:color w:val="auto"/>
          <w:sz w:val="24"/>
          <w:szCs w:val="24"/>
          <w:highlight w:val="yellow"/>
          <w:rtl/>
        </w:rPr>
        <w:t>ההשערה, היא, שגופים מוסדיים מעקלים לפי תבנית ידועה מראש, לדוג' תחילה אצל 5 בנקים גדולים.  צפוי כי תבנית זו לא תשתנה, כך שהחיסכון הוא בגובה ההפרש בין הסכום הנוכחי (9 ₪) לבין הסכום שיאושר במכפלת הגורמים אצלם רגיל הזוכה להטיל עיקול.</w:t>
      </w:r>
    </w:p>
    <w:p w:rsidR="007C319D" w:rsidRDefault="007C319D" w:rsidP="007C319D">
      <w:pPr>
        <w:pStyle w:val="a6"/>
        <w:numPr>
          <w:ilvl w:val="0"/>
          <w:numId w:val="3"/>
        </w:numPr>
        <w:spacing w:before="0" w:after="120" w:line="360" w:lineRule="auto"/>
        <w:rPr>
          <w:rFonts w:cs="David"/>
          <w:color w:val="auto"/>
          <w:sz w:val="24"/>
          <w:szCs w:val="24"/>
          <w:highlight w:val="yellow"/>
        </w:rPr>
      </w:pPr>
      <w:r w:rsidRPr="007C319D">
        <w:rPr>
          <w:rFonts w:cs="David" w:hint="cs"/>
          <w:color w:val="auto"/>
          <w:sz w:val="24"/>
          <w:szCs w:val="24"/>
          <w:highlight w:val="yellow"/>
          <w:rtl/>
        </w:rPr>
        <w:t xml:space="preserve">כמה בקשות מידע לפי סעיף 7ב יש בכל שנה? כמה בקשות מידע יש בממוצע לתיק? </w:t>
      </w:r>
    </w:p>
    <w:p w:rsidR="00B55E64" w:rsidRDefault="00B55E64" w:rsidP="00B55E64">
      <w:pPr>
        <w:pStyle w:val="a6"/>
        <w:spacing w:before="0" w:after="120" w:line="360" w:lineRule="auto"/>
        <w:ind w:firstLine="0"/>
        <w:rPr>
          <w:rFonts w:cs="David"/>
          <w:color w:val="auto"/>
          <w:sz w:val="24"/>
          <w:szCs w:val="24"/>
          <w:highlight w:val="yellow"/>
          <w:rtl/>
        </w:rPr>
      </w:pPr>
      <w:r>
        <w:rPr>
          <w:rFonts w:cs="David" w:hint="cs"/>
          <w:color w:val="auto"/>
          <w:sz w:val="24"/>
          <w:szCs w:val="24"/>
          <w:highlight w:val="yellow"/>
          <w:rtl/>
        </w:rPr>
        <w:t>בשנת 2015 התקבלו 411,370 החלטות למסירת מידע ביחס ל 687,029 גופים. מצ"ב הדף הרלבנטי, מהדו"ח השנתי.</w:t>
      </w:r>
    </w:p>
    <w:p w:rsidR="00571D35" w:rsidRPr="00571D35" w:rsidRDefault="00571D35" w:rsidP="00571D35">
      <w:pPr>
        <w:ind w:left="340"/>
        <w:rPr>
          <w:rFonts w:cs="David"/>
          <w:color w:val="auto"/>
          <w:sz w:val="24"/>
          <w:szCs w:val="24"/>
          <w:highlight w:val="yellow"/>
          <w:rtl/>
        </w:rPr>
      </w:pPr>
      <w:r w:rsidRPr="00571D35">
        <w:rPr>
          <w:rFonts w:cs="David"/>
          <w:color w:val="auto"/>
          <w:sz w:val="24"/>
          <w:szCs w:val="24"/>
          <w:highlight w:val="yellow"/>
          <w:rtl/>
        </w:rPr>
        <w:t>צווי מידע (ללא כתובות וכניסות ויציאות)</w:t>
      </w:r>
    </w:p>
    <w:p w:rsidR="00571D35" w:rsidRPr="00571D35" w:rsidRDefault="00571D35" w:rsidP="00571D35">
      <w:pPr>
        <w:ind w:left="340"/>
        <w:rPr>
          <w:rFonts w:cs="David"/>
          <w:color w:val="auto"/>
          <w:sz w:val="24"/>
          <w:szCs w:val="24"/>
          <w:highlight w:val="yellow"/>
          <w:rtl/>
        </w:rPr>
      </w:pPr>
      <w:r w:rsidRPr="00571D35">
        <w:rPr>
          <w:rFonts w:cs="David"/>
          <w:color w:val="auto"/>
          <w:sz w:val="24"/>
          <w:szCs w:val="24"/>
          <w:highlight w:val="yellow"/>
          <w:rtl/>
        </w:rPr>
        <w:t>שנת 2015 572,729 צווים</w:t>
      </w:r>
    </w:p>
    <w:p w:rsidR="00571D35" w:rsidRPr="00571D35" w:rsidRDefault="00571D35" w:rsidP="00571D35">
      <w:pPr>
        <w:ind w:left="340"/>
        <w:rPr>
          <w:rFonts w:cs="David"/>
          <w:color w:val="auto"/>
          <w:sz w:val="24"/>
          <w:szCs w:val="24"/>
          <w:highlight w:val="yellow"/>
          <w:rtl/>
        </w:rPr>
      </w:pPr>
      <w:r w:rsidRPr="00571D35">
        <w:rPr>
          <w:rFonts w:cs="David"/>
          <w:color w:val="auto"/>
          <w:sz w:val="24"/>
          <w:szCs w:val="24"/>
          <w:highlight w:val="yellow"/>
          <w:rtl/>
        </w:rPr>
        <w:t>שנת 2016 589,891 צווים</w:t>
      </w:r>
    </w:p>
    <w:p w:rsidR="00571D35" w:rsidRPr="00571D35" w:rsidRDefault="00571D35" w:rsidP="00571D35">
      <w:pPr>
        <w:ind w:left="340"/>
        <w:rPr>
          <w:rFonts w:cs="David"/>
          <w:color w:val="auto"/>
          <w:sz w:val="24"/>
          <w:szCs w:val="24"/>
          <w:highlight w:val="yellow"/>
          <w:rtl/>
        </w:rPr>
      </w:pPr>
    </w:p>
    <w:p w:rsidR="00571D35" w:rsidRPr="00571D35" w:rsidRDefault="00571D35" w:rsidP="00571D35">
      <w:pPr>
        <w:ind w:left="340"/>
        <w:rPr>
          <w:rFonts w:cs="David"/>
          <w:color w:val="auto"/>
          <w:sz w:val="24"/>
          <w:szCs w:val="24"/>
          <w:highlight w:val="yellow"/>
        </w:rPr>
      </w:pPr>
      <w:r>
        <w:rPr>
          <w:rFonts w:cs="David" w:hint="cs"/>
          <w:color w:val="auto"/>
          <w:sz w:val="24"/>
          <w:szCs w:val="24"/>
          <w:highlight w:val="yellow"/>
          <w:rtl/>
        </w:rPr>
        <w:t xml:space="preserve">קשה להשיב על השאלה </w:t>
      </w:r>
      <w:r w:rsidRPr="00571D35">
        <w:rPr>
          <w:rFonts w:cs="David"/>
          <w:color w:val="auto"/>
          <w:sz w:val="24"/>
          <w:szCs w:val="24"/>
          <w:highlight w:val="yellow"/>
          <w:rtl/>
        </w:rPr>
        <w:t xml:space="preserve">כמה בקשות למידע יש בממוצע לתיק. </w:t>
      </w:r>
    </w:p>
    <w:p w:rsidR="00571D35" w:rsidRDefault="00571D35" w:rsidP="00571D35">
      <w:pPr>
        <w:rPr>
          <w:rFonts w:ascii="Arial" w:hAnsi="Arial" w:cs="Arial"/>
          <w:color w:val="1F497D"/>
        </w:rPr>
      </w:pPr>
    </w:p>
    <w:p w:rsidR="00571D35" w:rsidRPr="00571D35" w:rsidRDefault="00571D35" w:rsidP="00B55E64">
      <w:pPr>
        <w:pStyle w:val="a6"/>
        <w:spacing w:before="0" w:after="120" w:line="360" w:lineRule="auto"/>
        <w:ind w:firstLine="0"/>
        <w:rPr>
          <w:rFonts w:cs="David"/>
          <w:color w:val="auto"/>
          <w:sz w:val="24"/>
          <w:szCs w:val="24"/>
          <w:highlight w:val="yellow"/>
        </w:rPr>
      </w:pPr>
    </w:p>
    <w:p w:rsidR="007C319D" w:rsidRPr="007C319D" w:rsidRDefault="007C319D" w:rsidP="007C319D">
      <w:pPr>
        <w:pStyle w:val="a6"/>
        <w:numPr>
          <w:ilvl w:val="0"/>
          <w:numId w:val="3"/>
        </w:numPr>
        <w:spacing w:before="0" w:after="120" w:line="360" w:lineRule="auto"/>
        <w:rPr>
          <w:rFonts w:cs="David"/>
          <w:color w:val="auto"/>
          <w:sz w:val="24"/>
          <w:szCs w:val="24"/>
          <w:highlight w:val="yellow"/>
        </w:rPr>
      </w:pPr>
      <w:r w:rsidRPr="007C319D">
        <w:rPr>
          <w:rFonts w:cs="David" w:hint="cs"/>
          <w:color w:val="auto"/>
          <w:sz w:val="24"/>
          <w:szCs w:val="24"/>
          <w:highlight w:val="yellow"/>
          <w:rtl/>
        </w:rPr>
        <w:lastRenderedPageBreak/>
        <w:t xml:space="preserve">בכמה אחוז מהמקרים יש נכסים / מידע אצל הצד השלישי ובכמה אחוז מהמקרים אין? </w:t>
      </w:r>
    </w:p>
    <w:p w:rsidR="007C319D" w:rsidRDefault="00B55E64" w:rsidP="007C319D">
      <w:pPr>
        <w:spacing w:before="0" w:after="120" w:line="360" w:lineRule="auto"/>
        <w:ind w:left="360" w:firstLine="0"/>
        <w:rPr>
          <w:rFonts w:cs="David"/>
          <w:color w:val="auto"/>
          <w:sz w:val="24"/>
          <w:szCs w:val="24"/>
          <w:rtl/>
        </w:rPr>
      </w:pPr>
      <w:r w:rsidRPr="00B55E64">
        <w:rPr>
          <w:rFonts w:cs="David" w:hint="cs"/>
          <w:color w:val="auto"/>
          <w:sz w:val="24"/>
          <w:szCs w:val="24"/>
          <w:highlight w:val="yellow"/>
          <w:rtl/>
        </w:rPr>
        <w:t>אין אפשרות לפלח ממערכת המחשוב. התשובות הן במלל, ולא תמיד המלל הוא כזה המעיד על נכס.</w:t>
      </w:r>
    </w:p>
    <w:p w:rsidR="00571D35" w:rsidRPr="00571D35" w:rsidRDefault="00571D35" w:rsidP="00571D35">
      <w:pPr>
        <w:rPr>
          <w:rFonts w:cs="David"/>
          <w:color w:val="auto"/>
          <w:sz w:val="24"/>
          <w:szCs w:val="24"/>
          <w:highlight w:val="yellow"/>
          <w:rtl/>
        </w:rPr>
      </w:pPr>
      <w:r w:rsidRPr="00571D35">
        <w:rPr>
          <w:rFonts w:cs="David" w:hint="cs"/>
          <w:color w:val="auto"/>
          <w:sz w:val="24"/>
          <w:szCs w:val="24"/>
          <w:highlight w:val="yellow"/>
          <w:rtl/>
        </w:rPr>
        <w:t xml:space="preserve">בכל מקרה </w:t>
      </w:r>
      <w:r w:rsidRPr="00571D35">
        <w:rPr>
          <w:rFonts w:cs="David"/>
          <w:color w:val="auto"/>
          <w:sz w:val="24"/>
          <w:szCs w:val="24"/>
          <w:highlight w:val="yellow"/>
          <w:rtl/>
        </w:rPr>
        <w:t>אפשר לסנן סטטוס "קיים מידע" מהצווים הללו. יחד עם זאת, אין זה אומר שבהכרח נמצאו נכסים.</w:t>
      </w:r>
    </w:p>
    <w:p w:rsidR="00571D35" w:rsidRPr="00571D35" w:rsidRDefault="00571D35" w:rsidP="00571D35">
      <w:pPr>
        <w:rPr>
          <w:rFonts w:cs="David"/>
          <w:color w:val="auto"/>
          <w:sz w:val="24"/>
          <w:szCs w:val="24"/>
          <w:highlight w:val="yellow"/>
          <w:rtl/>
        </w:rPr>
      </w:pPr>
      <w:r w:rsidRPr="00571D35">
        <w:rPr>
          <w:rFonts w:cs="David"/>
          <w:color w:val="auto"/>
          <w:sz w:val="24"/>
          <w:szCs w:val="24"/>
          <w:highlight w:val="yellow"/>
          <w:rtl/>
        </w:rPr>
        <w:t xml:space="preserve">שנת 2015 255,847 </w:t>
      </w:r>
    </w:p>
    <w:p w:rsidR="00571D35" w:rsidRPr="00571D35" w:rsidRDefault="00571D35" w:rsidP="00571D35">
      <w:pPr>
        <w:rPr>
          <w:rFonts w:cs="David"/>
          <w:color w:val="auto"/>
          <w:sz w:val="24"/>
          <w:szCs w:val="24"/>
          <w:highlight w:val="yellow"/>
          <w:rtl/>
        </w:rPr>
      </w:pPr>
      <w:r w:rsidRPr="00571D35">
        <w:rPr>
          <w:rFonts w:cs="David"/>
          <w:color w:val="auto"/>
          <w:sz w:val="24"/>
          <w:szCs w:val="24"/>
          <w:highlight w:val="yellow"/>
          <w:rtl/>
        </w:rPr>
        <w:t xml:space="preserve">שנת 2016 253,503 </w:t>
      </w:r>
    </w:p>
    <w:p w:rsidR="00571D35" w:rsidRPr="007C319D" w:rsidRDefault="00571D35" w:rsidP="007C319D">
      <w:pPr>
        <w:spacing w:before="0" w:after="120" w:line="360" w:lineRule="auto"/>
        <w:ind w:left="360" w:firstLine="0"/>
        <w:rPr>
          <w:rFonts w:cs="David"/>
          <w:color w:val="auto"/>
          <w:sz w:val="24"/>
          <w:szCs w:val="24"/>
        </w:rPr>
      </w:pPr>
    </w:p>
    <w:p w:rsidR="00EF4D87" w:rsidRDefault="00EF4D87" w:rsidP="00A7142F">
      <w:pPr>
        <w:spacing w:before="0" w:after="120" w:line="360" w:lineRule="auto"/>
        <w:ind w:firstLine="0"/>
        <w:rPr>
          <w:rFonts w:cs="David"/>
          <w:color w:val="auto"/>
          <w:sz w:val="24"/>
          <w:szCs w:val="24"/>
          <w:rtl/>
        </w:rPr>
      </w:pPr>
      <w:r w:rsidRPr="00A7142F">
        <w:rPr>
          <w:rFonts w:cs="David" w:hint="cs"/>
          <w:b/>
          <w:bCs/>
          <w:color w:val="auto"/>
          <w:sz w:val="24"/>
          <w:szCs w:val="24"/>
          <w:rtl/>
        </w:rPr>
        <w:t xml:space="preserve">(3) תשלום דיפרנציאלי </w:t>
      </w:r>
      <w:r w:rsidRPr="00A7142F">
        <w:rPr>
          <w:rFonts w:cs="David"/>
          <w:b/>
          <w:bCs/>
          <w:color w:val="auto"/>
          <w:sz w:val="24"/>
          <w:szCs w:val="24"/>
          <w:rtl/>
        </w:rPr>
        <w:t>–</w:t>
      </w:r>
      <w:r w:rsidRPr="00A7142F">
        <w:rPr>
          <w:rFonts w:cs="David" w:hint="cs"/>
          <w:b/>
          <w:bCs/>
          <w:color w:val="auto"/>
          <w:sz w:val="24"/>
          <w:szCs w:val="24"/>
          <w:rtl/>
        </w:rPr>
        <w:t xml:space="preserve"> </w:t>
      </w:r>
      <w:r w:rsidRPr="00A7142F">
        <w:rPr>
          <w:rFonts w:cs="David" w:hint="cs"/>
          <w:color w:val="auto"/>
          <w:sz w:val="24"/>
          <w:szCs w:val="24"/>
          <w:rtl/>
        </w:rPr>
        <w:t xml:space="preserve">בתקנות המסים (גביה) (תשלום לצד שלישי שהומצא לו צו עיקול בדרך אלקטרונית), התשע"ה-2015 </w:t>
      </w:r>
      <w:r w:rsidR="00DF322E" w:rsidRPr="00A7142F">
        <w:rPr>
          <w:rFonts w:cs="David" w:hint="cs"/>
          <w:color w:val="auto"/>
          <w:sz w:val="24"/>
          <w:szCs w:val="24"/>
          <w:rtl/>
        </w:rPr>
        <w:t xml:space="preserve">(להלן </w:t>
      </w:r>
      <w:r w:rsidR="00DF322E" w:rsidRPr="00A7142F">
        <w:rPr>
          <w:rFonts w:cs="David"/>
          <w:color w:val="auto"/>
          <w:sz w:val="24"/>
          <w:szCs w:val="24"/>
          <w:rtl/>
        </w:rPr>
        <w:t>–</w:t>
      </w:r>
      <w:r w:rsidR="00DF322E" w:rsidRPr="00A7142F">
        <w:rPr>
          <w:rFonts w:cs="David" w:hint="cs"/>
          <w:color w:val="auto"/>
          <w:sz w:val="24"/>
          <w:szCs w:val="24"/>
          <w:rtl/>
        </w:rPr>
        <w:t xml:space="preserve"> תקנות המסים גביה) </w:t>
      </w:r>
      <w:r w:rsidRPr="00A7142F">
        <w:rPr>
          <w:rFonts w:cs="David" w:hint="cs"/>
          <w:color w:val="auto"/>
          <w:sz w:val="24"/>
          <w:szCs w:val="24"/>
          <w:rtl/>
        </w:rPr>
        <w:t xml:space="preserve">שנדונו לפני מספר חודשים בוועדה, הוצע לקבוע תשלום דיפרנציאלי </w:t>
      </w:r>
      <w:r w:rsidR="0088375B" w:rsidRPr="00A7142F">
        <w:rPr>
          <w:rFonts w:cs="David" w:hint="cs"/>
          <w:color w:val="auto"/>
          <w:sz w:val="24"/>
          <w:szCs w:val="24"/>
          <w:rtl/>
        </w:rPr>
        <w:t xml:space="preserve">לצד שלישי בגין טיפול בצו עיקול שהומצא בדרך אלקטרונית, </w:t>
      </w:r>
      <w:r w:rsidRPr="00A7142F">
        <w:rPr>
          <w:rFonts w:cs="David" w:hint="cs"/>
          <w:color w:val="auto"/>
          <w:sz w:val="24"/>
          <w:szCs w:val="24"/>
          <w:rtl/>
        </w:rPr>
        <w:t xml:space="preserve">כך שבמקרים </w:t>
      </w:r>
      <w:r w:rsidR="00972824" w:rsidRPr="00A7142F">
        <w:rPr>
          <w:rFonts w:cs="David" w:hint="cs"/>
          <w:color w:val="auto"/>
          <w:sz w:val="24"/>
          <w:szCs w:val="24"/>
          <w:rtl/>
        </w:rPr>
        <w:t xml:space="preserve">שבהם נמצאו נכסים ברי עיקול של החייב בידי הצד השלישי </w:t>
      </w:r>
      <w:r w:rsidR="00972824" w:rsidRPr="00A7142F">
        <w:rPr>
          <w:rFonts w:cs="David"/>
          <w:color w:val="auto"/>
          <w:sz w:val="24"/>
          <w:szCs w:val="24"/>
          <w:rtl/>
        </w:rPr>
        <w:t>–</w:t>
      </w:r>
      <w:r w:rsidR="00972824" w:rsidRPr="00A7142F">
        <w:rPr>
          <w:rFonts w:cs="David" w:hint="cs"/>
          <w:color w:val="auto"/>
          <w:sz w:val="24"/>
          <w:szCs w:val="24"/>
          <w:rtl/>
        </w:rPr>
        <w:t xml:space="preserve"> הוא יקבל תשלום של 19 ₪</w:t>
      </w:r>
      <w:r w:rsidR="0088375B" w:rsidRPr="00A7142F">
        <w:rPr>
          <w:rFonts w:cs="David" w:hint="cs"/>
          <w:color w:val="auto"/>
          <w:sz w:val="24"/>
          <w:szCs w:val="24"/>
          <w:rtl/>
        </w:rPr>
        <w:t>,</w:t>
      </w:r>
      <w:r w:rsidR="00972824" w:rsidRPr="00A7142F">
        <w:rPr>
          <w:rFonts w:cs="David" w:hint="cs"/>
          <w:color w:val="auto"/>
          <w:sz w:val="24"/>
          <w:szCs w:val="24"/>
          <w:rtl/>
        </w:rPr>
        <w:t xml:space="preserve"> ובמקרים שבהם לא נמצאו נכסים ברי עיקול של החייב בידי הצד השלישי </w:t>
      </w:r>
      <w:r w:rsidR="00972824" w:rsidRPr="00A7142F">
        <w:rPr>
          <w:rFonts w:cs="David"/>
          <w:color w:val="auto"/>
          <w:sz w:val="24"/>
          <w:szCs w:val="24"/>
          <w:rtl/>
        </w:rPr>
        <w:t>–</w:t>
      </w:r>
      <w:r w:rsidR="00972824" w:rsidRPr="00A7142F">
        <w:rPr>
          <w:rFonts w:cs="David" w:hint="cs"/>
          <w:color w:val="auto"/>
          <w:sz w:val="24"/>
          <w:szCs w:val="24"/>
          <w:rtl/>
        </w:rPr>
        <w:t xml:space="preserve"> הוא יקבל תשלום של 2 ₪. </w:t>
      </w:r>
      <w:r w:rsidR="004007C5" w:rsidRPr="00A7142F">
        <w:rPr>
          <w:rFonts w:cs="David" w:hint="cs"/>
          <w:color w:val="auto"/>
          <w:sz w:val="24"/>
          <w:szCs w:val="24"/>
          <w:rtl/>
        </w:rPr>
        <w:t xml:space="preserve">מדוע </w:t>
      </w:r>
      <w:r w:rsidR="00DF322E" w:rsidRPr="00A7142F">
        <w:rPr>
          <w:rFonts w:cs="David" w:hint="cs"/>
          <w:color w:val="auto"/>
          <w:sz w:val="24"/>
          <w:szCs w:val="24"/>
          <w:rtl/>
        </w:rPr>
        <w:t>בהקשר שלנו ההצעה היא לתשלום אחיד ולא דיפרנציאלי</w:t>
      </w:r>
      <w:r w:rsidR="0025039C" w:rsidRPr="00A7142F">
        <w:rPr>
          <w:rFonts w:cs="David" w:hint="cs"/>
          <w:color w:val="auto"/>
          <w:sz w:val="24"/>
          <w:szCs w:val="24"/>
          <w:rtl/>
        </w:rPr>
        <w:t>?</w:t>
      </w:r>
      <w:r w:rsidR="00DF322E" w:rsidRPr="00A7142F">
        <w:rPr>
          <w:rFonts w:cs="David" w:hint="cs"/>
          <w:color w:val="auto"/>
          <w:sz w:val="24"/>
          <w:szCs w:val="24"/>
          <w:rtl/>
        </w:rPr>
        <w:t xml:space="preserve"> לפי התחשיבים שנמסרו לוועדה בדיון בעניין תקנות המסים גביה </w:t>
      </w:r>
      <w:r w:rsidR="00D97E24" w:rsidRPr="00A7142F">
        <w:rPr>
          <w:rFonts w:cs="David" w:hint="cs"/>
          <w:color w:val="auto"/>
          <w:sz w:val="24"/>
          <w:szCs w:val="24"/>
          <w:rtl/>
        </w:rPr>
        <w:t xml:space="preserve">תשלום דיפרנציאלי </w:t>
      </w:r>
      <w:r w:rsidR="0025039C" w:rsidRPr="00A7142F">
        <w:rPr>
          <w:rFonts w:cs="David" w:hint="cs"/>
          <w:color w:val="auto"/>
          <w:sz w:val="24"/>
          <w:szCs w:val="24"/>
          <w:rtl/>
        </w:rPr>
        <w:t xml:space="preserve">גם </w:t>
      </w:r>
      <w:r w:rsidR="00D97E24" w:rsidRPr="00A7142F">
        <w:rPr>
          <w:rFonts w:cs="David" w:hint="cs"/>
          <w:color w:val="auto"/>
          <w:sz w:val="24"/>
          <w:szCs w:val="24"/>
          <w:rtl/>
        </w:rPr>
        <w:t>מדויק יותר מבחינת העלויות של הצדדים השלישיים, ו</w:t>
      </w:r>
      <w:r w:rsidR="0025039C" w:rsidRPr="00A7142F">
        <w:rPr>
          <w:rFonts w:cs="David" w:hint="cs"/>
          <w:color w:val="auto"/>
          <w:sz w:val="24"/>
          <w:szCs w:val="24"/>
          <w:rtl/>
        </w:rPr>
        <w:t xml:space="preserve">גם </w:t>
      </w:r>
      <w:r w:rsidR="00D97E24" w:rsidRPr="00A7142F">
        <w:rPr>
          <w:rFonts w:cs="David" w:hint="cs"/>
          <w:color w:val="auto"/>
          <w:sz w:val="24"/>
          <w:szCs w:val="24"/>
          <w:rtl/>
        </w:rPr>
        <w:t xml:space="preserve">יפחית </w:t>
      </w:r>
      <w:r w:rsidR="0025039C" w:rsidRPr="00A7142F">
        <w:rPr>
          <w:rFonts w:cs="David" w:hint="cs"/>
          <w:color w:val="auto"/>
          <w:sz w:val="24"/>
          <w:szCs w:val="24"/>
          <w:rtl/>
        </w:rPr>
        <w:t xml:space="preserve">באופן משמעותי יותר </w:t>
      </w:r>
      <w:r w:rsidR="00D97E24" w:rsidRPr="00A7142F">
        <w:rPr>
          <w:rFonts w:cs="David" w:hint="cs"/>
          <w:color w:val="auto"/>
          <w:sz w:val="24"/>
          <w:szCs w:val="24"/>
          <w:rtl/>
        </w:rPr>
        <w:t>את העל</w:t>
      </w:r>
      <w:r w:rsidR="0025039C" w:rsidRPr="00A7142F">
        <w:rPr>
          <w:rFonts w:cs="David" w:hint="cs"/>
          <w:color w:val="auto"/>
          <w:sz w:val="24"/>
          <w:szCs w:val="24"/>
          <w:rtl/>
        </w:rPr>
        <w:t>וי</w:t>
      </w:r>
      <w:r w:rsidR="00D97E24" w:rsidRPr="00A7142F">
        <w:rPr>
          <w:rFonts w:cs="David" w:hint="cs"/>
          <w:color w:val="auto"/>
          <w:sz w:val="24"/>
          <w:szCs w:val="24"/>
          <w:rtl/>
        </w:rPr>
        <w:t>ות לחייבים (</w:t>
      </w:r>
      <w:r w:rsidR="0025039C" w:rsidRPr="00A7142F">
        <w:rPr>
          <w:rFonts w:cs="David" w:hint="cs"/>
          <w:color w:val="auto"/>
          <w:sz w:val="24"/>
          <w:szCs w:val="24"/>
          <w:rtl/>
        </w:rPr>
        <w:t xml:space="preserve">זאת, </w:t>
      </w:r>
      <w:r w:rsidR="00D97E24" w:rsidRPr="00A7142F">
        <w:rPr>
          <w:rFonts w:cs="David" w:hint="cs"/>
          <w:color w:val="auto"/>
          <w:sz w:val="24"/>
          <w:szCs w:val="24"/>
          <w:rtl/>
        </w:rPr>
        <w:t>נוכח העובדה שבכ</w:t>
      </w:r>
      <w:r w:rsidR="004007C5" w:rsidRPr="00A7142F">
        <w:rPr>
          <w:rFonts w:cs="David" w:hint="cs"/>
          <w:color w:val="auto"/>
          <w:sz w:val="24"/>
          <w:szCs w:val="24"/>
          <w:rtl/>
        </w:rPr>
        <w:t>-87% מצווי העיקול לא נמצאים בידי הצד השלישי נכסים ברי עיקול</w:t>
      </w:r>
      <w:r w:rsidR="00D97E24" w:rsidRPr="00A7142F">
        <w:rPr>
          <w:rFonts w:cs="David" w:hint="cs"/>
          <w:color w:val="auto"/>
          <w:sz w:val="24"/>
          <w:szCs w:val="24"/>
          <w:rtl/>
        </w:rPr>
        <w:t>)</w:t>
      </w:r>
      <w:r w:rsidR="008B68A7" w:rsidRPr="00A7142F">
        <w:rPr>
          <w:rFonts w:cs="David" w:hint="cs"/>
          <w:color w:val="auto"/>
          <w:sz w:val="24"/>
          <w:szCs w:val="24"/>
          <w:rtl/>
        </w:rPr>
        <w:t>? האם התחשיבים באשר להוצאה לפועל הם שונים? האם יש שיקולים אחרים?</w:t>
      </w:r>
      <w:r w:rsidR="004007C5" w:rsidRPr="00A7142F">
        <w:rPr>
          <w:rFonts w:cs="David" w:hint="cs"/>
          <w:color w:val="auto"/>
          <w:sz w:val="24"/>
          <w:szCs w:val="24"/>
          <w:rtl/>
        </w:rPr>
        <w:t xml:space="preserve"> </w:t>
      </w:r>
    </w:p>
    <w:p w:rsidR="00B55E64" w:rsidRPr="00571D35" w:rsidRDefault="00B55E64" w:rsidP="00B55E64">
      <w:pPr>
        <w:spacing w:before="0" w:after="120" w:line="360" w:lineRule="auto"/>
        <w:ind w:firstLine="0"/>
        <w:rPr>
          <w:rFonts w:cs="David"/>
          <w:color w:val="auto"/>
          <w:sz w:val="24"/>
          <w:szCs w:val="24"/>
          <w:highlight w:val="yellow"/>
          <w:rtl/>
        </w:rPr>
      </w:pPr>
      <w:r w:rsidRPr="00571D35">
        <w:rPr>
          <w:rFonts w:cs="David" w:hint="cs"/>
          <w:color w:val="auto"/>
          <w:sz w:val="24"/>
          <w:szCs w:val="24"/>
          <w:highlight w:val="yellow"/>
          <w:rtl/>
        </w:rPr>
        <w:t xml:space="preserve">מאגר הנתונים שהיווה בסיס לחישובים הוא אחיד. </w:t>
      </w:r>
    </w:p>
    <w:p w:rsidR="00B55E64" w:rsidRPr="00571D35" w:rsidRDefault="00B55E64" w:rsidP="009E085E">
      <w:pPr>
        <w:spacing w:before="0" w:after="120" w:line="360" w:lineRule="auto"/>
        <w:ind w:firstLine="0"/>
        <w:rPr>
          <w:rFonts w:cs="David"/>
          <w:color w:val="auto"/>
          <w:sz w:val="24"/>
          <w:szCs w:val="24"/>
          <w:highlight w:val="yellow"/>
          <w:rtl/>
        </w:rPr>
      </w:pPr>
      <w:r w:rsidRPr="00571D35">
        <w:rPr>
          <w:rFonts w:cs="David" w:hint="cs"/>
          <w:color w:val="auto"/>
          <w:sz w:val="24"/>
          <w:szCs w:val="24"/>
          <w:highlight w:val="yellow"/>
          <w:rtl/>
        </w:rPr>
        <w:t>ביחס לגופי המדינה, ניתן לווסת את התשלום לפי תוצאה</w:t>
      </w:r>
      <w:r w:rsidR="009E085E" w:rsidRPr="00571D35">
        <w:rPr>
          <w:rFonts w:cs="David" w:hint="cs"/>
          <w:color w:val="auto"/>
          <w:sz w:val="24"/>
          <w:szCs w:val="24"/>
          <w:highlight w:val="yellow"/>
          <w:rtl/>
        </w:rPr>
        <w:t xml:space="preserve"> ובסוף התהליך</w:t>
      </w:r>
      <w:r w:rsidRPr="00571D35">
        <w:rPr>
          <w:rFonts w:cs="David" w:hint="cs"/>
          <w:color w:val="auto"/>
          <w:sz w:val="24"/>
          <w:szCs w:val="24"/>
          <w:highlight w:val="yellow"/>
          <w:rtl/>
        </w:rPr>
        <w:t xml:space="preserve">, כלומר התשלום על ידי גופי המדינה, או גופים שפועלים לפי פקודת המסים גביה </w:t>
      </w:r>
      <w:r w:rsidR="009E085E" w:rsidRPr="00571D35">
        <w:rPr>
          <w:rFonts w:cs="David" w:hint="cs"/>
          <w:color w:val="auto"/>
          <w:sz w:val="24"/>
          <w:szCs w:val="24"/>
          <w:highlight w:val="yellow"/>
          <w:rtl/>
        </w:rPr>
        <w:t>מ</w:t>
      </w:r>
      <w:r w:rsidRPr="00571D35">
        <w:rPr>
          <w:rFonts w:cs="David" w:hint="cs"/>
          <w:color w:val="auto"/>
          <w:sz w:val="24"/>
          <w:szCs w:val="24"/>
          <w:highlight w:val="yellow"/>
          <w:rtl/>
        </w:rPr>
        <w:t xml:space="preserve">תבצע בדיעבד, ועל כן אפשר להפיק דו"ח חודשי, </w:t>
      </w:r>
      <w:r w:rsidR="009E085E" w:rsidRPr="00571D35">
        <w:rPr>
          <w:rFonts w:cs="David" w:hint="cs"/>
          <w:color w:val="auto"/>
          <w:sz w:val="24"/>
          <w:szCs w:val="24"/>
          <w:highlight w:val="yellow"/>
          <w:rtl/>
        </w:rPr>
        <w:t xml:space="preserve"> בסופו של כל חודש, </w:t>
      </w:r>
      <w:r w:rsidRPr="00571D35">
        <w:rPr>
          <w:rFonts w:cs="David" w:hint="cs"/>
          <w:color w:val="auto"/>
          <w:sz w:val="24"/>
          <w:szCs w:val="24"/>
          <w:highlight w:val="yellow"/>
          <w:rtl/>
        </w:rPr>
        <w:t>לכמת את כמות העיקולים שהתשובה לגביהם שלילית/חיובית ולחשב את הסכום לתשלום.</w:t>
      </w:r>
    </w:p>
    <w:p w:rsidR="00B55E64" w:rsidRPr="00571D35" w:rsidRDefault="00B55E64" w:rsidP="00B55E64">
      <w:pPr>
        <w:spacing w:before="0" w:after="120" w:line="360" w:lineRule="auto"/>
        <w:ind w:firstLine="0"/>
        <w:rPr>
          <w:rFonts w:cs="David"/>
          <w:color w:val="auto"/>
          <w:sz w:val="24"/>
          <w:szCs w:val="24"/>
          <w:highlight w:val="yellow"/>
          <w:rtl/>
        </w:rPr>
      </w:pPr>
      <w:r w:rsidRPr="00571D35">
        <w:rPr>
          <w:rFonts w:cs="David" w:hint="cs"/>
          <w:color w:val="auto"/>
          <w:sz w:val="24"/>
          <w:szCs w:val="24"/>
          <w:highlight w:val="yellow"/>
          <w:rtl/>
        </w:rPr>
        <w:t>בהוצאה לפועל, התשלום נגבה מהזוכה מראש. מאחר ומדובר בזוכים שונים לרבות זוכים פרטיים או חברות שלא ניתן לדעת מהי איתנותן הפיננסית, התשלום צריך להיגזר מראש. לא ניתן בהוצאה לפועל לצפות כי הזוכה ישלם בדיעבד ואת התשלום לצדדי ג' צריך להעביר בכל מקרה</w:t>
      </w:r>
      <w:r w:rsidR="009E085E" w:rsidRPr="00571D35">
        <w:rPr>
          <w:rFonts w:cs="David" w:hint="cs"/>
          <w:color w:val="auto"/>
          <w:sz w:val="24"/>
          <w:szCs w:val="24"/>
          <w:highlight w:val="yellow"/>
          <w:rtl/>
        </w:rPr>
        <w:t xml:space="preserve"> וקיים סיכון כי אם התשלום לא יתקבל מראש, לא ניתן יהיה לגבותו בסופו של דבר מהזוכה</w:t>
      </w:r>
      <w:r w:rsidRPr="00571D35">
        <w:rPr>
          <w:rFonts w:cs="David" w:hint="cs"/>
          <w:color w:val="auto"/>
          <w:sz w:val="24"/>
          <w:szCs w:val="24"/>
          <w:highlight w:val="yellow"/>
          <w:rtl/>
        </w:rPr>
        <w:t>.</w:t>
      </w:r>
    </w:p>
    <w:p w:rsidR="009E085E" w:rsidRPr="00571D35" w:rsidRDefault="00571D35" w:rsidP="00571D35">
      <w:pPr>
        <w:spacing w:before="0" w:after="120" w:line="360" w:lineRule="auto"/>
        <w:ind w:firstLine="0"/>
        <w:rPr>
          <w:rFonts w:cs="David"/>
          <w:color w:val="auto"/>
          <w:sz w:val="24"/>
          <w:szCs w:val="24"/>
          <w:highlight w:val="yellow"/>
          <w:rtl/>
        </w:rPr>
      </w:pPr>
      <w:r w:rsidRPr="00571D35">
        <w:rPr>
          <w:rFonts w:cs="David" w:hint="cs"/>
          <w:color w:val="auto"/>
          <w:sz w:val="24"/>
          <w:szCs w:val="24"/>
          <w:highlight w:val="yellow"/>
          <w:rtl/>
        </w:rPr>
        <w:t>הסכום של 6 ₪ הוא שקלול למעשה של העלויות שמשקף למספר אחד (אחרי עיגול כלפי מעלה למספר שלם) את העלות הממשית של העיקולים.  (יובהר ע"פ התחשיב שערכה חברת תבור התחשיב הוא 5.2 אלא שיכולות להיות בתחשיב סטיות של 10% )</w:t>
      </w:r>
    </w:p>
    <w:p w:rsidR="004007C5" w:rsidRDefault="0009183D" w:rsidP="00A7142F">
      <w:pPr>
        <w:spacing w:before="0" w:after="120" w:line="360" w:lineRule="auto"/>
        <w:ind w:firstLine="0"/>
        <w:rPr>
          <w:rFonts w:cs="David"/>
          <w:color w:val="auto"/>
          <w:sz w:val="24"/>
          <w:szCs w:val="24"/>
          <w:rtl/>
        </w:rPr>
      </w:pPr>
      <w:r w:rsidRPr="00A7142F">
        <w:rPr>
          <w:rFonts w:cs="David" w:hint="cs"/>
          <w:b/>
          <w:bCs/>
          <w:color w:val="auto"/>
          <w:sz w:val="24"/>
          <w:szCs w:val="24"/>
          <w:rtl/>
        </w:rPr>
        <w:t>(4) תחשיבי עלויות לגבי מידע</w:t>
      </w:r>
      <w:r w:rsidRPr="00A7142F">
        <w:rPr>
          <w:rFonts w:cs="David" w:hint="cs"/>
          <w:color w:val="auto"/>
          <w:sz w:val="24"/>
          <w:szCs w:val="24"/>
          <w:rtl/>
        </w:rPr>
        <w:t xml:space="preserve"> </w:t>
      </w:r>
      <w:r w:rsidRPr="00A7142F">
        <w:rPr>
          <w:rFonts w:cs="David"/>
          <w:color w:val="auto"/>
          <w:sz w:val="24"/>
          <w:szCs w:val="24"/>
          <w:rtl/>
        </w:rPr>
        <w:t>–</w:t>
      </w:r>
      <w:r w:rsidRPr="00A7142F">
        <w:rPr>
          <w:rFonts w:cs="David" w:hint="cs"/>
          <w:color w:val="auto"/>
          <w:sz w:val="24"/>
          <w:szCs w:val="24"/>
          <w:rtl/>
        </w:rPr>
        <w:t xml:space="preserve"> </w:t>
      </w:r>
      <w:r w:rsidR="0025039C" w:rsidRPr="00A7142F">
        <w:rPr>
          <w:rFonts w:cs="David" w:hint="cs"/>
          <w:color w:val="auto"/>
          <w:sz w:val="24"/>
          <w:szCs w:val="24"/>
          <w:rtl/>
        </w:rPr>
        <w:t>האם נערכו תחשיבי</w:t>
      </w:r>
      <w:r w:rsidR="004A7C4C" w:rsidRPr="00A7142F">
        <w:rPr>
          <w:rFonts w:cs="David" w:hint="cs"/>
          <w:color w:val="auto"/>
          <w:sz w:val="24"/>
          <w:szCs w:val="24"/>
          <w:rtl/>
        </w:rPr>
        <w:t>ם חדשים של</w:t>
      </w:r>
      <w:r w:rsidR="0025039C" w:rsidRPr="00A7142F">
        <w:rPr>
          <w:rFonts w:cs="David" w:hint="cs"/>
          <w:color w:val="auto"/>
          <w:sz w:val="24"/>
          <w:szCs w:val="24"/>
          <w:rtl/>
        </w:rPr>
        <w:t xml:space="preserve"> עלויות גם לגבי תחום בקשות המידע? </w:t>
      </w:r>
      <w:r w:rsidR="004A7C4C" w:rsidRPr="00A7142F">
        <w:rPr>
          <w:rFonts w:cs="David" w:hint="cs"/>
          <w:color w:val="auto"/>
          <w:sz w:val="24"/>
          <w:szCs w:val="24"/>
          <w:rtl/>
        </w:rPr>
        <w:t>האם סכומים של 4 ₪ או 5 ₪ לבקשת מידע אכן משקפים את העלויות, שעה שלפי המוצע סכום של 6 ₪ משקף את העלויות של טיפול בצווי עיקול (</w:t>
      </w:r>
      <w:r w:rsidR="00CC2265" w:rsidRPr="00A7142F">
        <w:rPr>
          <w:rFonts w:cs="David" w:hint="cs"/>
          <w:color w:val="auto"/>
          <w:sz w:val="24"/>
          <w:szCs w:val="24"/>
          <w:rtl/>
        </w:rPr>
        <w:t xml:space="preserve">שסביר להניח שההשקעה הנדרשת לגביהן היא גדולה יותר)? </w:t>
      </w:r>
    </w:p>
    <w:p w:rsidR="009E085E" w:rsidRPr="00571D35" w:rsidRDefault="009E085E" w:rsidP="00571D35">
      <w:pPr>
        <w:spacing w:before="0" w:after="120" w:line="360" w:lineRule="auto"/>
        <w:ind w:firstLine="0"/>
        <w:rPr>
          <w:rFonts w:cs="David"/>
          <w:color w:val="auto"/>
          <w:sz w:val="24"/>
          <w:szCs w:val="24"/>
          <w:highlight w:val="yellow"/>
          <w:rtl/>
        </w:rPr>
      </w:pPr>
      <w:r w:rsidRPr="00571D35">
        <w:rPr>
          <w:rFonts w:cs="David" w:hint="cs"/>
          <w:color w:val="auto"/>
          <w:sz w:val="24"/>
          <w:szCs w:val="24"/>
          <w:highlight w:val="yellow"/>
          <w:rtl/>
        </w:rPr>
        <w:t>לא נעשה  בשלב זה, תחשיב מחודש ביחס לעלויות המידע, משום שהתחשיבים לגבי המידע נעשו בשנת 2009 בעוד התחשיבים</w:t>
      </w:r>
      <w:r w:rsidR="00571D35" w:rsidRPr="00571D35">
        <w:rPr>
          <w:rFonts w:cs="David" w:hint="cs"/>
          <w:color w:val="auto"/>
          <w:sz w:val="24"/>
          <w:szCs w:val="24"/>
          <w:highlight w:val="yellow"/>
          <w:rtl/>
        </w:rPr>
        <w:t xml:space="preserve"> הקודמים</w:t>
      </w:r>
      <w:r w:rsidRPr="00571D35">
        <w:rPr>
          <w:rFonts w:cs="David" w:hint="cs"/>
          <w:color w:val="auto"/>
          <w:sz w:val="24"/>
          <w:szCs w:val="24"/>
          <w:highlight w:val="yellow"/>
          <w:rtl/>
        </w:rPr>
        <w:t xml:space="preserve"> ביחס לעיקול הם </w:t>
      </w:r>
      <w:r w:rsidR="00571D35" w:rsidRPr="00571D35">
        <w:rPr>
          <w:rFonts w:cs="David" w:hint="cs"/>
          <w:color w:val="auto"/>
          <w:sz w:val="24"/>
          <w:szCs w:val="24"/>
          <w:highlight w:val="yellow"/>
          <w:rtl/>
        </w:rPr>
        <w:t>מסוף שנות ה- 90 ועל כן ראינו צורך בעריכתם מחדש</w:t>
      </w:r>
      <w:r w:rsidRPr="00571D35">
        <w:rPr>
          <w:rFonts w:cs="David" w:hint="cs"/>
          <w:color w:val="auto"/>
          <w:sz w:val="24"/>
          <w:szCs w:val="24"/>
          <w:highlight w:val="yellow"/>
          <w:rtl/>
        </w:rPr>
        <w:t>. גם היקף השימוש במידעים נמוך מהיקף השימוש בצווי העיקול.</w:t>
      </w:r>
    </w:p>
    <w:p w:rsidR="0004699E" w:rsidRPr="00A7142F" w:rsidRDefault="00737F8C" w:rsidP="00A7142F">
      <w:pPr>
        <w:spacing w:before="0" w:after="120" w:line="360" w:lineRule="auto"/>
        <w:ind w:firstLine="0"/>
        <w:rPr>
          <w:rFonts w:cs="David"/>
          <w:color w:val="auto"/>
          <w:sz w:val="24"/>
          <w:szCs w:val="24"/>
          <w:rtl/>
        </w:rPr>
      </w:pPr>
      <w:r w:rsidRPr="00A7142F">
        <w:rPr>
          <w:rFonts w:cs="David" w:hint="cs"/>
          <w:b/>
          <w:bCs/>
          <w:color w:val="auto"/>
          <w:sz w:val="24"/>
          <w:szCs w:val="24"/>
          <w:rtl/>
        </w:rPr>
        <w:lastRenderedPageBreak/>
        <w:t xml:space="preserve">(5) </w:t>
      </w:r>
      <w:r w:rsidR="00CB5FAB" w:rsidRPr="00A7142F">
        <w:rPr>
          <w:rFonts w:cs="David" w:hint="cs"/>
          <w:b/>
          <w:bCs/>
          <w:color w:val="auto"/>
          <w:sz w:val="24"/>
          <w:szCs w:val="24"/>
          <w:rtl/>
        </w:rPr>
        <w:t>אופן שליחת</w:t>
      </w:r>
      <w:r w:rsidR="006A127D" w:rsidRPr="00A7142F">
        <w:rPr>
          <w:rFonts w:cs="David" w:hint="cs"/>
          <w:b/>
          <w:bCs/>
          <w:color w:val="auto"/>
          <w:sz w:val="24"/>
          <w:szCs w:val="24"/>
          <w:rtl/>
        </w:rPr>
        <w:t xml:space="preserve"> צווי עיקול</w:t>
      </w:r>
      <w:r w:rsidR="00CB5FAB" w:rsidRPr="00A7142F">
        <w:rPr>
          <w:rFonts w:cs="David" w:hint="cs"/>
          <w:b/>
          <w:bCs/>
          <w:color w:val="auto"/>
          <w:sz w:val="24"/>
          <w:szCs w:val="24"/>
          <w:rtl/>
        </w:rPr>
        <w:t xml:space="preserve"> </w:t>
      </w:r>
      <w:r w:rsidR="006A127D" w:rsidRPr="00A7142F">
        <w:rPr>
          <w:rFonts w:cs="David" w:hint="cs"/>
          <w:b/>
          <w:bCs/>
          <w:color w:val="auto"/>
          <w:sz w:val="24"/>
          <w:szCs w:val="24"/>
          <w:rtl/>
        </w:rPr>
        <w:t xml:space="preserve">ובקשות מידע </w:t>
      </w:r>
      <w:r w:rsidR="006A127D" w:rsidRPr="00A7142F">
        <w:rPr>
          <w:rFonts w:cs="David"/>
          <w:color w:val="auto"/>
          <w:sz w:val="24"/>
          <w:szCs w:val="24"/>
          <w:rtl/>
        </w:rPr>
        <w:t>–</w:t>
      </w:r>
      <w:r w:rsidR="006A127D" w:rsidRPr="00A7142F">
        <w:rPr>
          <w:rFonts w:cs="David" w:hint="cs"/>
          <w:color w:val="auto"/>
          <w:sz w:val="24"/>
          <w:szCs w:val="24"/>
          <w:rtl/>
        </w:rPr>
        <w:t xml:space="preserve"> איך הדברים עובדים בפועל? לגבי צווי עיקול </w:t>
      </w:r>
      <w:r w:rsidR="006A127D" w:rsidRPr="00A7142F">
        <w:rPr>
          <w:rFonts w:cs="David"/>
          <w:color w:val="auto"/>
          <w:sz w:val="24"/>
          <w:szCs w:val="24"/>
          <w:rtl/>
        </w:rPr>
        <w:t>–</w:t>
      </w:r>
      <w:r w:rsidR="006A127D" w:rsidRPr="00A7142F">
        <w:rPr>
          <w:rFonts w:cs="David" w:hint="cs"/>
          <w:color w:val="auto"/>
          <w:sz w:val="24"/>
          <w:szCs w:val="24"/>
          <w:rtl/>
        </w:rPr>
        <w:t xml:space="preserve"> האם בכל תיק מערכת ההוצאה לפועל שולחת באופן אוטומטי צווי עיקול לכל הגופים הפיננסיים המוסדיים? </w:t>
      </w:r>
      <w:r w:rsidR="002A77DF" w:rsidRPr="00A7142F">
        <w:rPr>
          <w:rFonts w:cs="David" w:hint="cs"/>
          <w:color w:val="auto"/>
          <w:sz w:val="24"/>
          <w:szCs w:val="24"/>
          <w:rtl/>
        </w:rPr>
        <w:t xml:space="preserve">לגבי בקשות מידע </w:t>
      </w:r>
      <w:r w:rsidR="002A77DF" w:rsidRPr="00A7142F">
        <w:rPr>
          <w:rFonts w:cs="David"/>
          <w:color w:val="auto"/>
          <w:sz w:val="24"/>
          <w:szCs w:val="24"/>
          <w:rtl/>
        </w:rPr>
        <w:t>–</w:t>
      </w:r>
      <w:r w:rsidR="002A77DF" w:rsidRPr="00A7142F">
        <w:rPr>
          <w:rFonts w:cs="David" w:hint="cs"/>
          <w:color w:val="auto"/>
          <w:sz w:val="24"/>
          <w:szCs w:val="24"/>
          <w:rtl/>
        </w:rPr>
        <w:t xml:space="preserve"> כמה אחוזים מבקשות המידע הן של הזוכים וכמה ביוזמת הרשמים? האם שולחים בקשות מידע באופן אוטומטי למכלול הגופים המופיעים בתוספת, או שכל פעם מנסים לשלוח לגורם נוסף ואם המידע אינו מספק שולחים לגופים נוספים?</w:t>
      </w:r>
      <w:r w:rsidR="0004699E" w:rsidRPr="00A7142F">
        <w:rPr>
          <w:rFonts w:cs="David" w:hint="cs"/>
          <w:color w:val="auto"/>
          <w:sz w:val="24"/>
          <w:szCs w:val="24"/>
          <w:rtl/>
        </w:rPr>
        <w:t xml:space="preserve"> </w:t>
      </w:r>
    </w:p>
    <w:p w:rsidR="00737F8C" w:rsidRPr="00A7142F" w:rsidRDefault="009E085E" w:rsidP="00A7142F">
      <w:pPr>
        <w:spacing w:before="0" w:after="120" w:line="360" w:lineRule="auto"/>
        <w:ind w:firstLine="0"/>
        <w:rPr>
          <w:rFonts w:cs="David"/>
          <w:color w:val="auto"/>
          <w:sz w:val="24"/>
          <w:szCs w:val="24"/>
          <w:rtl/>
        </w:rPr>
      </w:pPr>
      <w:r w:rsidRPr="009E085E">
        <w:rPr>
          <w:rFonts w:cs="David" w:hint="cs"/>
          <w:color w:val="auto"/>
          <w:sz w:val="24"/>
          <w:szCs w:val="24"/>
          <w:highlight w:val="yellow"/>
          <w:rtl/>
        </w:rPr>
        <w:t>מרבית התיקים בהוצאה לפועל מנוהלים באמצעות עורכי דין מטעם הזוכים. אין שיטה אחידה אצל הזוכים הללו להטלת עיקולים. מרבית הזוכים המוסדיים (בנקים חברות תקשורת) פתחו שיטה, הדומה גם לנהוג במוסדות המדינה, לפיה מוטלים תחילה עיקולים אצל 5 בנקים גדולים, ככל שידוע מי המעסיק מוטל עיקול גם אצל המעסיק (על פי רוב, לא מדובר בעיקול שיש לצידו תשלום). גם בקשות המידע, הן בקשות שיוזמים הזוכים. כמעט ולא מתבקשים צווי מידע על ידי הרשמים, למעט בתיקים המועמדים למסלול הפטר, אז נותנים רשמי ההוצאה לפועל צווים לקבלת מידע, על מנת לבחון האם התיק מתאים להכנס למסלול הפטר. כשמדובר בתיקים מועמדים למסלול הפטר, ישנם רשימה מומלצת של גופים אליהם כדאי לפנות בבקשה לקבלת מידע, אם כי כל רשם לפי שיקול דעתו יכול לפנות לגופים נוספים.</w:t>
      </w:r>
    </w:p>
    <w:p w:rsidR="0004699E" w:rsidRPr="00A7142F" w:rsidRDefault="0004699E" w:rsidP="00A7142F">
      <w:pPr>
        <w:spacing w:before="0" w:after="120" w:line="240" w:lineRule="auto"/>
        <w:ind w:firstLine="0"/>
        <w:rPr>
          <w:rFonts w:cs="David"/>
          <w:color w:val="auto"/>
          <w:sz w:val="24"/>
          <w:szCs w:val="24"/>
          <w:rtl/>
        </w:rPr>
      </w:pPr>
    </w:p>
    <w:p w:rsidR="0096578F" w:rsidRPr="0093258D" w:rsidRDefault="0096578F" w:rsidP="0096578F">
      <w:pPr>
        <w:spacing w:before="0" w:line="240" w:lineRule="auto"/>
        <w:ind w:firstLine="0"/>
        <w:rPr>
          <w:rFonts w:cs="David"/>
          <w:color w:val="0070C0"/>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pPr>
    </w:p>
    <w:sectPr w:rsidR="0096578F" w:rsidSect="0021218F">
      <w:footerReference w:type="default" r:id="rId7"/>
      <w:pgSz w:w="11906" w:h="16838"/>
      <w:pgMar w:top="1247" w:right="1701" w:bottom="1247"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7C2" w:rsidRDefault="005477C2" w:rsidP="00F5045B">
      <w:pPr>
        <w:spacing w:before="0" w:line="240" w:lineRule="auto"/>
      </w:pPr>
      <w:r>
        <w:separator/>
      </w:r>
    </w:p>
  </w:endnote>
  <w:endnote w:type="continuationSeparator" w:id="0">
    <w:p w:rsidR="005477C2" w:rsidRDefault="005477C2" w:rsidP="00F5045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56396860"/>
      <w:docPartObj>
        <w:docPartGallery w:val="Page Numbers (Bottom of Page)"/>
        <w:docPartUnique/>
      </w:docPartObj>
    </w:sdtPr>
    <w:sdtEndPr/>
    <w:sdtContent>
      <w:p w:rsidR="00BA5A0B" w:rsidRDefault="00BA5A0B">
        <w:pPr>
          <w:pStyle w:val="a9"/>
          <w:jc w:val="center"/>
          <w:rPr>
            <w:rtl/>
            <w:cs/>
          </w:rPr>
        </w:pPr>
        <w:r w:rsidRPr="00BA5A0B">
          <w:rPr>
            <w:sz w:val="16"/>
            <w:szCs w:val="16"/>
          </w:rPr>
          <w:fldChar w:fldCharType="begin"/>
        </w:r>
        <w:r w:rsidRPr="00BA5A0B">
          <w:rPr>
            <w:sz w:val="16"/>
            <w:szCs w:val="16"/>
            <w:rtl/>
            <w:cs/>
          </w:rPr>
          <w:instrText>PAGE   \* MERGEFORMAT</w:instrText>
        </w:r>
        <w:r w:rsidRPr="00BA5A0B">
          <w:rPr>
            <w:sz w:val="16"/>
            <w:szCs w:val="16"/>
          </w:rPr>
          <w:fldChar w:fldCharType="separate"/>
        </w:r>
        <w:r w:rsidR="004A241C" w:rsidRPr="004A241C">
          <w:rPr>
            <w:noProof/>
            <w:sz w:val="16"/>
            <w:szCs w:val="16"/>
            <w:rtl/>
            <w:lang w:val="he-IL"/>
          </w:rPr>
          <w:t>1</w:t>
        </w:r>
        <w:r w:rsidRPr="00BA5A0B">
          <w:rPr>
            <w:sz w:val="16"/>
            <w:szCs w:val="16"/>
          </w:rPr>
          <w:fldChar w:fldCharType="end"/>
        </w:r>
      </w:p>
    </w:sdtContent>
  </w:sdt>
  <w:p w:rsidR="00BA5A0B" w:rsidRDefault="00BA5A0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7C2" w:rsidRDefault="005477C2" w:rsidP="00F5045B">
      <w:pPr>
        <w:spacing w:before="0" w:line="240" w:lineRule="auto"/>
      </w:pPr>
      <w:r>
        <w:separator/>
      </w:r>
    </w:p>
  </w:footnote>
  <w:footnote w:type="continuationSeparator" w:id="0">
    <w:p w:rsidR="005477C2" w:rsidRDefault="005477C2" w:rsidP="00F5045B">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F2483"/>
    <w:multiLevelType w:val="hybridMultilevel"/>
    <w:tmpl w:val="9A4E37FA"/>
    <w:lvl w:ilvl="0" w:tplc="FEC68D64">
      <w:start w:val="5"/>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67FBE"/>
    <w:multiLevelType w:val="hybridMultilevel"/>
    <w:tmpl w:val="04AA3DFE"/>
    <w:lvl w:ilvl="0" w:tplc="57BAD294">
      <w:start w:val="3"/>
      <w:numFmt w:val="bullet"/>
      <w:lvlText w:val="-"/>
      <w:lvlJc w:val="left"/>
      <w:pPr>
        <w:ind w:left="720" w:hanging="360"/>
      </w:pPr>
      <w:rPr>
        <w:rFonts w:ascii="Hadasa Roso SL" w:eastAsia="MS Mincho" w:hAnsi="Hadasa Roso S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AA5713"/>
    <w:multiLevelType w:val="hybridMultilevel"/>
    <w:tmpl w:val="92E62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C74B7A"/>
    <w:multiLevelType w:val="hybridMultilevel"/>
    <w:tmpl w:val="B2F0129C"/>
    <w:lvl w:ilvl="0" w:tplc="509CFF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78F"/>
    <w:rsid w:val="00012C08"/>
    <w:rsid w:val="0004699E"/>
    <w:rsid w:val="00077EB4"/>
    <w:rsid w:val="0009183D"/>
    <w:rsid w:val="000B4FC4"/>
    <w:rsid w:val="00103DFC"/>
    <w:rsid w:val="00117071"/>
    <w:rsid w:val="0012629B"/>
    <w:rsid w:val="001308BE"/>
    <w:rsid w:val="001377EF"/>
    <w:rsid w:val="001713F6"/>
    <w:rsid w:val="001B6A06"/>
    <w:rsid w:val="001E1991"/>
    <w:rsid w:val="0021218F"/>
    <w:rsid w:val="0024133A"/>
    <w:rsid w:val="0025039C"/>
    <w:rsid w:val="00264539"/>
    <w:rsid w:val="002A77DF"/>
    <w:rsid w:val="002C4467"/>
    <w:rsid w:val="002E5AC0"/>
    <w:rsid w:val="004007C5"/>
    <w:rsid w:val="00415AA0"/>
    <w:rsid w:val="00460512"/>
    <w:rsid w:val="00496CC6"/>
    <w:rsid w:val="004A241C"/>
    <w:rsid w:val="004A7C4C"/>
    <w:rsid w:val="004E32C2"/>
    <w:rsid w:val="004F2A12"/>
    <w:rsid w:val="004F793E"/>
    <w:rsid w:val="00500C0C"/>
    <w:rsid w:val="00530D10"/>
    <w:rsid w:val="00533151"/>
    <w:rsid w:val="00537CF6"/>
    <w:rsid w:val="005477C2"/>
    <w:rsid w:val="00571D35"/>
    <w:rsid w:val="0057593C"/>
    <w:rsid w:val="00590913"/>
    <w:rsid w:val="0059091C"/>
    <w:rsid w:val="005E07E3"/>
    <w:rsid w:val="00676CD5"/>
    <w:rsid w:val="0069478C"/>
    <w:rsid w:val="006A127D"/>
    <w:rsid w:val="006E7883"/>
    <w:rsid w:val="00737F8C"/>
    <w:rsid w:val="00770EA9"/>
    <w:rsid w:val="007C319D"/>
    <w:rsid w:val="007D70A5"/>
    <w:rsid w:val="007F418E"/>
    <w:rsid w:val="00802CCE"/>
    <w:rsid w:val="00812DD1"/>
    <w:rsid w:val="008435BF"/>
    <w:rsid w:val="00856A37"/>
    <w:rsid w:val="00867D9E"/>
    <w:rsid w:val="0088375B"/>
    <w:rsid w:val="00884559"/>
    <w:rsid w:val="008B68A7"/>
    <w:rsid w:val="008E3587"/>
    <w:rsid w:val="008E5D1D"/>
    <w:rsid w:val="009008B2"/>
    <w:rsid w:val="00901EC7"/>
    <w:rsid w:val="0093258D"/>
    <w:rsid w:val="00940471"/>
    <w:rsid w:val="0096578F"/>
    <w:rsid w:val="00972824"/>
    <w:rsid w:val="009E085E"/>
    <w:rsid w:val="009F4A2E"/>
    <w:rsid w:val="00A17AAA"/>
    <w:rsid w:val="00A33B2D"/>
    <w:rsid w:val="00A4067A"/>
    <w:rsid w:val="00A7142F"/>
    <w:rsid w:val="00A85469"/>
    <w:rsid w:val="00AE0050"/>
    <w:rsid w:val="00AF7AE1"/>
    <w:rsid w:val="00B263E1"/>
    <w:rsid w:val="00B33247"/>
    <w:rsid w:val="00B504CA"/>
    <w:rsid w:val="00B55E64"/>
    <w:rsid w:val="00B75A0D"/>
    <w:rsid w:val="00B84FE7"/>
    <w:rsid w:val="00B9606C"/>
    <w:rsid w:val="00BA5A0B"/>
    <w:rsid w:val="00BB217A"/>
    <w:rsid w:val="00C21927"/>
    <w:rsid w:val="00C81FA1"/>
    <w:rsid w:val="00C91FD2"/>
    <w:rsid w:val="00CA1A2E"/>
    <w:rsid w:val="00CB5FAB"/>
    <w:rsid w:val="00CC2265"/>
    <w:rsid w:val="00CE39FC"/>
    <w:rsid w:val="00D034B9"/>
    <w:rsid w:val="00D06AC5"/>
    <w:rsid w:val="00D276EF"/>
    <w:rsid w:val="00D40AF3"/>
    <w:rsid w:val="00D9306B"/>
    <w:rsid w:val="00D97E24"/>
    <w:rsid w:val="00DA4A2E"/>
    <w:rsid w:val="00DB2B72"/>
    <w:rsid w:val="00DD7816"/>
    <w:rsid w:val="00DF322E"/>
    <w:rsid w:val="00E213BF"/>
    <w:rsid w:val="00E40887"/>
    <w:rsid w:val="00E7321B"/>
    <w:rsid w:val="00E92AFA"/>
    <w:rsid w:val="00EA6F06"/>
    <w:rsid w:val="00ED253C"/>
    <w:rsid w:val="00EE4BF7"/>
    <w:rsid w:val="00EF1FBE"/>
    <w:rsid w:val="00EF4D87"/>
    <w:rsid w:val="00F05155"/>
    <w:rsid w:val="00F346D0"/>
    <w:rsid w:val="00F5045B"/>
    <w:rsid w:val="00F80F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720E40-475E-4F2E-8407-F6E62A809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78F"/>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uiPriority w:val="99"/>
    <w:qFormat/>
    <w:rsid w:val="00EF4D87"/>
    <w:pPr>
      <w:keepNext/>
      <w:widowControl/>
      <w:spacing w:line="360" w:lineRule="auto"/>
      <w:jc w:val="center"/>
      <w:outlineLvl w:val="0"/>
    </w:pPr>
    <w:rPr>
      <w:rFonts w:cs="David"/>
      <w:b/>
      <w:bCs/>
      <w:sz w:val="28"/>
      <w:szCs w:val="28"/>
      <w:u w:val="single"/>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link w:val="P000"/>
    <w:rsid w:val="00AE005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basedOn w:val="a0"/>
    <w:rsid w:val="00AE0050"/>
    <w:rPr>
      <w:rFonts w:ascii="Times New Roman" w:hAnsi="Times New Roman" w:cs="Times New Roman"/>
      <w:sz w:val="20"/>
      <w:szCs w:val="26"/>
    </w:rPr>
  </w:style>
  <w:style w:type="character" w:customStyle="1" w:styleId="big-number">
    <w:name w:val="big-number"/>
    <w:basedOn w:val="default"/>
    <w:rsid w:val="00AE0050"/>
    <w:rPr>
      <w:rFonts w:ascii="Times New Roman" w:hAnsi="Times New Roman" w:cs="Miriam"/>
      <w:sz w:val="20"/>
      <w:szCs w:val="32"/>
    </w:rPr>
  </w:style>
  <w:style w:type="character" w:styleId="Hyperlink">
    <w:name w:val="Hyperlink"/>
    <w:basedOn w:val="a0"/>
    <w:rsid w:val="00AE0050"/>
    <w:rPr>
      <w:color w:val="0000FF"/>
      <w:u w:val="single"/>
    </w:rPr>
  </w:style>
  <w:style w:type="paragraph" w:customStyle="1" w:styleId="P01">
    <w:name w:val="P01"/>
    <w:basedOn w:val="P00"/>
    <w:rsid w:val="00AE0050"/>
    <w:pPr>
      <w:ind w:right="624" w:hanging="624"/>
    </w:pPr>
  </w:style>
  <w:style w:type="paragraph" w:customStyle="1" w:styleId="P02">
    <w:name w:val="P02"/>
    <w:basedOn w:val="P00"/>
    <w:rsid w:val="00AE0050"/>
    <w:pPr>
      <w:ind w:right="1021" w:hanging="1021"/>
    </w:pPr>
  </w:style>
  <w:style w:type="paragraph" w:customStyle="1" w:styleId="medium2-header">
    <w:name w:val="medium2-header"/>
    <w:basedOn w:val="a"/>
    <w:rsid w:val="00AE0050"/>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FrankRuehl"/>
      <w:bCs/>
      <w:color w:val="auto"/>
      <w:spacing w:val="0"/>
      <w:sz w:val="24"/>
      <w:szCs w:val="24"/>
      <w:lang w:eastAsia="he-IL"/>
    </w:rPr>
  </w:style>
  <w:style w:type="paragraph" w:customStyle="1" w:styleId="P22">
    <w:name w:val="P22"/>
    <w:basedOn w:val="P00"/>
    <w:rsid w:val="00AE0050"/>
    <w:pPr>
      <w:tabs>
        <w:tab w:val="clear" w:pos="624"/>
        <w:tab w:val="clear" w:pos="1021"/>
      </w:tabs>
      <w:ind w:right="1021"/>
    </w:pPr>
  </w:style>
  <w:style w:type="paragraph" w:customStyle="1" w:styleId="sig-0">
    <w:name w:val="sig-0"/>
    <w:basedOn w:val="P00"/>
    <w:rsid w:val="00AE0050"/>
    <w:pPr>
      <w:tabs>
        <w:tab w:val="clear" w:pos="624"/>
        <w:tab w:val="clear" w:pos="1021"/>
        <w:tab w:val="clear" w:pos="1474"/>
        <w:tab w:val="clear" w:pos="1928"/>
        <w:tab w:val="clear" w:pos="2381"/>
        <w:tab w:val="clear" w:pos="2835"/>
        <w:tab w:val="clear" w:pos="6259"/>
        <w:tab w:val="center" w:pos="4820"/>
      </w:tabs>
    </w:pPr>
  </w:style>
  <w:style w:type="paragraph" w:customStyle="1" w:styleId="TableBlock">
    <w:name w:val="Table Block"/>
    <w:basedOn w:val="a"/>
    <w:rsid w:val="009008B2"/>
    <w:pPr>
      <w:keepLines/>
      <w:tabs>
        <w:tab w:val="left" w:pos="624"/>
        <w:tab w:val="left" w:pos="1247"/>
      </w:tabs>
      <w:snapToGrid w:val="0"/>
      <w:spacing w:before="0" w:line="360" w:lineRule="auto"/>
      <w:ind w:firstLine="0"/>
    </w:pPr>
    <w:rPr>
      <w:rFonts w:ascii="Arial" w:eastAsia="Arial Unicode MS" w:hAnsi="Arial" w:cs="David"/>
      <w:snapToGrid w:val="0"/>
      <w:spacing w:val="0"/>
      <w:sz w:val="20"/>
      <w:szCs w:val="26"/>
    </w:rPr>
  </w:style>
  <w:style w:type="paragraph" w:styleId="a3">
    <w:name w:val="footnote text"/>
    <w:basedOn w:val="a"/>
    <w:link w:val="a4"/>
    <w:semiHidden/>
    <w:rsid w:val="00F5045B"/>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4">
    <w:name w:val="טקסט הערת שוליים תו"/>
    <w:basedOn w:val="a0"/>
    <w:link w:val="a3"/>
    <w:semiHidden/>
    <w:rsid w:val="00F5045B"/>
    <w:rPr>
      <w:rFonts w:ascii="Times New Roman" w:eastAsia="Times New Roman" w:hAnsi="Times New Roman" w:cs="Times New Roman"/>
      <w:sz w:val="20"/>
      <w:szCs w:val="20"/>
      <w:lang w:eastAsia="he-IL"/>
    </w:rPr>
  </w:style>
  <w:style w:type="character" w:styleId="a5">
    <w:name w:val="footnote reference"/>
    <w:semiHidden/>
    <w:rsid w:val="00F5045B"/>
    <w:rPr>
      <w:rFonts w:ascii="Times New Roman" w:hAnsi="Times New Roman" w:cs="Times New Roman"/>
      <w:vertAlign w:val="superscript"/>
    </w:rPr>
  </w:style>
  <w:style w:type="character" w:customStyle="1" w:styleId="P000">
    <w:name w:val="P00 תו"/>
    <w:link w:val="P00"/>
    <w:rsid w:val="00F5045B"/>
    <w:rPr>
      <w:rFonts w:ascii="Times New Roman" w:eastAsia="Times New Roman" w:hAnsi="Times New Roman" w:cs="FrankRuehl"/>
      <w:noProof/>
      <w:sz w:val="20"/>
      <w:szCs w:val="26"/>
      <w:lang w:eastAsia="he-IL"/>
    </w:rPr>
  </w:style>
  <w:style w:type="paragraph" w:styleId="a6">
    <w:name w:val="List Paragraph"/>
    <w:basedOn w:val="a"/>
    <w:uiPriority w:val="34"/>
    <w:qFormat/>
    <w:rsid w:val="00F05155"/>
    <w:pPr>
      <w:ind w:left="720"/>
      <w:contextualSpacing/>
    </w:pPr>
  </w:style>
  <w:style w:type="character" w:customStyle="1" w:styleId="10">
    <w:name w:val="כותרת 1 תו"/>
    <w:basedOn w:val="a0"/>
    <w:link w:val="1"/>
    <w:uiPriority w:val="99"/>
    <w:rsid w:val="00EF4D87"/>
    <w:rPr>
      <w:rFonts w:ascii="Hadasa Roso SL" w:eastAsia="MS Mincho" w:hAnsi="Hadasa Roso SL" w:cs="David"/>
      <w:b/>
      <w:bCs/>
      <w:color w:val="000000"/>
      <w:spacing w:val="1"/>
      <w:sz w:val="28"/>
      <w:szCs w:val="28"/>
      <w:u w:val="single"/>
      <w:lang w:eastAsia="he-IL"/>
    </w:rPr>
  </w:style>
  <w:style w:type="paragraph" w:customStyle="1" w:styleId="TableText">
    <w:name w:val="Table Text"/>
    <w:basedOn w:val="a"/>
    <w:rsid w:val="0097282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72824"/>
  </w:style>
  <w:style w:type="paragraph" w:styleId="a7">
    <w:name w:val="header"/>
    <w:basedOn w:val="a"/>
    <w:link w:val="a8"/>
    <w:uiPriority w:val="99"/>
    <w:unhideWhenUsed/>
    <w:rsid w:val="00BA5A0B"/>
    <w:pPr>
      <w:tabs>
        <w:tab w:val="center" w:pos="4153"/>
        <w:tab w:val="right" w:pos="8306"/>
      </w:tabs>
      <w:spacing w:before="0" w:line="240" w:lineRule="auto"/>
    </w:pPr>
  </w:style>
  <w:style w:type="character" w:customStyle="1" w:styleId="a8">
    <w:name w:val="כותרת עליונה תו"/>
    <w:basedOn w:val="a0"/>
    <w:link w:val="a7"/>
    <w:uiPriority w:val="99"/>
    <w:rsid w:val="00BA5A0B"/>
    <w:rPr>
      <w:rFonts w:ascii="Hadasa Roso SL" w:eastAsia="MS Mincho" w:hAnsi="Hadasa Roso SL" w:cs="Hadasa Roso SL"/>
      <w:color w:val="000000"/>
      <w:spacing w:val="1"/>
      <w:sz w:val="17"/>
      <w:szCs w:val="17"/>
      <w:lang w:eastAsia="ja-JP"/>
    </w:rPr>
  </w:style>
  <w:style w:type="paragraph" w:styleId="a9">
    <w:name w:val="footer"/>
    <w:basedOn w:val="a"/>
    <w:link w:val="aa"/>
    <w:uiPriority w:val="99"/>
    <w:unhideWhenUsed/>
    <w:rsid w:val="00BA5A0B"/>
    <w:pPr>
      <w:tabs>
        <w:tab w:val="center" w:pos="4153"/>
        <w:tab w:val="right" w:pos="8306"/>
      </w:tabs>
      <w:spacing w:before="0" w:line="240" w:lineRule="auto"/>
    </w:pPr>
  </w:style>
  <w:style w:type="character" w:customStyle="1" w:styleId="aa">
    <w:name w:val="כותרת תחתונה תו"/>
    <w:basedOn w:val="a0"/>
    <w:link w:val="a9"/>
    <w:uiPriority w:val="99"/>
    <w:rsid w:val="00BA5A0B"/>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167212">
      <w:bodyDiv w:val="1"/>
      <w:marLeft w:val="0"/>
      <w:marRight w:val="0"/>
      <w:marTop w:val="0"/>
      <w:marBottom w:val="0"/>
      <w:divBdr>
        <w:top w:val="none" w:sz="0" w:space="0" w:color="auto"/>
        <w:left w:val="none" w:sz="0" w:space="0" w:color="auto"/>
        <w:bottom w:val="none" w:sz="0" w:space="0" w:color="auto"/>
        <w:right w:val="none" w:sz="0" w:space="0" w:color="auto"/>
      </w:divBdr>
    </w:div>
    <w:div w:id="189832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B3206B-2DE0-49AE-B6F5-D5A6C0059494}"/>
</file>

<file path=customXml/itemProps2.xml><?xml version="1.0" encoding="utf-8"?>
<ds:datastoreItem xmlns:ds="http://schemas.openxmlformats.org/officeDocument/2006/customXml" ds:itemID="{5CDB5853-BE63-48F9-9E28-86CD601B59D9}"/>
</file>

<file path=customXml/itemProps3.xml><?xml version="1.0" encoding="utf-8"?>
<ds:datastoreItem xmlns:ds="http://schemas.openxmlformats.org/officeDocument/2006/customXml" ds:itemID="{9C261C31-9F02-4FE8-A32D-DB8D64E912DD}"/>
</file>

<file path=docProps/app.xml><?xml version="1.0" encoding="utf-8"?>
<Properties xmlns="http://schemas.openxmlformats.org/officeDocument/2006/extended-properties" xmlns:vt="http://schemas.openxmlformats.org/officeDocument/2006/docPropsVTypes">
  <Template>Normal</Template>
  <TotalTime>1</TotalTime>
  <Pages>3</Pages>
  <Words>923</Words>
  <Characters>4617</Characters>
  <Application>Microsoft Office Word</Application>
  <DocSecurity>4</DocSecurity>
  <Lines>38</Lines>
  <Paragraphs>11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dcterms:created xsi:type="dcterms:W3CDTF">2017-02-07T09:16:00Z</dcterms:created>
  <dcterms:modified xsi:type="dcterms:W3CDTF">2017-02-07T09:16:00Z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2013570</vt:r8>
  </property>
</Properties>
</file>