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997" w:rsidRDefault="00AB7ABA" w:rsidP="00C30F7F">
      <w:pPr>
        <w:spacing w:after="0" w:line="240" w:lineRule="auto"/>
        <w:rPr>
          <w:rtl/>
        </w:rPr>
      </w:pPr>
      <w:r>
        <w:rPr>
          <w:rFonts w:hint="cs"/>
          <w:rtl/>
        </w:rPr>
        <w:tab/>
      </w:r>
    </w:p>
    <w:tbl>
      <w:tblPr>
        <w:bidiVisual/>
        <w:tblW w:w="8867" w:type="dxa"/>
        <w:tblLayout w:type="fixed"/>
        <w:tblLook w:val="0000" w:firstRow="0" w:lastRow="0" w:firstColumn="0" w:lastColumn="0" w:noHBand="0" w:noVBand="0"/>
      </w:tblPr>
      <w:tblGrid>
        <w:gridCol w:w="4897"/>
        <w:gridCol w:w="965"/>
        <w:gridCol w:w="2296"/>
        <w:gridCol w:w="709"/>
      </w:tblGrid>
      <w:tr w:rsidR="00A55997" w:rsidRPr="00A55997" w:rsidTr="00137E12">
        <w:tc>
          <w:tcPr>
            <w:tcW w:w="4897" w:type="dxa"/>
          </w:tcPr>
          <w:p w:rsidR="00A55997" w:rsidRPr="00A55997" w:rsidRDefault="00442BAA" w:rsidP="00C30F7F">
            <w:pPr>
              <w:spacing w:after="0" w:line="264" w:lineRule="auto"/>
              <w:ind w:right="-360"/>
            </w:pPr>
            <w:r>
              <w:rPr>
                <w:rFonts w:hint="cs"/>
                <w:rtl/>
              </w:rPr>
              <w:t xml:space="preserve"> </w:t>
            </w:r>
          </w:p>
        </w:tc>
        <w:tc>
          <w:tcPr>
            <w:tcW w:w="965" w:type="dxa"/>
          </w:tcPr>
          <w:p w:rsidR="00A55997" w:rsidRPr="00A55997" w:rsidRDefault="00A55997" w:rsidP="00C30F7F">
            <w:pPr>
              <w:spacing w:after="0" w:line="264" w:lineRule="auto"/>
            </w:pPr>
          </w:p>
        </w:tc>
        <w:tc>
          <w:tcPr>
            <w:tcW w:w="2296" w:type="dxa"/>
          </w:tcPr>
          <w:p w:rsidR="00A55997" w:rsidRPr="00A55997" w:rsidRDefault="00487619" w:rsidP="00C30F7F">
            <w:pPr>
              <w:spacing w:after="0" w:line="264" w:lineRule="auto"/>
              <w:jc w:val="right"/>
              <w:rPr>
                <w:rtl/>
              </w:rPr>
            </w:pPr>
            <w:r>
              <w:rPr>
                <w:rFonts w:hint="cs"/>
                <w:rtl/>
              </w:rPr>
              <w:t>7</w:t>
            </w:r>
            <w:r w:rsidR="00CE21D6">
              <w:rPr>
                <w:rFonts w:hint="cs"/>
                <w:rtl/>
              </w:rPr>
              <w:t xml:space="preserve"> בפברואר</w:t>
            </w:r>
          </w:p>
        </w:tc>
        <w:tc>
          <w:tcPr>
            <w:tcW w:w="709" w:type="dxa"/>
          </w:tcPr>
          <w:p w:rsidR="00A55997" w:rsidRPr="00A55997" w:rsidRDefault="00CE21D6" w:rsidP="00C30F7F">
            <w:pPr>
              <w:spacing w:after="0" w:line="264" w:lineRule="auto"/>
              <w:jc w:val="right"/>
            </w:pPr>
            <w:r>
              <w:rPr>
                <w:rFonts w:hint="cs"/>
                <w:rtl/>
              </w:rPr>
              <w:t>2017</w:t>
            </w:r>
          </w:p>
        </w:tc>
      </w:tr>
      <w:tr w:rsidR="00C30F7F" w:rsidRPr="00A55997" w:rsidTr="00137E12">
        <w:trPr>
          <w:cantSplit/>
        </w:trPr>
        <w:tc>
          <w:tcPr>
            <w:tcW w:w="4897" w:type="dxa"/>
          </w:tcPr>
          <w:p w:rsidR="00C30F7F" w:rsidRDefault="00C30F7F" w:rsidP="00C30F7F">
            <w:pPr>
              <w:spacing w:before="0" w:after="0" w:line="264" w:lineRule="auto"/>
              <w:rPr>
                <w:rtl/>
              </w:rPr>
            </w:pPr>
            <w:r>
              <w:rPr>
                <w:rtl/>
              </w:rPr>
              <w:t xml:space="preserve">לכבוד </w:t>
            </w:r>
          </w:p>
          <w:p w:rsidR="00CE21D6" w:rsidRDefault="00CE21D6" w:rsidP="00CE21D6">
            <w:pPr>
              <w:spacing w:before="0" w:after="0" w:line="264" w:lineRule="auto"/>
              <w:rPr>
                <w:rtl/>
              </w:rPr>
            </w:pPr>
            <w:r>
              <w:rPr>
                <w:rtl/>
              </w:rPr>
              <w:t>יו"ר, חברות וחברי ועדת חוקה, חוק ומשפט</w:t>
            </w:r>
          </w:p>
          <w:p w:rsidR="00CE21D6" w:rsidRDefault="00CE21D6" w:rsidP="00CE21D6">
            <w:pPr>
              <w:spacing w:before="0" w:after="0" w:line="264" w:lineRule="auto"/>
              <w:rPr>
                <w:u w:val="single"/>
                <w:rtl/>
              </w:rPr>
            </w:pPr>
            <w:r>
              <w:rPr>
                <w:rtl/>
              </w:rPr>
              <w:t xml:space="preserve">הכנסת </w:t>
            </w:r>
          </w:p>
          <w:p w:rsidR="00C30F7F" w:rsidRPr="0066766F" w:rsidRDefault="00CE21D6" w:rsidP="00CE21D6">
            <w:pPr>
              <w:spacing w:before="0" w:after="0" w:line="264" w:lineRule="auto"/>
              <w:rPr>
                <w:u w:val="single"/>
              </w:rPr>
            </w:pPr>
            <w:r>
              <w:rPr>
                <w:rFonts w:hint="cs"/>
                <w:u w:val="single"/>
                <w:rtl/>
              </w:rPr>
              <w:t>ירושלים</w:t>
            </w:r>
          </w:p>
        </w:tc>
        <w:tc>
          <w:tcPr>
            <w:tcW w:w="3970" w:type="dxa"/>
            <w:gridSpan w:val="3"/>
          </w:tcPr>
          <w:p w:rsidR="00C30F7F" w:rsidRPr="00A55997" w:rsidRDefault="00C30F7F" w:rsidP="00C30F7F">
            <w:pPr>
              <w:spacing w:before="0" w:after="0" w:line="264" w:lineRule="auto"/>
              <w:jc w:val="center"/>
            </w:pPr>
          </w:p>
        </w:tc>
      </w:tr>
    </w:tbl>
    <w:p w:rsidR="00A55997" w:rsidRDefault="00A55997" w:rsidP="00C30F7F">
      <w:pPr>
        <w:spacing w:before="240"/>
        <w:rPr>
          <w:rtl/>
        </w:rPr>
      </w:pPr>
      <w:r w:rsidRPr="00A55997">
        <w:rPr>
          <w:rFonts w:hint="cs"/>
          <w:rtl/>
        </w:rPr>
        <w:t xml:space="preserve">שלום רב, </w:t>
      </w:r>
    </w:p>
    <w:p w:rsidR="00D02DC7" w:rsidRPr="00A55997" w:rsidRDefault="00D02DC7" w:rsidP="00C30F7F">
      <w:pPr>
        <w:spacing w:before="240"/>
        <w:rPr>
          <w:rtl/>
        </w:rPr>
      </w:pPr>
    </w:p>
    <w:p w:rsidR="00EE4C63" w:rsidRDefault="00EE4C63" w:rsidP="00842558">
      <w:pPr>
        <w:pStyle w:val="aff"/>
        <w:ind w:left="2880" w:right="426"/>
        <w:rPr>
          <w:rtl/>
        </w:rPr>
      </w:pPr>
      <w:r>
        <w:rPr>
          <w:rFonts w:hint="cs"/>
          <w:rtl/>
        </w:rPr>
        <w:t>הנדון:</w:t>
      </w:r>
      <w:r w:rsidR="00842558">
        <w:rPr>
          <w:rFonts w:hint="cs"/>
          <w:b/>
          <w:bCs/>
          <w:rtl/>
        </w:rPr>
        <w:tab/>
      </w:r>
      <w:r w:rsidR="00CE21D6" w:rsidRPr="00842558">
        <w:rPr>
          <w:rFonts w:hint="cs"/>
          <w:b/>
          <w:bCs/>
          <w:sz w:val="25"/>
          <w:szCs w:val="25"/>
          <w:rtl/>
        </w:rPr>
        <w:t xml:space="preserve">הצעת חוק הגבלת גישה לאתר אינטרנט </w:t>
      </w:r>
      <w:r w:rsidR="00CE21D6" w:rsidRPr="00842558">
        <w:rPr>
          <w:b/>
          <w:bCs/>
          <w:sz w:val="25"/>
          <w:szCs w:val="25"/>
          <w:rtl/>
        </w:rPr>
        <w:br/>
      </w:r>
      <w:r w:rsidR="00CE21D6" w:rsidRPr="00842558">
        <w:rPr>
          <w:rFonts w:hint="cs"/>
          <w:b/>
          <w:bCs/>
          <w:sz w:val="25"/>
          <w:szCs w:val="25"/>
          <w:u w:val="single"/>
          <w:rtl/>
        </w:rPr>
        <w:t>לשם מניעת ביצוע עבירות, התשע"ז-2017</w:t>
      </w:r>
    </w:p>
    <w:p w:rsidR="00CE21D6" w:rsidRDefault="00CE21D6" w:rsidP="00842558">
      <w:pPr>
        <w:spacing w:before="360" w:after="0"/>
        <w:jc w:val="both"/>
        <w:rPr>
          <w:rtl/>
        </w:rPr>
      </w:pPr>
      <w:r w:rsidRPr="00CE21D6">
        <w:rPr>
          <w:rFonts w:hint="cs"/>
          <w:rtl/>
        </w:rPr>
        <w:t xml:space="preserve">לקראת הדיון ביום רביעי הקרוב </w:t>
      </w:r>
      <w:r w:rsidRPr="00CE21D6">
        <w:rPr>
          <w:rFonts w:hint="cs"/>
          <w:u w:val="single"/>
          <w:rtl/>
        </w:rPr>
        <w:t>בהצעת החוק שבנדון</w:t>
      </w:r>
      <w:r w:rsidRPr="00CE21D6">
        <w:rPr>
          <w:rFonts w:hint="cs"/>
          <w:rtl/>
        </w:rPr>
        <w:t xml:space="preserve"> (להלן: </w:t>
      </w:r>
      <w:r w:rsidRPr="00CE21D6">
        <w:rPr>
          <w:rFonts w:hint="cs"/>
          <w:b/>
          <w:bCs/>
          <w:rtl/>
        </w:rPr>
        <w:t>הצעת החוק</w:t>
      </w:r>
      <w:r w:rsidR="00F60DB4">
        <w:rPr>
          <w:rFonts w:hint="cs"/>
          <w:b/>
          <w:bCs/>
          <w:rtl/>
        </w:rPr>
        <w:t xml:space="preserve"> </w:t>
      </w:r>
      <w:r w:rsidR="00F60DB4" w:rsidRPr="00F60DB4">
        <w:rPr>
          <w:rFonts w:hint="cs"/>
          <w:rtl/>
        </w:rPr>
        <w:t>או</w:t>
      </w:r>
      <w:r w:rsidR="00F60DB4">
        <w:rPr>
          <w:rFonts w:hint="cs"/>
          <w:b/>
          <w:bCs/>
          <w:rtl/>
        </w:rPr>
        <w:t xml:space="preserve"> </w:t>
      </w:r>
      <w:r w:rsidR="00F60DB4" w:rsidRPr="00F60DB4">
        <w:rPr>
          <w:rFonts w:hint="cs"/>
          <w:b/>
          <w:bCs/>
          <w:rtl/>
        </w:rPr>
        <w:t>הצעת החוק הנוכחית</w:t>
      </w:r>
      <w:r w:rsidRPr="00CE21D6">
        <w:rPr>
          <w:rFonts w:hint="cs"/>
          <w:rtl/>
        </w:rPr>
        <w:t>), אנו מתכבדים להציג את עמדתנו כדלקמן:</w:t>
      </w:r>
    </w:p>
    <w:p w:rsidR="008C1430" w:rsidRDefault="008C1430" w:rsidP="00FF350C">
      <w:pPr>
        <w:pStyle w:val="1"/>
      </w:pPr>
      <w:r w:rsidRPr="001D0B41">
        <w:rPr>
          <w:rFonts w:hint="cs"/>
          <w:rtl/>
        </w:rPr>
        <w:t>הצעת החוק מבקשת להסמיך את בתי המשפט להגביל את הגישה לאתרי אינטרנט, כדי למנוע המשך ביצוע עבירות</w:t>
      </w:r>
      <w:r>
        <w:rPr>
          <w:rFonts w:hint="cs"/>
          <w:rtl/>
        </w:rPr>
        <w:t>.</w:t>
      </w:r>
      <w:r w:rsidRPr="001D0B41">
        <w:rPr>
          <w:rFonts w:hint="cs"/>
          <w:rtl/>
        </w:rPr>
        <w:t xml:space="preserve"> </w:t>
      </w:r>
      <w:r>
        <w:rPr>
          <w:rFonts w:hint="cs"/>
          <w:rtl/>
        </w:rPr>
        <w:t xml:space="preserve">סמכות לחסום גישה </w:t>
      </w:r>
      <w:r w:rsidR="00D653F8">
        <w:rPr>
          <w:rFonts w:hint="cs"/>
          <w:rtl/>
        </w:rPr>
        <w:t>ב</w:t>
      </w:r>
      <w:r>
        <w:rPr>
          <w:rFonts w:hint="cs"/>
          <w:rtl/>
        </w:rPr>
        <w:t xml:space="preserve">אינטרנט היא בעייתית ביותר - זו גם נקודת המוצא של משרד המשפטים </w:t>
      </w:r>
      <w:r w:rsidR="00845108">
        <w:rPr>
          <w:rtl/>
        </w:rPr>
        <w:t>–</w:t>
      </w:r>
      <w:r>
        <w:rPr>
          <w:rFonts w:hint="cs"/>
          <w:rtl/>
        </w:rPr>
        <w:t xml:space="preserve"> ועל כן, נוסח קודם של הצעת החוק החיל את ההסדר </w:t>
      </w:r>
      <w:r w:rsidR="00D653F8">
        <w:rPr>
          <w:rFonts w:hint="cs"/>
          <w:rtl/>
        </w:rPr>
        <w:t xml:space="preserve">המוצע </w:t>
      </w:r>
      <w:r>
        <w:rPr>
          <w:rFonts w:hint="cs"/>
          <w:rtl/>
        </w:rPr>
        <w:t>על מספר מצומצם של עבירות: פרסום פורנוגרפיה עם קטי</w:t>
      </w:r>
      <w:r w:rsidR="00D653F8">
        <w:rPr>
          <w:rFonts w:hint="cs"/>
          <w:rtl/>
        </w:rPr>
        <w:t>נים</w:t>
      </w:r>
      <w:r>
        <w:rPr>
          <w:rFonts w:hint="cs"/>
          <w:rtl/>
        </w:rPr>
        <w:t>, ארגון הימורים וסחר בסמים מסוכנים למעט קנביס. אבל כדרכו של עולם, עוד בטרם מוצה הדיון בהצע</w:t>
      </w:r>
      <w:r w:rsidR="00D653F8">
        <w:rPr>
          <w:rFonts w:hint="cs"/>
          <w:rtl/>
        </w:rPr>
        <w:t>ה</w:t>
      </w:r>
      <w:r>
        <w:rPr>
          <w:rFonts w:hint="cs"/>
          <w:rtl/>
        </w:rPr>
        <w:t xml:space="preserve">, נוספו אליה כבר עבירות ומטרות חדשות: עבירה של הפצת חומרים </w:t>
      </w:r>
      <w:r w:rsidR="00FF350C">
        <w:rPr>
          <w:rFonts w:hint="cs"/>
          <w:rtl/>
        </w:rPr>
        <w:t>אסורים להפצה</w:t>
      </w:r>
      <w:r>
        <w:rPr>
          <w:rFonts w:hint="cs"/>
          <w:rtl/>
        </w:rPr>
        <w:t>, סחר בסמים קלים (קנביס), פרסום שירותי זנות, ו"אתר של ארגון טרור"</w:t>
      </w:r>
      <w:r w:rsidR="00D653F8">
        <w:rPr>
          <w:rFonts w:hint="cs"/>
          <w:rtl/>
        </w:rPr>
        <w:t>.</w:t>
      </w:r>
    </w:p>
    <w:p w:rsidR="001D0B41" w:rsidRDefault="001D0B41" w:rsidP="00CE7E43">
      <w:pPr>
        <w:pStyle w:val="1"/>
      </w:pPr>
      <w:r>
        <w:rPr>
          <w:rFonts w:hint="cs"/>
          <w:rtl/>
        </w:rPr>
        <w:t xml:space="preserve">הצעת החוק </w:t>
      </w:r>
      <w:r w:rsidR="00455D2C">
        <w:rPr>
          <w:rFonts w:hint="cs"/>
          <w:rtl/>
        </w:rPr>
        <w:t>הנוכחית הייתה במקור חלק מ</w:t>
      </w:r>
      <w:r>
        <w:rPr>
          <w:rFonts w:hint="cs"/>
          <w:rtl/>
        </w:rPr>
        <w:t xml:space="preserve">הצעת חוק אחרת, שהוגשה בשנת 2014, ושהסדירה </w:t>
      </w:r>
      <w:r w:rsidR="00EF3302">
        <w:rPr>
          <w:rFonts w:hint="cs"/>
          <w:rtl/>
        </w:rPr>
        <w:t xml:space="preserve">גם </w:t>
      </w:r>
      <w:r w:rsidRPr="00EF3302">
        <w:rPr>
          <w:rFonts w:hint="cs"/>
          <w:b/>
          <w:bCs/>
          <w:rtl/>
        </w:rPr>
        <w:t>הגבלת גישה למקומות פיסיים</w:t>
      </w:r>
      <w:r>
        <w:rPr>
          <w:rFonts w:hint="cs"/>
          <w:rtl/>
        </w:rPr>
        <w:t xml:space="preserve"> </w:t>
      </w:r>
      <w:r w:rsidR="00EF3302" w:rsidRPr="00EF3302">
        <w:rPr>
          <w:rFonts w:hint="cs"/>
          <w:rtl/>
        </w:rPr>
        <w:t>ו</w:t>
      </w:r>
      <w:r w:rsidR="00EF3302">
        <w:rPr>
          <w:rFonts w:hint="cs"/>
          <w:rtl/>
        </w:rPr>
        <w:t xml:space="preserve">גם </w:t>
      </w:r>
      <w:r w:rsidR="00EF3302" w:rsidRPr="00EF3302">
        <w:rPr>
          <w:rFonts w:hint="cs"/>
          <w:rtl/>
        </w:rPr>
        <w:t>הגבלת גישה</w:t>
      </w:r>
      <w:r w:rsidR="00EF3302">
        <w:rPr>
          <w:rFonts w:hint="cs"/>
          <w:b/>
          <w:bCs/>
          <w:rtl/>
        </w:rPr>
        <w:t xml:space="preserve"> </w:t>
      </w:r>
      <w:r w:rsidRPr="00EF3302">
        <w:rPr>
          <w:rFonts w:hint="cs"/>
          <w:b/>
          <w:bCs/>
          <w:rtl/>
        </w:rPr>
        <w:t>לאתרי אינטרנט</w:t>
      </w:r>
      <w:r>
        <w:rPr>
          <w:rFonts w:hint="cs"/>
          <w:rtl/>
        </w:rPr>
        <w:t xml:space="preserve"> (להלן: "</w:t>
      </w:r>
      <w:r w:rsidRPr="00B43A38">
        <w:rPr>
          <w:rFonts w:hint="cs"/>
          <w:b/>
          <w:bCs/>
          <w:rtl/>
        </w:rPr>
        <w:t xml:space="preserve">ההצעה </w:t>
      </w:r>
      <w:r w:rsidR="00EF3302">
        <w:rPr>
          <w:rFonts w:hint="cs"/>
          <w:b/>
          <w:bCs/>
          <w:rtl/>
        </w:rPr>
        <w:t>הקודמת</w:t>
      </w:r>
      <w:r>
        <w:rPr>
          <w:rFonts w:hint="cs"/>
          <w:rtl/>
        </w:rPr>
        <w:t>").</w:t>
      </w:r>
      <w:r>
        <w:rPr>
          <w:rStyle w:val="af0"/>
        </w:rPr>
        <w:footnoteReference w:id="2"/>
      </w:r>
      <w:r>
        <w:rPr>
          <w:rFonts w:hint="cs"/>
          <w:rtl/>
        </w:rPr>
        <w:t xml:space="preserve"> אלא שוועדת החוקה</w:t>
      </w:r>
      <w:r w:rsidR="00EF3302">
        <w:rPr>
          <w:rFonts w:hint="cs"/>
          <w:rtl/>
        </w:rPr>
        <w:t xml:space="preserve"> </w:t>
      </w:r>
      <w:r>
        <w:rPr>
          <w:rFonts w:hint="cs"/>
          <w:rtl/>
        </w:rPr>
        <w:t>סברה שקיים שוני מהותי בין סגירה של מקום פיזי לבין חסימה של אתר אינטרנט, ו</w:t>
      </w:r>
      <w:r w:rsidR="00EF3302">
        <w:rPr>
          <w:rFonts w:hint="cs"/>
          <w:rtl/>
        </w:rPr>
        <w:t xml:space="preserve">לכן </w:t>
      </w:r>
      <w:r>
        <w:rPr>
          <w:rFonts w:hint="cs"/>
          <w:rtl/>
        </w:rPr>
        <w:t xml:space="preserve">החליטה </w:t>
      </w:r>
      <w:r w:rsidR="00EF3302">
        <w:rPr>
          <w:rFonts w:hint="cs"/>
          <w:rtl/>
        </w:rPr>
        <w:t>לפצל את ההצעה הקודמת ולקיים דיון נפרד בכל אחד מחלקיה</w:t>
      </w:r>
      <w:r>
        <w:rPr>
          <w:rFonts w:hint="cs"/>
          <w:rtl/>
        </w:rPr>
        <w:t xml:space="preserve">. </w:t>
      </w:r>
      <w:r w:rsidR="00EF3302">
        <w:rPr>
          <w:rFonts w:hint="cs"/>
          <w:rtl/>
        </w:rPr>
        <w:t>החלק שעסק בהגבלת שימוש במקומות אושר לאחרונה בקריאה שלישית.</w:t>
      </w:r>
      <w:r w:rsidR="00EF3302">
        <w:rPr>
          <w:rStyle w:val="af0"/>
          <w:rtl/>
        </w:rPr>
        <w:footnoteReference w:id="3"/>
      </w:r>
      <w:r w:rsidR="00EF3302">
        <w:rPr>
          <w:rFonts w:hint="cs"/>
          <w:rtl/>
        </w:rPr>
        <w:t xml:space="preserve"> </w:t>
      </w:r>
      <w:r w:rsidR="00EF3302" w:rsidRPr="00EF3302">
        <w:rPr>
          <w:rFonts w:hint="cs"/>
          <w:rtl/>
        </w:rPr>
        <w:t>כעת עומד</w:t>
      </w:r>
      <w:r w:rsidR="003376A0">
        <w:rPr>
          <w:rFonts w:hint="cs"/>
          <w:rtl/>
        </w:rPr>
        <w:t>ת</w:t>
      </w:r>
      <w:r w:rsidR="00EF3302" w:rsidRPr="00EF3302">
        <w:rPr>
          <w:rFonts w:hint="cs"/>
          <w:rtl/>
        </w:rPr>
        <w:t xml:space="preserve"> לדיון הצעת החוק הנוכחית</w:t>
      </w:r>
      <w:r w:rsidR="003376A0">
        <w:rPr>
          <w:rFonts w:hint="cs"/>
          <w:rtl/>
        </w:rPr>
        <w:t xml:space="preserve">, שהיא </w:t>
      </w:r>
      <w:r w:rsidR="003376A0" w:rsidRPr="00DC7A06">
        <w:rPr>
          <w:rFonts w:hint="cs"/>
          <w:b/>
          <w:bCs/>
          <w:rtl/>
        </w:rPr>
        <w:t>גרסה חדשה</w:t>
      </w:r>
      <w:r w:rsidR="003376A0">
        <w:rPr>
          <w:rFonts w:hint="cs"/>
          <w:rtl/>
        </w:rPr>
        <w:t xml:space="preserve"> של</w:t>
      </w:r>
      <w:r w:rsidR="00EF3302" w:rsidRPr="00EF3302">
        <w:rPr>
          <w:rFonts w:hint="cs"/>
          <w:rtl/>
        </w:rPr>
        <w:t xml:space="preserve"> החלק </w:t>
      </w:r>
      <w:r w:rsidR="003376A0">
        <w:rPr>
          <w:rFonts w:hint="cs"/>
          <w:rtl/>
        </w:rPr>
        <w:t xml:space="preserve">שמסדיר </w:t>
      </w:r>
      <w:r w:rsidR="00EF3302" w:rsidRPr="00EF3302">
        <w:rPr>
          <w:rFonts w:hint="cs"/>
          <w:rtl/>
        </w:rPr>
        <w:t>הגבלת גישה לאתר אינטרנט.</w:t>
      </w:r>
      <w:r w:rsidR="00EF3302">
        <w:rPr>
          <w:rFonts w:hint="cs"/>
          <w:rtl/>
        </w:rPr>
        <w:t xml:space="preserve"> </w:t>
      </w:r>
    </w:p>
    <w:p w:rsidR="00CE21D6" w:rsidRDefault="00CE21D6" w:rsidP="00103F93">
      <w:pPr>
        <w:pStyle w:val="1"/>
      </w:pPr>
      <w:r>
        <w:rPr>
          <w:rFonts w:hint="cs"/>
          <w:rtl/>
        </w:rPr>
        <w:lastRenderedPageBreak/>
        <w:t xml:space="preserve">לפי ההצעה, הגבלת הגישה תתבצע באמצעות </w:t>
      </w:r>
      <w:r w:rsidRPr="00D73CD6">
        <w:rPr>
          <w:rFonts w:hint="cs"/>
          <w:b/>
          <w:bCs/>
          <w:rtl/>
        </w:rPr>
        <w:t>צו לספקי גישה לאינטרנט</w:t>
      </w:r>
      <w:r>
        <w:rPr>
          <w:rFonts w:hint="cs"/>
          <w:rtl/>
        </w:rPr>
        <w:t>, ו</w:t>
      </w:r>
      <w:r w:rsidRPr="00D73CD6">
        <w:rPr>
          <w:rFonts w:hint="cs"/>
          <w:b/>
          <w:bCs/>
          <w:rtl/>
        </w:rPr>
        <w:t xml:space="preserve">לספקי שירות איתור אינטרנטי </w:t>
      </w:r>
      <w:r>
        <w:rPr>
          <w:rFonts w:hint="cs"/>
          <w:rtl/>
        </w:rPr>
        <w:t xml:space="preserve">(כדוגמת מנועי חיפוש). אם בית המשפט מצא כי </w:t>
      </w:r>
      <w:r w:rsidRPr="006429C1">
        <w:rPr>
          <w:rFonts w:hint="cs"/>
          <w:b/>
          <w:bCs/>
          <w:rtl/>
        </w:rPr>
        <w:t>האתר מאוחסן על שרת הנמצא בישראל</w:t>
      </w:r>
      <w:r>
        <w:rPr>
          <w:rFonts w:hint="cs"/>
          <w:rtl/>
        </w:rPr>
        <w:t xml:space="preserve">, לא יינתן צו להגבלת גישה, אלא צו שיורה על </w:t>
      </w:r>
      <w:r w:rsidRPr="00D73CD6">
        <w:rPr>
          <w:rFonts w:hint="cs"/>
          <w:b/>
          <w:bCs/>
          <w:rtl/>
        </w:rPr>
        <w:t>הסרתו של אתר האינטרנט מהשרת</w:t>
      </w:r>
      <w:r>
        <w:rPr>
          <w:rFonts w:hint="cs"/>
          <w:rtl/>
        </w:rPr>
        <w:t>.</w:t>
      </w:r>
    </w:p>
    <w:p w:rsidR="00455D2C" w:rsidRPr="00455D2C" w:rsidRDefault="00455D2C" w:rsidP="00D1281B">
      <w:pPr>
        <w:pStyle w:val="1"/>
      </w:pPr>
      <w:r>
        <w:rPr>
          <w:rFonts w:hint="cs"/>
          <w:rtl/>
        </w:rPr>
        <w:t>הצעת החוק מבקשת ל</w:t>
      </w:r>
      <w:r w:rsidR="00366608">
        <w:rPr>
          <w:rFonts w:hint="cs"/>
          <w:rtl/>
        </w:rPr>
        <w:t xml:space="preserve">סייע במאבק נגד </w:t>
      </w:r>
      <w:r w:rsidR="00366608" w:rsidRPr="00D653F8">
        <w:rPr>
          <w:rFonts w:hint="cs"/>
          <w:b/>
          <w:bCs/>
          <w:rtl/>
        </w:rPr>
        <w:t xml:space="preserve">עבירות </w:t>
      </w:r>
      <w:r w:rsidRPr="00D653F8">
        <w:rPr>
          <w:rFonts w:hint="cs"/>
          <w:b/>
          <w:bCs/>
          <w:rtl/>
        </w:rPr>
        <w:t>חמורות</w:t>
      </w:r>
      <w:r w:rsidR="008C1430" w:rsidRPr="00D653F8">
        <w:rPr>
          <w:rFonts w:hint="cs"/>
          <w:b/>
          <w:bCs/>
          <w:rtl/>
        </w:rPr>
        <w:t xml:space="preserve"> </w:t>
      </w:r>
      <w:r w:rsidR="000333A8">
        <w:rPr>
          <w:rtl/>
        </w:rPr>
        <w:t>–</w:t>
      </w:r>
      <w:r w:rsidR="008C1430" w:rsidRPr="008C1430">
        <w:rPr>
          <w:rFonts w:hint="cs"/>
          <w:rtl/>
        </w:rPr>
        <w:t xml:space="preserve"> </w:t>
      </w:r>
      <w:r w:rsidR="00366608">
        <w:rPr>
          <w:rFonts w:hint="cs"/>
          <w:rtl/>
        </w:rPr>
        <w:t xml:space="preserve">תופעות קשות, שכרוכות בדרך כלל גם בפגיעות חמורות בזכויות אדם. </w:t>
      </w:r>
      <w:r w:rsidRPr="00455D2C">
        <w:rPr>
          <w:rFonts w:hint="cs"/>
          <w:rtl/>
        </w:rPr>
        <w:t xml:space="preserve">עם זאת, </w:t>
      </w:r>
      <w:r w:rsidR="00366608">
        <w:rPr>
          <w:rFonts w:hint="cs"/>
          <w:rtl/>
        </w:rPr>
        <w:t>ה</w:t>
      </w:r>
      <w:r w:rsidRPr="00455D2C">
        <w:rPr>
          <w:rFonts w:hint="cs"/>
          <w:rtl/>
        </w:rPr>
        <w:t xml:space="preserve">גם </w:t>
      </w:r>
      <w:r w:rsidR="00366608">
        <w:rPr>
          <w:rFonts w:hint="cs"/>
          <w:rtl/>
        </w:rPr>
        <w:t>ש</w:t>
      </w:r>
      <w:r w:rsidRPr="00455D2C">
        <w:rPr>
          <w:rFonts w:hint="cs"/>
          <w:rtl/>
        </w:rPr>
        <w:t xml:space="preserve">תכלית הצעת החוק ראויה עד מאוד, היא </w:t>
      </w:r>
      <w:r w:rsidR="00366608">
        <w:rPr>
          <w:rFonts w:hint="cs"/>
          <w:rtl/>
        </w:rPr>
        <w:t xml:space="preserve">מסבה פגיעה </w:t>
      </w:r>
      <w:r w:rsidR="00366608" w:rsidRPr="00D653F8">
        <w:rPr>
          <w:rFonts w:hint="cs"/>
          <w:b/>
          <w:bCs/>
          <w:rtl/>
        </w:rPr>
        <w:t xml:space="preserve">חמורה בחופש הביטוי </w:t>
      </w:r>
      <w:r w:rsidR="003A30A9" w:rsidRPr="00D653F8">
        <w:rPr>
          <w:rFonts w:hint="cs"/>
          <w:b/>
          <w:bCs/>
          <w:rtl/>
        </w:rPr>
        <w:t>וב</w:t>
      </w:r>
      <w:r w:rsidRPr="00D653F8">
        <w:rPr>
          <w:rFonts w:hint="cs"/>
          <w:b/>
          <w:bCs/>
          <w:rtl/>
        </w:rPr>
        <w:t>חופש הגישה למידע</w:t>
      </w:r>
      <w:r w:rsidRPr="00455D2C">
        <w:rPr>
          <w:rFonts w:hint="cs"/>
          <w:rtl/>
        </w:rPr>
        <w:t xml:space="preserve">. </w:t>
      </w:r>
      <w:r w:rsidR="003A30A9">
        <w:rPr>
          <w:rFonts w:hint="cs"/>
          <w:rtl/>
        </w:rPr>
        <w:t xml:space="preserve">תוצאה זו היא </w:t>
      </w:r>
      <w:r w:rsidRPr="00455D2C">
        <w:rPr>
          <w:rFonts w:hint="cs"/>
          <w:rtl/>
        </w:rPr>
        <w:t>בעייתי</w:t>
      </w:r>
      <w:r w:rsidR="003A30A9">
        <w:rPr>
          <w:rFonts w:hint="cs"/>
          <w:rtl/>
        </w:rPr>
        <w:t>ת במיוחד</w:t>
      </w:r>
      <w:r w:rsidRPr="00455D2C">
        <w:rPr>
          <w:rFonts w:hint="cs"/>
          <w:rtl/>
        </w:rPr>
        <w:t xml:space="preserve"> מכיוון ש</w:t>
      </w:r>
      <w:r w:rsidRPr="00D653F8">
        <w:rPr>
          <w:rFonts w:hint="cs"/>
          <w:b/>
          <w:bCs/>
          <w:rtl/>
        </w:rPr>
        <w:t>ניתן "לעקוף" את הגבלות הגישה לאתרים באמצעים פשוטים יחסית</w:t>
      </w:r>
      <w:r w:rsidRPr="00455D2C">
        <w:rPr>
          <w:rFonts w:hint="cs"/>
          <w:rtl/>
        </w:rPr>
        <w:t>.</w:t>
      </w:r>
      <w:r w:rsidRPr="00455D2C">
        <w:rPr>
          <w:rStyle w:val="af0"/>
          <w:rtl/>
        </w:rPr>
        <w:footnoteReference w:id="4"/>
      </w:r>
      <w:r w:rsidRPr="00455D2C">
        <w:rPr>
          <w:rFonts w:hint="cs"/>
          <w:rtl/>
        </w:rPr>
        <w:t xml:space="preserve"> כך, למרות הכוונה המועילה של הצעת החוק, אנו עשויים להיוותר עם </w:t>
      </w:r>
      <w:r w:rsidRPr="00D653F8">
        <w:rPr>
          <w:rFonts w:hint="cs"/>
          <w:b/>
          <w:bCs/>
          <w:rtl/>
        </w:rPr>
        <w:t xml:space="preserve">אמצעים שתועלתם שולית, אך פגיעתם בזכויות יסוד תהיה </w:t>
      </w:r>
      <w:r w:rsidR="00674B10" w:rsidRPr="00D653F8">
        <w:rPr>
          <w:rFonts w:hint="cs"/>
          <w:b/>
          <w:bCs/>
          <w:rtl/>
        </w:rPr>
        <w:t>קשה וחמורה</w:t>
      </w:r>
      <w:r w:rsidR="00D1281B">
        <w:rPr>
          <w:rFonts w:hint="cs"/>
          <w:rtl/>
        </w:rPr>
        <w:t xml:space="preserve">, ובנסיבות אלו גם </w:t>
      </w:r>
      <w:r w:rsidR="00D1281B" w:rsidRPr="00D653F8">
        <w:rPr>
          <w:rFonts w:hint="cs"/>
          <w:b/>
          <w:bCs/>
          <w:rtl/>
        </w:rPr>
        <w:t>בלתי</w:t>
      </w:r>
      <w:r w:rsidR="00D1281B">
        <w:rPr>
          <w:rFonts w:hint="cs"/>
          <w:rtl/>
        </w:rPr>
        <w:t xml:space="preserve"> </w:t>
      </w:r>
      <w:r w:rsidR="00D1281B" w:rsidRPr="00D653F8">
        <w:rPr>
          <w:rFonts w:hint="cs"/>
          <w:b/>
          <w:bCs/>
          <w:rtl/>
        </w:rPr>
        <w:t>מידתית בעליל</w:t>
      </w:r>
      <w:r w:rsidRPr="00455D2C">
        <w:rPr>
          <w:rFonts w:hint="cs"/>
          <w:rtl/>
        </w:rPr>
        <w:t>.</w:t>
      </w:r>
    </w:p>
    <w:p w:rsidR="00D1281B" w:rsidRDefault="00674B10" w:rsidP="00D1281B">
      <w:pPr>
        <w:pStyle w:val="1"/>
      </w:pPr>
      <w:r>
        <w:rPr>
          <w:rFonts w:hint="cs"/>
          <w:rtl/>
        </w:rPr>
        <w:t xml:space="preserve">חסימת הגישה לאתר אינטרנט אינה דומה להגבלת שימוש במקום פיזי, ואחד הדברים העיקריים שמבדילים ביניהן היא שעיקר המשמעות של </w:t>
      </w:r>
      <w:r w:rsidR="00D1281B">
        <w:rPr>
          <w:rFonts w:hint="cs"/>
          <w:rtl/>
        </w:rPr>
        <w:t>חסימת אתר ב</w:t>
      </w:r>
      <w:r>
        <w:rPr>
          <w:rFonts w:hint="cs"/>
          <w:rtl/>
        </w:rPr>
        <w:t xml:space="preserve">אינטרנט היא פגיעה בחופש הביטוי. </w:t>
      </w:r>
      <w:r w:rsidR="00455D2C">
        <w:rPr>
          <w:rFonts w:hint="cs"/>
          <w:rtl/>
        </w:rPr>
        <w:t xml:space="preserve">הגבלת גישה לאתרי אינטרנט </w:t>
      </w:r>
      <w:r w:rsidR="00D1281B">
        <w:rPr>
          <w:rFonts w:hint="cs"/>
          <w:rtl/>
        </w:rPr>
        <w:t xml:space="preserve">גם </w:t>
      </w:r>
      <w:r w:rsidR="00455D2C">
        <w:rPr>
          <w:rFonts w:hint="cs"/>
          <w:rtl/>
        </w:rPr>
        <w:t>טומנת בחוב</w:t>
      </w:r>
      <w:r w:rsidR="00D1281B">
        <w:rPr>
          <w:rFonts w:hint="cs"/>
          <w:rtl/>
        </w:rPr>
        <w:t>ה</w:t>
      </w:r>
      <w:r w:rsidR="00455D2C">
        <w:rPr>
          <w:rFonts w:hint="cs"/>
          <w:rtl/>
        </w:rPr>
        <w:t xml:space="preserve"> </w:t>
      </w:r>
      <w:r w:rsidR="00455D2C" w:rsidRPr="00674B10">
        <w:rPr>
          <w:rFonts w:hint="cs"/>
          <w:b/>
          <w:bCs/>
          <w:rtl/>
        </w:rPr>
        <w:t>סכנה ל"פגיעה היקפית" באתרים אחרים, שלא מתבצעות בהן עבירות</w:t>
      </w:r>
      <w:r w:rsidR="00D1281B">
        <w:rPr>
          <w:rFonts w:hint="cs"/>
          <w:rtl/>
        </w:rPr>
        <w:t xml:space="preserve">, וכשאין להם קשר כל שהוא </w:t>
      </w:r>
      <w:r w:rsidR="00455D2C">
        <w:rPr>
          <w:rFonts w:hint="cs"/>
          <w:rtl/>
        </w:rPr>
        <w:t>לאתרים שבגינם יוצאו צווים</w:t>
      </w:r>
      <w:r>
        <w:rPr>
          <w:rFonts w:hint="cs"/>
          <w:rtl/>
        </w:rPr>
        <w:t xml:space="preserve">. </w:t>
      </w:r>
    </w:p>
    <w:p w:rsidR="00455D2C" w:rsidRDefault="00D1281B" w:rsidP="00D1281B">
      <w:pPr>
        <w:pStyle w:val="1"/>
      </w:pPr>
      <w:r>
        <w:rPr>
          <w:rFonts w:hint="cs"/>
          <w:rtl/>
        </w:rPr>
        <w:t xml:space="preserve">כפי שהסבירה היועצת המשפטית של הוועדה, </w:t>
      </w:r>
      <w:r w:rsidR="00674B10">
        <w:rPr>
          <w:rFonts w:hint="cs"/>
          <w:rtl/>
        </w:rPr>
        <w:t xml:space="preserve">בדיון </w:t>
      </w:r>
      <w:r>
        <w:rPr>
          <w:rFonts w:hint="cs"/>
          <w:rtl/>
        </w:rPr>
        <w:t>סביב הצעת החוק הקודמת</w:t>
      </w:r>
      <w:r w:rsidR="00455D2C">
        <w:rPr>
          <w:rFonts w:hint="cs"/>
          <w:rtl/>
        </w:rPr>
        <w:t>:</w:t>
      </w:r>
    </w:p>
    <w:p w:rsidR="00455D2C" w:rsidRPr="004073A0" w:rsidRDefault="00D1281B" w:rsidP="00455D2C">
      <w:pPr>
        <w:pStyle w:val="13"/>
      </w:pPr>
      <w:r>
        <w:rPr>
          <w:rFonts w:hint="cs"/>
          <w:rtl/>
        </w:rPr>
        <w:t>"</w:t>
      </w:r>
      <w:r w:rsidR="00455D2C" w:rsidRPr="004073A0">
        <w:rPr>
          <w:rtl/>
        </w:rPr>
        <w:t>בחסימה של האינטרנט יש הרבה נזקים לאנשים שלא עוסקים בעבירות</w:t>
      </w:r>
      <w:r w:rsidR="00455D2C">
        <w:rPr>
          <w:rFonts w:hint="eastAsia"/>
          <w:rtl/>
        </w:rPr>
        <w:t>…</w:t>
      </w:r>
      <w:r w:rsidR="00455D2C" w:rsidRPr="004073A0">
        <w:rPr>
          <w:rFonts w:hint="cs"/>
          <w:rtl/>
        </w:rPr>
        <w:t xml:space="preserve"> </w:t>
      </w:r>
      <w:r w:rsidR="00455D2C" w:rsidRPr="004073A0">
        <w:rPr>
          <w:rtl/>
        </w:rPr>
        <w:t>הרבה חפים מפשע יכולים להיפגע כי את חוסמת כתובת שיושבים עליה הרבה אתרים, כשאולי אחד מהם הוא הבעייתי</w:t>
      </w:r>
      <w:r w:rsidR="00455D2C">
        <w:rPr>
          <w:rFonts w:hint="cs"/>
          <w:rtl/>
        </w:rPr>
        <w:t>…</w:t>
      </w:r>
      <w:r w:rsidR="00455D2C" w:rsidRPr="004073A0">
        <w:rPr>
          <w:rFonts w:hint="cs"/>
          <w:rtl/>
        </w:rPr>
        <w:t xml:space="preserve"> כשאת יודעת שאת פוגעת בחפים מפשע</w:t>
      </w:r>
      <w:bookmarkStart w:id="0" w:name="_ETM_Q1_1468574"/>
      <w:bookmarkEnd w:id="0"/>
      <w:r w:rsidR="00455D2C" w:rsidRPr="004073A0">
        <w:rPr>
          <w:rFonts w:hint="cs"/>
          <w:rtl/>
        </w:rPr>
        <w:t xml:space="preserve"> וקל לעקוף את זה והאפקטיביות מוגבלת, </w:t>
      </w:r>
      <w:r w:rsidR="00455D2C" w:rsidRPr="00D1281B">
        <w:rPr>
          <w:rFonts w:hint="cs"/>
          <w:b/>
          <w:bCs/>
          <w:rtl/>
        </w:rPr>
        <w:t xml:space="preserve">את עושה את </w:t>
      </w:r>
      <w:bookmarkStart w:id="1" w:name="_ETM_Q1_1469615"/>
      <w:bookmarkEnd w:id="1"/>
      <w:r w:rsidR="00455D2C" w:rsidRPr="00D1281B">
        <w:rPr>
          <w:rFonts w:hint="cs"/>
          <w:b/>
          <w:bCs/>
          <w:rtl/>
        </w:rPr>
        <w:t>זה רק במקרים מוצדקים נדירים</w:t>
      </w:r>
      <w:r w:rsidR="00455D2C" w:rsidRPr="00D02DC7">
        <w:rPr>
          <w:rFonts w:hint="cs"/>
          <w:rtl/>
        </w:rPr>
        <w:t>, זה הכול</w:t>
      </w:r>
      <w:r w:rsidR="00455D2C">
        <w:rPr>
          <w:rFonts w:hint="cs"/>
          <w:rtl/>
        </w:rPr>
        <w:t>.</w:t>
      </w:r>
      <w:r>
        <w:rPr>
          <w:rFonts w:hint="cs"/>
          <w:rtl/>
        </w:rPr>
        <w:t>"</w:t>
      </w:r>
      <w:r w:rsidR="00455D2C">
        <w:rPr>
          <w:rStyle w:val="af0"/>
          <w:rtl/>
        </w:rPr>
        <w:footnoteReference w:id="5"/>
      </w:r>
    </w:p>
    <w:p w:rsidR="000100A5" w:rsidRDefault="00D653F8" w:rsidP="00230C47">
      <w:pPr>
        <w:pStyle w:val="1"/>
        <w:numPr>
          <w:ilvl w:val="0"/>
          <w:numId w:val="0"/>
        </w:numPr>
        <w:ind w:left="357"/>
        <w:rPr>
          <w:rtl/>
        </w:rPr>
      </w:pPr>
      <w:r>
        <w:rPr>
          <w:rFonts w:hint="cs"/>
          <w:rtl/>
        </w:rPr>
        <w:t>דברים אלה היו מקובלים גם על נציגת משרד המשפטים, ושימשו אותה, בין היתר, כדי להסביר מדוע ראוי היה להחריג סמים קלים (קנביס) מתחולת הצעת החוק.</w:t>
      </w:r>
      <w:r w:rsidR="004D7C17">
        <w:rPr>
          <w:rFonts w:hint="cs"/>
          <w:rtl/>
        </w:rPr>
        <w:t xml:space="preserve"> </w:t>
      </w:r>
    </w:p>
    <w:p w:rsidR="00230C47" w:rsidRDefault="000100A5" w:rsidP="00D02DC7">
      <w:pPr>
        <w:pStyle w:val="1"/>
        <w:numPr>
          <w:ilvl w:val="0"/>
          <w:numId w:val="0"/>
        </w:numPr>
        <w:ind w:left="357"/>
        <w:rPr>
          <w:rtl/>
        </w:rPr>
      </w:pPr>
      <w:r>
        <w:rPr>
          <w:rFonts w:hint="cs"/>
          <w:rtl/>
        </w:rPr>
        <w:t xml:space="preserve">בדומה לזה, </w:t>
      </w:r>
      <w:r w:rsidR="00455D2C">
        <w:rPr>
          <w:rFonts w:hint="cs"/>
          <w:rtl/>
        </w:rPr>
        <w:t xml:space="preserve">ד"ר חיים ויסמונסקי, ראש מחלקת הסייבר בפרקליטות המדינה </w:t>
      </w:r>
      <w:r w:rsidR="004D7C17">
        <w:rPr>
          <w:rFonts w:hint="cs"/>
          <w:rtl/>
        </w:rPr>
        <w:t>הסביר</w:t>
      </w:r>
      <w:r w:rsidR="00D02DC7">
        <w:rPr>
          <w:rFonts w:hint="cs"/>
          <w:rtl/>
        </w:rPr>
        <w:t>,</w:t>
      </w:r>
      <w:r w:rsidR="004D7C17">
        <w:rPr>
          <w:rFonts w:hint="cs"/>
          <w:rtl/>
        </w:rPr>
        <w:t xml:space="preserve"> </w:t>
      </w:r>
      <w:r w:rsidR="00455D2C">
        <w:rPr>
          <w:rFonts w:hint="cs"/>
          <w:rtl/>
        </w:rPr>
        <w:t>כי עבירות ההסתה לא הוכנסו למסגרת הצעת החוק, בגלל הקושי לקבוע במסגרת הליך שאינו הליך אדברסרי מלא האם מדובר בפרסום המהווה הסתה או לא.</w:t>
      </w:r>
      <w:r w:rsidR="00455D2C">
        <w:rPr>
          <w:rStyle w:val="af0"/>
          <w:rtl/>
        </w:rPr>
        <w:footnoteReference w:id="6"/>
      </w:r>
    </w:p>
    <w:p w:rsidR="00230C47" w:rsidRPr="00D02C4D" w:rsidRDefault="00230C47" w:rsidP="00230C47">
      <w:pPr>
        <w:pStyle w:val="1"/>
        <w:rPr>
          <w:rFonts w:cs="Guttman Yad-Brush"/>
          <w:sz w:val="18"/>
          <w:szCs w:val="18"/>
        </w:rPr>
      </w:pPr>
      <w:r>
        <w:rPr>
          <w:rFonts w:hint="cs"/>
          <w:rtl/>
        </w:rPr>
        <w:lastRenderedPageBreak/>
        <w:t>כפי שציין פרופ' מיכאל בירנהק במכתבו לוועדה בנוגע להצעת החוק הקודמת, "הצעת החוק חריגה מאוד בנוף המשפט הישראלי</w:t>
      </w:r>
      <w:r w:rsidR="006315D4">
        <w:rPr>
          <w:rFonts w:hint="cs"/>
          <w:rtl/>
        </w:rPr>
        <w:t>" בפרט</w:t>
      </w:r>
      <w:r>
        <w:rPr>
          <w:rFonts w:hint="cs"/>
          <w:rtl/>
        </w:rPr>
        <w:t xml:space="preserve"> ו</w:t>
      </w:r>
      <w:r w:rsidR="006315D4">
        <w:rPr>
          <w:rFonts w:hint="cs"/>
          <w:rtl/>
        </w:rPr>
        <w:t>"</w:t>
      </w:r>
      <w:r>
        <w:rPr>
          <w:rFonts w:hint="cs"/>
          <w:rtl/>
        </w:rPr>
        <w:t>בנוף המשפט במדינות דמוקרטיות" בכלל.</w:t>
      </w:r>
      <w:r>
        <w:rPr>
          <w:rStyle w:val="af0"/>
          <w:rtl/>
        </w:rPr>
        <w:footnoteReference w:id="7"/>
      </w:r>
      <w:r>
        <w:rPr>
          <w:rFonts w:hint="cs"/>
          <w:rtl/>
        </w:rPr>
        <w:t xml:space="preserve"> </w:t>
      </w:r>
      <w:r w:rsidRPr="00455D2C">
        <w:rPr>
          <w:rFonts w:hint="cs"/>
          <w:rtl/>
        </w:rPr>
        <w:t xml:space="preserve">מכיוון שקיימת סכנה שהשימוש בכלי כמו חסימת גישה לאתרים ישמש גם למקרים שבהם הנזק שייגרם יהיה גבוה מן התועלת, </w:t>
      </w:r>
      <w:r w:rsidRPr="00D02C4D">
        <w:rPr>
          <w:rFonts w:hint="cs"/>
          <w:b/>
          <w:bCs/>
          <w:rtl/>
        </w:rPr>
        <w:t>ראוי שהחוק יהיה הוראת שעה</w:t>
      </w:r>
      <w:r w:rsidRPr="00455D2C">
        <w:rPr>
          <w:rFonts w:hint="cs"/>
          <w:rtl/>
        </w:rPr>
        <w:t>, לתקופה של שנה או שנתיים, שבמהלכה</w:t>
      </w:r>
      <w:r w:rsidRPr="00D02C4D">
        <w:rPr>
          <w:rFonts w:hint="cs"/>
          <w:b/>
          <w:bCs/>
          <w:rtl/>
        </w:rPr>
        <w:t xml:space="preserve"> ניתן יהיה לבחון את התועלת </w:t>
      </w:r>
      <w:r w:rsidRPr="000100A5">
        <w:rPr>
          <w:rFonts w:hint="cs"/>
          <w:rtl/>
        </w:rPr>
        <w:t>שתושג מן השימוש בצווי הגבלת גישה לאתרי אינטרנט</w:t>
      </w:r>
      <w:r w:rsidRPr="00D02C4D">
        <w:rPr>
          <w:rFonts w:hint="cs"/>
          <w:b/>
          <w:bCs/>
          <w:rtl/>
        </w:rPr>
        <w:t xml:space="preserve"> לעומת הנזק שייגרם</w:t>
      </w:r>
      <w:r w:rsidRPr="00455D2C">
        <w:rPr>
          <w:rFonts w:hint="cs"/>
          <w:rtl/>
        </w:rPr>
        <w:t>, ככל שיהיו.</w:t>
      </w:r>
      <w:r>
        <w:rPr>
          <w:rFonts w:hint="cs"/>
          <w:rtl/>
        </w:rPr>
        <w:t xml:space="preserve"> </w:t>
      </w:r>
    </w:p>
    <w:p w:rsidR="000100A5" w:rsidRDefault="00A033B0" w:rsidP="007D0376">
      <w:pPr>
        <w:pStyle w:val="1"/>
      </w:pPr>
      <w:r>
        <w:rPr>
          <w:rFonts w:hint="cs"/>
          <w:rtl/>
        </w:rPr>
        <w:t>על רקע הדברים שלעיל ניתן רק להתפלא על הזליגה שחלה בהצעת החוק הנוכחית לעומת ההצע</w:t>
      </w:r>
      <w:r w:rsidR="00D02C4D">
        <w:rPr>
          <w:rFonts w:hint="cs"/>
          <w:rtl/>
        </w:rPr>
        <w:t>ה</w:t>
      </w:r>
      <w:r>
        <w:rPr>
          <w:rFonts w:hint="cs"/>
          <w:rtl/>
        </w:rPr>
        <w:t xml:space="preserve"> הקודמת, ועל הרחבת מעגל העבירות שלמניעתן ניתן יהיה לנקוט בצעד בעייתי ופוגעני כל כך כמו חסימת אתרי אינטרנט, כך,</w:t>
      </w:r>
      <w:r w:rsidR="001B3E45">
        <w:rPr>
          <w:rFonts w:hint="cs"/>
          <w:rtl/>
        </w:rPr>
        <w:t xml:space="preserve"> </w:t>
      </w:r>
      <w:r w:rsidR="001B3E45" w:rsidRPr="00FA56CE">
        <w:rPr>
          <w:rFonts w:hint="cs"/>
          <w:b/>
          <w:bCs/>
          <w:rtl/>
        </w:rPr>
        <w:t>בעוד שבהצעת החוק הקודמת הוחרגו מקרים של מכירת סמים קלים כמו קנביס וחשיש, הצעת החוק הנוכחית אינה כוללת החרגה כזו</w:t>
      </w:r>
      <w:r w:rsidR="001B3E45">
        <w:rPr>
          <w:rFonts w:hint="cs"/>
          <w:rtl/>
        </w:rPr>
        <w:t>.</w:t>
      </w:r>
      <w:r w:rsidR="001B3E45">
        <w:rPr>
          <w:rStyle w:val="af0"/>
          <w:rtl/>
        </w:rPr>
        <w:footnoteReference w:id="8"/>
      </w:r>
      <w:r w:rsidR="001B3E45">
        <w:rPr>
          <w:rFonts w:hint="cs"/>
          <w:rtl/>
        </w:rPr>
        <w:t xml:space="preserve"> </w:t>
      </w:r>
    </w:p>
    <w:p w:rsidR="001B3E45" w:rsidRDefault="008B0158" w:rsidP="000100A5">
      <w:pPr>
        <w:pStyle w:val="1"/>
        <w:numPr>
          <w:ilvl w:val="0"/>
          <w:numId w:val="0"/>
        </w:numPr>
        <w:ind w:left="357"/>
      </w:pPr>
      <w:r>
        <w:rPr>
          <w:rFonts w:hint="cs"/>
          <w:rtl/>
        </w:rPr>
        <w:t xml:space="preserve">מהלך זה הוא תמוה במיוחד, לנוכח השינוי הצפוי </w:t>
      </w:r>
      <w:r w:rsidR="00860291">
        <w:rPr>
          <w:rFonts w:hint="cs"/>
          <w:rtl/>
        </w:rPr>
        <w:t xml:space="preserve">והמבורך </w:t>
      </w:r>
      <w:r>
        <w:rPr>
          <w:rFonts w:hint="cs"/>
          <w:rtl/>
        </w:rPr>
        <w:t>במדיניות האכיפה כלפי צרכני קנביס.</w:t>
      </w:r>
      <w:r w:rsidR="00860291">
        <w:rPr>
          <w:rFonts w:hint="cs"/>
          <w:rtl/>
        </w:rPr>
        <w:t xml:space="preserve"> </w:t>
      </w:r>
      <w:r w:rsidR="001E7C56">
        <w:rPr>
          <w:rFonts w:hint="cs"/>
          <w:rtl/>
        </w:rPr>
        <w:t>חסימת אתרים רק בשל כך שהם נחשדים בהפצת סמים קלים מנוגדת לכל ההסברים של נציגות המדינה בדיון שקיימה הוועדה בהצעת החוק הקודמת. בדומה לזה</w:t>
      </w:r>
      <w:r w:rsidR="00D02C4D">
        <w:rPr>
          <w:rFonts w:hint="cs"/>
          <w:rtl/>
        </w:rPr>
        <w:t>,</w:t>
      </w:r>
      <w:r w:rsidR="001E7C56">
        <w:rPr>
          <w:rFonts w:hint="cs"/>
          <w:rtl/>
        </w:rPr>
        <w:t xml:space="preserve"> לא ברור מדוע </w:t>
      </w:r>
      <w:r w:rsidR="001B3E45" w:rsidRPr="001B3E45">
        <w:rPr>
          <w:rFonts w:hint="cs"/>
          <w:rtl/>
        </w:rPr>
        <w:t xml:space="preserve">נוספה גם אפשרות לחסום גישה לאתרי אינטרנט הקשורים לסחר בחומרים </w:t>
      </w:r>
      <w:r w:rsidR="001E7C56">
        <w:rPr>
          <w:rFonts w:hint="cs"/>
          <w:rtl/>
        </w:rPr>
        <w:t>אחרים ש</w:t>
      </w:r>
      <w:r w:rsidR="001B3E45" w:rsidRPr="001B3E45">
        <w:rPr>
          <w:rFonts w:hint="cs"/>
          <w:rtl/>
        </w:rPr>
        <w:t>אסורים להפצה.</w:t>
      </w:r>
      <w:r w:rsidR="001E7C56">
        <w:rPr>
          <w:rFonts w:hint="cs"/>
          <w:rtl/>
        </w:rPr>
        <w:t xml:space="preserve"> </w:t>
      </w:r>
    </w:p>
    <w:p w:rsidR="000100A5" w:rsidRDefault="001E7C56" w:rsidP="006315D4">
      <w:pPr>
        <w:pStyle w:val="1"/>
      </w:pPr>
      <w:r>
        <w:rPr>
          <w:rFonts w:hint="cs"/>
          <w:rtl/>
        </w:rPr>
        <w:t>שינוי מדאיג לא פחות</w:t>
      </w:r>
      <w:r w:rsidR="001B3E45" w:rsidRPr="001B3E45">
        <w:rPr>
          <w:rFonts w:hint="cs"/>
          <w:rtl/>
        </w:rPr>
        <w:t xml:space="preserve"> </w:t>
      </w:r>
      <w:r>
        <w:rPr>
          <w:rFonts w:hint="cs"/>
          <w:rtl/>
        </w:rPr>
        <w:t>שח</w:t>
      </w:r>
      <w:r w:rsidR="001B3E45" w:rsidRPr="001B3E45">
        <w:rPr>
          <w:rFonts w:hint="cs"/>
          <w:rtl/>
        </w:rPr>
        <w:t>ל</w:t>
      </w:r>
      <w:r>
        <w:rPr>
          <w:rFonts w:hint="cs"/>
          <w:rtl/>
        </w:rPr>
        <w:t xml:space="preserve"> ב</w:t>
      </w:r>
      <w:r w:rsidR="001B3E45" w:rsidRPr="001B3E45">
        <w:rPr>
          <w:rFonts w:hint="cs"/>
          <w:rtl/>
        </w:rPr>
        <w:t>הצעת החוק הנוכחית</w:t>
      </w:r>
      <w:r w:rsidR="00D02C4D">
        <w:rPr>
          <w:rFonts w:hint="cs"/>
          <w:rtl/>
        </w:rPr>
        <w:t>,</w:t>
      </w:r>
      <w:r w:rsidR="001B3E45" w:rsidRPr="001B3E45">
        <w:rPr>
          <w:rFonts w:hint="cs"/>
          <w:rtl/>
        </w:rPr>
        <w:t xml:space="preserve"> </w:t>
      </w:r>
      <w:r>
        <w:rPr>
          <w:rFonts w:hint="cs"/>
          <w:rtl/>
        </w:rPr>
        <w:t>הוא הה</w:t>
      </w:r>
      <w:r w:rsidR="001B3E45" w:rsidRPr="001B3E45">
        <w:rPr>
          <w:rFonts w:hint="cs"/>
          <w:rtl/>
        </w:rPr>
        <w:t xml:space="preserve">וספה </w:t>
      </w:r>
      <w:r>
        <w:rPr>
          <w:rFonts w:hint="cs"/>
          <w:rtl/>
        </w:rPr>
        <w:t xml:space="preserve">של חסימת </w:t>
      </w:r>
      <w:r w:rsidR="001B3E45" w:rsidRPr="001B3E45">
        <w:rPr>
          <w:rFonts w:hint="cs"/>
          <w:rtl/>
        </w:rPr>
        <w:t xml:space="preserve">אתרי אינטרנט "של ארגון טרור". תוספת זו מנוסחת באופן </w:t>
      </w:r>
      <w:r w:rsidR="001D0FAA">
        <w:rPr>
          <w:rFonts w:hint="cs"/>
          <w:rtl/>
        </w:rPr>
        <w:t xml:space="preserve">רחב, שפותח את הפתח לצנזורה </w:t>
      </w:r>
      <w:r w:rsidR="00D02C4D">
        <w:rPr>
          <w:rFonts w:hint="cs"/>
          <w:rtl/>
        </w:rPr>
        <w:t>גורפת ושערורייתית</w:t>
      </w:r>
      <w:r w:rsidR="001B3E45" w:rsidRPr="001B3E45">
        <w:rPr>
          <w:rFonts w:hint="cs"/>
          <w:rtl/>
        </w:rPr>
        <w:t xml:space="preserve">. </w:t>
      </w:r>
      <w:r w:rsidR="001B3E45" w:rsidRPr="001B3E45">
        <w:rPr>
          <w:rFonts w:hint="cs"/>
          <w:b/>
          <w:bCs/>
          <w:rtl/>
        </w:rPr>
        <w:t>ההגדרה של ארגון טרור אינה מוגבלת לארגונים שהוכרזו ככאלה,</w:t>
      </w:r>
      <w:r w:rsidR="009169B3" w:rsidRPr="00FD756F">
        <w:rPr>
          <w:rStyle w:val="af0"/>
          <w:rtl/>
        </w:rPr>
        <w:footnoteReference w:id="9"/>
      </w:r>
      <w:r w:rsidR="001B3E45" w:rsidRPr="001B3E45">
        <w:rPr>
          <w:rFonts w:hint="cs"/>
          <w:b/>
          <w:bCs/>
          <w:rtl/>
        </w:rPr>
        <w:t xml:space="preserve"> וההגדרה של מהו אתר אינטרנט "של ארגון טרור" אף היא עמומה וכללית</w:t>
      </w:r>
      <w:r w:rsidR="001B3E45" w:rsidRPr="001B3E45">
        <w:rPr>
          <w:rFonts w:hint="cs"/>
          <w:rtl/>
        </w:rPr>
        <w:t xml:space="preserve">. האם עמודי פייסבוק </w:t>
      </w:r>
      <w:r w:rsidR="00D653F8" w:rsidRPr="001B3E45">
        <w:rPr>
          <w:rFonts w:hint="cs"/>
          <w:rtl/>
        </w:rPr>
        <w:t>ש</w:t>
      </w:r>
      <w:r w:rsidR="00D653F8">
        <w:rPr>
          <w:rFonts w:hint="cs"/>
          <w:rtl/>
        </w:rPr>
        <w:t>ל</w:t>
      </w:r>
      <w:r w:rsidR="00D653F8" w:rsidRPr="001B3E45">
        <w:rPr>
          <w:rFonts w:hint="cs"/>
          <w:rtl/>
        </w:rPr>
        <w:t xml:space="preserve"> </w:t>
      </w:r>
      <w:r w:rsidR="00D653F8">
        <w:rPr>
          <w:rFonts w:hint="cs"/>
          <w:rtl/>
        </w:rPr>
        <w:t>מי שמזוהה או מזדהה עם</w:t>
      </w:r>
      <w:r w:rsidR="001B3E45" w:rsidRPr="001B3E45">
        <w:rPr>
          <w:rFonts w:hint="cs"/>
          <w:rtl/>
        </w:rPr>
        <w:t xml:space="preserve"> ארגון מסוים הם אתרים של הארגון? האם אתרים הקשורים לפעילות משנית של הארגון הם אתרים שיש לחסום את הגישה אליהם?</w:t>
      </w:r>
      <w:r w:rsidR="00242EEA">
        <w:rPr>
          <w:rFonts w:hint="cs"/>
          <w:rtl/>
        </w:rPr>
        <w:t xml:space="preserve"> </w:t>
      </w:r>
    </w:p>
    <w:p w:rsidR="001B3E45" w:rsidRPr="000100A5" w:rsidRDefault="006315D4" w:rsidP="000100A5">
      <w:pPr>
        <w:pStyle w:val="1"/>
        <w:numPr>
          <w:ilvl w:val="0"/>
          <w:numId w:val="0"/>
        </w:numPr>
        <w:ind w:left="357"/>
        <w:rPr>
          <w:sz w:val="25"/>
          <w:szCs w:val="25"/>
        </w:rPr>
      </w:pPr>
      <w:r w:rsidRPr="000100A5">
        <w:rPr>
          <w:sz w:val="25"/>
          <w:szCs w:val="25"/>
          <w:rtl/>
        </w:rPr>
        <w:t>במיוחד שעה שמדובר בהסדר מסוכן ובעייתי כמו זה שלפנינו, אסור להניח שהעמימות והשאלות הנוקבות ייפתרו "איכשהו" בבתי המשפט, בדיונים במעמד צד אחד</w:t>
      </w:r>
      <w:r w:rsidR="000100A5" w:rsidRPr="000100A5">
        <w:rPr>
          <w:rFonts w:hint="cs"/>
          <w:sz w:val="25"/>
          <w:szCs w:val="25"/>
          <w:rtl/>
        </w:rPr>
        <w:t xml:space="preserve"> ועל יסוד ראיות חסויות</w:t>
      </w:r>
      <w:r w:rsidRPr="000100A5">
        <w:rPr>
          <w:sz w:val="25"/>
          <w:szCs w:val="25"/>
          <w:rtl/>
        </w:rPr>
        <w:t xml:space="preserve">. </w:t>
      </w:r>
      <w:r w:rsidRPr="000100A5">
        <w:rPr>
          <w:b/>
          <w:bCs/>
          <w:sz w:val="25"/>
          <w:szCs w:val="25"/>
          <w:rtl/>
        </w:rPr>
        <w:t xml:space="preserve">מן הראוי שהכנסת היא שתבהיר </w:t>
      </w:r>
      <w:r w:rsidR="000100A5" w:rsidRPr="000100A5">
        <w:rPr>
          <w:rFonts w:hint="cs"/>
          <w:b/>
          <w:bCs/>
          <w:sz w:val="25"/>
          <w:szCs w:val="25"/>
          <w:rtl/>
        </w:rPr>
        <w:t xml:space="preserve">כבר עתה </w:t>
      </w:r>
      <w:r w:rsidRPr="000100A5">
        <w:rPr>
          <w:b/>
          <w:bCs/>
          <w:sz w:val="25"/>
          <w:szCs w:val="25"/>
          <w:rtl/>
        </w:rPr>
        <w:t xml:space="preserve">את השאלות המתעוררות </w:t>
      </w:r>
      <w:r w:rsidR="000100A5" w:rsidRPr="000100A5">
        <w:rPr>
          <w:rFonts w:hint="cs"/>
          <w:b/>
          <w:bCs/>
          <w:sz w:val="25"/>
          <w:szCs w:val="25"/>
          <w:rtl/>
        </w:rPr>
        <w:t xml:space="preserve">ותקבע בחוק </w:t>
      </w:r>
      <w:r w:rsidRPr="000100A5">
        <w:rPr>
          <w:b/>
          <w:bCs/>
          <w:sz w:val="25"/>
          <w:szCs w:val="25"/>
          <w:rtl/>
        </w:rPr>
        <w:t>קריטריונים ברורים לצנזורה.</w:t>
      </w:r>
    </w:p>
    <w:p w:rsidR="001B3E45" w:rsidRDefault="001B3E45" w:rsidP="000100A5">
      <w:pPr>
        <w:pStyle w:val="1"/>
      </w:pPr>
      <w:r>
        <w:rPr>
          <w:rFonts w:hint="cs"/>
          <w:rtl/>
        </w:rPr>
        <w:lastRenderedPageBreak/>
        <w:t>כפי שציינו בנוגע להצעת החוק המקורית,</w:t>
      </w:r>
      <w:r>
        <w:rPr>
          <w:rStyle w:val="af0"/>
          <w:rtl/>
        </w:rPr>
        <w:footnoteReference w:id="10"/>
      </w:r>
      <w:r>
        <w:rPr>
          <w:rFonts w:hint="cs"/>
          <w:rtl/>
        </w:rPr>
        <w:t xml:space="preserve"> </w:t>
      </w:r>
      <w:r>
        <w:rPr>
          <w:rtl/>
        </w:rPr>
        <w:t xml:space="preserve">חמורה במיוחד </w:t>
      </w:r>
      <w:r w:rsidR="00D87116">
        <w:rPr>
          <w:rFonts w:hint="cs"/>
          <w:rtl/>
        </w:rPr>
        <w:t xml:space="preserve">היא </w:t>
      </w:r>
      <w:r>
        <w:rPr>
          <w:rtl/>
        </w:rPr>
        <w:t xml:space="preserve">ההצעה לאפשר </w:t>
      </w:r>
      <w:r w:rsidR="00D87116">
        <w:rPr>
          <w:rFonts w:hint="cs"/>
          <w:rtl/>
        </w:rPr>
        <w:t xml:space="preserve">הוצאת צווים וחסימת אתרים תוך </w:t>
      </w:r>
      <w:r w:rsidRPr="00C34FE5">
        <w:rPr>
          <w:b/>
          <w:bCs/>
          <w:rtl/>
        </w:rPr>
        <w:t>הסתמכות רחבה על</w:t>
      </w:r>
      <w:r w:rsidRPr="00C34FE5">
        <w:rPr>
          <w:rFonts w:hint="cs"/>
          <w:b/>
          <w:bCs/>
          <w:rtl/>
        </w:rPr>
        <w:t xml:space="preserve"> </w:t>
      </w:r>
      <w:r w:rsidRPr="00C34FE5">
        <w:rPr>
          <w:b/>
          <w:bCs/>
          <w:rtl/>
        </w:rPr>
        <w:t>חומר חסוי</w:t>
      </w:r>
      <w:r>
        <w:rPr>
          <w:rFonts w:hint="cs"/>
          <w:rtl/>
        </w:rPr>
        <w:t xml:space="preserve"> ו</w:t>
      </w:r>
      <w:r w:rsidR="00D87116">
        <w:rPr>
          <w:rFonts w:hint="cs"/>
          <w:rtl/>
        </w:rPr>
        <w:t>ע</w:t>
      </w:r>
      <w:r>
        <w:rPr>
          <w:rFonts w:hint="cs"/>
          <w:rtl/>
        </w:rPr>
        <w:t>ל</w:t>
      </w:r>
      <w:r w:rsidR="006315D4">
        <w:rPr>
          <w:rFonts w:hint="cs"/>
          <w:rtl/>
        </w:rPr>
        <w:t xml:space="preserve"> </w:t>
      </w:r>
      <w:r w:rsidRPr="00C34FE5">
        <w:rPr>
          <w:rFonts w:hint="cs"/>
          <w:b/>
          <w:bCs/>
          <w:rtl/>
        </w:rPr>
        <w:t xml:space="preserve">ראיות שאינן קבילות </w:t>
      </w:r>
      <w:r w:rsidR="000100A5" w:rsidRPr="002C7752">
        <w:rPr>
          <w:rFonts w:hint="cs"/>
          <w:rtl/>
        </w:rPr>
        <w:t>(</w:t>
      </w:r>
      <w:r w:rsidR="000100A5">
        <w:rPr>
          <w:rFonts w:hint="cs"/>
          <w:rtl/>
        </w:rPr>
        <w:t>סעיפים</w:t>
      </w:r>
      <w:r w:rsidR="000100A5" w:rsidRPr="002C7752">
        <w:rPr>
          <w:rFonts w:hint="cs"/>
          <w:rtl/>
        </w:rPr>
        <w:t xml:space="preserve"> 5</w:t>
      </w:r>
      <w:r w:rsidR="000100A5">
        <w:rPr>
          <w:rFonts w:hint="cs"/>
          <w:rtl/>
        </w:rPr>
        <w:t xml:space="preserve"> ו-3(ה) להצעת החוק</w:t>
      </w:r>
      <w:r>
        <w:rPr>
          <w:rFonts w:hint="cs"/>
          <w:rtl/>
        </w:rPr>
        <w:t xml:space="preserve">). </w:t>
      </w:r>
      <w:r>
        <w:rPr>
          <w:rtl/>
        </w:rPr>
        <w:t xml:space="preserve">כפי שהדגיש </w:t>
      </w:r>
      <w:r>
        <w:rPr>
          <w:rFonts w:hint="cs"/>
          <w:rtl/>
        </w:rPr>
        <w:t xml:space="preserve">פרופ' </w:t>
      </w:r>
      <w:r>
        <w:rPr>
          <w:rtl/>
        </w:rPr>
        <w:t xml:space="preserve">יצחק זמיר בהקשר </w:t>
      </w:r>
      <w:r>
        <w:rPr>
          <w:rFonts w:hint="cs"/>
          <w:rtl/>
        </w:rPr>
        <w:t xml:space="preserve">מעט </w:t>
      </w:r>
      <w:r>
        <w:rPr>
          <w:rtl/>
        </w:rPr>
        <w:t>אחר, כאשר בית המשפט נדרש לקבל החלטה</w:t>
      </w:r>
      <w:r>
        <w:rPr>
          <w:rFonts w:hint="cs"/>
          <w:rtl/>
        </w:rPr>
        <w:t xml:space="preserve"> </w:t>
      </w:r>
      <w:r>
        <w:rPr>
          <w:rtl/>
        </w:rPr>
        <w:t>על סמך חומר חסוי, המעורבות השיפוטית מאבד</w:t>
      </w:r>
      <w:r>
        <w:rPr>
          <w:rFonts w:hint="cs"/>
          <w:rtl/>
        </w:rPr>
        <w:t>ת</w:t>
      </w:r>
      <w:r>
        <w:rPr>
          <w:rtl/>
        </w:rPr>
        <w:t xml:space="preserve"> הרבה מערכ</w:t>
      </w:r>
      <w:r>
        <w:rPr>
          <w:rFonts w:hint="cs"/>
          <w:rtl/>
        </w:rPr>
        <w:t>ה</w:t>
      </w:r>
      <w:r>
        <w:rPr>
          <w:rtl/>
        </w:rPr>
        <w:t>: "נשלל המכשיר החשוב ביותר</w:t>
      </w:r>
      <w:r>
        <w:rPr>
          <w:rFonts w:hint="cs"/>
          <w:rtl/>
        </w:rPr>
        <w:t xml:space="preserve"> </w:t>
      </w:r>
      <w:r>
        <w:rPr>
          <w:rtl/>
        </w:rPr>
        <w:t xml:space="preserve">לקביעת האמת", ונפתח </w:t>
      </w:r>
      <w:r w:rsidRPr="001B3E45">
        <w:rPr>
          <w:b/>
          <w:bCs/>
          <w:rtl/>
        </w:rPr>
        <w:t>פתח עצום להחלטות שגויות וניצול לרעה של הסמכות</w:t>
      </w:r>
      <w:r>
        <w:rPr>
          <w:rtl/>
        </w:rPr>
        <w:t>.</w:t>
      </w:r>
      <w:r>
        <w:rPr>
          <w:rStyle w:val="af0"/>
          <w:rtl/>
        </w:rPr>
        <w:footnoteReference w:id="11"/>
      </w:r>
    </w:p>
    <w:p w:rsidR="00286ADB" w:rsidRDefault="00286ADB" w:rsidP="00103F93">
      <w:pPr>
        <w:pStyle w:val="1"/>
      </w:pPr>
      <w:r w:rsidRPr="00286ADB">
        <w:rPr>
          <w:rFonts w:hint="cs"/>
          <w:rtl/>
        </w:rPr>
        <w:t xml:space="preserve">הדבר נכון במיוחד כאשר </w:t>
      </w:r>
      <w:r w:rsidRPr="00286ADB">
        <w:rPr>
          <w:rFonts w:hint="cs"/>
          <w:b/>
          <w:bCs/>
          <w:rtl/>
        </w:rPr>
        <w:t>מדובר בפגיעה בזכויות יסוד של צדדים שלישיים</w:t>
      </w:r>
      <w:r w:rsidRPr="00286ADB">
        <w:rPr>
          <w:rFonts w:hint="cs"/>
          <w:rtl/>
        </w:rPr>
        <w:t xml:space="preserve">, במקרה זה </w:t>
      </w:r>
      <w:r w:rsidRPr="00286ADB">
        <w:rPr>
          <w:rtl/>
        </w:rPr>
        <w:t>–</w:t>
      </w:r>
      <w:r w:rsidRPr="00286ADB">
        <w:rPr>
          <w:rFonts w:hint="cs"/>
          <w:rtl/>
        </w:rPr>
        <w:t xml:space="preserve"> </w:t>
      </w:r>
      <w:r w:rsidRPr="00286ADB">
        <w:rPr>
          <w:rFonts w:hint="cs"/>
          <w:b/>
          <w:bCs/>
          <w:rtl/>
        </w:rPr>
        <w:t>כלל משתמשי האינטרנט</w:t>
      </w:r>
      <w:r w:rsidRPr="00286ADB">
        <w:rPr>
          <w:rFonts w:hint="cs"/>
          <w:rtl/>
        </w:rPr>
        <w:t xml:space="preserve"> ומפעילים של </w:t>
      </w:r>
      <w:r w:rsidRPr="00286ADB">
        <w:rPr>
          <w:rFonts w:hint="cs"/>
          <w:b/>
          <w:bCs/>
          <w:rtl/>
        </w:rPr>
        <w:t>אתרי אינטרנט אחרים שעשויים להיפגע</w:t>
      </w:r>
      <w:r w:rsidRPr="00286ADB">
        <w:rPr>
          <w:rFonts w:hint="cs"/>
          <w:rtl/>
        </w:rPr>
        <w:t xml:space="preserve"> בעקבות הצו. הדיון המשפטי בבקשה להוצאת צו הגבלת גישה אמור להיערך בנוכחות הבעלים או המפעיל של אתר האינטרנט, ספקי הגישה לאינטרנט או ספקי שירות האיתור, או המפעיל של השרת שבו מאוחסן האתר (ס' 3(א)). בהליך זה אין ייצוג לאינטרס של ציבור משתמשי האינטרנט להגן על זרימה חופשית של מידע באינטרנט ולהימנע מפגיעה באתרים אחרים.</w:t>
      </w:r>
    </w:p>
    <w:p w:rsidR="00286ADB" w:rsidRDefault="00286ADB" w:rsidP="00103F93">
      <w:pPr>
        <w:pStyle w:val="1"/>
      </w:pPr>
      <w:r w:rsidRPr="00B22027">
        <w:rPr>
          <w:rFonts w:hint="cs"/>
          <w:b/>
          <w:bCs/>
          <w:rtl/>
        </w:rPr>
        <w:t>ספקי השירות עצמם לא יגנו במקרים רבים על אינטרסים כלליים של ציבור משתמשים שאינו מוגדר</w:t>
      </w:r>
      <w:r>
        <w:rPr>
          <w:rFonts w:hint="cs"/>
          <w:rtl/>
        </w:rPr>
        <w:t>. כך, בתיק שהגיע לדיון בבית המשפט העליון בשאלת סמכות המשטרה להגביל גישה לאתרי אינטרנט, בחרו ספקי הגישה ומפעילי האתרים שלא לממש את זכותם לעתור בנושא. היה זה איגוד האינטרנט הישראלי שבחר לייצג את עניינם של משתמשי האינטרנט.</w:t>
      </w:r>
      <w:r>
        <w:rPr>
          <w:rStyle w:val="af0"/>
          <w:rtl/>
        </w:rPr>
        <w:footnoteReference w:id="12"/>
      </w:r>
      <w:r>
        <w:rPr>
          <w:rFonts w:hint="cs"/>
          <w:rtl/>
        </w:rPr>
        <w:t xml:space="preserve"> במקרים שנדונו בבית המשפט המחוזי בעניין זכויות יוצרים, רוב ספקי הגישה בחרו שלא לטעון נגד הגבלת גישה לאתרי אינטרנט.</w:t>
      </w:r>
      <w:r>
        <w:rPr>
          <w:rStyle w:val="af0"/>
          <w:rtl/>
        </w:rPr>
        <w:footnoteReference w:id="13"/>
      </w:r>
    </w:p>
    <w:p w:rsidR="00286ADB" w:rsidRDefault="00286ADB" w:rsidP="007D0376">
      <w:pPr>
        <w:pStyle w:val="1"/>
      </w:pPr>
      <w:r w:rsidRPr="00286ADB">
        <w:rPr>
          <w:rFonts w:hint="cs"/>
          <w:rtl/>
        </w:rPr>
        <w:t xml:space="preserve">הצעת החוק הנוכחית שונה אמנם מההצעה הקודמת בכך שהסמכות להוציא צו להגבלת גישה לאתר אינטרנט כבר אינה נתונה בידיו של קצין משטרה, אלא רק בידיו של בית משפט (ס' 2(א)(1)). עם זאת, גם </w:t>
      </w:r>
      <w:r w:rsidRPr="00286ADB">
        <w:rPr>
          <w:rFonts w:hint="cs"/>
          <w:b/>
          <w:bCs/>
          <w:rtl/>
        </w:rPr>
        <w:t>החלטה שתתקבל על ידי שופט לא תהיה מאוזנת, אם הדיון יתקיים במעמד צד אחד, או במעמד שני צדדים רק באופן פורמלי, מבלי ייצוג של כלל הגולשים</w:t>
      </w:r>
      <w:r w:rsidRPr="00286ADB">
        <w:rPr>
          <w:rFonts w:hint="cs"/>
          <w:rtl/>
        </w:rPr>
        <w:t xml:space="preserve">. האפשרות להסתמך על ראיות חסויות ולהשתמש בראיות שאינן קבילות </w:t>
      </w:r>
      <w:r w:rsidR="007D0376">
        <w:rPr>
          <w:rFonts w:hint="cs"/>
          <w:rtl/>
        </w:rPr>
        <w:t>תפגע ב</w:t>
      </w:r>
      <w:r w:rsidRPr="00286ADB">
        <w:rPr>
          <w:rFonts w:hint="cs"/>
          <w:rtl/>
        </w:rPr>
        <w:t xml:space="preserve">מלאכת האיזון העדינה הנדרשת בין הצורך בהגבלת </w:t>
      </w:r>
      <w:bookmarkStart w:id="2" w:name="_GoBack"/>
      <w:bookmarkEnd w:id="2"/>
      <w:r w:rsidRPr="00286ADB">
        <w:rPr>
          <w:rFonts w:hint="cs"/>
          <w:rtl/>
        </w:rPr>
        <w:t>גישה לבין הפגיעה באתרי אינטרנט אחרים ובזכויות אחרות.</w:t>
      </w:r>
    </w:p>
    <w:p w:rsidR="00106E76" w:rsidRDefault="00561D4D" w:rsidP="00FB16B9">
      <w:pPr>
        <w:pStyle w:val="1"/>
        <w:rPr>
          <w:rtl/>
        </w:rPr>
      </w:pPr>
      <w:r>
        <w:rPr>
          <w:rFonts w:hint="cs"/>
          <w:rtl/>
        </w:rPr>
        <w:t>בעוד ש</w:t>
      </w:r>
      <w:r w:rsidR="00106E76">
        <w:rPr>
          <w:rFonts w:hint="cs"/>
          <w:rtl/>
        </w:rPr>
        <w:t xml:space="preserve">הסמכות להוציא צו עברה לידיו של בית המשפט, נותרה </w:t>
      </w:r>
      <w:r>
        <w:rPr>
          <w:rFonts w:hint="cs"/>
          <w:rtl/>
        </w:rPr>
        <w:t xml:space="preserve">עדיין </w:t>
      </w:r>
      <w:r w:rsidR="00106E76">
        <w:rPr>
          <w:rFonts w:hint="cs"/>
          <w:rtl/>
        </w:rPr>
        <w:t xml:space="preserve">בידי קציני המשטרה סמכות חשובה </w:t>
      </w:r>
      <w:r w:rsidR="00106E76">
        <w:rPr>
          <w:rtl/>
        </w:rPr>
        <w:t>–</w:t>
      </w:r>
      <w:r w:rsidR="00106E76">
        <w:rPr>
          <w:rFonts w:hint="cs"/>
          <w:rtl/>
        </w:rPr>
        <w:t xml:space="preserve"> </w:t>
      </w:r>
      <w:r w:rsidR="00106E76" w:rsidRPr="00286ADB">
        <w:rPr>
          <w:rFonts w:hint="cs"/>
          <w:rtl/>
        </w:rPr>
        <w:t xml:space="preserve">לקבוע כי </w:t>
      </w:r>
      <w:r w:rsidR="00106E76" w:rsidRPr="00561D4D">
        <w:rPr>
          <w:rFonts w:hint="cs"/>
          <w:b/>
          <w:bCs/>
          <w:rtl/>
        </w:rPr>
        <w:t>אתר אינטרנט ממשיך לפעול באמצעות כתובת אינטרנט אחרת</w:t>
      </w:r>
      <w:r w:rsidR="00106E76">
        <w:rPr>
          <w:rFonts w:hint="cs"/>
          <w:rtl/>
        </w:rPr>
        <w:t xml:space="preserve"> (ס' 2(ג))</w:t>
      </w:r>
      <w:r w:rsidR="00106E76" w:rsidRPr="00286ADB">
        <w:rPr>
          <w:rFonts w:hint="cs"/>
          <w:rtl/>
        </w:rPr>
        <w:t xml:space="preserve">. במקרה כזה, </w:t>
      </w:r>
      <w:r w:rsidR="00106E76" w:rsidRPr="00561D4D">
        <w:rPr>
          <w:rFonts w:hint="cs"/>
          <w:b/>
          <w:bCs/>
          <w:rtl/>
        </w:rPr>
        <w:t>רשאי קצין המשטרה לקבוע כי הצו יחול גם לגבי אתר האינטרנט האחר. לא נקבעו כללים, הנחיות או אמות מידה לקביעה כזו</w:t>
      </w:r>
      <w:r>
        <w:rPr>
          <w:rFonts w:hint="cs"/>
          <w:b/>
          <w:bCs/>
          <w:rtl/>
        </w:rPr>
        <w:t>.</w:t>
      </w:r>
      <w:r w:rsidR="00106E76" w:rsidRPr="00286ADB">
        <w:rPr>
          <w:rFonts w:hint="cs"/>
          <w:rtl/>
        </w:rPr>
        <w:t xml:space="preserve"> לא ברור האם האתר החדש צריך להיות זהה לאתר שלגביו הוצא צו הגבלה, או שמא מספיק שדרכי פעולתו של האתר החדש דומות או </w:t>
      </w:r>
      <w:r w:rsidR="00106E76" w:rsidRPr="00286ADB">
        <w:rPr>
          <w:rFonts w:hint="cs"/>
          <w:rtl/>
        </w:rPr>
        <w:lastRenderedPageBreak/>
        <w:t>קשורות לאלה של האתר המקורי.</w:t>
      </w:r>
      <w:r w:rsidR="00FB16B9">
        <w:rPr>
          <w:rFonts w:hint="cs"/>
          <w:rtl/>
        </w:rPr>
        <w:t xml:space="preserve"> אם האתר האחר מאוחסן גם על שרת אחר, הנזק שעלול להיגרם מחסימת הגישה אליו עשוי להיות גדול יותר מהנזק שנגרם מחסימת האתר המקורי. כל אלה שיקולים שבית המשפט אמור לשקול, ולא קצין משטרה.</w:t>
      </w:r>
    </w:p>
    <w:p w:rsidR="00106E76" w:rsidRDefault="00106E76" w:rsidP="00561D4D">
      <w:pPr>
        <w:pStyle w:val="1"/>
        <w:numPr>
          <w:ilvl w:val="0"/>
          <w:numId w:val="0"/>
        </w:numPr>
        <w:ind w:left="357"/>
        <w:rPr>
          <w:rtl/>
        </w:rPr>
      </w:pPr>
      <w:r w:rsidRPr="00247473">
        <w:rPr>
          <w:rtl/>
        </w:rPr>
        <w:t>אנו מציעים לשנות את נוסח הסעיף ולקבוע כי במקרים שבהם אתר שלגביו הוצא צו ממשיך לפעול באמצעות כתובת אחרת, יש להביא את הנושא לבחינה מחודשת של בית משפט. לחילופין, ניתן להגביל את משך הזמן של הגבלת הגישה לאתר אחר – לשבוע, 15 יום, או 30 יום, שלאחריהם יש צורך לקבל את אישור בית המשפט להמשך הגבלת הגישה לאתר</w:t>
      </w:r>
      <w:r>
        <w:rPr>
          <w:rFonts w:hint="cs"/>
          <w:rtl/>
        </w:rPr>
        <w:t xml:space="preserve"> האחר</w:t>
      </w:r>
      <w:r w:rsidRPr="00247473">
        <w:rPr>
          <w:rtl/>
        </w:rPr>
        <w:t>.</w:t>
      </w:r>
    </w:p>
    <w:p w:rsidR="00ED2798" w:rsidRDefault="00ED2798" w:rsidP="00E66256">
      <w:pPr>
        <w:pStyle w:val="1"/>
      </w:pPr>
      <w:r>
        <w:rPr>
          <w:rFonts w:hint="cs"/>
          <w:rtl/>
        </w:rPr>
        <w:t>ההליך להגבלת גישה לאתר אינטרנט אינו קשור לפי ההצעה להליכים פליליים</w:t>
      </w:r>
      <w:r w:rsidR="006A768B">
        <w:rPr>
          <w:rFonts w:hint="cs"/>
          <w:rtl/>
        </w:rPr>
        <w:t xml:space="preserve">. </w:t>
      </w:r>
      <w:r w:rsidR="006A768B" w:rsidRPr="00FF6A41">
        <w:rPr>
          <w:rFonts w:hint="cs"/>
          <w:b/>
          <w:bCs/>
          <w:rtl/>
        </w:rPr>
        <w:t>לא ברור מהי רמת ההוכחה הנדרשת לצורך שכנועו של בית המשפט כי אכן מתבצעת עבירה, וכי הגבלת הגישה חיונית למניעת המשך ביצוע העבירה.</w:t>
      </w:r>
      <w:r w:rsidR="006A768B" w:rsidRPr="00FF6A41">
        <w:rPr>
          <w:rStyle w:val="af0"/>
          <w:rtl/>
        </w:rPr>
        <w:footnoteReference w:id="14"/>
      </w:r>
      <w:r w:rsidR="00565014" w:rsidRPr="00565014">
        <w:rPr>
          <w:rFonts w:hint="cs"/>
          <w:rtl/>
        </w:rPr>
        <w:t xml:space="preserve"> </w:t>
      </w:r>
      <w:r w:rsidRPr="00286ADB">
        <w:rPr>
          <w:rFonts w:hint="cs"/>
          <w:rtl/>
        </w:rPr>
        <w:t xml:space="preserve">כאשר השרת שעליו מאוחסן האתר נמצא בישראל, </w:t>
      </w:r>
      <w:r w:rsidRPr="000C2E4F">
        <w:rPr>
          <w:rFonts w:hint="cs"/>
          <w:b/>
          <w:bCs/>
          <w:rtl/>
        </w:rPr>
        <w:t>ראוי לדרוש כי הליך הגבלת הגישה לאתר יתבצע רק לאחר השלמתו של הליך פלילי נגד בעל האתר</w:t>
      </w:r>
      <w:r w:rsidRPr="00286ADB">
        <w:rPr>
          <w:rFonts w:hint="cs"/>
          <w:rtl/>
        </w:rPr>
        <w:t>, או לפחות במקביל להליך פלילי שכזה. רשויות האכיפה יכולות לאתר בעלים ומפעילים של אתר אינטרנט המאוחסן בישראל, בניגוד לקשיים לאתר גורמים אלה כאשר האתר מאוחסן מחוץ לישראל. במקום לנקוט בהליך להסרת אתרי אינטרנט או חסימת גישה אליהם, ראוי לברר בהליך פלילי האם האתר אכן משמש לביצוע עבירות.</w:t>
      </w:r>
    </w:p>
    <w:p w:rsidR="00CE21D6" w:rsidRDefault="00286ADB" w:rsidP="00F55AD6">
      <w:pPr>
        <w:pStyle w:val="1"/>
      </w:pPr>
      <w:r w:rsidRPr="00286ADB">
        <w:rPr>
          <w:rFonts w:hint="cs"/>
          <w:rtl/>
        </w:rPr>
        <w:t xml:space="preserve">העבירות המוזכרות בהצעת החוק הינן מהעבירות הקשות ביותר והמזיקות ביותר, ועל המשטרה ורשויות האכיפה לעשות כל שביכולתן כדי למגר אותן. </w:t>
      </w:r>
      <w:r w:rsidRPr="00F55AD6">
        <w:rPr>
          <w:rFonts w:hint="cs"/>
          <w:b/>
          <w:bCs/>
          <w:rtl/>
        </w:rPr>
        <w:t>הדרך הנכונה לעשות זאת היא בחקירה, אכיפה, מניעה, העמדה לדין של העבריינים, ולא באמצעות צנזורה על האינטרנט.</w:t>
      </w:r>
      <w:r w:rsidRPr="00286ADB">
        <w:rPr>
          <w:rFonts w:hint="cs"/>
          <w:rtl/>
        </w:rPr>
        <w:t xml:space="preserve"> אנו סבורים כי יש להשתדל ככל שניתן לא לעשות שימוש באמצעים להגבלת גישה לאתרי אינטרנט, בשל הנזק שעלול להיגרם לחופש הגישה למידע של משתמשי האינטרנט, ובמיוחד האפשרות לפגיעה באתרים אחרים.</w:t>
      </w:r>
      <w:r w:rsidR="00D87116">
        <w:rPr>
          <w:rFonts w:hint="cs"/>
          <w:rtl/>
        </w:rPr>
        <w:t xml:space="preserve"> </w:t>
      </w:r>
    </w:p>
    <w:p w:rsidR="0089376D" w:rsidRDefault="0089376D" w:rsidP="00103F93">
      <w:pPr>
        <w:pStyle w:val="1"/>
        <w:numPr>
          <w:ilvl w:val="0"/>
          <w:numId w:val="0"/>
        </w:numPr>
        <w:ind w:left="357"/>
        <w:rPr>
          <w:rtl/>
        </w:rPr>
      </w:pPr>
    </w:p>
    <w:p w:rsidR="00103F93" w:rsidRDefault="00103F93" w:rsidP="00103F93">
      <w:pPr>
        <w:pStyle w:val="1"/>
        <w:numPr>
          <w:ilvl w:val="0"/>
          <w:numId w:val="0"/>
        </w:numPr>
        <w:ind w:left="357"/>
      </w:pPr>
    </w:p>
    <w:p w:rsidR="00026675" w:rsidRDefault="001D4C0E" w:rsidP="00D02DC7">
      <w:pPr>
        <w:pStyle w:val="1"/>
        <w:numPr>
          <w:ilvl w:val="0"/>
          <w:numId w:val="0"/>
        </w:numPr>
        <w:ind w:left="6912"/>
        <w:jc w:val="center"/>
        <w:rPr>
          <w:rtl/>
        </w:rPr>
      </w:pPr>
      <w:r>
        <w:rPr>
          <w:rFonts w:hint="cs"/>
          <w:rtl/>
        </w:rPr>
        <w:t>בכבוד רב ובברכה,</w:t>
      </w:r>
    </w:p>
    <w:p w:rsidR="00734905" w:rsidRDefault="00CE21D6" w:rsidP="00D02DC7">
      <w:pPr>
        <w:pStyle w:val="1"/>
        <w:numPr>
          <w:ilvl w:val="0"/>
          <w:numId w:val="0"/>
        </w:numPr>
        <w:ind w:left="6912"/>
        <w:jc w:val="center"/>
      </w:pPr>
      <w:r>
        <w:rPr>
          <w:rFonts w:hint="cs"/>
          <w:rtl/>
        </w:rPr>
        <w:t>אורי סבח</w:t>
      </w:r>
      <w:r w:rsidR="00F1599D">
        <w:rPr>
          <w:rFonts w:hint="cs"/>
          <w:rtl/>
        </w:rPr>
        <w:t>, עו"ד</w:t>
      </w:r>
    </w:p>
    <w:sectPr w:rsidR="00734905" w:rsidSect="00A95A7F">
      <w:headerReference w:type="default" r:id="rId9"/>
      <w:footerReference w:type="default" r:id="rId10"/>
      <w:headerReference w:type="first" r:id="rId11"/>
      <w:footerReference w:type="first" r:id="rId12"/>
      <w:endnotePr>
        <w:numFmt w:val="hebrew1"/>
      </w:endnotePr>
      <w:pgSz w:w="11906" w:h="16838"/>
      <w:pgMar w:top="1440" w:right="1588" w:bottom="993" w:left="1701"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F4D" w:rsidRPr="003C1A39" w:rsidRDefault="001D6F4D" w:rsidP="003C1A39">
      <w:pPr>
        <w:pStyle w:val="a6"/>
      </w:pPr>
    </w:p>
    <w:p w:rsidR="001D6F4D" w:rsidRDefault="001D6F4D"/>
  </w:endnote>
  <w:endnote w:type="continuationSeparator" w:id="0">
    <w:p w:rsidR="001D6F4D" w:rsidRDefault="001D6F4D" w:rsidP="003C1A39">
      <w:pPr>
        <w:spacing w:before="0" w:after="0" w:line="240" w:lineRule="auto"/>
      </w:pPr>
      <w:r>
        <w:continuationSeparator/>
      </w:r>
    </w:p>
    <w:p w:rsidR="001D6F4D" w:rsidRDefault="001D6F4D"/>
  </w:endnote>
  <w:endnote w:type="continuationNotice" w:id="1">
    <w:p w:rsidR="001D6F4D" w:rsidRPr="003C1A39" w:rsidRDefault="001D6F4D" w:rsidP="003C1A39">
      <w:pPr>
        <w:pStyle w:val="a6"/>
        <w:spacing w:before="0"/>
      </w:pPr>
    </w:p>
    <w:p w:rsidR="001D6F4D" w:rsidRDefault="001D6F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Guttman Yad-Brush">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791" w:rsidRPr="001D0B41" w:rsidRDefault="00CE21D6" w:rsidP="00A95A7F">
    <w:pPr>
      <w:pStyle w:val="a6"/>
      <w:pBdr>
        <w:top w:val="single" w:sz="4" w:space="1" w:color="auto"/>
      </w:pBdr>
      <w:spacing w:before="0"/>
      <w:jc w:val="center"/>
      <w:rPr>
        <w:color w:val="404040" w:themeColor="text1" w:themeTint="BF"/>
        <w:sz w:val="20"/>
        <w:szCs w:val="20"/>
        <w:rtl/>
      </w:rPr>
    </w:pPr>
    <w:r w:rsidRPr="001D0B41">
      <w:rPr>
        <w:color w:val="404040" w:themeColor="text1" w:themeTint="BF"/>
        <w:sz w:val="20"/>
        <w:szCs w:val="20"/>
        <w:rtl/>
      </w:rPr>
      <w:t>האגודה לזכויות האזרח</w:t>
    </w:r>
    <w:r w:rsidR="001D0B41" w:rsidRPr="001D0B41">
      <w:rPr>
        <w:rFonts w:hint="cs"/>
        <w:color w:val="404040" w:themeColor="text1" w:themeTint="BF"/>
        <w:sz w:val="20"/>
        <w:szCs w:val="20"/>
        <w:rtl/>
      </w:rPr>
      <w:t xml:space="preserve"> בישראל</w:t>
    </w:r>
    <w:r w:rsidRPr="001D0B41">
      <w:rPr>
        <w:color w:val="404040" w:themeColor="text1" w:themeTint="BF"/>
        <w:sz w:val="20"/>
        <w:szCs w:val="20"/>
        <w:rtl/>
      </w:rPr>
      <w:t>, ת"ד 51070, נצרת 1616701, טל': 04-8526333, פקס: 04-8526331</w:t>
    </w:r>
  </w:p>
  <w:p w:rsidR="00B54791" w:rsidRPr="001D0B41" w:rsidRDefault="001D0B41" w:rsidP="001D0B41">
    <w:pPr>
      <w:pStyle w:val="a6"/>
      <w:pBdr>
        <w:top w:val="single" w:sz="4" w:space="1" w:color="auto"/>
      </w:pBdr>
      <w:tabs>
        <w:tab w:val="left" w:pos="915"/>
        <w:tab w:val="center" w:pos="4308"/>
      </w:tabs>
      <w:spacing w:before="0"/>
      <w:rPr>
        <w:bCs/>
        <w:i/>
        <w:iCs/>
        <w:color w:val="000000"/>
        <w:sz w:val="20"/>
        <w:szCs w:val="20"/>
        <w:rtl/>
      </w:rPr>
    </w:pPr>
    <w:r w:rsidRPr="001D0B41">
      <w:rPr>
        <w:i/>
        <w:iCs/>
        <w:sz w:val="20"/>
        <w:szCs w:val="20"/>
      </w:rPr>
      <w:tab/>
    </w:r>
    <w:r w:rsidRPr="001D0B41">
      <w:rPr>
        <w:i/>
        <w:iCs/>
        <w:sz w:val="20"/>
        <w:szCs w:val="20"/>
      </w:rPr>
      <w:tab/>
    </w:r>
    <w:hyperlink r:id="rId1" w:history="1">
      <w:r w:rsidRPr="001D0B41">
        <w:rPr>
          <w:rStyle w:val="Hyperlink"/>
          <w:rFonts w:asciiTheme="majorBidi" w:hAnsiTheme="majorBidi"/>
          <w:i/>
          <w:iCs/>
          <w:sz w:val="20"/>
          <w:szCs w:val="20"/>
        </w:rPr>
        <w:t>www.acri.org.il</w:t>
      </w:r>
    </w:hyperlink>
    <w:r w:rsidRPr="001D0B41">
      <w:rPr>
        <w:rFonts w:asciiTheme="majorBidi" w:hAnsiTheme="majorBidi"/>
        <w:i/>
        <w:iCs/>
        <w:sz w:val="20"/>
        <w:szCs w:val="20"/>
      </w:rPr>
      <w:t xml:space="preserve">   |  </w:t>
    </w:r>
    <w:hyperlink r:id="rId2" w:history="1"/>
    <w:r w:rsidRPr="001D0B41">
      <w:rPr>
        <w:rStyle w:val="Hyperlink"/>
        <w:rFonts w:asciiTheme="majorBidi" w:hAnsiTheme="majorBidi" w:hint="cs"/>
        <w:i/>
        <w:iCs/>
        <w:sz w:val="20"/>
        <w:szCs w:val="20"/>
        <w:rtl/>
      </w:rPr>
      <w:t xml:space="preserve"> </w:t>
    </w:r>
    <w:hyperlink r:id="rId3" w:history="1">
      <w:r w:rsidRPr="001D0B41">
        <w:rPr>
          <w:rStyle w:val="Hyperlink"/>
          <w:rFonts w:asciiTheme="majorBidi" w:hAnsiTheme="majorBidi"/>
          <w:i/>
          <w:iCs/>
          <w:sz w:val="20"/>
          <w:szCs w:val="20"/>
        </w:rPr>
        <w:t>uris@acri.org.il</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1D6" w:rsidRPr="001D0B41" w:rsidRDefault="00CE21D6" w:rsidP="00854A13">
    <w:pPr>
      <w:pStyle w:val="a6"/>
      <w:pBdr>
        <w:top w:val="single" w:sz="4" w:space="1" w:color="auto"/>
      </w:pBdr>
      <w:spacing w:before="0"/>
      <w:jc w:val="center"/>
      <w:rPr>
        <w:rFonts w:asciiTheme="majorBidi" w:hAnsiTheme="majorBidi"/>
        <w:spacing w:val="-4"/>
        <w:sz w:val="20"/>
        <w:szCs w:val="20"/>
        <w:rtl/>
      </w:rPr>
    </w:pPr>
    <w:r w:rsidRPr="001D0B41">
      <w:rPr>
        <w:rFonts w:asciiTheme="majorBidi" w:hAnsiTheme="majorBidi"/>
        <w:spacing w:val="-4"/>
        <w:sz w:val="20"/>
        <w:szCs w:val="20"/>
        <w:rtl/>
      </w:rPr>
      <w:t xml:space="preserve">האגודה לזכויות האזרח בישראל (ע"ר) | </w:t>
    </w:r>
    <w:r w:rsidRPr="001D0B41">
      <w:rPr>
        <w:rFonts w:ascii="Arial" w:hAnsi="Arial" w:cs="Arial" w:hint="cs"/>
        <w:spacing w:val="-4"/>
        <w:sz w:val="20"/>
        <w:szCs w:val="20"/>
        <w:rtl/>
        <w:lang w:bidi="ar-SA"/>
      </w:rPr>
      <w:t>جمعية</w:t>
    </w:r>
    <w:r w:rsidRPr="001D0B41">
      <w:rPr>
        <w:rFonts w:asciiTheme="majorBidi" w:hAnsiTheme="majorBidi"/>
        <w:spacing w:val="-4"/>
        <w:sz w:val="20"/>
        <w:szCs w:val="20"/>
        <w:rtl/>
        <w:lang w:bidi="ar-SA"/>
      </w:rPr>
      <w:t xml:space="preserve"> </w:t>
    </w:r>
    <w:r w:rsidRPr="001D0B41">
      <w:rPr>
        <w:rFonts w:ascii="Arial" w:hAnsi="Arial" w:cs="Arial" w:hint="cs"/>
        <w:spacing w:val="-4"/>
        <w:sz w:val="20"/>
        <w:szCs w:val="20"/>
        <w:rtl/>
        <w:lang w:bidi="ar-SA"/>
      </w:rPr>
      <w:t>حقوق</w:t>
    </w:r>
    <w:r w:rsidRPr="001D0B41">
      <w:rPr>
        <w:rFonts w:asciiTheme="majorBidi" w:hAnsiTheme="majorBidi"/>
        <w:spacing w:val="-4"/>
        <w:sz w:val="20"/>
        <w:szCs w:val="20"/>
        <w:rtl/>
        <w:lang w:bidi="ar-SA"/>
      </w:rPr>
      <w:t xml:space="preserve"> </w:t>
    </w:r>
    <w:r w:rsidRPr="001D0B41">
      <w:rPr>
        <w:rFonts w:ascii="Arial" w:hAnsi="Arial" w:cs="Arial" w:hint="cs"/>
        <w:spacing w:val="-4"/>
        <w:sz w:val="20"/>
        <w:szCs w:val="20"/>
        <w:rtl/>
        <w:lang w:bidi="ar-SA"/>
      </w:rPr>
      <w:t>المواطن</w:t>
    </w:r>
    <w:r w:rsidRPr="001D0B41">
      <w:rPr>
        <w:rFonts w:asciiTheme="majorBidi" w:hAnsiTheme="majorBidi"/>
        <w:spacing w:val="-4"/>
        <w:sz w:val="20"/>
        <w:szCs w:val="20"/>
        <w:rtl/>
        <w:lang w:bidi="ar-SA"/>
      </w:rPr>
      <w:t xml:space="preserve"> </w:t>
    </w:r>
    <w:r w:rsidRPr="001D0B41">
      <w:rPr>
        <w:rFonts w:ascii="Arial" w:hAnsi="Arial" w:cs="Arial" w:hint="cs"/>
        <w:spacing w:val="-4"/>
        <w:sz w:val="20"/>
        <w:szCs w:val="20"/>
        <w:rtl/>
        <w:lang w:bidi="ar-SA"/>
      </w:rPr>
      <w:t>في</w:t>
    </w:r>
    <w:r w:rsidRPr="001D0B41">
      <w:rPr>
        <w:rFonts w:asciiTheme="majorBidi" w:hAnsiTheme="majorBidi"/>
        <w:spacing w:val="-4"/>
        <w:sz w:val="20"/>
        <w:szCs w:val="20"/>
        <w:rtl/>
        <w:lang w:bidi="ar-SA"/>
      </w:rPr>
      <w:t xml:space="preserve"> </w:t>
    </w:r>
    <w:r w:rsidRPr="001D0B41">
      <w:rPr>
        <w:rFonts w:ascii="Arial" w:hAnsi="Arial" w:cs="Arial" w:hint="cs"/>
        <w:spacing w:val="-4"/>
        <w:sz w:val="20"/>
        <w:szCs w:val="20"/>
        <w:rtl/>
        <w:lang w:bidi="ar-SA"/>
      </w:rPr>
      <w:t>اسرائيل</w:t>
    </w:r>
    <w:r w:rsidRPr="001D0B41">
      <w:rPr>
        <w:rFonts w:asciiTheme="majorBidi" w:hAnsiTheme="majorBidi"/>
        <w:spacing w:val="-4"/>
        <w:sz w:val="20"/>
        <w:szCs w:val="20"/>
        <w:rtl/>
      </w:rPr>
      <w:t xml:space="preserve"> |</w:t>
    </w:r>
    <w:r w:rsidRPr="001D0B41">
      <w:rPr>
        <w:rFonts w:asciiTheme="majorBidi" w:hAnsiTheme="majorBidi"/>
        <w:spacing w:val="-4"/>
        <w:sz w:val="20"/>
        <w:szCs w:val="20"/>
        <w:lang w:bidi="ar-JO"/>
      </w:rPr>
      <w:t xml:space="preserve">(ACRI) </w:t>
    </w:r>
    <w:r w:rsidRPr="001D0B41">
      <w:rPr>
        <w:rFonts w:asciiTheme="majorBidi" w:hAnsiTheme="majorBidi"/>
        <w:spacing w:val="-4"/>
        <w:sz w:val="20"/>
        <w:szCs w:val="20"/>
        <w:rtl/>
      </w:rPr>
      <w:t xml:space="preserve"> </w:t>
    </w:r>
    <w:r w:rsidRPr="001D0B41">
      <w:rPr>
        <w:rFonts w:asciiTheme="majorBidi" w:hAnsiTheme="majorBidi"/>
        <w:spacing w:val="-4"/>
        <w:sz w:val="20"/>
        <w:szCs w:val="20"/>
      </w:rPr>
      <w:t>The Association for Civil Rights in Israel</w:t>
    </w:r>
  </w:p>
  <w:p w:rsidR="00854A13" w:rsidRDefault="00CE21D6" w:rsidP="001D0B41">
    <w:pPr>
      <w:pStyle w:val="a6"/>
      <w:spacing w:before="0"/>
      <w:jc w:val="center"/>
      <w:rPr>
        <w:rFonts w:asciiTheme="majorBidi" w:hAnsiTheme="majorBidi"/>
        <w:sz w:val="20"/>
        <w:szCs w:val="20"/>
      </w:rPr>
    </w:pPr>
    <w:r w:rsidRPr="001D0B41">
      <w:rPr>
        <w:rFonts w:asciiTheme="majorBidi" w:hAnsiTheme="majorBidi"/>
        <w:sz w:val="20"/>
        <w:szCs w:val="20"/>
        <w:rtl/>
      </w:rPr>
      <w:t xml:space="preserve">ת"ד 51070, נצרת 1616701 | </w:t>
    </w:r>
    <w:r w:rsidRPr="001D0B41">
      <w:rPr>
        <w:rFonts w:ascii="Arial" w:hAnsi="Arial" w:cs="Arial" w:hint="cs"/>
        <w:sz w:val="20"/>
        <w:szCs w:val="20"/>
        <w:rtl/>
        <w:lang w:bidi="ar-SA"/>
      </w:rPr>
      <w:t>ص</w:t>
    </w:r>
    <w:r w:rsidRPr="001D0B41">
      <w:rPr>
        <w:rFonts w:asciiTheme="majorBidi" w:hAnsiTheme="majorBidi"/>
        <w:sz w:val="20"/>
        <w:szCs w:val="20"/>
        <w:rtl/>
        <w:lang w:bidi="ar-SA"/>
      </w:rPr>
      <w:t xml:space="preserve">. </w:t>
    </w:r>
    <w:r w:rsidRPr="001D0B41">
      <w:rPr>
        <w:rFonts w:ascii="Arial" w:hAnsi="Arial" w:cs="Arial" w:hint="cs"/>
        <w:sz w:val="20"/>
        <w:szCs w:val="20"/>
        <w:rtl/>
        <w:lang w:bidi="ar-SA"/>
      </w:rPr>
      <w:t>ب</w:t>
    </w:r>
    <w:r w:rsidRPr="001D0B41">
      <w:rPr>
        <w:rFonts w:asciiTheme="majorBidi" w:hAnsiTheme="majorBidi"/>
        <w:sz w:val="20"/>
        <w:szCs w:val="20"/>
        <w:rtl/>
        <w:lang w:bidi="ar-SA"/>
      </w:rPr>
      <w:t>. 51070</w:t>
    </w:r>
    <w:r w:rsidRPr="001D0B41">
      <w:rPr>
        <w:rFonts w:asciiTheme="majorBidi" w:hAnsiTheme="majorBidi"/>
        <w:sz w:val="20"/>
        <w:szCs w:val="20"/>
        <w:rtl/>
      </w:rPr>
      <w:t xml:space="preserve"> </w:t>
    </w:r>
    <w:r w:rsidRPr="001D0B41">
      <w:rPr>
        <w:rFonts w:ascii="Arial" w:hAnsi="Arial" w:cs="Arial" w:hint="cs"/>
        <w:sz w:val="20"/>
        <w:szCs w:val="20"/>
        <w:rtl/>
        <w:lang w:bidi="ar-SA"/>
      </w:rPr>
      <w:t>الناصرة</w:t>
    </w:r>
    <w:r w:rsidRPr="001D0B41">
      <w:rPr>
        <w:rFonts w:asciiTheme="majorBidi" w:hAnsiTheme="majorBidi"/>
        <w:sz w:val="20"/>
        <w:szCs w:val="20"/>
        <w:rtl/>
        <w:lang w:bidi="ar-SA"/>
      </w:rPr>
      <w:t xml:space="preserve"> 1616701</w:t>
    </w:r>
    <w:r w:rsidRPr="001D0B41">
      <w:rPr>
        <w:rFonts w:asciiTheme="majorBidi" w:hAnsiTheme="majorBidi"/>
        <w:sz w:val="20"/>
        <w:szCs w:val="20"/>
        <w:rtl/>
      </w:rPr>
      <w:t xml:space="preserve"> | </w:t>
    </w:r>
    <w:r w:rsidRPr="001D0B41">
      <w:rPr>
        <w:rFonts w:asciiTheme="majorBidi" w:hAnsiTheme="majorBidi"/>
        <w:sz w:val="20"/>
        <w:szCs w:val="20"/>
      </w:rPr>
      <w:t>P.O. Box 51070, Nazareth 1616701</w:t>
    </w:r>
    <w:r w:rsidRPr="001D0B41">
      <w:rPr>
        <w:rFonts w:asciiTheme="majorBidi" w:hAnsiTheme="majorBidi"/>
        <w:sz w:val="20"/>
        <w:szCs w:val="20"/>
      </w:rPr>
      <w:br/>
    </w:r>
    <w:r w:rsidRPr="001D0B41">
      <w:rPr>
        <w:rFonts w:asciiTheme="majorBidi" w:hAnsiTheme="majorBidi"/>
        <w:sz w:val="20"/>
        <w:szCs w:val="20"/>
        <w:rtl/>
      </w:rPr>
      <w:t xml:space="preserve">טלפון | </w:t>
    </w:r>
    <w:r w:rsidRPr="001D0B41">
      <w:rPr>
        <w:rFonts w:ascii="Arial" w:hAnsi="Arial" w:cs="Arial" w:hint="cs"/>
        <w:sz w:val="20"/>
        <w:szCs w:val="20"/>
        <w:rtl/>
        <w:lang w:bidi="ar-SA"/>
      </w:rPr>
      <w:t>هاتف</w:t>
    </w:r>
    <w:r w:rsidRPr="001D0B41">
      <w:rPr>
        <w:rFonts w:asciiTheme="majorBidi" w:hAnsiTheme="majorBidi"/>
        <w:sz w:val="20"/>
        <w:szCs w:val="20"/>
        <w:rtl/>
      </w:rPr>
      <w:t>: 04-8526333</w:t>
    </w:r>
    <w:r w:rsidRPr="001D0B41">
      <w:rPr>
        <w:rFonts w:asciiTheme="majorBidi" w:hAnsiTheme="majorBidi"/>
        <w:sz w:val="20"/>
        <w:szCs w:val="20"/>
      </w:rPr>
      <w:t xml:space="preserve">Phone: </w:t>
    </w:r>
    <w:r w:rsidRPr="001D0B41">
      <w:rPr>
        <w:rFonts w:asciiTheme="majorBidi" w:hAnsiTheme="majorBidi"/>
        <w:sz w:val="20"/>
        <w:szCs w:val="20"/>
        <w:rtl/>
      </w:rPr>
      <w:t xml:space="preserve">, פקס | </w:t>
    </w:r>
    <w:r w:rsidRPr="001D0B41">
      <w:rPr>
        <w:rFonts w:ascii="Arial" w:hAnsi="Arial" w:cs="Arial" w:hint="cs"/>
        <w:sz w:val="20"/>
        <w:szCs w:val="20"/>
        <w:rtl/>
        <w:lang w:bidi="ar-SA"/>
      </w:rPr>
      <w:t>فاكس</w:t>
    </w:r>
    <w:r w:rsidRPr="001D0B41">
      <w:rPr>
        <w:rFonts w:asciiTheme="majorBidi" w:hAnsiTheme="majorBidi"/>
        <w:sz w:val="20"/>
        <w:szCs w:val="20"/>
        <w:rtl/>
      </w:rPr>
      <w:t>: 04-8526331</w:t>
    </w:r>
    <w:r w:rsidRPr="001D0B41">
      <w:rPr>
        <w:rFonts w:asciiTheme="majorBidi" w:hAnsiTheme="majorBidi"/>
        <w:sz w:val="20"/>
        <w:szCs w:val="20"/>
      </w:rPr>
      <w:t xml:space="preserve"> Fax: </w:t>
    </w:r>
  </w:p>
  <w:p w:rsidR="00B54791" w:rsidRPr="001D0B41" w:rsidRDefault="001D6F4D" w:rsidP="001D0B41">
    <w:pPr>
      <w:pStyle w:val="a6"/>
      <w:spacing w:before="0"/>
      <w:jc w:val="center"/>
      <w:rPr>
        <w:rFonts w:asciiTheme="majorBidi" w:hAnsiTheme="majorBidi"/>
        <w:sz w:val="20"/>
        <w:szCs w:val="20"/>
        <w:u w:color="0000FF"/>
        <w:rtl/>
      </w:rPr>
    </w:pPr>
    <w:hyperlink r:id="rId1" w:history="1">
      <w:r w:rsidR="00CE21D6" w:rsidRPr="001D0B41">
        <w:rPr>
          <w:rStyle w:val="Hyperlink"/>
          <w:rFonts w:asciiTheme="majorBidi" w:hAnsiTheme="majorBidi"/>
          <w:i/>
          <w:iCs/>
          <w:sz w:val="20"/>
          <w:szCs w:val="20"/>
        </w:rPr>
        <w:t>www.acri.org.il</w:t>
      </w:r>
    </w:hyperlink>
    <w:r w:rsidR="001D0B41" w:rsidRPr="001D0B41">
      <w:rPr>
        <w:rFonts w:asciiTheme="majorBidi" w:hAnsiTheme="majorBidi"/>
        <w:i/>
        <w:iCs/>
        <w:sz w:val="20"/>
        <w:szCs w:val="20"/>
      </w:rPr>
      <w:t xml:space="preserve">   </w:t>
    </w:r>
    <w:r w:rsidR="00CE21D6" w:rsidRPr="001D0B41">
      <w:rPr>
        <w:rFonts w:asciiTheme="majorBidi" w:hAnsiTheme="majorBidi"/>
        <w:i/>
        <w:iCs/>
        <w:sz w:val="20"/>
        <w:szCs w:val="20"/>
      </w:rPr>
      <w:t xml:space="preserve">|  </w:t>
    </w:r>
    <w:hyperlink r:id="rId2" w:history="1"/>
    <w:r w:rsidR="001D0B41" w:rsidRPr="001D0B41">
      <w:rPr>
        <w:rStyle w:val="Hyperlink"/>
        <w:rFonts w:asciiTheme="majorBidi" w:hAnsiTheme="majorBidi" w:hint="cs"/>
        <w:i/>
        <w:iCs/>
        <w:sz w:val="20"/>
        <w:szCs w:val="20"/>
        <w:rtl/>
      </w:rPr>
      <w:t xml:space="preserve"> </w:t>
    </w:r>
    <w:hyperlink r:id="rId3" w:history="1">
      <w:r w:rsidR="001D0B41" w:rsidRPr="001D0B41">
        <w:rPr>
          <w:rStyle w:val="Hyperlink"/>
          <w:rFonts w:asciiTheme="majorBidi" w:hAnsiTheme="majorBidi"/>
          <w:i/>
          <w:iCs/>
          <w:sz w:val="20"/>
          <w:szCs w:val="20"/>
        </w:rPr>
        <w:t>uris@acri.org.il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F4D" w:rsidRDefault="001D6F4D" w:rsidP="003C1A39">
      <w:pPr>
        <w:spacing w:before="0" w:after="0" w:line="240" w:lineRule="auto"/>
      </w:pPr>
      <w:r>
        <w:separator/>
      </w:r>
    </w:p>
    <w:p w:rsidR="001D6F4D" w:rsidRDefault="001D6F4D"/>
  </w:footnote>
  <w:footnote w:type="continuationSeparator" w:id="0">
    <w:p w:rsidR="001D6F4D" w:rsidRDefault="001D6F4D" w:rsidP="003C1A39">
      <w:pPr>
        <w:spacing w:before="0" w:after="0" w:line="240" w:lineRule="auto"/>
      </w:pPr>
      <w:r>
        <w:continuationSeparator/>
      </w:r>
    </w:p>
    <w:p w:rsidR="001D6F4D" w:rsidRDefault="001D6F4D"/>
  </w:footnote>
  <w:footnote w:type="continuationNotice" w:id="1">
    <w:p w:rsidR="001D6F4D" w:rsidRDefault="001D6F4D" w:rsidP="00AA0338">
      <w:pPr>
        <w:spacing w:before="0" w:after="0" w:line="240" w:lineRule="auto"/>
      </w:pPr>
    </w:p>
    <w:p w:rsidR="001D6F4D" w:rsidRDefault="001D6F4D"/>
  </w:footnote>
  <w:footnote w:id="2">
    <w:p w:rsidR="001D0B41" w:rsidRDefault="001D0B41" w:rsidP="00535F14">
      <w:pPr>
        <w:pStyle w:val="ae"/>
        <w:rPr>
          <w:rtl/>
        </w:rPr>
      </w:pPr>
      <w:r>
        <w:rPr>
          <w:rStyle w:val="af0"/>
        </w:rPr>
        <w:footnoteRef/>
      </w:r>
      <w:r>
        <w:rPr>
          <w:rtl/>
        </w:rPr>
        <w:t xml:space="preserve"> </w:t>
      </w:r>
      <w:r w:rsidR="00487619">
        <w:rPr>
          <w:rFonts w:hint="cs"/>
          <w:rtl/>
        </w:rPr>
        <w:tab/>
      </w:r>
      <w:r w:rsidRPr="00E56435">
        <w:rPr>
          <w:rFonts w:hint="cs"/>
          <w:rtl/>
        </w:rPr>
        <w:t>הצ</w:t>
      </w:r>
      <w:r w:rsidR="00535F14">
        <w:rPr>
          <w:rFonts w:hint="cs"/>
          <w:rtl/>
        </w:rPr>
        <w:t>עת חוק</w:t>
      </w:r>
      <w:r w:rsidRPr="00E56435">
        <w:rPr>
          <w:rFonts w:hint="cs"/>
          <w:rtl/>
        </w:rPr>
        <w:t xml:space="preserve"> הגבלת שימוש במקום לשם מניעת ביצוע עבירות (תיקון מס'</w:t>
      </w:r>
      <w:r w:rsidRPr="00E56435">
        <w:rPr>
          <w:rFonts w:hint="eastAsia"/>
          <w:rtl/>
        </w:rPr>
        <w:t> </w:t>
      </w:r>
      <w:r w:rsidRPr="00E56435">
        <w:rPr>
          <w:rFonts w:hint="cs"/>
          <w:rtl/>
        </w:rPr>
        <w:t>2), התשע"ד- 2014</w:t>
      </w:r>
      <w:r w:rsidR="00535F14">
        <w:rPr>
          <w:rFonts w:hint="cs"/>
          <w:rtl/>
        </w:rPr>
        <w:t>, ה"ח הממשלה 338</w:t>
      </w:r>
      <w:r w:rsidR="00487619">
        <w:rPr>
          <w:rFonts w:hint="cs"/>
          <w:rtl/>
        </w:rPr>
        <w:t>.</w:t>
      </w:r>
    </w:p>
  </w:footnote>
  <w:footnote w:id="3">
    <w:p w:rsidR="00EF3302" w:rsidRDefault="00EF3302" w:rsidP="00E9198D">
      <w:pPr>
        <w:pStyle w:val="ae"/>
      </w:pPr>
      <w:r>
        <w:rPr>
          <w:rStyle w:val="af0"/>
        </w:rPr>
        <w:footnoteRef/>
      </w:r>
      <w:r>
        <w:rPr>
          <w:rtl/>
        </w:rPr>
        <w:t xml:space="preserve"> </w:t>
      </w:r>
      <w:r w:rsidR="00487619">
        <w:rPr>
          <w:rFonts w:hint="cs"/>
          <w:rtl/>
        </w:rPr>
        <w:tab/>
      </w:r>
      <w:r w:rsidRPr="0030561B">
        <w:rPr>
          <w:rtl/>
        </w:rPr>
        <w:t xml:space="preserve">חוק הגבלת שימוש במקום לשם מניעת ביצוע עבירות (תיקון מס' </w:t>
      </w:r>
      <w:r>
        <w:rPr>
          <w:rFonts w:hint="cs"/>
          <w:rtl/>
        </w:rPr>
        <w:t>2), התשע"ו-2016, ס"ח 942.</w:t>
      </w:r>
    </w:p>
  </w:footnote>
  <w:footnote w:id="4">
    <w:p w:rsidR="00455D2C" w:rsidRDefault="00455D2C" w:rsidP="00E9198D">
      <w:pPr>
        <w:pStyle w:val="ae"/>
        <w:rPr>
          <w:rtl/>
        </w:rPr>
      </w:pPr>
      <w:r>
        <w:rPr>
          <w:rStyle w:val="af0"/>
        </w:rPr>
        <w:footnoteRef/>
      </w:r>
      <w:r>
        <w:rPr>
          <w:rtl/>
        </w:rPr>
        <w:t xml:space="preserve"> </w:t>
      </w:r>
      <w:r w:rsidR="00E9198D">
        <w:tab/>
      </w:r>
      <w:r>
        <w:rPr>
          <w:rtl/>
        </w:rPr>
        <w:t>הגבלת הגישה תהא תקפה רק בנוגע לגישה לאתרים מישראל</w:t>
      </w:r>
      <w:r>
        <w:rPr>
          <w:rFonts w:hint="cs"/>
          <w:rtl/>
        </w:rPr>
        <w:t>, כך ש</w:t>
      </w:r>
      <w:r>
        <w:rPr>
          <w:rtl/>
        </w:rPr>
        <w:t>משתמשי אינטרנט ממדינות אחרות יוכלו עדיין לגשת לאתרי האינטרנט ולצרוך את התכנים המופיעים בהם. העבירות המתקיימות במסגרת פעילות האתר ימשיכו להתקיים, כל עוד האתר ימשיך לפעול</w:t>
      </w:r>
      <w:r>
        <w:rPr>
          <w:rFonts w:hint="cs"/>
          <w:rtl/>
        </w:rPr>
        <w:t xml:space="preserve">. </w:t>
      </w:r>
    </w:p>
    <w:p w:rsidR="00455D2C" w:rsidRDefault="00455D2C" w:rsidP="00E9198D">
      <w:pPr>
        <w:pStyle w:val="ae"/>
        <w:ind w:firstLine="0"/>
      </w:pPr>
      <w:r>
        <w:rPr>
          <w:rtl/>
        </w:rPr>
        <w:t xml:space="preserve">גם משתמשי אינטרנט ישראלים יוכלו לעקוף את הגבלת הגישה </w:t>
      </w:r>
      <w:r>
        <w:rPr>
          <w:rFonts w:hint="cs"/>
          <w:rtl/>
        </w:rPr>
        <w:t xml:space="preserve">אם יגלשו באמצעות תוכנות </w:t>
      </w:r>
      <w:r>
        <w:rPr>
          <w:rtl/>
        </w:rPr>
        <w:t xml:space="preserve">מסוימות (כמו </w:t>
      </w:r>
      <w:r>
        <w:t>Tor browser</w:t>
      </w:r>
      <w:r>
        <w:rPr>
          <w:rtl/>
        </w:rPr>
        <w:t xml:space="preserve">), באמצעות פרוקסי או שירות </w:t>
      </w:r>
      <w:r>
        <w:t>VPN</w:t>
      </w:r>
      <w:r>
        <w:rPr>
          <w:rtl/>
        </w:rPr>
        <w:t>. אמצעים אלה יכולים לדמות גלישה מישראל, כאילו היא מתבצעת ממדינה אחרת, וכך החסימה והגבלת הגישה המופעלת על ידי ספקי הגישה הישראלים לא תהיה יעילה.</w:t>
      </w:r>
      <w:r>
        <w:rPr>
          <w:rFonts w:hint="cs"/>
          <w:rtl/>
        </w:rPr>
        <w:t xml:space="preserve"> על הבעיות הטכניות </w:t>
      </w:r>
      <w:r w:rsidRPr="00E9198D">
        <w:rPr>
          <w:rFonts w:hint="cs"/>
          <w:rtl/>
        </w:rPr>
        <w:t>בחסימת</w:t>
      </w:r>
      <w:r>
        <w:rPr>
          <w:rFonts w:hint="cs"/>
          <w:rtl/>
        </w:rPr>
        <w:t xml:space="preserve"> גישה לאתרים והאפשרויות לעקוף את החסימות ראו מסמכים </w:t>
      </w:r>
      <w:r w:rsidRPr="00FE3E28">
        <w:rPr>
          <w:rFonts w:hint="cs"/>
          <w:rtl/>
        </w:rPr>
        <w:t xml:space="preserve">שהוגשו לקראת הדיון בהצעת החוק הקודמת </w:t>
      </w:r>
      <w:hyperlink r:id="rId1" w:history="1">
        <w:r w:rsidRPr="00FE3E28">
          <w:rPr>
            <w:rStyle w:val="Hyperlink"/>
            <w:rFonts w:hint="cs"/>
            <w:rtl/>
          </w:rPr>
          <w:t>מטעם איגוד האינטרנט הישראלי</w:t>
        </w:r>
      </w:hyperlink>
      <w:r>
        <w:rPr>
          <w:rFonts w:hint="cs"/>
          <w:rtl/>
        </w:rPr>
        <w:t xml:space="preserve"> (מכתב מעו"ד חיים רביה, בשם איגוד האינטרנט הישראלי לעו"ד ד"ר גור בליי, בא כוח הכנסת (3.9.2014)) ו</w:t>
      </w:r>
      <w:hyperlink r:id="rId2" w:history="1">
        <w:r w:rsidRPr="00FE3E28">
          <w:rPr>
            <w:rStyle w:val="Hyperlink"/>
            <w:rFonts w:hint="cs"/>
            <w:rtl/>
          </w:rPr>
          <w:t>מטעם מר דורון שקמוני</w:t>
        </w:r>
      </w:hyperlink>
      <w:r>
        <w:rPr>
          <w:rFonts w:hint="cs"/>
          <w:rtl/>
        </w:rPr>
        <w:t xml:space="preserve"> (מכתב מדורון שקמוני לייעוץ המשפטי </w:t>
      </w:r>
      <w:r>
        <w:rPr>
          <w:rtl/>
        </w:rPr>
        <w:t>–</w:t>
      </w:r>
      <w:r>
        <w:rPr>
          <w:rFonts w:hint="cs"/>
          <w:rtl/>
        </w:rPr>
        <w:t xml:space="preserve"> ועדת החוקה, חוק ומשפט (אוקטובר 2014)).</w:t>
      </w:r>
    </w:p>
  </w:footnote>
  <w:footnote w:id="5">
    <w:p w:rsidR="00455D2C" w:rsidRDefault="00455D2C" w:rsidP="00E9198D">
      <w:pPr>
        <w:pStyle w:val="ae"/>
      </w:pPr>
      <w:r>
        <w:rPr>
          <w:rStyle w:val="af0"/>
        </w:rPr>
        <w:footnoteRef/>
      </w:r>
      <w:r>
        <w:rPr>
          <w:rtl/>
        </w:rPr>
        <w:t xml:space="preserve"> </w:t>
      </w:r>
      <w:r>
        <w:rPr>
          <w:rFonts w:hint="cs"/>
          <w:rtl/>
        </w:rPr>
        <w:t xml:space="preserve">פרוטוקול ישיבה מס' 261 של ועדת החוקה, חוק ומשפט, הכנסת ה-19, 6-5 (19.11.2014) </w:t>
      </w:r>
      <w:hyperlink r:id="rId3" w:history="1">
        <w:r w:rsidR="001A186A" w:rsidRPr="00085914">
          <w:rPr>
            <w:rStyle w:val="Hyperlink"/>
          </w:rPr>
          <w:t>http://fs.knesset.gov.il//19/Committees/19_ptv_304164.doc</w:t>
        </w:r>
      </w:hyperlink>
      <w:r>
        <w:rPr>
          <w:rFonts w:hint="cs"/>
          <w:rtl/>
        </w:rPr>
        <w:t xml:space="preserve">. </w:t>
      </w:r>
    </w:p>
  </w:footnote>
  <w:footnote w:id="6">
    <w:p w:rsidR="00455D2C" w:rsidRDefault="00455D2C" w:rsidP="00E9198D">
      <w:pPr>
        <w:pStyle w:val="ae"/>
      </w:pPr>
      <w:r>
        <w:rPr>
          <w:rStyle w:val="af0"/>
        </w:rPr>
        <w:footnoteRef/>
      </w:r>
      <w:r>
        <w:rPr>
          <w:rtl/>
        </w:rPr>
        <w:t xml:space="preserve"> </w:t>
      </w:r>
      <w:r w:rsidR="00E9198D">
        <w:tab/>
      </w:r>
      <w:r>
        <w:rPr>
          <w:rFonts w:hint="cs"/>
          <w:rtl/>
        </w:rPr>
        <w:t>פרוטוקול ישיבה מס' 261 של ועדת החוקה חוק ומשפט, הכנסת ה-19, 31 (19.11.2014).</w:t>
      </w:r>
    </w:p>
  </w:footnote>
  <w:footnote w:id="7">
    <w:p w:rsidR="00230C47" w:rsidRDefault="00230C47" w:rsidP="0080473B">
      <w:pPr>
        <w:pStyle w:val="ae"/>
      </w:pPr>
      <w:r>
        <w:rPr>
          <w:rStyle w:val="af0"/>
        </w:rPr>
        <w:footnoteRef/>
      </w:r>
      <w:r>
        <w:rPr>
          <w:rtl/>
        </w:rPr>
        <w:t xml:space="preserve"> </w:t>
      </w:r>
      <w:r>
        <w:rPr>
          <w:rtl/>
        </w:rPr>
        <w:tab/>
      </w:r>
      <w:hyperlink r:id="rId4" w:history="1">
        <w:r w:rsidRPr="002813EB">
          <w:rPr>
            <w:rStyle w:val="Hyperlink"/>
            <w:rFonts w:hint="cs"/>
            <w:sz w:val="20"/>
            <w:rtl/>
          </w:rPr>
          <w:t>מכתבו של פרופ' מיכאל בירנהק</w:t>
        </w:r>
      </w:hyperlink>
      <w:r>
        <w:rPr>
          <w:rFonts w:hint="cs"/>
          <w:rtl/>
        </w:rPr>
        <w:t xml:space="preserve"> לוועדת החוקה, חוק ומשפט של הכנסת (19.10.2014), שנשלח בעניין הצעת החוק הקודמת.</w:t>
      </w:r>
    </w:p>
  </w:footnote>
  <w:footnote w:id="8">
    <w:p w:rsidR="001B3E45" w:rsidRDefault="001B3E45" w:rsidP="00E9198D">
      <w:pPr>
        <w:pStyle w:val="ae"/>
      </w:pPr>
      <w:r>
        <w:rPr>
          <w:rStyle w:val="af0"/>
        </w:rPr>
        <w:footnoteRef/>
      </w:r>
      <w:r>
        <w:rPr>
          <w:rtl/>
        </w:rPr>
        <w:t xml:space="preserve"> </w:t>
      </w:r>
      <w:r w:rsidR="00E9198D">
        <w:tab/>
      </w:r>
      <w:r>
        <w:rPr>
          <w:rFonts w:hint="cs"/>
          <w:rtl/>
        </w:rPr>
        <w:t>ראו בדברי ההסבר להצעת החוק הקודמת: "</w:t>
      </w:r>
      <w:r>
        <w:rPr>
          <w:rtl/>
        </w:rPr>
        <w:t>מוצע כי צו הגבלת גישה לאתר אינטרנט יינתן אם</w:t>
      </w:r>
      <w:r>
        <w:rPr>
          <w:rFonts w:hint="cs"/>
          <w:rtl/>
        </w:rPr>
        <w:t xml:space="preserve"> </w:t>
      </w:r>
      <w:r>
        <w:rPr>
          <w:rtl/>
        </w:rPr>
        <w:t>מבוצעות באותו אתר עבירות פליליות</w:t>
      </w:r>
      <w:r>
        <w:rPr>
          <w:rFonts w:hint="cs"/>
          <w:rtl/>
        </w:rPr>
        <w:t xml:space="preserve"> של... </w:t>
      </w:r>
      <w:r>
        <w:rPr>
          <w:rtl/>
        </w:rPr>
        <w:t>מכירת סמים מסוכנים</w:t>
      </w:r>
      <w:r>
        <w:rPr>
          <w:rFonts w:hint="cs"/>
          <w:rtl/>
        </w:rPr>
        <w:t xml:space="preserve"> </w:t>
      </w:r>
      <w:r w:rsidRPr="00F40C40">
        <w:rPr>
          <w:b/>
          <w:bCs/>
          <w:rtl/>
        </w:rPr>
        <w:t>להוציא סמים קלים (פריטים  1</w:t>
      </w:r>
      <w:r w:rsidRPr="00F40C40">
        <w:rPr>
          <w:rFonts w:hint="cs"/>
          <w:b/>
          <w:bCs/>
          <w:rtl/>
        </w:rPr>
        <w:t xml:space="preserve"> </w:t>
      </w:r>
      <w:r w:rsidRPr="00F40C40">
        <w:rPr>
          <w:b/>
          <w:bCs/>
          <w:rtl/>
        </w:rPr>
        <w:t>ו–2</w:t>
      </w:r>
      <w:r w:rsidRPr="00F40C40">
        <w:rPr>
          <w:rFonts w:hint="cs"/>
          <w:b/>
          <w:bCs/>
          <w:rtl/>
        </w:rPr>
        <w:t xml:space="preserve"> </w:t>
      </w:r>
      <w:r w:rsidRPr="00F40C40">
        <w:rPr>
          <w:b/>
          <w:bCs/>
          <w:rtl/>
        </w:rPr>
        <w:t>בסימן א' לחלק א'</w:t>
      </w:r>
      <w:r w:rsidRPr="00F40C40">
        <w:rPr>
          <w:rFonts w:hint="cs"/>
          <w:b/>
          <w:bCs/>
          <w:rtl/>
        </w:rPr>
        <w:t xml:space="preserve"> </w:t>
      </w:r>
      <w:r w:rsidRPr="00F40C40">
        <w:rPr>
          <w:b/>
          <w:bCs/>
          <w:rtl/>
        </w:rPr>
        <w:t>בתוספת הראשונה לפקודת הסמים המסוכנים – קנבוס</w:t>
      </w:r>
      <w:r w:rsidRPr="00F40C40">
        <w:rPr>
          <w:rFonts w:hint="cs"/>
          <w:b/>
          <w:bCs/>
          <w:rtl/>
        </w:rPr>
        <w:t xml:space="preserve"> </w:t>
      </w:r>
      <w:r w:rsidRPr="00F40C40">
        <w:rPr>
          <w:b/>
          <w:bCs/>
          <w:rtl/>
        </w:rPr>
        <w:t>ושרף של קנבוס)</w:t>
      </w:r>
      <w:r>
        <w:rPr>
          <w:rFonts w:hint="cs"/>
          <w:rtl/>
        </w:rPr>
        <w:t>" (ההדגשה אינה במקור). ס' 4ב(ב)(2) להצעת החוק הקודמת, הצ"ח הממשלה התשע"ד, עמ' 342.</w:t>
      </w:r>
    </w:p>
  </w:footnote>
  <w:footnote w:id="9">
    <w:p w:rsidR="009169B3" w:rsidRDefault="009169B3" w:rsidP="009169B3">
      <w:pPr>
        <w:pStyle w:val="ae"/>
      </w:pPr>
      <w:r>
        <w:rPr>
          <w:rStyle w:val="af0"/>
        </w:rPr>
        <w:footnoteRef/>
      </w:r>
      <w:r>
        <w:rPr>
          <w:rtl/>
        </w:rPr>
        <w:t xml:space="preserve"> </w:t>
      </w:r>
      <w:r>
        <w:rPr>
          <w:rtl/>
        </w:rPr>
        <w:tab/>
      </w:r>
      <w:r w:rsidRPr="009169B3">
        <w:rPr>
          <w:rFonts w:hint="cs"/>
          <w:rtl/>
        </w:rPr>
        <w:t xml:space="preserve">הגדרת "ארגון טרור" </w:t>
      </w:r>
      <w:r>
        <w:rPr>
          <w:rFonts w:hint="cs"/>
          <w:rtl/>
        </w:rPr>
        <w:t xml:space="preserve">בהצעת החוק </w:t>
      </w:r>
      <w:r w:rsidRPr="009169B3">
        <w:rPr>
          <w:rFonts w:hint="cs"/>
          <w:rtl/>
        </w:rPr>
        <w:t>מפנה להגדר</w:t>
      </w:r>
      <w:r>
        <w:rPr>
          <w:rFonts w:hint="cs"/>
          <w:rtl/>
        </w:rPr>
        <w:t>ה</w:t>
      </w:r>
      <w:r w:rsidRPr="009169B3">
        <w:rPr>
          <w:rFonts w:hint="cs"/>
          <w:rtl/>
        </w:rPr>
        <w:t xml:space="preserve"> בחוק המאבק בטרור, התשע"ו-2016. אחת ההגדרות </w:t>
      </w:r>
      <w:r>
        <w:rPr>
          <w:rFonts w:hint="cs"/>
          <w:rtl/>
        </w:rPr>
        <w:t>הללו</w:t>
      </w:r>
      <w:r w:rsidRPr="009169B3">
        <w:rPr>
          <w:rFonts w:hint="cs"/>
          <w:rtl/>
        </w:rPr>
        <w:t xml:space="preserve"> </w:t>
      </w:r>
      <w:r>
        <w:rPr>
          <w:rFonts w:hint="cs"/>
          <w:rtl/>
        </w:rPr>
        <w:t>היא</w:t>
      </w:r>
      <w:r w:rsidRPr="009169B3">
        <w:rPr>
          <w:rFonts w:hint="cs"/>
          <w:rtl/>
        </w:rPr>
        <w:t xml:space="preserve"> "חבר בני אדם בתבנית מאורגנת ומתמשכת, שמבצע מעשי טרור או פועל במטרה שיבוצעו מעשי טרור, ובכלל זה חבר בני אדם כאמור שעוסק באימונים או בהדרכה לביצוע מעשי טרור או שעושה פעולה או עסקה בנשק לביצוע מעשי טרור, </w:t>
      </w:r>
      <w:r w:rsidRPr="009169B3">
        <w:rPr>
          <w:rFonts w:hint="cs"/>
          <w:b/>
          <w:bCs/>
          <w:rtl/>
        </w:rPr>
        <w:t>בין שהוכרז ארגון טרור לפי פרק ב' ובין שלא</w:t>
      </w:r>
      <w:r w:rsidRPr="009169B3">
        <w:rPr>
          <w:rFonts w:hint="cs"/>
          <w:rtl/>
        </w:rPr>
        <w:t>".</w:t>
      </w:r>
      <w:r w:rsidR="00FD756F">
        <w:rPr>
          <w:rFonts w:hint="cs"/>
          <w:rtl/>
        </w:rPr>
        <w:t xml:space="preserve"> ס' 2(א)(1) לחוק המאבק בטרור (ההדגשה אינה במקור).</w:t>
      </w:r>
    </w:p>
  </w:footnote>
  <w:footnote w:id="10">
    <w:p w:rsidR="001B3E45" w:rsidRDefault="001B3E45" w:rsidP="00E9198D">
      <w:pPr>
        <w:pStyle w:val="ae"/>
      </w:pPr>
      <w:r>
        <w:rPr>
          <w:rStyle w:val="af0"/>
        </w:rPr>
        <w:footnoteRef/>
      </w:r>
      <w:r>
        <w:rPr>
          <w:rtl/>
        </w:rPr>
        <w:t xml:space="preserve"> </w:t>
      </w:r>
      <w:r w:rsidR="00E9198D">
        <w:tab/>
      </w:r>
      <w:hyperlink r:id="rId5" w:history="1">
        <w:r w:rsidRPr="0035163E">
          <w:rPr>
            <w:rStyle w:val="Hyperlink"/>
            <w:rFonts w:hint="cs"/>
            <w:sz w:val="20"/>
            <w:rtl/>
          </w:rPr>
          <w:t>מכתב מהאגודה לזכויות האזרח בישראל</w:t>
        </w:r>
      </w:hyperlink>
      <w:r>
        <w:rPr>
          <w:rFonts w:hint="cs"/>
          <w:rtl/>
        </w:rPr>
        <w:t xml:space="preserve"> לחה"כ דוד רותם, יו"ר ועדת חוקה, חוק ומשפט (18.11.2014)</w:t>
      </w:r>
      <w:r w:rsidR="00A11E65">
        <w:rPr>
          <w:rFonts w:hint="cs"/>
          <w:rtl/>
        </w:rPr>
        <w:t>.</w:t>
      </w:r>
      <w:r>
        <w:rPr>
          <w:rFonts w:hint="cs"/>
          <w:rtl/>
        </w:rPr>
        <w:t xml:space="preserve"> </w:t>
      </w:r>
    </w:p>
  </w:footnote>
  <w:footnote w:id="11">
    <w:p w:rsidR="001B3E45" w:rsidRDefault="001B3E45" w:rsidP="00E9198D">
      <w:pPr>
        <w:pStyle w:val="ae"/>
      </w:pPr>
      <w:r>
        <w:rPr>
          <w:rStyle w:val="af0"/>
        </w:rPr>
        <w:footnoteRef/>
      </w:r>
      <w:r>
        <w:rPr>
          <w:rtl/>
        </w:rPr>
        <w:t xml:space="preserve"> </w:t>
      </w:r>
      <w:r w:rsidR="00E9198D">
        <w:tab/>
      </w:r>
      <w:r w:rsidRPr="001646D3">
        <w:rPr>
          <w:rtl/>
        </w:rPr>
        <w:t xml:space="preserve">יצחק זמיר "ביטחון וזכויות אדם" </w:t>
      </w:r>
      <w:r w:rsidRPr="001646D3">
        <w:rPr>
          <w:b/>
          <w:bCs/>
          <w:rtl/>
        </w:rPr>
        <w:t>משפטים</w:t>
      </w:r>
      <w:r>
        <w:rPr>
          <w:rtl/>
        </w:rPr>
        <w:t xml:space="preserve"> יט </w:t>
      </w:r>
      <w:r>
        <w:rPr>
          <w:rFonts w:hint="cs"/>
          <w:rtl/>
        </w:rPr>
        <w:t>17, 35 (התשמ"ט).</w:t>
      </w:r>
    </w:p>
  </w:footnote>
  <w:footnote w:id="12">
    <w:p w:rsidR="00286ADB" w:rsidRDefault="00286ADB" w:rsidP="00E9198D">
      <w:pPr>
        <w:pStyle w:val="ae"/>
      </w:pPr>
      <w:r>
        <w:rPr>
          <w:rStyle w:val="af0"/>
        </w:rPr>
        <w:footnoteRef/>
      </w:r>
      <w:r>
        <w:rPr>
          <w:rtl/>
        </w:rPr>
        <w:t xml:space="preserve"> </w:t>
      </w:r>
      <w:r w:rsidR="00E9198D">
        <w:tab/>
      </w:r>
      <w:r w:rsidRPr="00A16CFE">
        <w:rPr>
          <w:rtl/>
        </w:rPr>
        <w:t>עע"ם  3782/12</w:t>
      </w:r>
      <w:r>
        <w:rPr>
          <w:rFonts w:hint="cs"/>
          <w:rtl/>
        </w:rPr>
        <w:t xml:space="preserve"> </w:t>
      </w:r>
      <w:r w:rsidRPr="00A16CFE">
        <w:rPr>
          <w:b/>
          <w:bCs/>
          <w:rtl/>
        </w:rPr>
        <w:t>מפקד מחוז תל אביב-יפו במשטרת ישראל</w:t>
      </w:r>
      <w:r w:rsidRPr="00A16CFE">
        <w:rPr>
          <w:rFonts w:hint="cs"/>
          <w:b/>
          <w:bCs/>
          <w:rtl/>
        </w:rPr>
        <w:t xml:space="preserve"> נ' איגוד האינטרנט הישראלי</w:t>
      </w:r>
      <w:r>
        <w:rPr>
          <w:rFonts w:hint="cs"/>
          <w:rtl/>
        </w:rPr>
        <w:t>, פס' 3(א) לפסק דינו של כבוד השופט סולברג (</w:t>
      </w:r>
      <w:hyperlink r:id="rId6" w:history="1">
        <w:r>
          <w:rPr>
            <w:rStyle w:val="Hyperlink"/>
            <w:rFonts w:hint="cs"/>
            <w:rtl/>
          </w:rPr>
          <w:t xml:space="preserve">פורסם באתר </w:t>
        </w:r>
        <w:r w:rsidRPr="00A16CFE">
          <w:rPr>
            <w:rStyle w:val="Hyperlink"/>
            <w:rFonts w:hint="cs"/>
            <w:rtl/>
          </w:rPr>
          <w:t>הרשות השופטת</w:t>
        </w:r>
      </w:hyperlink>
      <w:r>
        <w:rPr>
          <w:rFonts w:hint="cs"/>
          <w:rtl/>
        </w:rPr>
        <w:t>, 24.3.2013).</w:t>
      </w:r>
    </w:p>
  </w:footnote>
  <w:footnote w:id="13">
    <w:p w:rsidR="00286ADB" w:rsidRDefault="00286ADB" w:rsidP="00E9198D">
      <w:pPr>
        <w:pStyle w:val="ae"/>
      </w:pPr>
      <w:r>
        <w:rPr>
          <w:rStyle w:val="af0"/>
        </w:rPr>
        <w:footnoteRef/>
      </w:r>
      <w:r>
        <w:rPr>
          <w:rtl/>
        </w:rPr>
        <w:t xml:space="preserve"> </w:t>
      </w:r>
      <w:r w:rsidRPr="0045606A">
        <w:rPr>
          <w:rtl/>
        </w:rPr>
        <w:t>ת</w:t>
      </w:r>
      <w:r>
        <w:rPr>
          <w:rFonts w:hint="cs"/>
          <w:rtl/>
        </w:rPr>
        <w:t>"</w:t>
      </w:r>
      <w:r w:rsidRPr="0045606A">
        <w:rPr>
          <w:rtl/>
        </w:rPr>
        <w:t>א (</w:t>
      </w:r>
      <w:r>
        <w:rPr>
          <w:rFonts w:hint="cs"/>
          <w:rtl/>
        </w:rPr>
        <w:t xml:space="preserve">מחוזי </w:t>
      </w:r>
      <w:r w:rsidRPr="0045606A">
        <w:rPr>
          <w:rtl/>
        </w:rPr>
        <w:t xml:space="preserve">ת"א) 33227-11-13 </w:t>
      </w:r>
      <w:r w:rsidRPr="00495040">
        <w:rPr>
          <w:b/>
          <w:bCs/>
          <w:rtl/>
        </w:rPr>
        <w:t xml:space="preserve">אן.אם.סי יונייטד אנטרטיינמנט בע"מ נ' </w:t>
      </w:r>
      <w:r w:rsidRPr="00495040">
        <w:rPr>
          <w:b/>
          <w:bCs/>
        </w:rPr>
        <w:t>BLOOMBERG Inc.</w:t>
      </w:r>
      <w:r>
        <w:rPr>
          <w:rFonts w:hint="cs"/>
          <w:rtl/>
        </w:rPr>
        <w:t>, פס' 6 (</w:t>
      </w:r>
      <w:hyperlink r:id="rId7" w:history="1">
        <w:r w:rsidRPr="00B22027">
          <w:rPr>
            <w:rStyle w:val="Hyperlink"/>
            <w:rFonts w:hint="cs"/>
            <w:rtl/>
          </w:rPr>
          <w:t>פורסם בנבו</w:t>
        </w:r>
      </w:hyperlink>
      <w:r>
        <w:rPr>
          <w:rFonts w:hint="cs"/>
          <w:rtl/>
        </w:rPr>
        <w:t xml:space="preserve">, 12.5.2015); </w:t>
      </w:r>
      <w:r w:rsidRPr="0002535D">
        <w:rPr>
          <w:rtl/>
        </w:rPr>
        <w:t>ת</w:t>
      </w:r>
      <w:r>
        <w:rPr>
          <w:rFonts w:hint="cs"/>
          <w:rtl/>
        </w:rPr>
        <w:t>"</w:t>
      </w:r>
      <w:r w:rsidRPr="0002535D">
        <w:rPr>
          <w:rtl/>
        </w:rPr>
        <w:t>א (</w:t>
      </w:r>
      <w:r>
        <w:rPr>
          <w:rFonts w:hint="cs"/>
          <w:rtl/>
        </w:rPr>
        <w:t xml:space="preserve">מחוזי </w:t>
      </w:r>
      <w:r w:rsidRPr="0002535D">
        <w:rPr>
          <w:rtl/>
        </w:rPr>
        <w:t>ת"א) 37039-05-15</w:t>
      </w:r>
      <w:r>
        <w:rPr>
          <w:rFonts w:hint="cs"/>
          <w:rtl/>
        </w:rPr>
        <w:t xml:space="preserve"> </w:t>
      </w:r>
      <w:r w:rsidRPr="0002535D">
        <w:rPr>
          <w:b/>
          <w:bCs/>
          <w:rtl/>
        </w:rPr>
        <w:t>זיר"ה (זכויות יוצרים ברשת האינטרנט) בע"מ נ' פלוני אלמוני</w:t>
      </w:r>
      <w:r>
        <w:rPr>
          <w:rFonts w:hint="cs"/>
          <w:rtl/>
        </w:rPr>
        <w:t xml:space="preserve"> (</w:t>
      </w:r>
      <w:hyperlink r:id="rId8" w:history="1">
        <w:r w:rsidRPr="00B22027">
          <w:rPr>
            <w:rStyle w:val="Hyperlink"/>
            <w:rFonts w:hint="cs"/>
            <w:rtl/>
          </w:rPr>
          <w:t>פורסם בנבו</w:t>
        </w:r>
      </w:hyperlink>
      <w:r>
        <w:rPr>
          <w:rFonts w:hint="cs"/>
          <w:rtl/>
        </w:rPr>
        <w:t>, החלטה מיום 1.7.2015).</w:t>
      </w:r>
    </w:p>
  </w:footnote>
  <w:footnote w:id="14">
    <w:p w:rsidR="006A768B" w:rsidRDefault="006A768B" w:rsidP="006A768B">
      <w:pPr>
        <w:pStyle w:val="ae"/>
      </w:pPr>
      <w:r>
        <w:rPr>
          <w:rStyle w:val="af0"/>
        </w:rPr>
        <w:footnoteRef/>
      </w:r>
      <w:r>
        <w:rPr>
          <w:rtl/>
        </w:rPr>
        <w:t xml:space="preserve"> </w:t>
      </w:r>
      <w:r>
        <w:rPr>
          <w:rtl/>
        </w:rPr>
        <w:tab/>
      </w:r>
      <w:r>
        <w:rPr>
          <w:rFonts w:hint="cs"/>
          <w:rtl/>
        </w:rPr>
        <w:t xml:space="preserve">ראו, למשל, הוראה בדבר רמת ההוכחה הנדרשת לצורך חילוט רכוש בהליך אזרחי שלא קדם לו הליך פלילי. הוכחת העבירה במקרה כזה תיעשה </w:t>
      </w:r>
      <w:r w:rsidRPr="00565014">
        <w:rPr>
          <w:rFonts w:hint="cs"/>
          <w:b/>
          <w:bCs/>
          <w:rtl/>
        </w:rPr>
        <w:t>ברמת ההוכחה הנדרשת במשפט פלילי</w:t>
      </w:r>
      <w:r>
        <w:rPr>
          <w:rFonts w:hint="cs"/>
          <w:rtl/>
        </w:rPr>
        <w:t>. ס' 17(א) לחוק מאבק בארגוני פשיעה, התשס"ג-2003.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34519478"/>
      <w:docPartObj>
        <w:docPartGallery w:val="Page Numbers (Top of Page)"/>
        <w:docPartUnique/>
      </w:docPartObj>
    </w:sdtPr>
    <w:sdtEndPr/>
    <w:sdtContent>
      <w:sdt>
        <w:sdtPr>
          <w:rPr>
            <w:rtl/>
          </w:rPr>
          <w:id w:val="1560442705"/>
          <w:docPartObj>
            <w:docPartGallery w:val="Page Numbers (Top of Page)"/>
            <w:docPartUnique/>
          </w:docPartObj>
        </w:sdtPr>
        <w:sdtEndPr/>
        <w:sdtContent>
          <w:p w:rsidR="00931FE8" w:rsidRDefault="00460BF0" w:rsidP="000100A5">
            <w:pPr>
              <w:pStyle w:val="a4"/>
              <w:jc w:val="center"/>
            </w:pPr>
            <w:r w:rsidRPr="00616ACD">
              <w:rPr>
                <w:rFonts w:cs="Times New Roman"/>
              </w:rPr>
              <w:fldChar w:fldCharType="begin"/>
            </w:r>
            <w:r w:rsidR="00B54791" w:rsidRPr="00616ACD">
              <w:rPr>
                <w:rFonts w:cs="Times New Roman"/>
              </w:rPr>
              <w:instrText xml:space="preserve"> PAGE   \* MERGEFORMAT </w:instrText>
            </w:r>
            <w:r w:rsidRPr="00616ACD">
              <w:rPr>
                <w:rFonts w:cs="Times New Roman"/>
              </w:rPr>
              <w:fldChar w:fldCharType="separate"/>
            </w:r>
            <w:r w:rsidR="00846183" w:rsidRPr="00846183">
              <w:rPr>
                <w:rFonts w:cs="Times New Roman"/>
                <w:noProof/>
                <w:rtl/>
                <w:lang w:val="he-IL"/>
              </w:rPr>
              <w:t>4</w:t>
            </w:r>
            <w:r w:rsidRPr="00616ACD">
              <w:rPr>
                <w:rFonts w:cs="Times New Roman"/>
              </w:rPr>
              <w:fldChar w:fldCharType="end"/>
            </w:r>
          </w:p>
        </w:sdtContent>
      </w:sd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791" w:rsidRDefault="00B54791">
    <w:pPr>
      <w:pStyle w:val="a4"/>
    </w:pPr>
    <w:r>
      <w:rPr>
        <w:noProof/>
        <w:rtl/>
      </w:rPr>
      <w:drawing>
        <wp:inline distT="0" distB="0" distL="0" distR="0" wp14:anchorId="4BB6288D" wp14:editId="263E811E">
          <wp:extent cx="5606754" cy="1083733"/>
          <wp:effectExtent l="0" t="0" r="0" b="2540"/>
          <wp:docPr id="4" name="תמונה 4" descr="לוג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לוגו"/>
                  <pic:cNvPicPr>
                    <a:picLocks noChangeAspect="1" noChangeArrowheads="1"/>
                  </pic:cNvPicPr>
                </pic:nvPicPr>
                <pic:blipFill>
                  <a:blip r:embed="rId1"/>
                  <a:srcRect/>
                  <a:stretch>
                    <a:fillRect/>
                  </a:stretch>
                </pic:blipFill>
                <pic:spPr bwMode="auto">
                  <a:xfrm>
                    <a:off x="0" y="0"/>
                    <a:ext cx="5606754" cy="1083733"/>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DAA86F0"/>
    <w:lvl w:ilvl="0">
      <w:start w:val="1"/>
      <w:numFmt w:val="decimal"/>
      <w:lvlText w:val="%1."/>
      <w:lvlJc w:val="left"/>
      <w:pPr>
        <w:tabs>
          <w:tab w:val="num" w:pos="1800"/>
        </w:tabs>
        <w:ind w:left="1800" w:hanging="360"/>
      </w:pPr>
    </w:lvl>
  </w:abstractNum>
  <w:abstractNum w:abstractNumId="1">
    <w:nsid w:val="FFFFFF7D"/>
    <w:multiLevelType w:val="singleLevel"/>
    <w:tmpl w:val="C0D67CD0"/>
    <w:lvl w:ilvl="0">
      <w:start w:val="1"/>
      <w:numFmt w:val="decimal"/>
      <w:lvlText w:val="%1."/>
      <w:lvlJc w:val="left"/>
      <w:pPr>
        <w:tabs>
          <w:tab w:val="num" w:pos="1440"/>
        </w:tabs>
        <w:ind w:left="1440" w:hanging="360"/>
      </w:pPr>
    </w:lvl>
  </w:abstractNum>
  <w:abstractNum w:abstractNumId="2">
    <w:nsid w:val="FFFFFF7E"/>
    <w:multiLevelType w:val="singleLevel"/>
    <w:tmpl w:val="64269F9E"/>
    <w:lvl w:ilvl="0">
      <w:start w:val="1"/>
      <w:numFmt w:val="decimal"/>
      <w:lvlText w:val="%1."/>
      <w:lvlJc w:val="left"/>
      <w:pPr>
        <w:tabs>
          <w:tab w:val="num" w:pos="1080"/>
        </w:tabs>
        <w:ind w:left="1080" w:hanging="360"/>
      </w:pPr>
    </w:lvl>
  </w:abstractNum>
  <w:abstractNum w:abstractNumId="3">
    <w:nsid w:val="FFFFFF7F"/>
    <w:multiLevelType w:val="singleLevel"/>
    <w:tmpl w:val="B24A69E8"/>
    <w:lvl w:ilvl="0">
      <w:start w:val="1"/>
      <w:numFmt w:val="decimal"/>
      <w:lvlText w:val="%1."/>
      <w:lvlJc w:val="left"/>
      <w:pPr>
        <w:tabs>
          <w:tab w:val="num" w:pos="720"/>
        </w:tabs>
        <w:ind w:left="720" w:hanging="360"/>
      </w:pPr>
    </w:lvl>
  </w:abstractNum>
  <w:abstractNum w:abstractNumId="4">
    <w:nsid w:val="FFFFFF80"/>
    <w:multiLevelType w:val="singleLevel"/>
    <w:tmpl w:val="EE8060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8540B2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D4A112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EFCBB7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56620E0"/>
    <w:lvl w:ilvl="0">
      <w:start w:val="1"/>
      <w:numFmt w:val="decimal"/>
      <w:lvlText w:val="%1."/>
      <w:lvlJc w:val="left"/>
      <w:pPr>
        <w:tabs>
          <w:tab w:val="num" w:pos="360"/>
        </w:tabs>
        <w:ind w:left="360" w:hanging="360"/>
      </w:pPr>
    </w:lvl>
  </w:abstractNum>
  <w:abstractNum w:abstractNumId="9">
    <w:nsid w:val="FFFFFF89"/>
    <w:multiLevelType w:val="singleLevel"/>
    <w:tmpl w:val="7CFEAC50"/>
    <w:lvl w:ilvl="0">
      <w:start w:val="1"/>
      <w:numFmt w:val="bullet"/>
      <w:lvlText w:val=""/>
      <w:lvlJc w:val="left"/>
      <w:pPr>
        <w:tabs>
          <w:tab w:val="num" w:pos="360"/>
        </w:tabs>
        <w:ind w:left="360" w:hanging="360"/>
      </w:pPr>
      <w:rPr>
        <w:rFonts w:ascii="Symbol" w:hAnsi="Symbol" w:hint="default"/>
      </w:rPr>
    </w:lvl>
  </w:abstractNum>
  <w:abstractNum w:abstractNumId="10">
    <w:nsid w:val="0A046982"/>
    <w:multiLevelType w:val="hybridMultilevel"/>
    <w:tmpl w:val="59EC3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333A0C"/>
    <w:multiLevelType w:val="hybridMultilevel"/>
    <w:tmpl w:val="EF24FAF8"/>
    <w:lvl w:ilvl="0" w:tplc="0409000F">
      <w:start w:val="1"/>
      <w:numFmt w:val="decimal"/>
      <w:lvlText w:val="%1."/>
      <w:lvlJc w:val="left"/>
      <w:pPr>
        <w:tabs>
          <w:tab w:val="num" w:pos="720"/>
        </w:tabs>
        <w:ind w:left="720" w:hanging="360"/>
      </w:pPr>
      <w:rPr>
        <w:rFonts w:cs="Times New Roman"/>
      </w:rPr>
    </w:lvl>
    <w:lvl w:ilvl="1" w:tplc="FAE6FC6A">
      <w:start w:val="1"/>
      <w:numFmt w:val="hebrew1"/>
      <w:lvlText w:val="%2."/>
      <w:lvlJc w:val="center"/>
      <w:pPr>
        <w:tabs>
          <w:tab w:val="num" w:pos="1296"/>
        </w:tabs>
        <w:ind w:left="1296" w:hanging="216"/>
      </w:pPr>
      <w:rPr>
        <w:rFonts w:cs="Times New Roman" w:hint="default"/>
        <w:sz w:val="2"/>
        <w:szCs w:val="24"/>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24255C62"/>
    <w:multiLevelType w:val="hybridMultilevel"/>
    <w:tmpl w:val="26A6F5E0"/>
    <w:lvl w:ilvl="0" w:tplc="67A6D7FA">
      <w:start w:val="1"/>
      <w:numFmt w:val="decimal"/>
      <w:lvlText w:val="%1."/>
      <w:lvlJc w:val="left"/>
      <w:pPr>
        <w:tabs>
          <w:tab w:val="num" w:pos="1080"/>
        </w:tabs>
        <w:ind w:left="1080" w:hanging="720"/>
      </w:pPr>
      <w:rPr>
        <w:rFonts w:cs="Times New Roman" w:hint="cs"/>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3">
    <w:nsid w:val="38F84880"/>
    <w:multiLevelType w:val="hybridMultilevel"/>
    <w:tmpl w:val="3A02CC22"/>
    <w:lvl w:ilvl="0" w:tplc="8D14AAB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nsid w:val="43123ADA"/>
    <w:multiLevelType w:val="hybridMultilevel"/>
    <w:tmpl w:val="1E1C78F6"/>
    <w:lvl w:ilvl="0" w:tplc="F24CDE50">
      <w:start w:val="1"/>
      <w:numFmt w:val="decimal"/>
      <w:lvlText w:val="%1."/>
      <w:lvlJc w:val="left"/>
      <w:pPr>
        <w:ind w:left="360" w:hanging="360"/>
      </w:pPr>
      <w:rPr>
        <w:rFonts w:hint="default"/>
        <w:lang w:bidi="he-I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B9F64CD"/>
    <w:multiLevelType w:val="hybridMultilevel"/>
    <w:tmpl w:val="866443CE"/>
    <w:lvl w:ilvl="0" w:tplc="B3C645F6">
      <w:start w:val="1"/>
      <w:numFmt w:val="decimal"/>
      <w:pStyle w:val="a"/>
      <w:lvlText w:val="%1."/>
      <w:lvlJc w:val="left"/>
      <w:pPr>
        <w:ind w:left="720" w:hanging="360"/>
      </w:pPr>
      <w:rPr>
        <w:rFonts w:ascii="Times New Roman" w:hAnsi="Times New Roman" w:cs="David" w:hint="default"/>
        <w:b w:val="0"/>
        <w:bCs w:val="0"/>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BD7F36"/>
    <w:multiLevelType w:val="multilevel"/>
    <w:tmpl w:val="700024EE"/>
    <w:lvl w:ilvl="0">
      <w:start w:val="1"/>
      <w:numFmt w:val="decimal"/>
      <w:lvlText w:val="%1."/>
      <w:lvlJc w:val="right"/>
      <w:pPr>
        <w:tabs>
          <w:tab w:val="num" w:pos="216"/>
        </w:tabs>
        <w:ind w:left="216" w:right="216" w:hanging="216"/>
      </w:pPr>
      <w:rPr>
        <w:rFonts w:hint="default"/>
        <w:lang w:bidi="he-IL"/>
      </w:rPr>
    </w:lvl>
    <w:lvl w:ilvl="1">
      <w:start w:val="1"/>
      <w:numFmt w:val="decimal"/>
      <w:lvlText w:val="%1.%2."/>
      <w:lvlJc w:val="left"/>
      <w:pPr>
        <w:tabs>
          <w:tab w:val="num" w:pos="576"/>
        </w:tabs>
        <w:ind w:left="576" w:right="576" w:hanging="360"/>
      </w:pPr>
      <w:rPr>
        <w:rFonts w:hint="default"/>
      </w:rPr>
    </w:lvl>
    <w:lvl w:ilvl="2">
      <w:start w:val="1"/>
      <w:numFmt w:val="decimal"/>
      <w:lvlText w:val="%1.%2.%3."/>
      <w:lvlJc w:val="left"/>
      <w:pPr>
        <w:tabs>
          <w:tab w:val="num" w:pos="1296"/>
        </w:tabs>
        <w:ind w:left="936" w:right="936" w:hanging="360"/>
      </w:pPr>
      <w:rPr>
        <w:rFonts w:hint="default"/>
      </w:rPr>
    </w:lvl>
    <w:lvl w:ilvl="3">
      <w:start w:val="1"/>
      <w:numFmt w:val="decimal"/>
      <w:lvlText w:val="%1.%2.%3.%4."/>
      <w:lvlJc w:val="left"/>
      <w:pPr>
        <w:tabs>
          <w:tab w:val="num" w:pos="1800"/>
        </w:tabs>
        <w:ind w:left="1728" w:right="1728" w:hanging="648"/>
      </w:pPr>
      <w:rPr>
        <w:rFonts w:hint="default"/>
      </w:rPr>
    </w:lvl>
    <w:lvl w:ilvl="4">
      <w:start w:val="1"/>
      <w:numFmt w:val="decimal"/>
      <w:lvlText w:val="%1.%2.%3.%4.%5."/>
      <w:lvlJc w:val="left"/>
      <w:pPr>
        <w:tabs>
          <w:tab w:val="num" w:pos="2520"/>
        </w:tabs>
        <w:ind w:left="2232" w:right="2232" w:hanging="792"/>
      </w:pPr>
      <w:rPr>
        <w:rFonts w:hint="default"/>
      </w:rPr>
    </w:lvl>
    <w:lvl w:ilvl="5">
      <w:start w:val="1"/>
      <w:numFmt w:val="decimal"/>
      <w:lvlText w:val="%1.%2.%3.%4.%5.%6."/>
      <w:lvlJc w:val="left"/>
      <w:pPr>
        <w:tabs>
          <w:tab w:val="num" w:pos="2880"/>
        </w:tabs>
        <w:ind w:left="2736" w:right="2736" w:hanging="936"/>
      </w:pPr>
      <w:rPr>
        <w:rFonts w:hint="default"/>
      </w:rPr>
    </w:lvl>
    <w:lvl w:ilvl="6">
      <w:start w:val="1"/>
      <w:numFmt w:val="decimal"/>
      <w:lvlText w:val="%1.%2.%3.%4.%5.%6.%7."/>
      <w:lvlJc w:val="left"/>
      <w:pPr>
        <w:tabs>
          <w:tab w:val="num" w:pos="3600"/>
        </w:tabs>
        <w:ind w:left="3240" w:right="3240" w:hanging="1080"/>
      </w:pPr>
      <w:rPr>
        <w:rFonts w:hint="default"/>
      </w:rPr>
    </w:lvl>
    <w:lvl w:ilvl="7">
      <w:start w:val="1"/>
      <w:numFmt w:val="decimal"/>
      <w:lvlText w:val="%1.%2.%3.%4.%5.%6.%7.%8."/>
      <w:lvlJc w:val="left"/>
      <w:pPr>
        <w:tabs>
          <w:tab w:val="num" w:pos="3960"/>
        </w:tabs>
        <w:ind w:left="3744" w:right="3744" w:hanging="1224"/>
      </w:pPr>
      <w:rPr>
        <w:rFonts w:hint="default"/>
      </w:rPr>
    </w:lvl>
    <w:lvl w:ilvl="8">
      <w:start w:val="1"/>
      <w:numFmt w:val="decimal"/>
      <w:lvlText w:val="%1.%2.%3.%4.%5.%6.%7.%8.%9."/>
      <w:lvlJc w:val="left"/>
      <w:pPr>
        <w:tabs>
          <w:tab w:val="num" w:pos="4680"/>
        </w:tabs>
        <w:ind w:left="4320" w:right="4320" w:hanging="1440"/>
      </w:pPr>
      <w:rPr>
        <w:rFonts w:hint="default"/>
      </w:rPr>
    </w:lvl>
  </w:abstractNum>
  <w:abstractNum w:abstractNumId="17">
    <w:nsid w:val="5DBB1795"/>
    <w:multiLevelType w:val="hybridMultilevel"/>
    <w:tmpl w:val="A1C0A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6B77CB"/>
    <w:multiLevelType w:val="multilevel"/>
    <w:tmpl w:val="BA283DC0"/>
    <w:lvl w:ilvl="0">
      <w:start w:val="1"/>
      <w:numFmt w:val="decimal"/>
      <w:pStyle w:val="1"/>
      <w:lvlText w:val="%1."/>
      <w:lvlJc w:val="right"/>
      <w:pPr>
        <w:tabs>
          <w:tab w:val="num" w:pos="340"/>
        </w:tabs>
        <w:ind w:left="357" w:hanging="244"/>
      </w:pPr>
      <w:rPr>
        <w:rFonts w:ascii="David" w:hAnsi="David" w:cs="David" w:hint="default"/>
        <w:sz w:val="24"/>
        <w:szCs w:val="24"/>
        <w:lang w:val="en-US" w:bidi="he-IL"/>
      </w:rPr>
    </w:lvl>
    <w:lvl w:ilvl="1">
      <w:start w:val="1"/>
      <w:numFmt w:val="decimal"/>
      <w:lvlText w:val="%1.%2."/>
      <w:lvlJc w:val="left"/>
      <w:pPr>
        <w:tabs>
          <w:tab w:val="num" w:pos="907"/>
        </w:tabs>
        <w:ind w:left="851" w:hanging="511"/>
      </w:pPr>
      <w:rPr>
        <w:rFonts w:hint="default"/>
      </w:rPr>
    </w:lvl>
    <w:lvl w:ilvl="2">
      <w:start w:val="1"/>
      <w:numFmt w:val="decimal"/>
      <w:lvlText w:val="%1.%2.%3."/>
      <w:lvlJc w:val="left"/>
      <w:pPr>
        <w:tabs>
          <w:tab w:val="num" w:pos="1440"/>
        </w:tabs>
        <w:ind w:left="1296" w:hanging="576"/>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0"/>
  </w:num>
  <w:num w:numId="2">
    <w:abstractNumId w:val="15"/>
  </w:num>
  <w:num w:numId="3">
    <w:abstractNumId w:val="11"/>
  </w:num>
  <w:num w:numId="4">
    <w:abstractNumId w:val="15"/>
  </w:num>
  <w:num w:numId="5">
    <w:abstractNumId w:val="12"/>
  </w:num>
  <w:num w:numId="6">
    <w:abstractNumId w:val="18"/>
  </w:num>
  <w:num w:numId="7">
    <w:abstractNumId w:val="16"/>
  </w:num>
  <w:num w:numId="8">
    <w:abstractNumId w:val="13"/>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8"/>
  </w:num>
  <w:num w:numId="13">
    <w:abstractNumId w:val="18"/>
  </w:num>
  <w:num w:numId="14">
    <w:abstractNumId w:val="14"/>
  </w:num>
  <w:num w:numId="15">
    <w:abstractNumId w:val="18"/>
  </w:num>
  <w:num w:numId="16">
    <w:abstractNumId w:val="18"/>
  </w:num>
  <w:num w:numId="17">
    <w:abstractNumId w:val="18"/>
  </w:num>
  <w:num w:numId="18">
    <w:abstractNumId w:val="18"/>
  </w:num>
  <w:num w:numId="19">
    <w:abstractNumId w:val="18"/>
  </w:num>
  <w:num w:numId="20">
    <w:abstractNumId w:val="18"/>
  </w:num>
  <w:num w:numId="21">
    <w:abstractNumId w:val="18"/>
  </w:num>
  <w:num w:numId="22">
    <w:abstractNumId w:val="18"/>
  </w:num>
  <w:num w:numId="23">
    <w:abstractNumId w:val="18"/>
  </w:num>
  <w:num w:numId="24">
    <w:abstractNumId w:val="18"/>
  </w:num>
  <w:num w:numId="25">
    <w:abstractNumId w:val="18"/>
  </w:num>
  <w:num w:numId="26">
    <w:abstractNumId w:val="18"/>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 w:numId="37">
    <w:abstractNumId w:val="18"/>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215"/>
  <w:drawingGridHorizontalSpacing w:val="120"/>
  <w:displayHorizontalDrawingGridEvery w:val="2"/>
  <w:characterSpacingControl w:val="doNotCompress"/>
  <w:hdrShapeDefaults>
    <o:shapedefaults v:ext="edit" spidmax="2049"/>
  </w:hdrShapeDefaults>
  <w:footnotePr>
    <w:footnote w:id="-1"/>
    <w:footnote w:id="0"/>
    <w:footnote w:id="1"/>
  </w:footnotePr>
  <w:endnotePr>
    <w:numFmt w:val="hebrew1"/>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1D6"/>
    <w:rsid w:val="00001701"/>
    <w:rsid w:val="000020B6"/>
    <w:rsid w:val="00004426"/>
    <w:rsid w:val="00004861"/>
    <w:rsid w:val="00007D59"/>
    <w:rsid w:val="000100A5"/>
    <w:rsid w:val="000117B7"/>
    <w:rsid w:val="00011E6F"/>
    <w:rsid w:val="00013ADC"/>
    <w:rsid w:val="00023244"/>
    <w:rsid w:val="00023988"/>
    <w:rsid w:val="00026675"/>
    <w:rsid w:val="000333A8"/>
    <w:rsid w:val="0003404A"/>
    <w:rsid w:val="000342A9"/>
    <w:rsid w:val="00036F1C"/>
    <w:rsid w:val="0003731E"/>
    <w:rsid w:val="00040C96"/>
    <w:rsid w:val="00044EC2"/>
    <w:rsid w:val="00060C59"/>
    <w:rsid w:val="00061E76"/>
    <w:rsid w:val="000737BB"/>
    <w:rsid w:val="00084777"/>
    <w:rsid w:val="00085DAB"/>
    <w:rsid w:val="00090A7D"/>
    <w:rsid w:val="00093178"/>
    <w:rsid w:val="0009534A"/>
    <w:rsid w:val="0009540D"/>
    <w:rsid w:val="000A22E2"/>
    <w:rsid w:val="000B09B0"/>
    <w:rsid w:val="000B3D6B"/>
    <w:rsid w:val="000B5D55"/>
    <w:rsid w:val="000C0FE5"/>
    <w:rsid w:val="000C2E4F"/>
    <w:rsid w:val="000C4D14"/>
    <w:rsid w:val="000C6431"/>
    <w:rsid w:val="000C664C"/>
    <w:rsid w:val="000C7BF2"/>
    <w:rsid w:val="000D2CA5"/>
    <w:rsid w:val="000D48D2"/>
    <w:rsid w:val="000D7908"/>
    <w:rsid w:val="000E1D70"/>
    <w:rsid w:val="000F295C"/>
    <w:rsid w:val="000F2AD5"/>
    <w:rsid w:val="00103F93"/>
    <w:rsid w:val="00106E76"/>
    <w:rsid w:val="00107A04"/>
    <w:rsid w:val="00107F8B"/>
    <w:rsid w:val="001162E9"/>
    <w:rsid w:val="001208D4"/>
    <w:rsid w:val="00121DAB"/>
    <w:rsid w:val="0012201A"/>
    <w:rsid w:val="001363BE"/>
    <w:rsid w:val="00137E12"/>
    <w:rsid w:val="001413A3"/>
    <w:rsid w:val="001426C3"/>
    <w:rsid w:val="00143661"/>
    <w:rsid w:val="0015704D"/>
    <w:rsid w:val="00160BDB"/>
    <w:rsid w:val="00165A83"/>
    <w:rsid w:val="00173180"/>
    <w:rsid w:val="00180365"/>
    <w:rsid w:val="00181E4D"/>
    <w:rsid w:val="00197DE0"/>
    <w:rsid w:val="001A186A"/>
    <w:rsid w:val="001A5CB6"/>
    <w:rsid w:val="001A76C2"/>
    <w:rsid w:val="001A7D6F"/>
    <w:rsid w:val="001B3E45"/>
    <w:rsid w:val="001B747E"/>
    <w:rsid w:val="001C0A50"/>
    <w:rsid w:val="001C1AB2"/>
    <w:rsid w:val="001C6FCB"/>
    <w:rsid w:val="001D0B41"/>
    <w:rsid w:val="001D0FAA"/>
    <w:rsid w:val="001D4C0E"/>
    <w:rsid w:val="001D5D2B"/>
    <w:rsid w:val="001D6F4D"/>
    <w:rsid w:val="001E5DB5"/>
    <w:rsid w:val="001E7C56"/>
    <w:rsid w:val="001F1972"/>
    <w:rsid w:val="002028FC"/>
    <w:rsid w:val="00203BF6"/>
    <w:rsid w:val="002132D8"/>
    <w:rsid w:val="00213478"/>
    <w:rsid w:val="00217093"/>
    <w:rsid w:val="00221BF0"/>
    <w:rsid w:val="00222337"/>
    <w:rsid w:val="00230C47"/>
    <w:rsid w:val="00242C51"/>
    <w:rsid w:val="00242EEA"/>
    <w:rsid w:val="00244585"/>
    <w:rsid w:val="00245BB0"/>
    <w:rsid w:val="00254CBB"/>
    <w:rsid w:val="00256B32"/>
    <w:rsid w:val="00263C33"/>
    <w:rsid w:val="002657B4"/>
    <w:rsid w:val="002673B7"/>
    <w:rsid w:val="00275E0A"/>
    <w:rsid w:val="002813EB"/>
    <w:rsid w:val="00282EFC"/>
    <w:rsid w:val="00285855"/>
    <w:rsid w:val="00286548"/>
    <w:rsid w:val="00286ADB"/>
    <w:rsid w:val="00293017"/>
    <w:rsid w:val="002A01FE"/>
    <w:rsid w:val="002A3208"/>
    <w:rsid w:val="002A32C3"/>
    <w:rsid w:val="002A3EDD"/>
    <w:rsid w:val="002B0972"/>
    <w:rsid w:val="002D2280"/>
    <w:rsid w:val="002F06E1"/>
    <w:rsid w:val="002F27FB"/>
    <w:rsid w:val="002F2DF5"/>
    <w:rsid w:val="002F58A1"/>
    <w:rsid w:val="002F63CF"/>
    <w:rsid w:val="00300EEC"/>
    <w:rsid w:val="0030426F"/>
    <w:rsid w:val="003049E0"/>
    <w:rsid w:val="00305686"/>
    <w:rsid w:val="00316FAF"/>
    <w:rsid w:val="00320C51"/>
    <w:rsid w:val="00327532"/>
    <w:rsid w:val="00330186"/>
    <w:rsid w:val="003307BE"/>
    <w:rsid w:val="003330C7"/>
    <w:rsid w:val="003376A0"/>
    <w:rsid w:val="00346CAA"/>
    <w:rsid w:val="0035163E"/>
    <w:rsid w:val="00353324"/>
    <w:rsid w:val="0035781D"/>
    <w:rsid w:val="00361C14"/>
    <w:rsid w:val="00366608"/>
    <w:rsid w:val="003830B5"/>
    <w:rsid w:val="00385E31"/>
    <w:rsid w:val="00386462"/>
    <w:rsid w:val="00390D1E"/>
    <w:rsid w:val="0039597B"/>
    <w:rsid w:val="00396D62"/>
    <w:rsid w:val="003A30A9"/>
    <w:rsid w:val="003A3C81"/>
    <w:rsid w:val="003A50EF"/>
    <w:rsid w:val="003A7941"/>
    <w:rsid w:val="003B2C48"/>
    <w:rsid w:val="003C0D94"/>
    <w:rsid w:val="003C1A39"/>
    <w:rsid w:val="003C656D"/>
    <w:rsid w:val="003D33B4"/>
    <w:rsid w:val="003D3728"/>
    <w:rsid w:val="003F2442"/>
    <w:rsid w:val="003F393F"/>
    <w:rsid w:val="003F3B18"/>
    <w:rsid w:val="003F7D0E"/>
    <w:rsid w:val="00401DA1"/>
    <w:rsid w:val="00404DEC"/>
    <w:rsid w:val="00407F02"/>
    <w:rsid w:val="00410F66"/>
    <w:rsid w:val="00414243"/>
    <w:rsid w:val="00416DF4"/>
    <w:rsid w:val="00430831"/>
    <w:rsid w:val="00433306"/>
    <w:rsid w:val="00437D7B"/>
    <w:rsid w:val="00442BAA"/>
    <w:rsid w:val="00445F0D"/>
    <w:rsid w:val="0044792F"/>
    <w:rsid w:val="0045581D"/>
    <w:rsid w:val="00455D2C"/>
    <w:rsid w:val="00460BF0"/>
    <w:rsid w:val="00471955"/>
    <w:rsid w:val="00475161"/>
    <w:rsid w:val="00483F64"/>
    <w:rsid w:val="00484EBA"/>
    <w:rsid w:val="00486A4C"/>
    <w:rsid w:val="00486E7E"/>
    <w:rsid w:val="00487619"/>
    <w:rsid w:val="00497C02"/>
    <w:rsid w:val="004A4F97"/>
    <w:rsid w:val="004A75EA"/>
    <w:rsid w:val="004C7CC3"/>
    <w:rsid w:val="004D00E8"/>
    <w:rsid w:val="004D1D8D"/>
    <w:rsid w:val="004D7C17"/>
    <w:rsid w:val="004E0751"/>
    <w:rsid w:val="004E35BD"/>
    <w:rsid w:val="004E4D47"/>
    <w:rsid w:val="004E75AF"/>
    <w:rsid w:val="00506661"/>
    <w:rsid w:val="00511D9B"/>
    <w:rsid w:val="00527B52"/>
    <w:rsid w:val="00532D02"/>
    <w:rsid w:val="00532EF4"/>
    <w:rsid w:val="00533F21"/>
    <w:rsid w:val="00535F14"/>
    <w:rsid w:val="005361BD"/>
    <w:rsid w:val="005435C8"/>
    <w:rsid w:val="00543773"/>
    <w:rsid w:val="0054453F"/>
    <w:rsid w:val="00561D4D"/>
    <w:rsid w:val="00562B4A"/>
    <w:rsid w:val="00565014"/>
    <w:rsid w:val="00565DDB"/>
    <w:rsid w:val="0057189B"/>
    <w:rsid w:val="00591658"/>
    <w:rsid w:val="005A0029"/>
    <w:rsid w:val="005A70E5"/>
    <w:rsid w:val="005B382A"/>
    <w:rsid w:val="005B3C19"/>
    <w:rsid w:val="005B51A1"/>
    <w:rsid w:val="005C1325"/>
    <w:rsid w:val="005C7F20"/>
    <w:rsid w:val="005D2186"/>
    <w:rsid w:val="005D48CD"/>
    <w:rsid w:val="005E4F10"/>
    <w:rsid w:val="005F4852"/>
    <w:rsid w:val="006002FA"/>
    <w:rsid w:val="00600C09"/>
    <w:rsid w:val="00600D91"/>
    <w:rsid w:val="006254AC"/>
    <w:rsid w:val="00627524"/>
    <w:rsid w:val="00627F7C"/>
    <w:rsid w:val="006302ED"/>
    <w:rsid w:val="006315D4"/>
    <w:rsid w:val="006318DA"/>
    <w:rsid w:val="00634A70"/>
    <w:rsid w:val="006354BA"/>
    <w:rsid w:val="00642A37"/>
    <w:rsid w:val="00642A8D"/>
    <w:rsid w:val="00653F90"/>
    <w:rsid w:val="006625A4"/>
    <w:rsid w:val="0066275E"/>
    <w:rsid w:val="0066519E"/>
    <w:rsid w:val="006652B2"/>
    <w:rsid w:val="0066766F"/>
    <w:rsid w:val="0067029B"/>
    <w:rsid w:val="00671CF6"/>
    <w:rsid w:val="00674B10"/>
    <w:rsid w:val="006803A1"/>
    <w:rsid w:val="006861C1"/>
    <w:rsid w:val="006927C6"/>
    <w:rsid w:val="00695690"/>
    <w:rsid w:val="006A3988"/>
    <w:rsid w:val="006A768B"/>
    <w:rsid w:val="006B0A40"/>
    <w:rsid w:val="006B1A1C"/>
    <w:rsid w:val="006C24FF"/>
    <w:rsid w:val="006C56B6"/>
    <w:rsid w:val="006D156C"/>
    <w:rsid w:val="006E2EBC"/>
    <w:rsid w:val="006E3BE2"/>
    <w:rsid w:val="006F47E4"/>
    <w:rsid w:val="006F7D09"/>
    <w:rsid w:val="00701A4E"/>
    <w:rsid w:val="00705BE1"/>
    <w:rsid w:val="007063F5"/>
    <w:rsid w:val="00710250"/>
    <w:rsid w:val="00713D8D"/>
    <w:rsid w:val="007153FD"/>
    <w:rsid w:val="007168F2"/>
    <w:rsid w:val="00732D49"/>
    <w:rsid w:val="0073346F"/>
    <w:rsid w:val="00734905"/>
    <w:rsid w:val="007452D9"/>
    <w:rsid w:val="00745A43"/>
    <w:rsid w:val="007475E7"/>
    <w:rsid w:val="007540D6"/>
    <w:rsid w:val="00754B3F"/>
    <w:rsid w:val="00763B25"/>
    <w:rsid w:val="007675E3"/>
    <w:rsid w:val="00767B23"/>
    <w:rsid w:val="00770535"/>
    <w:rsid w:val="00773EF7"/>
    <w:rsid w:val="00774D2B"/>
    <w:rsid w:val="0078264A"/>
    <w:rsid w:val="007863FA"/>
    <w:rsid w:val="007929F6"/>
    <w:rsid w:val="00797E44"/>
    <w:rsid w:val="007A5C3A"/>
    <w:rsid w:val="007A6952"/>
    <w:rsid w:val="007B17FC"/>
    <w:rsid w:val="007D0376"/>
    <w:rsid w:val="007D174D"/>
    <w:rsid w:val="007E7335"/>
    <w:rsid w:val="007F0074"/>
    <w:rsid w:val="007F0C20"/>
    <w:rsid w:val="007F4C3D"/>
    <w:rsid w:val="0080473B"/>
    <w:rsid w:val="00807B2A"/>
    <w:rsid w:val="008117CD"/>
    <w:rsid w:val="008146AF"/>
    <w:rsid w:val="008173F0"/>
    <w:rsid w:val="00825E02"/>
    <w:rsid w:val="00830805"/>
    <w:rsid w:val="0083695D"/>
    <w:rsid w:val="00842558"/>
    <w:rsid w:val="00845108"/>
    <w:rsid w:val="00846183"/>
    <w:rsid w:val="00847D30"/>
    <w:rsid w:val="008504F0"/>
    <w:rsid w:val="00854A13"/>
    <w:rsid w:val="00854B91"/>
    <w:rsid w:val="00857BAB"/>
    <w:rsid w:val="00860291"/>
    <w:rsid w:val="00870C9E"/>
    <w:rsid w:val="00884428"/>
    <w:rsid w:val="0089376D"/>
    <w:rsid w:val="008A0707"/>
    <w:rsid w:val="008B0158"/>
    <w:rsid w:val="008B1D6A"/>
    <w:rsid w:val="008B571A"/>
    <w:rsid w:val="008B599E"/>
    <w:rsid w:val="008C1430"/>
    <w:rsid w:val="008C37E6"/>
    <w:rsid w:val="008C4DC6"/>
    <w:rsid w:val="008C66D8"/>
    <w:rsid w:val="008D7E9F"/>
    <w:rsid w:val="008E466F"/>
    <w:rsid w:val="008F0A34"/>
    <w:rsid w:val="008F614E"/>
    <w:rsid w:val="00902530"/>
    <w:rsid w:val="00905586"/>
    <w:rsid w:val="00915468"/>
    <w:rsid w:val="009162AD"/>
    <w:rsid w:val="009169B3"/>
    <w:rsid w:val="00917D8E"/>
    <w:rsid w:val="00922510"/>
    <w:rsid w:val="00927DCF"/>
    <w:rsid w:val="00931FE8"/>
    <w:rsid w:val="00944664"/>
    <w:rsid w:val="00951402"/>
    <w:rsid w:val="009574D7"/>
    <w:rsid w:val="009624F6"/>
    <w:rsid w:val="00962E78"/>
    <w:rsid w:val="0096341F"/>
    <w:rsid w:val="00964E82"/>
    <w:rsid w:val="009654EF"/>
    <w:rsid w:val="00966FA7"/>
    <w:rsid w:val="00973AD0"/>
    <w:rsid w:val="009754CE"/>
    <w:rsid w:val="00977E3A"/>
    <w:rsid w:val="00981127"/>
    <w:rsid w:val="009826DF"/>
    <w:rsid w:val="009847F3"/>
    <w:rsid w:val="009961A6"/>
    <w:rsid w:val="009A16DA"/>
    <w:rsid w:val="009A75D7"/>
    <w:rsid w:val="009B04F9"/>
    <w:rsid w:val="009B5689"/>
    <w:rsid w:val="009C5D21"/>
    <w:rsid w:val="009C601E"/>
    <w:rsid w:val="009F11A6"/>
    <w:rsid w:val="009F19FD"/>
    <w:rsid w:val="009F41CD"/>
    <w:rsid w:val="00A033B0"/>
    <w:rsid w:val="00A119B9"/>
    <w:rsid w:val="00A11E65"/>
    <w:rsid w:val="00A13823"/>
    <w:rsid w:val="00A20884"/>
    <w:rsid w:val="00A208A1"/>
    <w:rsid w:val="00A21C6E"/>
    <w:rsid w:val="00A413F0"/>
    <w:rsid w:val="00A55997"/>
    <w:rsid w:val="00A57D29"/>
    <w:rsid w:val="00A57DF7"/>
    <w:rsid w:val="00A63284"/>
    <w:rsid w:val="00A655C3"/>
    <w:rsid w:val="00A67A2F"/>
    <w:rsid w:val="00A8097D"/>
    <w:rsid w:val="00A80DE1"/>
    <w:rsid w:val="00A84AC0"/>
    <w:rsid w:val="00A84F03"/>
    <w:rsid w:val="00A940C4"/>
    <w:rsid w:val="00A95A7F"/>
    <w:rsid w:val="00AA0338"/>
    <w:rsid w:val="00AB2F5C"/>
    <w:rsid w:val="00AB7ABA"/>
    <w:rsid w:val="00AC03EE"/>
    <w:rsid w:val="00AC1211"/>
    <w:rsid w:val="00AD03DC"/>
    <w:rsid w:val="00AD2C89"/>
    <w:rsid w:val="00AD5691"/>
    <w:rsid w:val="00AE6977"/>
    <w:rsid w:val="00AF6F56"/>
    <w:rsid w:val="00B13462"/>
    <w:rsid w:val="00B13F02"/>
    <w:rsid w:val="00B142A8"/>
    <w:rsid w:val="00B14590"/>
    <w:rsid w:val="00B23CCE"/>
    <w:rsid w:val="00B36C15"/>
    <w:rsid w:val="00B43A8B"/>
    <w:rsid w:val="00B441FA"/>
    <w:rsid w:val="00B4422F"/>
    <w:rsid w:val="00B45090"/>
    <w:rsid w:val="00B450E7"/>
    <w:rsid w:val="00B45860"/>
    <w:rsid w:val="00B467E4"/>
    <w:rsid w:val="00B50B57"/>
    <w:rsid w:val="00B52F79"/>
    <w:rsid w:val="00B54791"/>
    <w:rsid w:val="00B80FE4"/>
    <w:rsid w:val="00B81B11"/>
    <w:rsid w:val="00B9203C"/>
    <w:rsid w:val="00B952F7"/>
    <w:rsid w:val="00B96964"/>
    <w:rsid w:val="00BA20EF"/>
    <w:rsid w:val="00BA3AFB"/>
    <w:rsid w:val="00BA5D1B"/>
    <w:rsid w:val="00BB21F8"/>
    <w:rsid w:val="00BC3863"/>
    <w:rsid w:val="00BC5026"/>
    <w:rsid w:val="00BC6634"/>
    <w:rsid w:val="00BC6847"/>
    <w:rsid w:val="00BF5DAC"/>
    <w:rsid w:val="00BF78C6"/>
    <w:rsid w:val="00C0065C"/>
    <w:rsid w:val="00C00F2A"/>
    <w:rsid w:val="00C03C77"/>
    <w:rsid w:val="00C1071B"/>
    <w:rsid w:val="00C2441A"/>
    <w:rsid w:val="00C25853"/>
    <w:rsid w:val="00C30F7F"/>
    <w:rsid w:val="00C341BC"/>
    <w:rsid w:val="00C35688"/>
    <w:rsid w:val="00C35A93"/>
    <w:rsid w:val="00C35FC7"/>
    <w:rsid w:val="00C3689E"/>
    <w:rsid w:val="00C37A2E"/>
    <w:rsid w:val="00C40540"/>
    <w:rsid w:val="00C42021"/>
    <w:rsid w:val="00C436CC"/>
    <w:rsid w:val="00C456E8"/>
    <w:rsid w:val="00C47CCF"/>
    <w:rsid w:val="00C5524A"/>
    <w:rsid w:val="00C619EA"/>
    <w:rsid w:val="00C72B8C"/>
    <w:rsid w:val="00C768C6"/>
    <w:rsid w:val="00C8491D"/>
    <w:rsid w:val="00C91D29"/>
    <w:rsid w:val="00C92606"/>
    <w:rsid w:val="00CA1111"/>
    <w:rsid w:val="00CA387E"/>
    <w:rsid w:val="00CA4D0F"/>
    <w:rsid w:val="00CA7DB5"/>
    <w:rsid w:val="00CB349F"/>
    <w:rsid w:val="00CB7219"/>
    <w:rsid w:val="00CC54BE"/>
    <w:rsid w:val="00CD03FB"/>
    <w:rsid w:val="00CD1DF4"/>
    <w:rsid w:val="00CD264E"/>
    <w:rsid w:val="00CE1F35"/>
    <w:rsid w:val="00CE21D6"/>
    <w:rsid w:val="00CE2710"/>
    <w:rsid w:val="00CE7E43"/>
    <w:rsid w:val="00CF2D6A"/>
    <w:rsid w:val="00CF38F4"/>
    <w:rsid w:val="00CF6299"/>
    <w:rsid w:val="00D02C4D"/>
    <w:rsid w:val="00D02DC7"/>
    <w:rsid w:val="00D07A3A"/>
    <w:rsid w:val="00D1281B"/>
    <w:rsid w:val="00D21B2A"/>
    <w:rsid w:val="00D25014"/>
    <w:rsid w:val="00D30F83"/>
    <w:rsid w:val="00D32A2F"/>
    <w:rsid w:val="00D3613D"/>
    <w:rsid w:val="00D37F83"/>
    <w:rsid w:val="00D407AB"/>
    <w:rsid w:val="00D463FA"/>
    <w:rsid w:val="00D474F8"/>
    <w:rsid w:val="00D56082"/>
    <w:rsid w:val="00D653F8"/>
    <w:rsid w:val="00D843A9"/>
    <w:rsid w:val="00D85752"/>
    <w:rsid w:val="00D86536"/>
    <w:rsid w:val="00D87116"/>
    <w:rsid w:val="00D87712"/>
    <w:rsid w:val="00D94742"/>
    <w:rsid w:val="00D95FA9"/>
    <w:rsid w:val="00D976F9"/>
    <w:rsid w:val="00DA01BE"/>
    <w:rsid w:val="00DA11E6"/>
    <w:rsid w:val="00DA4101"/>
    <w:rsid w:val="00DA4E85"/>
    <w:rsid w:val="00DB56B0"/>
    <w:rsid w:val="00DB7672"/>
    <w:rsid w:val="00DC1959"/>
    <w:rsid w:val="00DC47C4"/>
    <w:rsid w:val="00DC4F22"/>
    <w:rsid w:val="00DC668F"/>
    <w:rsid w:val="00DC7A06"/>
    <w:rsid w:val="00DD364F"/>
    <w:rsid w:val="00DD6350"/>
    <w:rsid w:val="00DD70D4"/>
    <w:rsid w:val="00DE255A"/>
    <w:rsid w:val="00DF15AA"/>
    <w:rsid w:val="00DF5A4C"/>
    <w:rsid w:val="00E0154C"/>
    <w:rsid w:val="00E12B24"/>
    <w:rsid w:val="00E130EE"/>
    <w:rsid w:val="00E21754"/>
    <w:rsid w:val="00E22078"/>
    <w:rsid w:val="00E26E81"/>
    <w:rsid w:val="00E33B1D"/>
    <w:rsid w:val="00E3559D"/>
    <w:rsid w:val="00E4036A"/>
    <w:rsid w:val="00E44E7F"/>
    <w:rsid w:val="00E522FC"/>
    <w:rsid w:val="00E53FCF"/>
    <w:rsid w:val="00E55EBD"/>
    <w:rsid w:val="00E64B07"/>
    <w:rsid w:val="00E65D57"/>
    <w:rsid w:val="00E66256"/>
    <w:rsid w:val="00E74642"/>
    <w:rsid w:val="00E75E57"/>
    <w:rsid w:val="00E83BDD"/>
    <w:rsid w:val="00E85F60"/>
    <w:rsid w:val="00E8660B"/>
    <w:rsid w:val="00E90AE6"/>
    <w:rsid w:val="00E9198D"/>
    <w:rsid w:val="00E9389A"/>
    <w:rsid w:val="00E9656F"/>
    <w:rsid w:val="00EA0763"/>
    <w:rsid w:val="00EA2B44"/>
    <w:rsid w:val="00EA773B"/>
    <w:rsid w:val="00EB2A9F"/>
    <w:rsid w:val="00EB7C0F"/>
    <w:rsid w:val="00EC469D"/>
    <w:rsid w:val="00EC5203"/>
    <w:rsid w:val="00ED2216"/>
    <w:rsid w:val="00ED2798"/>
    <w:rsid w:val="00ED4181"/>
    <w:rsid w:val="00ED5A0B"/>
    <w:rsid w:val="00EE4C63"/>
    <w:rsid w:val="00EE6D0D"/>
    <w:rsid w:val="00EF1C9B"/>
    <w:rsid w:val="00EF1CE9"/>
    <w:rsid w:val="00EF3302"/>
    <w:rsid w:val="00EF50BC"/>
    <w:rsid w:val="00EF7709"/>
    <w:rsid w:val="00F14C36"/>
    <w:rsid w:val="00F1599D"/>
    <w:rsid w:val="00F249E8"/>
    <w:rsid w:val="00F27D4C"/>
    <w:rsid w:val="00F42A82"/>
    <w:rsid w:val="00F55AD6"/>
    <w:rsid w:val="00F56131"/>
    <w:rsid w:val="00F57282"/>
    <w:rsid w:val="00F60DB4"/>
    <w:rsid w:val="00F72582"/>
    <w:rsid w:val="00F73AB9"/>
    <w:rsid w:val="00F84F30"/>
    <w:rsid w:val="00F85EE8"/>
    <w:rsid w:val="00F94895"/>
    <w:rsid w:val="00F954AB"/>
    <w:rsid w:val="00F96D1C"/>
    <w:rsid w:val="00FA5124"/>
    <w:rsid w:val="00FA54A9"/>
    <w:rsid w:val="00FA6567"/>
    <w:rsid w:val="00FA772B"/>
    <w:rsid w:val="00FB16B9"/>
    <w:rsid w:val="00FB23A3"/>
    <w:rsid w:val="00FB3A24"/>
    <w:rsid w:val="00FB64F3"/>
    <w:rsid w:val="00FB7316"/>
    <w:rsid w:val="00FC0063"/>
    <w:rsid w:val="00FC2CC6"/>
    <w:rsid w:val="00FC573C"/>
    <w:rsid w:val="00FD756F"/>
    <w:rsid w:val="00FF350C"/>
    <w:rsid w:val="00FF4B4E"/>
    <w:rsid w:val="00FF6A41"/>
    <w:rsid w:val="00FF6E6C"/>
    <w:rsid w:val="00FF78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D7C17"/>
    <w:pPr>
      <w:bidi/>
      <w:spacing w:before="120" w:after="120" w:line="360" w:lineRule="auto"/>
    </w:pPr>
    <w:rPr>
      <w:rFonts w:ascii="Times New Roman" w:hAnsi="Times New Roman" w:cs="David"/>
      <w:sz w:val="24"/>
      <w:szCs w:val="24"/>
    </w:rPr>
  </w:style>
  <w:style w:type="paragraph" w:styleId="10">
    <w:name w:val="heading 1"/>
    <w:basedOn w:val="a0"/>
    <w:next w:val="a0"/>
    <w:link w:val="11"/>
    <w:uiPriority w:val="9"/>
    <w:qFormat/>
    <w:rsid w:val="00ED2216"/>
    <w:pPr>
      <w:keepNext/>
      <w:keepLines/>
      <w:spacing w:before="240" w:after="0"/>
      <w:outlineLvl w:val="0"/>
    </w:pPr>
    <w:rPr>
      <w:rFonts w:asciiTheme="majorHAnsi" w:eastAsiaTheme="majorEastAsia" w:hAnsiTheme="majorHAnsi"/>
      <w:b/>
      <w:bCs/>
      <w:u w:val="single"/>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style>
  <w:style w:type="paragraph" w:styleId="2">
    <w:name w:val="heading 2"/>
    <w:basedOn w:val="a0"/>
    <w:next w:val="a0"/>
    <w:link w:val="20"/>
    <w:uiPriority w:val="9"/>
    <w:unhideWhenUsed/>
    <w:qFormat/>
    <w:rsid w:val="00ED2216"/>
    <w:pPr>
      <w:keepNext/>
      <w:keepLines/>
      <w:spacing w:before="200" w:after="0"/>
      <w:outlineLvl w:val="1"/>
    </w:pPr>
    <w:rPr>
      <w:rFonts w:asciiTheme="majorHAnsi" w:eastAsiaTheme="majorEastAsia" w:hAnsiTheme="majorHAnsi"/>
      <w:b/>
      <w:bCs/>
      <w:u w:val="single"/>
    </w:rPr>
  </w:style>
  <w:style w:type="paragraph" w:styleId="3">
    <w:name w:val="heading 3"/>
    <w:basedOn w:val="a0"/>
    <w:next w:val="a0"/>
    <w:link w:val="30"/>
    <w:uiPriority w:val="9"/>
    <w:unhideWhenUsed/>
    <w:qFormat/>
    <w:rsid w:val="00A119B9"/>
    <w:pPr>
      <w:keepNext/>
      <w:keepLines/>
      <w:spacing w:after="0"/>
      <w:ind w:left="306"/>
      <w:outlineLvl w:val="2"/>
    </w:pPr>
    <w:rPr>
      <w:rFonts w:asciiTheme="majorHAnsi" w:eastAsiaTheme="majorEastAsia" w:hAnsiTheme="majorHAnsi"/>
      <w:u w:val="single"/>
    </w:rPr>
  </w:style>
  <w:style w:type="paragraph" w:styleId="4">
    <w:name w:val="heading 4"/>
    <w:basedOn w:val="a0"/>
    <w:next w:val="a0"/>
    <w:link w:val="40"/>
    <w:unhideWhenUsed/>
    <w:rsid w:val="00DA11E6"/>
    <w:pPr>
      <w:keepNext/>
      <w:keepLines/>
      <w:spacing w:before="200" w:after="0" w:line="240" w:lineRule="auto"/>
      <w:outlineLvl w:val="3"/>
    </w:pPr>
    <w:rPr>
      <w:rFonts w:asciiTheme="majorHAnsi" w:eastAsiaTheme="majorEastAsia" w:hAnsiTheme="majorHAnsi" w:cstheme="majorBidi"/>
      <w:b/>
      <w:bCs/>
      <w:i/>
      <w:iCs/>
      <w:color w:val="4F81BD" w:themeColor="accent1"/>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486E7E"/>
    <w:pPr>
      <w:tabs>
        <w:tab w:val="center" w:pos="4153"/>
        <w:tab w:val="right" w:pos="8306"/>
      </w:tabs>
      <w:spacing w:after="0" w:line="240" w:lineRule="auto"/>
    </w:pPr>
  </w:style>
  <w:style w:type="character" w:customStyle="1" w:styleId="a5">
    <w:name w:val="כותרת עליונה תו"/>
    <w:basedOn w:val="a1"/>
    <w:link w:val="a4"/>
    <w:uiPriority w:val="99"/>
    <w:rsid w:val="00486E7E"/>
  </w:style>
  <w:style w:type="paragraph" w:styleId="a6">
    <w:name w:val="footer"/>
    <w:basedOn w:val="a0"/>
    <w:link w:val="a7"/>
    <w:uiPriority w:val="99"/>
    <w:unhideWhenUsed/>
    <w:rsid w:val="00486E7E"/>
    <w:pPr>
      <w:tabs>
        <w:tab w:val="center" w:pos="4153"/>
        <w:tab w:val="right" w:pos="8306"/>
      </w:tabs>
      <w:spacing w:after="0" w:line="240" w:lineRule="auto"/>
    </w:pPr>
  </w:style>
  <w:style w:type="character" w:customStyle="1" w:styleId="a7">
    <w:name w:val="כותרת תחתונה תו"/>
    <w:basedOn w:val="a1"/>
    <w:link w:val="a6"/>
    <w:uiPriority w:val="99"/>
    <w:rsid w:val="00486E7E"/>
  </w:style>
  <w:style w:type="paragraph" w:styleId="a8">
    <w:name w:val="Balloon Text"/>
    <w:basedOn w:val="a0"/>
    <w:link w:val="a9"/>
    <w:uiPriority w:val="99"/>
    <w:semiHidden/>
    <w:unhideWhenUsed/>
    <w:rsid w:val="00486E7E"/>
    <w:pPr>
      <w:spacing w:after="0" w:line="240" w:lineRule="auto"/>
    </w:pPr>
    <w:rPr>
      <w:rFonts w:ascii="Tahoma" w:hAnsi="Tahoma" w:cs="Tahoma"/>
      <w:sz w:val="16"/>
      <w:szCs w:val="16"/>
    </w:rPr>
  </w:style>
  <w:style w:type="character" w:customStyle="1" w:styleId="a9">
    <w:name w:val="טקסט בלונים תו"/>
    <w:basedOn w:val="a1"/>
    <w:link w:val="a8"/>
    <w:uiPriority w:val="99"/>
    <w:semiHidden/>
    <w:rsid w:val="00486E7E"/>
    <w:rPr>
      <w:rFonts w:ascii="Tahoma" w:hAnsi="Tahoma" w:cs="Tahoma"/>
      <w:sz w:val="16"/>
      <w:szCs w:val="16"/>
    </w:rPr>
  </w:style>
  <w:style w:type="paragraph" w:customStyle="1" w:styleId="12">
    <w:name w:val="סגנון1"/>
    <w:basedOn w:val="a0"/>
    <w:rsid w:val="00A55997"/>
    <w:pPr>
      <w:autoSpaceDE w:val="0"/>
      <w:autoSpaceDN w:val="0"/>
      <w:spacing w:after="0"/>
      <w:jc w:val="both"/>
    </w:pPr>
    <w:rPr>
      <w:rFonts w:eastAsia="Times New Roman"/>
    </w:rPr>
  </w:style>
  <w:style w:type="character" w:styleId="Hyperlink">
    <w:name w:val="Hyperlink"/>
    <w:basedOn w:val="a1"/>
    <w:qFormat/>
    <w:rsid w:val="00FC0063"/>
    <w:rPr>
      <w:color w:val="000099"/>
      <w:sz w:val="22"/>
    </w:rPr>
  </w:style>
  <w:style w:type="paragraph" w:styleId="aa">
    <w:name w:val="List Paragraph"/>
    <w:basedOn w:val="a0"/>
    <w:uiPriority w:val="34"/>
    <w:qFormat/>
    <w:rsid w:val="00C5524A"/>
    <w:pPr>
      <w:ind w:left="720"/>
      <w:contextualSpacing/>
    </w:pPr>
  </w:style>
  <w:style w:type="paragraph" w:styleId="ab">
    <w:name w:val="No Spacing"/>
    <w:uiPriority w:val="1"/>
    <w:qFormat/>
    <w:rsid w:val="00300EEC"/>
    <w:pPr>
      <w:bidi/>
      <w:spacing w:after="0" w:line="240" w:lineRule="auto"/>
    </w:pPr>
    <w:rPr>
      <w:rFonts w:ascii="Times New Roman" w:hAnsi="Times New Roman" w:cs="David"/>
      <w:sz w:val="24"/>
      <w:szCs w:val="24"/>
    </w:rPr>
  </w:style>
  <w:style w:type="paragraph" w:customStyle="1" w:styleId="a">
    <w:name w:val="פסקאות ממוספרות"/>
    <w:basedOn w:val="a0"/>
    <w:rsid w:val="006B0A40"/>
    <w:pPr>
      <w:numPr>
        <w:numId w:val="2"/>
      </w:numPr>
      <w:ind w:left="288" w:hanging="288"/>
      <w:jc w:val="both"/>
    </w:pPr>
  </w:style>
  <w:style w:type="character" w:styleId="FollowedHyperlink">
    <w:name w:val="FollowedHyperlink"/>
    <w:basedOn w:val="a1"/>
    <w:uiPriority w:val="99"/>
    <w:semiHidden/>
    <w:unhideWhenUsed/>
    <w:rsid w:val="00CC54BE"/>
    <w:rPr>
      <w:color w:val="800080" w:themeColor="followedHyperlink"/>
      <w:u w:val="single"/>
    </w:rPr>
  </w:style>
  <w:style w:type="paragraph" w:customStyle="1" w:styleId="ac">
    <w:name w:val="כותרת"/>
    <w:basedOn w:val="a0"/>
    <w:rsid w:val="0078264A"/>
    <w:pPr>
      <w:autoSpaceDE w:val="0"/>
      <w:autoSpaceDN w:val="0"/>
      <w:spacing w:after="0"/>
      <w:jc w:val="center"/>
    </w:pPr>
    <w:rPr>
      <w:rFonts w:eastAsia="Times New Roman"/>
      <w:b/>
      <w:bCs/>
      <w:sz w:val="28"/>
      <w:szCs w:val="28"/>
      <w:u w:val="single"/>
    </w:rPr>
  </w:style>
  <w:style w:type="character" w:customStyle="1" w:styleId="ad">
    <w:name w:val="מראה מקום בטקסט"/>
    <w:basedOn w:val="a1"/>
    <w:uiPriority w:val="1"/>
    <w:qFormat/>
    <w:rsid w:val="008173F0"/>
    <w:rPr>
      <w:color w:val="262626" w:themeColor="text1" w:themeTint="D9"/>
      <w:sz w:val="21"/>
      <w:szCs w:val="21"/>
    </w:rPr>
  </w:style>
  <w:style w:type="paragraph" w:customStyle="1" w:styleId="1">
    <w:name w:val="ממוספר מדורג 1"/>
    <w:basedOn w:val="a0"/>
    <w:qFormat/>
    <w:rsid w:val="00103F93"/>
    <w:pPr>
      <w:numPr>
        <w:numId w:val="6"/>
      </w:numPr>
      <w:jc w:val="both"/>
    </w:pPr>
    <w:rPr>
      <w:rFonts w:eastAsia="Times New Roman"/>
      <w:lang w:eastAsia="he-IL"/>
    </w:rPr>
  </w:style>
  <w:style w:type="paragraph" w:customStyle="1" w:styleId="13">
    <w:name w:val="ציטוט1"/>
    <w:basedOn w:val="a0"/>
    <w:autoRedefine/>
    <w:qFormat/>
    <w:rsid w:val="00AA0338"/>
    <w:pPr>
      <w:spacing w:line="288" w:lineRule="auto"/>
      <w:ind w:left="964" w:right="709"/>
      <w:jc w:val="both"/>
    </w:pPr>
    <w:rPr>
      <w:rFonts w:eastAsia="Times New Roman"/>
      <w:lang w:eastAsia="he-IL"/>
    </w:rPr>
  </w:style>
  <w:style w:type="paragraph" w:styleId="ae">
    <w:name w:val="footnote text"/>
    <w:aliases w:val="תו תו תו,תו תו, Char,Sharp - Footnote Text,Footnote Text - Sharp Char Char,Footnote Text - Sharp Char,single space,footnote text,FOOTNOTES,fn,Footnote Text - Sharp,Sharp - Footnote Text1 Char,Footnote Text Char Char Char Char Char"/>
    <w:basedOn w:val="a0"/>
    <w:link w:val="af"/>
    <w:unhideWhenUsed/>
    <w:rsid w:val="00E9198D"/>
    <w:pPr>
      <w:spacing w:before="0" w:after="80" w:line="240" w:lineRule="auto"/>
      <w:ind w:left="215" w:hanging="215"/>
      <w:jc w:val="both"/>
    </w:pPr>
    <w:rPr>
      <w:sz w:val="20"/>
      <w:szCs w:val="20"/>
    </w:rPr>
  </w:style>
  <w:style w:type="character" w:customStyle="1" w:styleId="af">
    <w:name w:val="טקסט הערת שוליים תו"/>
    <w:aliases w:val="תו תו תו תו,תו תו תו1, Char תו,Sharp - Footnote Text תו,Footnote Text - Sharp Char Char תו,Footnote Text - Sharp Char תו,single space תו,footnote text תו,FOOTNOTES תו,fn תו,Footnote Text - Sharp תו,Sharp - Footnote Text1 Char תו"/>
    <w:basedOn w:val="a1"/>
    <w:link w:val="ae"/>
    <w:rsid w:val="00E9198D"/>
    <w:rPr>
      <w:rFonts w:ascii="Times New Roman" w:hAnsi="Times New Roman" w:cs="David"/>
      <w:sz w:val="20"/>
      <w:szCs w:val="20"/>
    </w:rPr>
  </w:style>
  <w:style w:type="character" w:styleId="af0">
    <w:name w:val="footnote reference"/>
    <w:basedOn w:val="a1"/>
    <w:semiHidden/>
    <w:unhideWhenUsed/>
    <w:rsid w:val="00C00F2A"/>
    <w:rPr>
      <w:vertAlign w:val="superscript"/>
    </w:rPr>
  </w:style>
  <w:style w:type="character" w:customStyle="1" w:styleId="af1">
    <w:name w:val="מראה מקום בהערות שוליים"/>
    <w:basedOn w:val="Hyperlink"/>
    <w:uiPriority w:val="1"/>
    <w:qFormat/>
    <w:rsid w:val="00C00F2A"/>
    <w:rPr>
      <w:rFonts w:cs="Miriam"/>
      <w:color w:val="000080"/>
      <w:sz w:val="22"/>
      <w:szCs w:val="20"/>
      <w:u w:val="none"/>
    </w:rPr>
  </w:style>
  <w:style w:type="paragraph" w:styleId="af2">
    <w:name w:val="List"/>
    <w:basedOn w:val="a0"/>
    <w:rsid w:val="005B3C19"/>
    <w:pPr>
      <w:autoSpaceDE w:val="0"/>
      <w:autoSpaceDN w:val="0"/>
      <w:spacing w:after="0"/>
      <w:ind w:left="360" w:hanging="360"/>
      <w:jc w:val="both"/>
    </w:pPr>
    <w:rPr>
      <w:rFonts w:eastAsia="Times New Roman"/>
      <w:sz w:val="23"/>
    </w:rPr>
  </w:style>
  <w:style w:type="paragraph" w:styleId="af3">
    <w:name w:val="Body Text Indent"/>
    <w:basedOn w:val="a0"/>
    <w:link w:val="af4"/>
    <w:uiPriority w:val="99"/>
    <w:semiHidden/>
    <w:unhideWhenUsed/>
    <w:rsid w:val="005B3C19"/>
    <w:pPr>
      <w:ind w:left="360"/>
    </w:pPr>
  </w:style>
  <w:style w:type="character" w:customStyle="1" w:styleId="af4">
    <w:name w:val="כניסה בגוף טקסט תו"/>
    <w:basedOn w:val="a1"/>
    <w:link w:val="af3"/>
    <w:uiPriority w:val="99"/>
    <w:semiHidden/>
    <w:rsid w:val="005B3C19"/>
    <w:rPr>
      <w:rFonts w:ascii="Times New Roman" w:hAnsi="Times New Roman" w:cs="David"/>
      <w:sz w:val="24"/>
      <w:szCs w:val="24"/>
    </w:rPr>
  </w:style>
  <w:style w:type="paragraph" w:styleId="21">
    <w:name w:val="Body Text First Indent 2"/>
    <w:basedOn w:val="af3"/>
    <w:link w:val="22"/>
    <w:rsid w:val="005B3C19"/>
    <w:pPr>
      <w:autoSpaceDE w:val="0"/>
      <w:autoSpaceDN w:val="0"/>
      <w:ind w:left="283" w:firstLine="210"/>
      <w:jc w:val="both"/>
    </w:pPr>
    <w:rPr>
      <w:rFonts w:eastAsia="Times New Roman"/>
      <w:sz w:val="20"/>
    </w:rPr>
  </w:style>
  <w:style w:type="character" w:customStyle="1" w:styleId="22">
    <w:name w:val="כניסת שורה ראשונה בגוף טקסט 2 תו"/>
    <w:basedOn w:val="af4"/>
    <w:link w:val="21"/>
    <w:rsid w:val="005B3C19"/>
    <w:rPr>
      <w:rFonts w:ascii="Times New Roman" w:eastAsia="Times New Roman" w:hAnsi="Times New Roman" w:cs="David"/>
      <w:sz w:val="20"/>
      <w:szCs w:val="24"/>
    </w:rPr>
  </w:style>
  <w:style w:type="paragraph" w:styleId="af5">
    <w:name w:val="Body Text"/>
    <w:basedOn w:val="a0"/>
    <w:link w:val="af6"/>
    <w:uiPriority w:val="99"/>
    <w:semiHidden/>
    <w:unhideWhenUsed/>
    <w:rsid w:val="005B3C19"/>
  </w:style>
  <w:style w:type="character" w:customStyle="1" w:styleId="af6">
    <w:name w:val="גוף טקסט תו"/>
    <w:basedOn w:val="a1"/>
    <w:link w:val="af5"/>
    <w:uiPriority w:val="99"/>
    <w:semiHidden/>
    <w:rsid w:val="005B3C19"/>
    <w:rPr>
      <w:rFonts w:ascii="Times New Roman" w:hAnsi="Times New Roman" w:cs="David"/>
      <w:sz w:val="24"/>
      <w:szCs w:val="24"/>
    </w:rPr>
  </w:style>
  <w:style w:type="paragraph" w:customStyle="1" w:styleId="CharChar">
    <w:name w:val="תו תו Char Char"/>
    <w:basedOn w:val="a0"/>
    <w:rsid w:val="00E83BDD"/>
    <w:pPr>
      <w:bidi w:val="0"/>
      <w:spacing w:before="0" w:after="160" w:line="240" w:lineRule="exact"/>
    </w:pPr>
    <w:rPr>
      <w:rFonts w:ascii="Arial" w:eastAsia="MS Mincho" w:hAnsi="Arial" w:cs="Arial"/>
      <w:sz w:val="20"/>
      <w:szCs w:val="20"/>
      <w:lang w:bidi="ar-SA"/>
    </w:rPr>
  </w:style>
  <w:style w:type="character" w:customStyle="1" w:styleId="40">
    <w:name w:val="כותרת 4 תו"/>
    <w:basedOn w:val="a1"/>
    <w:link w:val="4"/>
    <w:rsid w:val="00DA11E6"/>
    <w:rPr>
      <w:rFonts w:asciiTheme="majorHAnsi" w:eastAsiaTheme="majorEastAsia" w:hAnsiTheme="majorHAnsi" w:cstheme="majorBidi"/>
      <w:b/>
      <w:bCs/>
      <w:i/>
      <w:iCs/>
      <w:color w:val="4F81BD" w:themeColor="accent1"/>
      <w:sz w:val="24"/>
      <w:szCs w:val="24"/>
      <w:lang w:eastAsia="he-IL"/>
    </w:rPr>
  </w:style>
  <w:style w:type="character" w:customStyle="1" w:styleId="30">
    <w:name w:val="כותרת 3 תו"/>
    <w:basedOn w:val="a1"/>
    <w:link w:val="3"/>
    <w:uiPriority w:val="9"/>
    <w:rsid w:val="00A119B9"/>
    <w:rPr>
      <w:rFonts w:asciiTheme="majorHAnsi" w:eastAsiaTheme="majorEastAsia" w:hAnsiTheme="majorHAnsi" w:cs="David"/>
      <w:sz w:val="24"/>
      <w:szCs w:val="24"/>
      <w:u w:val="single"/>
    </w:rPr>
  </w:style>
  <w:style w:type="table" w:styleId="af7">
    <w:name w:val="Table Grid"/>
    <w:basedOn w:val="a2"/>
    <w:uiPriority w:val="59"/>
    <w:rsid w:val="0090253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כותרת 1 תו"/>
    <w:basedOn w:val="a1"/>
    <w:link w:val="10"/>
    <w:uiPriority w:val="9"/>
    <w:rsid w:val="00ED2216"/>
    <w:rPr>
      <w:rFonts w:asciiTheme="majorHAnsi" w:eastAsiaTheme="majorEastAsia" w:hAnsiTheme="majorHAnsi" w:cs="David"/>
      <w:b/>
      <w:bCs/>
      <w:sz w:val="24"/>
      <w:szCs w:val="24"/>
      <w:u w:val="single"/>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style>
  <w:style w:type="character" w:customStyle="1" w:styleId="20">
    <w:name w:val="כותרת 2 תו"/>
    <w:basedOn w:val="a1"/>
    <w:link w:val="2"/>
    <w:uiPriority w:val="9"/>
    <w:rsid w:val="00ED2216"/>
    <w:rPr>
      <w:rFonts w:asciiTheme="majorHAnsi" w:eastAsiaTheme="majorEastAsia" w:hAnsiTheme="majorHAnsi" w:cs="David"/>
      <w:b/>
      <w:bCs/>
      <w:sz w:val="24"/>
      <w:szCs w:val="24"/>
      <w:u w:val="single"/>
    </w:rPr>
  </w:style>
  <w:style w:type="paragraph" w:styleId="af8">
    <w:name w:val="Quote"/>
    <w:basedOn w:val="a0"/>
    <w:next w:val="a0"/>
    <w:link w:val="af9"/>
    <w:uiPriority w:val="29"/>
    <w:qFormat/>
    <w:rsid w:val="00BC5026"/>
    <w:pPr>
      <w:spacing w:line="288" w:lineRule="auto"/>
      <w:ind w:left="936" w:right="851"/>
      <w:jc w:val="both"/>
    </w:pPr>
    <w:rPr>
      <w:color w:val="000000" w:themeColor="text1"/>
    </w:rPr>
  </w:style>
  <w:style w:type="character" w:customStyle="1" w:styleId="af9">
    <w:name w:val="ציטוט תו"/>
    <w:basedOn w:val="a1"/>
    <w:link w:val="af8"/>
    <w:uiPriority w:val="29"/>
    <w:rsid w:val="00BC5026"/>
    <w:rPr>
      <w:rFonts w:ascii="Times New Roman" w:hAnsi="Times New Roman" w:cs="David"/>
      <w:color w:val="000000" w:themeColor="text1"/>
      <w:sz w:val="24"/>
      <w:szCs w:val="24"/>
    </w:rPr>
  </w:style>
  <w:style w:type="paragraph" w:styleId="afa">
    <w:name w:val="endnote text"/>
    <w:basedOn w:val="a0"/>
    <w:link w:val="afb"/>
    <w:uiPriority w:val="99"/>
    <w:semiHidden/>
    <w:unhideWhenUsed/>
    <w:rsid w:val="00FC0063"/>
    <w:pPr>
      <w:spacing w:before="0" w:after="0" w:line="240" w:lineRule="auto"/>
    </w:pPr>
    <w:rPr>
      <w:sz w:val="20"/>
      <w:szCs w:val="20"/>
    </w:rPr>
  </w:style>
  <w:style w:type="character" w:customStyle="1" w:styleId="afb">
    <w:name w:val="טקסט הערת סיום תו"/>
    <w:basedOn w:val="a1"/>
    <w:link w:val="afa"/>
    <w:uiPriority w:val="99"/>
    <w:semiHidden/>
    <w:rsid w:val="00FC0063"/>
    <w:rPr>
      <w:rFonts w:ascii="Times New Roman" w:hAnsi="Times New Roman" w:cs="David"/>
      <w:sz w:val="20"/>
      <w:szCs w:val="20"/>
    </w:rPr>
  </w:style>
  <w:style w:type="character" w:styleId="afc">
    <w:name w:val="endnote reference"/>
    <w:basedOn w:val="a1"/>
    <w:uiPriority w:val="99"/>
    <w:semiHidden/>
    <w:unhideWhenUsed/>
    <w:rsid w:val="00FC0063"/>
    <w:rPr>
      <w:vertAlign w:val="superscript"/>
    </w:rPr>
  </w:style>
  <w:style w:type="paragraph" w:customStyle="1" w:styleId="afd">
    <w:name w:val="מדורג"/>
    <w:basedOn w:val="aa"/>
    <w:link w:val="afe"/>
    <w:rsid w:val="00C35FC7"/>
    <w:pPr>
      <w:spacing w:before="60" w:after="60" w:line="264" w:lineRule="auto"/>
      <w:ind w:left="0"/>
      <w:contextualSpacing w:val="0"/>
      <w:jc w:val="both"/>
    </w:pPr>
    <w:rPr>
      <w:rFonts w:ascii="Arial" w:eastAsia="Calibri" w:hAnsi="Arial"/>
    </w:rPr>
  </w:style>
  <w:style w:type="character" w:customStyle="1" w:styleId="afe">
    <w:name w:val="מדורג תו"/>
    <w:basedOn w:val="a1"/>
    <w:link w:val="afd"/>
    <w:rsid w:val="00C35FC7"/>
    <w:rPr>
      <w:rFonts w:ascii="Arial" w:eastAsia="Calibri" w:hAnsi="Arial" w:cs="David"/>
      <w:sz w:val="24"/>
      <w:szCs w:val="24"/>
    </w:rPr>
  </w:style>
  <w:style w:type="paragraph" w:customStyle="1" w:styleId="aff">
    <w:name w:val="הנדון"/>
    <w:basedOn w:val="a0"/>
    <w:link w:val="aff0"/>
    <w:qFormat/>
    <w:rsid w:val="00B467E4"/>
    <w:pPr>
      <w:spacing w:before="360" w:after="0" w:line="288" w:lineRule="auto"/>
      <w:ind w:left="1440" w:right="284" w:hanging="720"/>
    </w:pPr>
  </w:style>
  <w:style w:type="character" w:customStyle="1" w:styleId="aff0">
    <w:name w:val="הנדון תו"/>
    <w:basedOn w:val="a1"/>
    <w:link w:val="aff"/>
    <w:rsid w:val="00B467E4"/>
    <w:rPr>
      <w:rFonts w:ascii="Times New Roman" w:hAnsi="Times New Roman" w:cs="David"/>
      <w:sz w:val="24"/>
      <w:szCs w:val="24"/>
    </w:rPr>
  </w:style>
  <w:style w:type="character" w:customStyle="1" w:styleId="default">
    <w:name w:val="default"/>
    <w:basedOn w:val="a1"/>
    <w:rsid w:val="00CE21D6"/>
    <w:rPr>
      <w:rFonts w:ascii="Times New Roman" w:hAnsi="Times New Roman" w:cs="Times New Roman"/>
      <w:sz w:val="26"/>
      <w:szCs w:val="26"/>
    </w:rPr>
  </w:style>
  <w:style w:type="character" w:styleId="aff1">
    <w:name w:val="annotation reference"/>
    <w:basedOn w:val="a1"/>
    <w:semiHidden/>
    <w:unhideWhenUsed/>
    <w:rsid w:val="00D1281B"/>
    <w:rPr>
      <w:sz w:val="16"/>
      <w:szCs w:val="16"/>
    </w:rPr>
  </w:style>
  <w:style w:type="paragraph" w:styleId="aff2">
    <w:name w:val="annotation text"/>
    <w:basedOn w:val="a0"/>
    <w:link w:val="aff3"/>
    <w:unhideWhenUsed/>
    <w:rsid w:val="00D1281B"/>
    <w:pPr>
      <w:spacing w:line="240" w:lineRule="auto"/>
    </w:pPr>
    <w:rPr>
      <w:sz w:val="20"/>
      <w:szCs w:val="20"/>
    </w:rPr>
  </w:style>
  <w:style w:type="character" w:customStyle="1" w:styleId="aff3">
    <w:name w:val="טקסט הערה תו"/>
    <w:basedOn w:val="a1"/>
    <w:link w:val="aff2"/>
    <w:rsid w:val="00D1281B"/>
    <w:rPr>
      <w:rFonts w:ascii="Times New Roman" w:hAnsi="Times New Roman" w:cs="David"/>
      <w:sz w:val="20"/>
      <w:szCs w:val="20"/>
    </w:rPr>
  </w:style>
  <w:style w:type="paragraph" w:styleId="aff4">
    <w:name w:val="annotation subject"/>
    <w:basedOn w:val="aff2"/>
    <w:next w:val="aff2"/>
    <w:link w:val="aff5"/>
    <w:uiPriority w:val="99"/>
    <w:semiHidden/>
    <w:unhideWhenUsed/>
    <w:rsid w:val="00D1281B"/>
    <w:rPr>
      <w:b/>
      <w:bCs/>
    </w:rPr>
  </w:style>
  <w:style w:type="character" w:customStyle="1" w:styleId="aff5">
    <w:name w:val="נושא הערה תו"/>
    <w:basedOn w:val="aff3"/>
    <w:link w:val="aff4"/>
    <w:uiPriority w:val="99"/>
    <w:semiHidden/>
    <w:rsid w:val="00D1281B"/>
    <w:rPr>
      <w:rFonts w:ascii="Times New Roman" w:hAnsi="Times New Roman" w:cs="David"/>
      <w:b/>
      <w:bCs/>
      <w:sz w:val="20"/>
      <w:szCs w:val="20"/>
    </w:rPr>
  </w:style>
  <w:style w:type="paragraph" w:styleId="aff6">
    <w:name w:val="Revision"/>
    <w:hidden/>
    <w:uiPriority w:val="99"/>
    <w:semiHidden/>
    <w:rsid w:val="004E4D47"/>
    <w:pPr>
      <w:spacing w:after="0" w:line="240" w:lineRule="auto"/>
    </w:pPr>
    <w:rPr>
      <w:rFonts w:ascii="Times New Roman" w:hAnsi="Times New Roman" w:cs="Dav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Hyperlink"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D7C17"/>
    <w:pPr>
      <w:bidi/>
      <w:spacing w:before="120" w:after="120" w:line="360" w:lineRule="auto"/>
    </w:pPr>
    <w:rPr>
      <w:rFonts w:ascii="Times New Roman" w:hAnsi="Times New Roman" w:cs="David"/>
      <w:sz w:val="24"/>
      <w:szCs w:val="24"/>
    </w:rPr>
  </w:style>
  <w:style w:type="paragraph" w:styleId="10">
    <w:name w:val="heading 1"/>
    <w:basedOn w:val="a0"/>
    <w:next w:val="a0"/>
    <w:link w:val="11"/>
    <w:uiPriority w:val="9"/>
    <w:qFormat/>
    <w:rsid w:val="00ED2216"/>
    <w:pPr>
      <w:keepNext/>
      <w:keepLines/>
      <w:spacing w:before="240" w:after="0"/>
      <w:outlineLvl w:val="0"/>
    </w:pPr>
    <w:rPr>
      <w:rFonts w:asciiTheme="majorHAnsi" w:eastAsiaTheme="majorEastAsia" w:hAnsiTheme="majorHAnsi"/>
      <w:b/>
      <w:bCs/>
      <w:u w:val="single"/>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style>
  <w:style w:type="paragraph" w:styleId="2">
    <w:name w:val="heading 2"/>
    <w:basedOn w:val="a0"/>
    <w:next w:val="a0"/>
    <w:link w:val="20"/>
    <w:uiPriority w:val="9"/>
    <w:unhideWhenUsed/>
    <w:qFormat/>
    <w:rsid w:val="00ED2216"/>
    <w:pPr>
      <w:keepNext/>
      <w:keepLines/>
      <w:spacing w:before="200" w:after="0"/>
      <w:outlineLvl w:val="1"/>
    </w:pPr>
    <w:rPr>
      <w:rFonts w:asciiTheme="majorHAnsi" w:eastAsiaTheme="majorEastAsia" w:hAnsiTheme="majorHAnsi"/>
      <w:b/>
      <w:bCs/>
      <w:u w:val="single"/>
    </w:rPr>
  </w:style>
  <w:style w:type="paragraph" w:styleId="3">
    <w:name w:val="heading 3"/>
    <w:basedOn w:val="a0"/>
    <w:next w:val="a0"/>
    <w:link w:val="30"/>
    <w:uiPriority w:val="9"/>
    <w:unhideWhenUsed/>
    <w:qFormat/>
    <w:rsid w:val="00A119B9"/>
    <w:pPr>
      <w:keepNext/>
      <w:keepLines/>
      <w:spacing w:after="0"/>
      <w:ind w:left="306"/>
      <w:outlineLvl w:val="2"/>
    </w:pPr>
    <w:rPr>
      <w:rFonts w:asciiTheme="majorHAnsi" w:eastAsiaTheme="majorEastAsia" w:hAnsiTheme="majorHAnsi"/>
      <w:u w:val="single"/>
    </w:rPr>
  </w:style>
  <w:style w:type="paragraph" w:styleId="4">
    <w:name w:val="heading 4"/>
    <w:basedOn w:val="a0"/>
    <w:next w:val="a0"/>
    <w:link w:val="40"/>
    <w:unhideWhenUsed/>
    <w:rsid w:val="00DA11E6"/>
    <w:pPr>
      <w:keepNext/>
      <w:keepLines/>
      <w:spacing w:before="200" w:after="0" w:line="240" w:lineRule="auto"/>
      <w:outlineLvl w:val="3"/>
    </w:pPr>
    <w:rPr>
      <w:rFonts w:asciiTheme="majorHAnsi" w:eastAsiaTheme="majorEastAsia" w:hAnsiTheme="majorHAnsi" w:cstheme="majorBidi"/>
      <w:b/>
      <w:bCs/>
      <w:i/>
      <w:iCs/>
      <w:color w:val="4F81BD" w:themeColor="accent1"/>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486E7E"/>
    <w:pPr>
      <w:tabs>
        <w:tab w:val="center" w:pos="4153"/>
        <w:tab w:val="right" w:pos="8306"/>
      </w:tabs>
      <w:spacing w:after="0" w:line="240" w:lineRule="auto"/>
    </w:pPr>
  </w:style>
  <w:style w:type="character" w:customStyle="1" w:styleId="a5">
    <w:name w:val="כותרת עליונה תו"/>
    <w:basedOn w:val="a1"/>
    <w:link w:val="a4"/>
    <w:uiPriority w:val="99"/>
    <w:rsid w:val="00486E7E"/>
  </w:style>
  <w:style w:type="paragraph" w:styleId="a6">
    <w:name w:val="footer"/>
    <w:basedOn w:val="a0"/>
    <w:link w:val="a7"/>
    <w:uiPriority w:val="99"/>
    <w:unhideWhenUsed/>
    <w:rsid w:val="00486E7E"/>
    <w:pPr>
      <w:tabs>
        <w:tab w:val="center" w:pos="4153"/>
        <w:tab w:val="right" w:pos="8306"/>
      </w:tabs>
      <w:spacing w:after="0" w:line="240" w:lineRule="auto"/>
    </w:pPr>
  </w:style>
  <w:style w:type="character" w:customStyle="1" w:styleId="a7">
    <w:name w:val="כותרת תחתונה תו"/>
    <w:basedOn w:val="a1"/>
    <w:link w:val="a6"/>
    <w:uiPriority w:val="99"/>
    <w:rsid w:val="00486E7E"/>
  </w:style>
  <w:style w:type="paragraph" w:styleId="a8">
    <w:name w:val="Balloon Text"/>
    <w:basedOn w:val="a0"/>
    <w:link w:val="a9"/>
    <w:uiPriority w:val="99"/>
    <w:semiHidden/>
    <w:unhideWhenUsed/>
    <w:rsid w:val="00486E7E"/>
    <w:pPr>
      <w:spacing w:after="0" w:line="240" w:lineRule="auto"/>
    </w:pPr>
    <w:rPr>
      <w:rFonts w:ascii="Tahoma" w:hAnsi="Tahoma" w:cs="Tahoma"/>
      <w:sz w:val="16"/>
      <w:szCs w:val="16"/>
    </w:rPr>
  </w:style>
  <w:style w:type="character" w:customStyle="1" w:styleId="a9">
    <w:name w:val="טקסט בלונים תו"/>
    <w:basedOn w:val="a1"/>
    <w:link w:val="a8"/>
    <w:uiPriority w:val="99"/>
    <w:semiHidden/>
    <w:rsid w:val="00486E7E"/>
    <w:rPr>
      <w:rFonts w:ascii="Tahoma" w:hAnsi="Tahoma" w:cs="Tahoma"/>
      <w:sz w:val="16"/>
      <w:szCs w:val="16"/>
    </w:rPr>
  </w:style>
  <w:style w:type="paragraph" w:customStyle="1" w:styleId="12">
    <w:name w:val="סגנון1"/>
    <w:basedOn w:val="a0"/>
    <w:rsid w:val="00A55997"/>
    <w:pPr>
      <w:autoSpaceDE w:val="0"/>
      <w:autoSpaceDN w:val="0"/>
      <w:spacing w:after="0"/>
      <w:jc w:val="both"/>
    </w:pPr>
    <w:rPr>
      <w:rFonts w:eastAsia="Times New Roman"/>
    </w:rPr>
  </w:style>
  <w:style w:type="character" w:styleId="Hyperlink">
    <w:name w:val="Hyperlink"/>
    <w:basedOn w:val="a1"/>
    <w:qFormat/>
    <w:rsid w:val="00FC0063"/>
    <w:rPr>
      <w:color w:val="000099"/>
      <w:sz w:val="22"/>
    </w:rPr>
  </w:style>
  <w:style w:type="paragraph" w:styleId="aa">
    <w:name w:val="List Paragraph"/>
    <w:basedOn w:val="a0"/>
    <w:uiPriority w:val="34"/>
    <w:qFormat/>
    <w:rsid w:val="00C5524A"/>
    <w:pPr>
      <w:ind w:left="720"/>
      <w:contextualSpacing/>
    </w:pPr>
  </w:style>
  <w:style w:type="paragraph" w:styleId="ab">
    <w:name w:val="No Spacing"/>
    <w:uiPriority w:val="1"/>
    <w:qFormat/>
    <w:rsid w:val="00300EEC"/>
    <w:pPr>
      <w:bidi/>
      <w:spacing w:after="0" w:line="240" w:lineRule="auto"/>
    </w:pPr>
    <w:rPr>
      <w:rFonts w:ascii="Times New Roman" w:hAnsi="Times New Roman" w:cs="David"/>
      <w:sz w:val="24"/>
      <w:szCs w:val="24"/>
    </w:rPr>
  </w:style>
  <w:style w:type="paragraph" w:customStyle="1" w:styleId="a">
    <w:name w:val="פסקאות ממוספרות"/>
    <w:basedOn w:val="a0"/>
    <w:rsid w:val="006B0A40"/>
    <w:pPr>
      <w:numPr>
        <w:numId w:val="2"/>
      </w:numPr>
      <w:ind w:left="288" w:hanging="288"/>
      <w:jc w:val="both"/>
    </w:pPr>
  </w:style>
  <w:style w:type="character" w:styleId="FollowedHyperlink">
    <w:name w:val="FollowedHyperlink"/>
    <w:basedOn w:val="a1"/>
    <w:uiPriority w:val="99"/>
    <w:semiHidden/>
    <w:unhideWhenUsed/>
    <w:rsid w:val="00CC54BE"/>
    <w:rPr>
      <w:color w:val="800080" w:themeColor="followedHyperlink"/>
      <w:u w:val="single"/>
    </w:rPr>
  </w:style>
  <w:style w:type="paragraph" w:customStyle="1" w:styleId="ac">
    <w:name w:val="כותרת"/>
    <w:basedOn w:val="a0"/>
    <w:rsid w:val="0078264A"/>
    <w:pPr>
      <w:autoSpaceDE w:val="0"/>
      <w:autoSpaceDN w:val="0"/>
      <w:spacing w:after="0"/>
      <w:jc w:val="center"/>
    </w:pPr>
    <w:rPr>
      <w:rFonts w:eastAsia="Times New Roman"/>
      <w:b/>
      <w:bCs/>
      <w:sz w:val="28"/>
      <w:szCs w:val="28"/>
      <w:u w:val="single"/>
    </w:rPr>
  </w:style>
  <w:style w:type="character" w:customStyle="1" w:styleId="ad">
    <w:name w:val="מראה מקום בטקסט"/>
    <w:basedOn w:val="a1"/>
    <w:uiPriority w:val="1"/>
    <w:qFormat/>
    <w:rsid w:val="008173F0"/>
    <w:rPr>
      <w:color w:val="262626" w:themeColor="text1" w:themeTint="D9"/>
      <w:sz w:val="21"/>
      <w:szCs w:val="21"/>
    </w:rPr>
  </w:style>
  <w:style w:type="paragraph" w:customStyle="1" w:styleId="1">
    <w:name w:val="ממוספר מדורג 1"/>
    <w:basedOn w:val="a0"/>
    <w:qFormat/>
    <w:rsid w:val="00103F93"/>
    <w:pPr>
      <w:numPr>
        <w:numId w:val="6"/>
      </w:numPr>
      <w:jc w:val="both"/>
    </w:pPr>
    <w:rPr>
      <w:rFonts w:eastAsia="Times New Roman"/>
      <w:lang w:eastAsia="he-IL"/>
    </w:rPr>
  </w:style>
  <w:style w:type="paragraph" w:customStyle="1" w:styleId="13">
    <w:name w:val="ציטוט1"/>
    <w:basedOn w:val="a0"/>
    <w:autoRedefine/>
    <w:qFormat/>
    <w:rsid w:val="00AA0338"/>
    <w:pPr>
      <w:spacing w:line="288" w:lineRule="auto"/>
      <w:ind w:left="964" w:right="709"/>
      <w:jc w:val="both"/>
    </w:pPr>
    <w:rPr>
      <w:rFonts w:eastAsia="Times New Roman"/>
      <w:lang w:eastAsia="he-IL"/>
    </w:rPr>
  </w:style>
  <w:style w:type="paragraph" w:styleId="ae">
    <w:name w:val="footnote text"/>
    <w:aliases w:val="תו תו תו,תו תו, Char,Sharp - Footnote Text,Footnote Text - Sharp Char Char,Footnote Text - Sharp Char,single space,footnote text,FOOTNOTES,fn,Footnote Text - Sharp,Sharp - Footnote Text1 Char,Footnote Text Char Char Char Char Char"/>
    <w:basedOn w:val="a0"/>
    <w:link w:val="af"/>
    <w:unhideWhenUsed/>
    <w:rsid w:val="00E9198D"/>
    <w:pPr>
      <w:spacing w:before="0" w:after="80" w:line="240" w:lineRule="auto"/>
      <w:ind w:left="215" w:hanging="215"/>
      <w:jc w:val="both"/>
    </w:pPr>
    <w:rPr>
      <w:sz w:val="20"/>
      <w:szCs w:val="20"/>
    </w:rPr>
  </w:style>
  <w:style w:type="character" w:customStyle="1" w:styleId="af">
    <w:name w:val="טקסט הערת שוליים תו"/>
    <w:aliases w:val="תו תו תו תו,תו תו תו1, Char תו,Sharp - Footnote Text תו,Footnote Text - Sharp Char Char תו,Footnote Text - Sharp Char תו,single space תו,footnote text תו,FOOTNOTES תו,fn תו,Footnote Text - Sharp תו,Sharp - Footnote Text1 Char תו"/>
    <w:basedOn w:val="a1"/>
    <w:link w:val="ae"/>
    <w:rsid w:val="00E9198D"/>
    <w:rPr>
      <w:rFonts w:ascii="Times New Roman" w:hAnsi="Times New Roman" w:cs="David"/>
      <w:sz w:val="20"/>
      <w:szCs w:val="20"/>
    </w:rPr>
  </w:style>
  <w:style w:type="character" w:styleId="af0">
    <w:name w:val="footnote reference"/>
    <w:basedOn w:val="a1"/>
    <w:semiHidden/>
    <w:unhideWhenUsed/>
    <w:rsid w:val="00C00F2A"/>
    <w:rPr>
      <w:vertAlign w:val="superscript"/>
    </w:rPr>
  </w:style>
  <w:style w:type="character" w:customStyle="1" w:styleId="af1">
    <w:name w:val="מראה מקום בהערות שוליים"/>
    <w:basedOn w:val="Hyperlink"/>
    <w:uiPriority w:val="1"/>
    <w:qFormat/>
    <w:rsid w:val="00C00F2A"/>
    <w:rPr>
      <w:rFonts w:cs="Miriam"/>
      <w:color w:val="000080"/>
      <w:sz w:val="22"/>
      <w:szCs w:val="20"/>
      <w:u w:val="none"/>
    </w:rPr>
  </w:style>
  <w:style w:type="paragraph" w:styleId="af2">
    <w:name w:val="List"/>
    <w:basedOn w:val="a0"/>
    <w:rsid w:val="005B3C19"/>
    <w:pPr>
      <w:autoSpaceDE w:val="0"/>
      <w:autoSpaceDN w:val="0"/>
      <w:spacing w:after="0"/>
      <w:ind w:left="360" w:hanging="360"/>
      <w:jc w:val="both"/>
    </w:pPr>
    <w:rPr>
      <w:rFonts w:eastAsia="Times New Roman"/>
      <w:sz w:val="23"/>
    </w:rPr>
  </w:style>
  <w:style w:type="paragraph" w:styleId="af3">
    <w:name w:val="Body Text Indent"/>
    <w:basedOn w:val="a0"/>
    <w:link w:val="af4"/>
    <w:uiPriority w:val="99"/>
    <w:semiHidden/>
    <w:unhideWhenUsed/>
    <w:rsid w:val="005B3C19"/>
    <w:pPr>
      <w:ind w:left="360"/>
    </w:pPr>
  </w:style>
  <w:style w:type="character" w:customStyle="1" w:styleId="af4">
    <w:name w:val="כניסה בגוף טקסט תו"/>
    <w:basedOn w:val="a1"/>
    <w:link w:val="af3"/>
    <w:uiPriority w:val="99"/>
    <w:semiHidden/>
    <w:rsid w:val="005B3C19"/>
    <w:rPr>
      <w:rFonts w:ascii="Times New Roman" w:hAnsi="Times New Roman" w:cs="David"/>
      <w:sz w:val="24"/>
      <w:szCs w:val="24"/>
    </w:rPr>
  </w:style>
  <w:style w:type="paragraph" w:styleId="21">
    <w:name w:val="Body Text First Indent 2"/>
    <w:basedOn w:val="af3"/>
    <w:link w:val="22"/>
    <w:rsid w:val="005B3C19"/>
    <w:pPr>
      <w:autoSpaceDE w:val="0"/>
      <w:autoSpaceDN w:val="0"/>
      <w:ind w:left="283" w:firstLine="210"/>
      <w:jc w:val="both"/>
    </w:pPr>
    <w:rPr>
      <w:rFonts w:eastAsia="Times New Roman"/>
      <w:sz w:val="20"/>
    </w:rPr>
  </w:style>
  <w:style w:type="character" w:customStyle="1" w:styleId="22">
    <w:name w:val="כניסת שורה ראשונה בגוף טקסט 2 תו"/>
    <w:basedOn w:val="af4"/>
    <w:link w:val="21"/>
    <w:rsid w:val="005B3C19"/>
    <w:rPr>
      <w:rFonts w:ascii="Times New Roman" w:eastAsia="Times New Roman" w:hAnsi="Times New Roman" w:cs="David"/>
      <w:sz w:val="20"/>
      <w:szCs w:val="24"/>
    </w:rPr>
  </w:style>
  <w:style w:type="paragraph" w:styleId="af5">
    <w:name w:val="Body Text"/>
    <w:basedOn w:val="a0"/>
    <w:link w:val="af6"/>
    <w:uiPriority w:val="99"/>
    <w:semiHidden/>
    <w:unhideWhenUsed/>
    <w:rsid w:val="005B3C19"/>
  </w:style>
  <w:style w:type="character" w:customStyle="1" w:styleId="af6">
    <w:name w:val="גוף טקסט תו"/>
    <w:basedOn w:val="a1"/>
    <w:link w:val="af5"/>
    <w:uiPriority w:val="99"/>
    <w:semiHidden/>
    <w:rsid w:val="005B3C19"/>
    <w:rPr>
      <w:rFonts w:ascii="Times New Roman" w:hAnsi="Times New Roman" w:cs="David"/>
      <w:sz w:val="24"/>
      <w:szCs w:val="24"/>
    </w:rPr>
  </w:style>
  <w:style w:type="paragraph" w:customStyle="1" w:styleId="CharChar">
    <w:name w:val="תו תו Char Char"/>
    <w:basedOn w:val="a0"/>
    <w:rsid w:val="00E83BDD"/>
    <w:pPr>
      <w:bidi w:val="0"/>
      <w:spacing w:before="0" w:after="160" w:line="240" w:lineRule="exact"/>
    </w:pPr>
    <w:rPr>
      <w:rFonts w:ascii="Arial" w:eastAsia="MS Mincho" w:hAnsi="Arial" w:cs="Arial"/>
      <w:sz w:val="20"/>
      <w:szCs w:val="20"/>
      <w:lang w:bidi="ar-SA"/>
    </w:rPr>
  </w:style>
  <w:style w:type="character" w:customStyle="1" w:styleId="40">
    <w:name w:val="כותרת 4 תו"/>
    <w:basedOn w:val="a1"/>
    <w:link w:val="4"/>
    <w:rsid w:val="00DA11E6"/>
    <w:rPr>
      <w:rFonts w:asciiTheme="majorHAnsi" w:eastAsiaTheme="majorEastAsia" w:hAnsiTheme="majorHAnsi" w:cstheme="majorBidi"/>
      <w:b/>
      <w:bCs/>
      <w:i/>
      <w:iCs/>
      <w:color w:val="4F81BD" w:themeColor="accent1"/>
      <w:sz w:val="24"/>
      <w:szCs w:val="24"/>
      <w:lang w:eastAsia="he-IL"/>
    </w:rPr>
  </w:style>
  <w:style w:type="character" w:customStyle="1" w:styleId="30">
    <w:name w:val="כותרת 3 תו"/>
    <w:basedOn w:val="a1"/>
    <w:link w:val="3"/>
    <w:uiPriority w:val="9"/>
    <w:rsid w:val="00A119B9"/>
    <w:rPr>
      <w:rFonts w:asciiTheme="majorHAnsi" w:eastAsiaTheme="majorEastAsia" w:hAnsiTheme="majorHAnsi" w:cs="David"/>
      <w:sz w:val="24"/>
      <w:szCs w:val="24"/>
      <w:u w:val="single"/>
    </w:rPr>
  </w:style>
  <w:style w:type="table" w:styleId="af7">
    <w:name w:val="Table Grid"/>
    <w:basedOn w:val="a2"/>
    <w:uiPriority w:val="59"/>
    <w:rsid w:val="0090253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כותרת 1 תו"/>
    <w:basedOn w:val="a1"/>
    <w:link w:val="10"/>
    <w:uiPriority w:val="9"/>
    <w:rsid w:val="00ED2216"/>
    <w:rPr>
      <w:rFonts w:asciiTheme="majorHAnsi" w:eastAsiaTheme="majorEastAsia" w:hAnsiTheme="majorHAnsi" w:cs="David"/>
      <w:b/>
      <w:bCs/>
      <w:sz w:val="24"/>
      <w:szCs w:val="24"/>
      <w:u w:val="single"/>
      <w14:shadow w14:blurRad="63500" w14:dist="50800" w14:dir="13500000" w14:sx="0" w14:sy="0" w14:kx="0" w14:ky="0" w14:algn="none">
        <w14:srgbClr w14:val="000000">
          <w14:alpha w14:val="50000"/>
        </w14:srgbClr>
      </w14:shadow>
      <w14:textOutline w14:w="9525" w14:cap="rnd" w14:cmpd="sng" w14:algn="ctr">
        <w14:solidFill>
          <w14:srgbClr w14:val="000000"/>
        </w14:solidFill>
        <w14:prstDash w14:val="solid"/>
        <w14:bevel/>
      </w14:textOutline>
    </w:rPr>
  </w:style>
  <w:style w:type="character" w:customStyle="1" w:styleId="20">
    <w:name w:val="כותרת 2 תו"/>
    <w:basedOn w:val="a1"/>
    <w:link w:val="2"/>
    <w:uiPriority w:val="9"/>
    <w:rsid w:val="00ED2216"/>
    <w:rPr>
      <w:rFonts w:asciiTheme="majorHAnsi" w:eastAsiaTheme="majorEastAsia" w:hAnsiTheme="majorHAnsi" w:cs="David"/>
      <w:b/>
      <w:bCs/>
      <w:sz w:val="24"/>
      <w:szCs w:val="24"/>
      <w:u w:val="single"/>
    </w:rPr>
  </w:style>
  <w:style w:type="paragraph" w:styleId="af8">
    <w:name w:val="Quote"/>
    <w:basedOn w:val="a0"/>
    <w:next w:val="a0"/>
    <w:link w:val="af9"/>
    <w:uiPriority w:val="29"/>
    <w:qFormat/>
    <w:rsid w:val="00BC5026"/>
    <w:pPr>
      <w:spacing w:line="288" w:lineRule="auto"/>
      <w:ind w:left="936" w:right="851"/>
      <w:jc w:val="both"/>
    </w:pPr>
    <w:rPr>
      <w:color w:val="000000" w:themeColor="text1"/>
    </w:rPr>
  </w:style>
  <w:style w:type="character" w:customStyle="1" w:styleId="af9">
    <w:name w:val="ציטוט תו"/>
    <w:basedOn w:val="a1"/>
    <w:link w:val="af8"/>
    <w:uiPriority w:val="29"/>
    <w:rsid w:val="00BC5026"/>
    <w:rPr>
      <w:rFonts w:ascii="Times New Roman" w:hAnsi="Times New Roman" w:cs="David"/>
      <w:color w:val="000000" w:themeColor="text1"/>
      <w:sz w:val="24"/>
      <w:szCs w:val="24"/>
    </w:rPr>
  </w:style>
  <w:style w:type="paragraph" w:styleId="afa">
    <w:name w:val="endnote text"/>
    <w:basedOn w:val="a0"/>
    <w:link w:val="afb"/>
    <w:uiPriority w:val="99"/>
    <w:semiHidden/>
    <w:unhideWhenUsed/>
    <w:rsid w:val="00FC0063"/>
    <w:pPr>
      <w:spacing w:before="0" w:after="0" w:line="240" w:lineRule="auto"/>
    </w:pPr>
    <w:rPr>
      <w:sz w:val="20"/>
      <w:szCs w:val="20"/>
    </w:rPr>
  </w:style>
  <w:style w:type="character" w:customStyle="1" w:styleId="afb">
    <w:name w:val="טקסט הערת סיום תו"/>
    <w:basedOn w:val="a1"/>
    <w:link w:val="afa"/>
    <w:uiPriority w:val="99"/>
    <w:semiHidden/>
    <w:rsid w:val="00FC0063"/>
    <w:rPr>
      <w:rFonts w:ascii="Times New Roman" w:hAnsi="Times New Roman" w:cs="David"/>
      <w:sz w:val="20"/>
      <w:szCs w:val="20"/>
    </w:rPr>
  </w:style>
  <w:style w:type="character" w:styleId="afc">
    <w:name w:val="endnote reference"/>
    <w:basedOn w:val="a1"/>
    <w:uiPriority w:val="99"/>
    <w:semiHidden/>
    <w:unhideWhenUsed/>
    <w:rsid w:val="00FC0063"/>
    <w:rPr>
      <w:vertAlign w:val="superscript"/>
    </w:rPr>
  </w:style>
  <w:style w:type="paragraph" w:customStyle="1" w:styleId="afd">
    <w:name w:val="מדורג"/>
    <w:basedOn w:val="aa"/>
    <w:link w:val="afe"/>
    <w:rsid w:val="00C35FC7"/>
    <w:pPr>
      <w:spacing w:before="60" w:after="60" w:line="264" w:lineRule="auto"/>
      <w:ind w:left="0"/>
      <w:contextualSpacing w:val="0"/>
      <w:jc w:val="both"/>
    </w:pPr>
    <w:rPr>
      <w:rFonts w:ascii="Arial" w:eastAsia="Calibri" w:hAnsi="Arial"/>
    </w:rPr>
  </w:style>
  <w:style w:type="character" w:customStyle="1" w:styleId="afe">
    <w:name w:val="מדורג תו"/>
    <w:basedOn w:val="a1"/>
    <w:link w:val="afd"/>
    <w:rsid w:val="00C35FC7"/>
    <w:rPr>
      <w:rFonts w:ascii="Arial" w:eastAsia="Calibri" w:hAnsi="Arial" w:cs="David"/>
      <w:sz w:val="24"/>
      <w:szCs w:val="24"/>
    </w:rPr>
  </w:style>
  <w:style w:type="paragraph" w:customStyle="1" w:styleId="aff">
    <w:name w:val="הנדון"/>
    <w:basedOn w:val="a0"/>
    <w:link w:val="aff0"/>
    <w:qFormat/>
    <w:rsid w:val="00B467E4"/>
    <w:pPr>
      <w:spacing w:before="360" w:after="0" w:line="288" w:lineRule="auto"/>
      <w:ind w:left="1440" w:right="284" w:hanging="720"/>
    </w:pPr>
  </w:style>
  <w:style w:type="character" w:customStyle="1" w:styleId="aff0">
    <w:name w:val="הנדון תו"/>
    <w:basedOn w:val="a1"/>
    <w:link w:val="aff"/>
    <w:rsid w:val="00B467E4"/>
    <w:rPr>
      <w:rFonts w:ascii="Times New Roman" w:hAnsi="Times New Roman" w:cs="David"/>
      <w:sz w:val="24"/>
      <w:szCs w:val="24"/>
    </w:rPr>
  </w:style>
  <w:style w:type="character" w:customStyle="1" w:styleId="default">
    <w:name w:val="default"/>
    <w:basedOn w:val="a1"/>
    <w:rsid w:val="00CE21D6"/>
    <w:rPr>
      <w:rFonts w:ascii="Times New Roman" w:hAnsi="Times New Roman" w:cs="Times New Roman"/>
      <w:sz w:val="26"/>
      <w:szCs w:val="26"/>
    </w:rPr>
  </w:style>
  <w:style w:type="character" w:styleId="aff1">
    <w:name w:val="annotation reference"/>
    <w:basedOn w:val="a1"/>
    <w:semiHidden/>
    <w:unhideWhenUsed/>
    <w:rsid w:val="00D1281B"/>
    <w:rPr>
      <w:sz w:val="16"/>
      <w:szCs w:val="16"/>
    </w:rPr>
  </w:style>
  <w:style w:type="paragraph" w:styleId="aff2">
    <w:name w:val="annotation text"/>
    <w:basedOn w:val="a0"/>
    <w:link w:val="aff3"/>
    <w:unhideWhenUsed/>
    <w:rsid w:val="00D1281B"/>
    <w:pPr>
      <w:spacing w:line="240" w:lineRule="auto"/>
    </w:pPr>
    <w:rPr>
      <w:sz w:val="20"/>
      <w:szCs w:val="20"/>
    </w:rPr>
  </w:style>
  <w:style w:type="character" w:customStyle="1" w:styleId="aff3">
    <w:name w:val="טקסט הערה תו"/>
    <w:basedOn w:val="a1"/>
    <w:link w:val="aff2"/>
    <w:rsid w:val="00D1281B"/>
    <w:rPr>
      <w:rFonts w:ascii="Times New Roman" w:hAnsi="Times New Roman" w:cs="David"/>
      <w:sz w:val="20"/>
      <w:szCs w:val="20"/>
    </w:rPr>
  </w:style>
  <w:style w:type="paragraph" w:styleId="aff4">
    <w:name w:val="annotation subject"/>
    <w:basedOn w:val="aff2"/>
    <w:next w:val="aff2"/>
    <w:link w:val="aff5"/>
    <w:uiPriority w:val="99"/>
    <w:semiHidden/>
    <w:unhideWhenUsed/>
    <w:rsid w:val="00D1281B"/>
    <w:rPr>
      <w:b/>
      <w:bCs/>
    </w:rPr>
  </w:style>
  <w:style w:type="character" w:customStyle="1" w:styleId="aff5">
    <w:name w:val="נושא הערה תו"/>
    <w:basedOn w:val="aff3"/>
    <w:link w:val="aff4"/>
    <w:uiPriority w:val="99"/>
    <w:semiHidden/>
    <w:rsid w:val="00D1281B"/>
    <w:rPr>
      <w:rFonts w:ascii="Times New Roman" w:hAnsi="Times New Roman" w:cs="David"/>
      <w:b/>
      <w:bCs/>
      <w:sz w:val="20"/>
      <w:szCs w:val="20"/>
    </w:rPr>
  </w:style>
  <w:style w:type="paragraph" w:styleId="aff6">
    <w:name w:val="Revision"/>
    <w:hidden/>
    <w:uiPriority w:val="99"/>
    <w:semiHidden/>
    <w:rsid w:val="004E4D47"/>
    <w:pPr>
      <w:spacing w:after="0" w:line="240" w:lineRule="auto"/>
    </w:pPr>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uris@acri.org.il" TargetMode="External"/><Relationship Id="rId2" Type="http://schemas.openxmlformats.org/officeDocument/2006/relationships/hyperlink" Target="mailto:" TargetMode="External"/><Relationship Id="rId1" Type="http://schemas.openxmlformats.org/officeDocument/2006/relationships/hyperlink" Target="http://www.acri.org.il"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uris@acri.org.il" TargetMode="External"/><Relationship Id="rId2" Type="http://schemas.openxmlformats.org/officeDocument/2006/relationships/hyperlink" Target="mailto:" TargetMode="External"/><Relationship Id="rId1" Type="http://schemas.openxmlformats.org/officeDocument/2006/relationships/hyperlink" Target="http://www.acri.org.i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evo.co.il/psika_html/mechozi/ME-15-05-37039-11.htm" TargetMode="External"/><Relationship Id="rId3" Type="http://schemas.openxmlformats.org/officeDocument/2006/relationships/hyperlink" Target="http://fs.knesset.gov.il//19/Committees/19_ptv_304164.doc" TargetMode="External"/><Relationship Id="rId7" Type="http://schemas.openxmlformats.org/officeDocument/2006/relationships/hyperlink" Target="https://www.nevo.co.il/psika_html/mechozi/ME-13-11-33227-937.htm" TargetMode="External"/><Relationship Id="rId2" Type="http://schemas.openxmlformats.org/officeDocument/2006/relationships/hyperlink" Target="http://www.knesset.gov.il/committees/heb/material/data/H26-10-2014_11-44-23_shikmoni19112014.pdf" TargetMode="External"/><Relationship Id="rId1" Type="http://schemas.openxmlformats.org/officeDocument/2006/relationships/hyperlink" Target="http://www.knesset.gov.il/committees/heb/material/data/H26-10-2014_11-45-42_igudinternet19112014.pdf" TargetMode="External"/><Relationship Id="rId6" Type="http://schemas.openxmlformats.org/officeDocument/2006/relationships/hyperlink" Target="http://elyon1.court.gov.il/files/12/820/037/o07/12037820.o07.htm" TargetMode="External"/><Relationship Id="rId5" Type="http://schemas.openxmlformats.org/officeDocument/2006/relationships/hyperlink" Target="http://www.acri.org.il/he/wp-content/uploads/2014/11/shimush-bemaqom181114.pdf" TargetMode="External"/><Relationship Id="rId4" Type="http://schemas.openxmlformats.org/officeDocument/2006/relationships/hyperlink" Target="http://www.knesset.gov.il/committees/heb/material/data/H26-10-2014_11-41-29_Birnhack19112014.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inchuk\AppData\Roaming\Microsoft\Templates\&#1514;&#1489;&#1504;&#1497;&#1514;%20&#1502;&#1499;&#1514;&#1489;%20&#1502;&#1508;&#1493;&#1512;&#1496;.do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5A74D4-4178-4AB7-8716-BBDAFE64EBF9}">
  <ds:schemaRefs>
    <ds:schemaRef ds:uri="http://schemas.openxmlformats.org/officeDocument/2006/bibliography"/>
  </ds:schemaRefs>
</ds:datastoreItem>
</file>

<file path=customXml/itemProps2.xml><?xml version="1.0" encoding="utf-8"?>
<ds:datastoreItem xmlns:ds="http://schemas.openxmlformats.org/officeDocument/2006/customXml" ds:itemID="{816BCED5-1102-4C98-BBA1-C2526AAD931D}"/>
</file>

<file path=customXml/itemProps3.xml><?xml version="1.0" encoding="utf-8"?>
<ds:datastoreItem xmlns:ds="http://schemas.openxmlformats.org/officeDocument/2006/customXml" ds:itemID="{A90C29FF-603D-4F18-A257-BF05E86A89D5}"/>
</file>

<file path=customXml/itemProps4.xml><?xml version="1.0" encoding="utf-8"?>
<ds:datastoreItem xmlns:ds="http://schemas.openxmlformats.org/officeDocument/2006/customXml" ds:itemID="{94E7E023-C696-4536-84BB-6CFBB527E9E1}"/>
</file>

<file path=docProps/app.xml><?xml version="1.0" encoding="utf-8"?>
<Properties xmlns="http://schemas.openxmlformats.org/officeDocument/2006/extended-properties" xmlns:vt="http://schemas.openxmlformats.org/officeDocument/2006/docPropsVTypes">
  <Template>תבנית מכתב מפורט.dotm</Template>
  <TotalTime>17</TotalTime>
  <Pages>5</Pages>
  <Words>1401</Words>
  <Characters>7006</Characters>
  <Application>Microsoft Office Word</Application>
  <DocSecurity>0</DocSecurity>
  <Lines>58</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ACRI</Company>
  <LinksUpToDate>false</LinksUpToDate>
  <CharactersWithSpaces>8391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הערות האגודה לזכויות האזרח להצ"ח הגבלת גישה לאתר אינטרנט לשם מניעת ביצוע עבירות</dc:title>
  <dc:creator>Avner Pinchuk</dc:creator>
  <cp:lastModifiedBy>Uri Sabach</cp:lastModifiedBy>
  <cp:revision>5</cp:revision>
  <cp:lastPrinted>2017-02-07T10:03:00Z</cp:lastPrinted>
  <dcterms:created xsi:type="dcterms:W3CDTF">2017-02-07T09:57:00Z</dcterms:created>
  <dcterms:modified xsi:type="dcterms:W3CDTF">2017-02-07T10:10:00Z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2013073</vt:r8>
  </property>
</Properties>
</file>