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260EB9" w14:textId="77777777" w:rsidR="001B68E4" w:rsidRPr="0000131B" w:rsidRDefault="001B68E4" w:rsidP="001B68E4">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564279</w:t>
      </w:r>
      <w:bookmarkEnd w:id="1"/>
    </w:p>
    <w:p w14:paraId="440FC43F" w14:textId="77777777" w:rsidR="001B68E4" w:rsidRPr="00DB7060" w:rsidRDefault="001B68E4" w:rsidP="001B68E4">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2BE8743D" w14:textId="77777777" w:rsidR="001B68E4" w:rsidRPr="00F67051" w:rsidRDefault="001B68E4" w:rsidP="001B68E4">
      <w:pPr>
        <w:rPr>
          <w:rFonts w:cs="David"/>
          <w:b/>
          <w:bCs/>
          <w:sz w:val="26"/>
          <w:szCs w:val="26"/>
          <w:rtl/>
        </w:rPr>
      </w:pPr>
    </w:p>
    <w:p w14:paraId="0FC0095A" w14:textId="77777777" w:rsidR="001B68E4" w:rsidRDefault="001B68E4" w:rsidP="001B68E4">
      <w:pPr>
        <w:pStyle w:val="David"/>
        <w:ind w:left="3544"/>
        <w:rPr>
          <w:b/>
          <w:bCs/>
          <w:rtl/>
        </w:rPr>
      </w:pPr>
      <w:bookmarkStart w:id="3" w:name="LGS_Initiators_List"/>
      <w:r>
        <w:rPr>
          <w:b/>
          <w:bCs/>
          <w:rtl/>
        </w:rPr>
        <w:t>יוזמת:</w:t>
      </w:r>
      <w:r>
        <w:tab/>
      </w:r>
      <w:r>
        <w:rPr>
          <w:b/>
          <w:bCs/>
          <w:rtl/>
        </w:rPr>
        <w:t xml:space="preserve">      חברת הכנסת</w:t>
      </w:r>
      <w:bookmarkEnd w:id="3"/>
      <w:r w:rsidRPr="00F67051">
        <w:rPr>
          <w:b/>
          <w:bCs/>
        </w:rPr>
        <w:tab/>
      </w:r>
      <w:bookmarkStart w:id="4" w:name="LGS_PM_Names"/>
      <w:r>
        <w:rPr>
          <w:rFonts w:hint="cs"/>
          <w:b/>
          <w:bCs/>
          <w:rtl/>
        </w:rPr>
        <w:t>שולי מועלם-רפאלי</w:t>
      </w:r>
      <w:bookmarkEnd w:id="4"/>
    </w:p>
    <w:p w14:paraId="55337638" w14:textId="77777777" w:rsidR="001B68E4" w:rsidRPr="00CF1AA2" w:rsidRDefault="001B68E4" w:rsidP="001B68E4">
      <w:pPr>
        <w:pStyle w:val="David"/>
        <w:ind w:left="3544"/>
        <w:rPr>
          <w:b/>
          <w:bCs/>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324B28D9" w14:textId="77777777" w:rsidR="001B68E4" w:rsidRPr="00E06736" w:rsidRDefault="001B68E4" w:rsidP="001B68E4">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2784436B" wp14:editId="181B29E7">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21FE89F"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Pr="00E06736">
        <w:rPr>
          <w:rFonts w:hint="cs"/>
          <w:rtl/>
        </w:rPr>
        <w:tab/>
      </w:r>
      <w:r>
        <w:tab/>
      </w:r>
      <w:r>
        <w:tab/>
      </w:r>
      <w:r w:rsidRPr="00E06736">
        <w:rPr>
          <w:rFonts w:hint="cs"/>
          <w:rtl/>
        </w:rPr>
        <w:tab/>
      </w:r>
      <w:r w:rsidRPr="00E06736">
        <w:tab/>
      </w:r>
      <w:bookmarkStart w:id="7" w:name="Private_Number"/>
      <w:r>
        <w:rPr>
          <w:rFonts w:hint="cs"/>
          <w:rtl/>
        </w:rPr>
        <w:t>פ/2848/20</w:t>
      </w:r>
      <w:bookmarkEnd w:id="7"/>
      <w:r w:rsidRPr="00E06736">
        <w:rPr>
          <w:rFonts w:hint="cs"/>
          <w:rtl/>
        </w:rPr>
        <w:tab/>
      </w:r>
      <w:r w:rsidRPr="00E06736">
        <w:rPr>
          <w:rFonts w:hint="cs"/>
          <w:rtl/>
        </w:rPr>
        <w:tab/>
      </w:r>
      <w:r w:rsidRPr="00E06736">
        <w:rPr>
          <w:rFonts w:hint="cs"/>
          <w:rtl/>
        </w:rPr>
        <w:tab/>
      </w:r>
    </w:p>
    <w:p w14:paraId="72B515BF" w14:textId="77777777" w:rsidR="004D33EC" w:rsidRDefault="004D33EC" w:rsidP="004D33EC">
      <w:pPr>
        <w:pStyle w:val="HeadHatzaotHok"/>
        <w:spacing w:before="0"/>
        <w:rPr>
          <w:rtl/>
        </w:rPr>
      </w:pPr>
      <w:bookmarkStart w:id="8" w:name="LGS_Subject"/>
    </w:p>
    <w:p w14:paraId="086AD2E5" w14:textId="77777777" w:rsidR="001B68E4" w:rsidRPr="00F67051" w:rsidRDefault="001B68E4" w:rsidP="004D33EC">
      <w:pPr>
        <w:pStyle w:val="HeadHatzaotHok"/>
        <w:spacing w:before="0"/>
        <w:rPr>
          <w:rtl/>
        </w:rPr>
      </w:pPr>
      <w:r>
        <w:rPr>
          <w:rFonts w:hint="cs"/>
          <w:rtl/>
        </w:rPr>
        <w:t>הצעת חוק בתי דין רבניים (קיום פסקי דין של גירושין) (תיקון – הגבלות על סרבני גט במאסר כפייה), התשע"ו–201</w:t>
      </w:r>
      <w:bookmarkEnd w:id="8"/>
      <w:r>
        <w:rPr>
          <w:rFonts w:hint="cs"/>
          <w:rtl/>
        </w:rPr>
        <w:t>6</w:t>
      </w:r>
    </w:p>
    <w:p w14:paraId="0529484D" w14:textId="77777777" w:rsidR="001B68E4" w:rsidRDefault="001B68E4" w:rsidP="001B68E4">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701"/>
        <w:gridCol w:w="425"/>
        <w:gridCol w:w="7515"/>
      </w:tblGrid>
      <w:tr w:rsidR="001B68E4" w14:paraId="752CD2F0" w14:textId="77777777" w:rsidTr="0047694C">
        <w:trPr>
          <w:cantSplit/>
          <w:trHeight w:val="60"/>
        </w:trPr>
        <w:tc>
          <w:tcPr>
            <w:tcW w:w="1701" w:type="dxa"/>
          </w:tcPr>
          <w:p w14:paraId="1BC772CA" w14:textId="77777777" w:rsidR="001B68E4" w:rsidRPr="00C9442A" w:rsidRDefault="001B68E4" w:rsidP="0047694C">
            <w:pPr>
              <w:pStyle w:val="TableBlock"/>
            </w:pPr>
            <w:r w:rsidRPr="00C9442A">
              <w:rPr>
                <w:rFonts w:hint="cs"/>
                <w:rtl/>
              </w:rPr>
              <w:t>תיקון סעיף 2</w:t>
            </w:r>
          </w:p>
        </w:tc>
        <w:tc>
          <w:tcPr>
            <w:tcW w:w="425" w:type="dxa"/>
          </w:tcPr>
          <w:p w14:paraId="4D8B676E" w14:textId="77777777" w:rsidR="001B68E4" w:rsidRPr="00C9442A" w:rsidRDefault="001B68E4" w:rsidP="0047694C">
            <w:pPr>
              <w:pStyle w:val="TableBlock"/>
            </w:pPr>
            <w:r w:rsidRPr="00C9442A">
              <w:rPr>
                <w:rFonts w:hint="cs"/>
                <w:rtl/>
              </w:rPr>
              <w:t>1.</w:t>
            </w:r>
          </w:p>
        </w:tc>
        <w:tc>
          <w:tcPr>
            <w:tcW w:w="7515" w:type="dxa"/>
          </w:tcPr>
          <w:p w14:paraId="780BBBB4" w14:textId="77777777" w:rsidR="001B68E4" w:rsidRPr="00C9442A" w:rsidRDefault="001B68E4" w:rsidP="0047694C">
            <w:pPr>
              <w:pStyle w:val="TableBlock"/>
            </w:pPr>
            <w:r w:rsidRPr="00C9442A">
              <w:rPr>
                <w:rtl/>
              </w:rPr>
              <w:t xml:space="preserve">בחוק </w:t>
            </w:r>
            <w:r w:rsidRPr="00C9442A">
              <w:rPr>
                <w:rFonts w:hint="cs"/>
                <w:rtl/>
              </w:rPr>
              <w:t>בתי דין רבניים (קיום פסקי דין של גירושין), התשנ"ה</w:t>
            </w:r>
            <w:r w:rsidRPr="00C9442A">
              <w:rPr>
                <w:rtl/>
              </w:rPr>
              <w:t>–</w:t>
            </w:r>
            <w:r w:rsidRPr="00C9442A">
              <w:rPr>
                <w:rFonts w:hint="cs"/>
                <w:rtl/>
              </w:rPr>
              <w:t>1995</w:t>
            </w:r>
            <w:r>
              <w:rPr>
                <w:rStyle w:val="a6"/>
                <w:rtl/>
              </w:rPr>
              <w:footnoteReference w:id="2"/>
            </w:r>
            <w:r w:rsidRPr="00C9442A">
              <w:rPr>
                <w:rFonts w:hint="cs"/>
                <w:rtl/>
              </w:rPr>
              <w:t xml:space="preserve"> (להלן </w:t>
            </w:r>
            <w:r w:rsidRPr="00C9442A">
              <w:rPr>
                <w:rtl/>
              </w:rPr>
              <w:t>–</w:t>
            </w:r>
            <w:r w:rsidRPr="00C9442A">
              <w:rPr>
                <w:rFonts w:hint="cs"/>
                <w:rtl/>
              </w:rPr>
              <w:t xml:space="preserve"> </w:t>
            </w:r>
            <w:r>
              <w:rPr>
                <w:rFonts w:hint="cs"/>
                <w:rtl/>
              </w:rPr>
              <w:t>החוק העיקרי), בסעיף 2(א)(7)</w:t>
            </w:r>
            <w:r w:rsidRPr="00C9442A">
              <w:rPr>
                <w:rFonts w:hint="cs"/>
                <w:rtl/>
              </w:rPr>
              <w:t xml:space="preserve"> בסופו יבוא:</w:t>
            </w:r>
          </w:p>
        </w:tc>
      </w:tr>
      <w:tr w:rsidR="001B68E4" w14:paraId="73DF4373" w14:textId="77777777" w:rsidTr="0047694C">
        <w:trPr>
          <w:cantSplit/>
          <w:trHeight w:val="60"/>
        </w:trPr>
        <w:tc>
          <w:tcPr>
            <w:tcW w:w="1701" w:type="dxa"/>
          </w:tcPr>
          <w:p w14:paraId="53A5266A" w14:textId="77777777" w:rsidR="001B68E4" w:rsidRPr="00C9442A" w:rsidRDefault="001B68E4" w:rsidP="0047694C">
            <w:pPr>
              <w:pStyle w:val="TableBlock"/>
              <w:rPr>
                <w:rtl/>
              </w:rPr>
            </w:pPr>
          </w:p>
        </w:tc>
        <w:tc>
          <w:tcPr>
            <w:tcW w:w="425" w:type="dxa"/>
          </w:tcPr>
          <w:p w14:paraId="01BF99A3" w14:textId="77777777" w:rsidR="001B68E4" w:rsidRPr="00C9442A" w:rsidRDefault="001B68E4" w:rsidP="0047694C">
            <w:pPr>
              <w:pStyle w:val="TableBlock"/>
              <w:rPr>
                <w:rtl/>
              </w:rPr>
            </w:pPr>
          </w:p>
        </w:tc>
        <w:tc>
          <w:tcPr>
            <w:tcW w:w="7515" w:type="dxa"/>
          </w:tcPr>
          <w:p w14:paraId="2E75AF9F" w14:textId="77777777" w:rsidR="001B68E4" w:rsidRPr="00C9442A" w:rsidRDefault="001B68E4" w:rsidP="0047694C">
            <w:pPr>
              <w:pStyle w:val="TableBlock"/>
              <w:rPr>
                <w:rtl/>
              </w:rPr>
            </w:pPr>
            <w:r w:rsidRPr="00C9442A">
              <w:rPr>
                <w:rtl/>
              </w:rPr>
              <w:t>"(י)</w:t>
            </w:r>
            <w:r w:rsidRPr="00C9442A">
              <w:rPr>
                <w:rtl/>
              </w:rPr>
              <w:tab/>
            </w:r>
            <w:r w:rsidRPr="00C9442A">
              <w:rPr>
                <w:rFonts w:hint="eastAsia"/>
                <w:rtl/>
              </w:rPr>
              <w:t>להשתתף</w:t>
            </w:r>
            <w:r w:rsidRPr="00C9442A">
              <w:rPr>
                <w:rtl/>
              </w:rPr>
              <w:t xml:space="preserve"> </w:t>
            </w:r>
            <w:r w:rsidRPr="00C9442A">
              <w:rPr>
                <w:rFonts w:hint="eastAsia"/>
                <w:rtl/>
              </w:rPr>
              <w:t>בכל</w:t>
            </w:r>
            <w:r w:rsidRPr="00C9442A">
              <w:rPr>
                <w:rtl/>
              </w:rPr>
              <w:t xml:space="preserve"> </w:t>
            </w:r>
            <w:r w:rsidRPr="00C9442A">
              <w:rPr>
                <w:rFonts w:hint="eastAsia"/>
                <w:rtl/>
              </w:rPr>
              <w:t>מסגרת</w:t>
            </w:r>
            <w:r w:rsidRPr="00C9442A">
              <w:rPr>
                <w:rtl/>
              </w:rPr>
              <w:t xml:space="preserve"> </w:t>
            </w:r>
            <w:r w:rsidRPr="00C9442A">
              <w:rPr>
                <w:rFonts w:hint="eastAsia"/>
                <w:rtl/>
              </w:rPr>
              <w:t>לימודית</w:t>
            </w:r>
            <w:r w:rsidRPr="00C9442A">
              <w:rPr>
                <w:rtl/>
              </w:rPr>
              <w:t xml:space="preserve"> </w:t>
            </w:r>
            <w:r w:rsidRPr="00C9442A">
              <w:rPr>
                <w:rFonts w:hint="eastAsia"/>
                <w:rtl/>
              </w:rPr>
              <w:t>שמתקיימת</w:t>
            </w:r>
            <w:r w:rsidRPr="00C9442A">
              <w:rPr>
                <w:rtl/>
              </w:rPr>
              <w:t xml:space="preserve"> </w:t>
            </w:r>
            <w:r w:rsidRPr="00C9442A">
              <w:rPr>
                <w:rFonts w:hint="eastAsia"/>
                <w:rtl/>
              </w:rPr>
              <w:t>בבית</w:t>
            </w:r>
            <w:r w:rsidRPr="00C9442A">
              <w:rPr>
                <w:rtl/>
              </w:rPr>
              <w:t xml:space="preserve"> </w:t>
            </w:r>
            <w:r w:rsidRPr="00C9442A">
              <w:rPr>
                <w:rFonts w:hint="eastAsia"/>
                <w:rtl/>
              </w:rPr>
              <w:t>הסוהר</w:t>
            </w:r>
            <w:r w:rsidRPr="00C9442A">
              <w:rPr>
                <w:rtl/>
              </w:rPr>
              <w:t>;</w:t>
            </w:r>
          </w:p>
        </w:tc>
      </w:tr>
      <w:tr w:rsidR="001B68E4" w14:paraId="3B809296" w14:textId="77777777" w:rsidTr="0047694C">
        <w:trPr>
          <w:cantSplit/>
          <w:trHeight w:val="60"/>
        </w:trPr>
        <w:tc>
          <w:tcPr>
            <w:tcW w:w="1701" w:type="dxa"/>
          </w:tcPr>
          <w:p w14:paraId="572B77B4" w14:textId="77777777" w:rsidR="001B68E4" w:rsidRPr="00C9442A" w:rsidRDefault="001B68E4" w:rsidP="0047694C">
            <w:pPr>
              <w:pStyle w:val="TableBlock"/>
              <w:rPr>
                <w:rtl/>
              </w:rPr>
            </w:pPr>
          </w:p>
        </w:tc>
        <w:tc>
          <w:tcPr>
            <w:tcW w:w="425" w:type="dxa"/>
          </w:tcPr>
          <w:p w14:paraId="399C2801" w14:textId="77777777" w:rsidR="001B68E4" w:rsidRPr="00C9442A" w:rsidRDefault="001B68E4" w:rsidP="0047694C">
            <w:pPr>
              <w:pStyle w:val="TableBlock"/>
              <w:rPr>
                <w:rtl/>
              </w:rPr>
            </w:pPr>
          </w:p>
        </w:tc>
        <w:tc>
          <w:tcPr>
            <w:tcW w:w="7515" w:type="dxa"/>
          </w:tcPr>
          <w:p w14:paraId="36B7929E" w14:textId="77777777" w:rsidR="001B68E4" w:rsidRPr="00C9442A" w:rsidRDefault="001B68E4" w:rsidP="0047694C">
            <w:pPr>
              <w:pStyle w:val="TableBlock"/>
              <w:rPr>
                <w:rtl/>
              </w:rPr>
            </w:pPr>
            <w:r w:rsidRPr="00C9442A">
              <w:rPr>
                <w:rtl/>
              </w:rPr>
              <w:t>(יא)</w:t>
            </w:r>
            <w:r w:rsidRPr="00C9442A">
              <w:rPr>
                <w:rtl/>
              </w:rPr>
              <w:tab/>
            </w:r>
            <w:r w:rsidRPr="00C9442A">
              <w:rPr>
                <w:rFonts w:hint="eastAsia"/>
                <w:rtl/>
              </w:rPr>
              <w:t>לקבל</w:t>
            </w:r>
            <w:r w:rsidRPr="00C9442A">
              <w:rPr>
                <w:rtl/>
              </w:rPr>
              <w:t xml:space="preserve"> </w:t>
            </w:r>
            <w:r w:rsidRPr="00C9442A">
              <w:rPr>
                <w:rFonts w:hint="eastAsia"/>
                <w:rtl/>
              </w:rPr>
              <w:t>אוכל</w:t>
            </w:r>
            <w:r w:rsidRPr="00C9442A">
              <w:rPr>
                <w:rtl/>
              </w:rPr>
              <w:t xml:space="preserve"> </w:t>
            </w:r>
            <w:r w:rsidRPr="00C9442A">
              <w:rPr>
                <w:rFonts w:hint="eastAsia"/>
                <w:rtl/>
              </w:rPr>
              <w:t>כשר</w:t>
            </w:r>
            <w:r w:rsidRPr="00C9442A">
              <w:rPr>
                <w:rtl/>
              </w:rPr>
              <w:t xml:space="preserve"> </w:t>
            </w:r>
            <w:r w:rsidRPr="00C9442A">
              <w:rPr>
                <w:rFonts w:hint="eastAsia"/>
                <w:rtl/>
              </w:rPr>
              <w:t>למהדרין</w:t>
            </w:r>
            <w:r w:rsidRPr="00C9442A">
              <w:rPr>
                <w:rtl/>
              </w:rPr>
              <w:t>;</w:t>
            </w:r>
          </w:p>
        </w:tc>
      </w:tr>
      <w:tr w:rsidR="001B68E4" w14:paraId="64299123" w14:textId="77777777" w:rsidTr="0047694C">
        <w:trPr>
          <w:cantSplit/>
          <w:trHeight w:val="60"/>
        </w:trPr>
        <w:tc>
          <w:tcPr>
            <w:tcW w:w="1701" w:type="dxa"/>
          </w:tcPr>
          <w:p w14:paraId="4E846081" w14:textId="77777777" w:rsidR="001B68E4" w:rsidRPr="00C9442A" w:rsidRDefault="001B68E4" w:rsidP="0047694C">
            <w:pPr>
              <w:pStyle w:val="TableBlock"/>
              <w:rPr>
                <w:rtl/>
              </w:rPr>
            </w:pPr>
          </w:p>
        </w:tc>
        <w:tc>
          <w:tcPr>
            <w:tcW w:w="425" w:type="dxa"/>
          </w:tcPr>
          <w:p w14:paraId="477710CD" w14:textId="77777777" w:rsidR="001B68E4" w:rsidRPr="00C9442A" w:rsidRDefault="001B68E4" w:rsidP="0047694C">
            <w:pPr>
              <w:pStyle w:val="TableBlock"/>
              <w:rPr>
                <w:rtl/>
              </w:rPr>
            </w:pPr>
          </w:p>
        </w:tc>
        <w:tc>
          <w:tcPr>
            <w:tcW w:w="7515" w:type="dxa"/>
          </w:tcPr>
          <w:p w14:paraId="3DCC5D71" w14:textId="77777777" w:rsidR="001B68E4" w:rsidRPr="00C9442A" w:rsidRDefault="001B68E4" w:rsidP="0047694C">
            <w:pPr>
              <w:pStyle w:val="TableBlock"/>
              <w:rPr>
                <w:rtl/>
              </w:rPr>
            </w:pPr>
            <w:r w:rsidRPr="00C9442A">
              <w:rPr>
                <w:rFonts w:hint="eastAsia"/>
                <w:rtl/>
              </w:rPr>
              <w:t>ׁ</w:t>
            </w:r>
            <w:r w:rsidRPr="00C9442A">
              <w:rPr>
                <w:rtl/>
              </w:rPr>
              <w:t>(יב)</w:t>
            </w:r>
            <w:r w:rsidRPr="00C9442A">
              <w:rPr>
                <w:rtl/>
              </w:rPr>
              <w:tab/>
            </w:r>
            <w:r w:rsidRPr="00C9442A">
              <w:rPr>
                <w:rFonts w:hint="eastAsia"/>
                <w:rtl/>
              </w:rPr>
              <w:t>לשהות</w:t>
            </w:r>
            <w:r w:rsidRPr="00C9442A">
              <w:rPr>
                <w:rtl/>
              </w:rPr>
              <w:t xml:space="preserve"> </w:t>
            </w:r>
            <w:r w:rsidRPr="00C9442A">
              <w:rPr>
                <w:rFonts w:hint="eastAsia"/>
                <w:rtl/>
              </w:rPr>
              <w:t>באגף</w:t>
            </w:r>
            <w:r w:rsidRPr="00C9442A">
              <w:rPr>
                <w:rtl/>
              </w:rPr>
              <w:t xml:space="preserve"> </w:t>
            </w:r>
            <w:r w:rsidRPr="00C9442A">
              <w:rPr>
                <w:rFonts w:hint="eastAsia"/>
                <w:rtl/>
              </w:rPr>
              <w:t>תורני</w:t>
            </w:r>
            <w:r w:rsidRPr="00C9442A">
              <w:rPr>
                <w:rtl/>
              </w:rPr>
              <w:t xml:space="preserve"> (לש"ם)."</w:t>
            </w:r>
          </w:p>
        </w:tc>
      </w:tr>
      <w:tr w:rsidR="001B68E4" w14:paraId="6C2EBC25" w14:textId="77777777" w:rsidTr="0047694C">
        <w:trPr>
          <w:cantSplit/>
          <w:trHeight w:val="60"/>
        </w:trPr>
        <w:tc>
          <w:tcPr>
            <w:tcW w:w="1701" w:type="dxa"/>
          </w:tcPr>
          <w:p w14:paraId="29B1EACB" w14:textId="77777777" w:rsidR="001B68E4" w:rsidRPr="00C9442A" w:rsidRDefault="001B68E4" w:rsidP="0047694C">
            <w:pPr>
              <w:pStyle w:val="TableBlock"/>
            </w:pPr>
            <w:r w:rsidRPr="00C9442A">
              <w:rPr>
                <w:rFonts w:hint="eastAsia"/>
                <w:rtl/>
              </w:rPr>
              <w:t>תיקון</w:t>
            </w:r>
            <w:r w:rsidRPr="00C9442A">
              <w:rPr>
                <w:rtl/>
              </w:rPr>
              <w:t xml:space="preserve"> </w:t>
            </w:r>
            <w:r w:rsidRPr="00C9442A">
              <w:rPr>
                <w:rFonts w:hint="eastAsia"/>
                <w:rtl/>
              </w:rPr>
              <w:t>סעיף</w:t>
            </w:r>
            <w:r w:rsidRPr="00C9442A">
              <w:rPr>
                <w:rtl/>
              </w:rPr>
              <w:t xml:space="preserve"> 3</w:t>
            </w:r>
          </w:p>
        </w:tc>
        <w:tc>
          <w:tcPr>
            <w:tcW w:w="425" w:type="dxa"/>
          </w:tcPr>
          <w:p w14:paraId="298949FC" w14:textId="77777777" w:rsidR="001B68E4" w:rsidRPr="00C9442A" w:rsidRDefault="001B68E4" w:rsidP="0047694C">
            <w:pPr>
              <w:pStyle w:val="TableBlock"/>
            </w:pPr>
            <w:r w:rsidRPr="00C9442A">
              <w:rPr>
                <w:rtl/>
              </w:rPr>
              <w:t>2.</w:t>
            </w:r>
          </w:p>
        </w:tc>
        <w:tc>
          <w:tcPr>
            <w:tcW w:w="7515" w:type="dxa"/>
          </w:tcPr>
          <w:p w14:paraId="12E81307" w14:textId="77777777" w:rsidR="001B68E4" w:rsidRPr="002045AA" w:rsidRDefault="001B68E4" w:rsidP="0047694C">
            <w:pPr>
              <w:pStyle w:val="TableBlock"/>
            </w:pPr>
            <w:r w:rsidRPr="002045AA">
              <w:rPr>
                <w:rFonts w:hint="eastAsia"/>
                <w:rtl/>
              </w:rPr>
              <w:t>בסעיף</w:t>
            </w:r>
            <w:r w:rsidRPr="002045AA">
              <w:rPr>
                <w:rtl/>
              </w:rPr>
              <w:t xml:space="preserve"> 3א </w:t>
            </w:r>
            <w:r w:rsidRPr="002045AA">
              <w:rPr>
                <w:rFonts w:hint="eastAsia"/>
                <w:rtl/>
              </w:rPr>
              <w:t>לחוק</w:t>
            </w:r>
            <w:r w:rsidRPr="002045AA">
              <w:rPr>
                <w:rtl/>
              </w:rPr>
              <w:t xml:space="preserve"> </w:t>
            </w:r>
            <w:r w:rsidRPr="002045AA">
              <w:rPr>
                <w:rFonts w:hint="eastAsia"/>
                <w:rtl/>
              </w:rPr>
              <w:t>העיקרי</w:t>
            </w:r>
            <w:r w:rsidRPr="002045AA">
              <w:rPr>
                <w:rtl/>
              </w:rPr>
              <w:t xml:space="preserve">, </w:t>
            </w:r>
            <w:r w:rsidRPr="002045AA">
              <w:rPr>
                <w:rFonts w:hint="eastAsia"/>
                <w:rtl/>
              </w:rPr>
              <w:t>בסופו</w:t>
            </w:r>
            <w:r w:rsidRPr="002045AA">
              <w:rPr>
                <w:rtl/>
              </w:rPr>
              <w:t xml:space="preserve"> </w:t>
            </w:r>
            <w:r w:rsidRPr="002045AA">
              <w:rPr>
                <w:rFonts w:hint="eastAsia"/>
                <w:rtl/>
              </w:rPr>
              <w:t>יבוא</w:t>
            </w:r>
            <w:r w:rsidRPr="002045AA">
              <w:rPr>
                <w:rtl/>
              </w:rPr>
              <w:t>:</w:t>
            </w:r>
          </w:p>
        </w:tc>
      </w:tr>
      <w:tr w:rsidR="001B68E4" w14:paraId="5FEAEAD6" w14:textId="77777777" w:rsidTr="0047694C">
        <w:trPr>
          <w:cantSplit/>
          <w:trHeight w:val="756"/>
        </w:trPr>
        <w:tc>
          <w:tcPr>
            <w:tcW w:w="1701" w:type="dxa"/>
          </w:tcPr>
          <w:p w14:paraId="57F4D804" w14:textId="77777777" w:rsidR="001B68E4" w:rsidRPr="00C9442A" w:rsidRDefault="001B68E4" w:rsidP="0047694C">
            <w:pPr>
              <w:pStyle w:val="TableBlock"/>
              <w:rPr>
                <w:rtl/>
              </w:rPr>
            </w:pPr>
          </w:p>
        </w:tc>
        <w:tc>
          <w:tcPr>
            <w:tcW w:w="425" w:type="dxa"/>
          </w:tcPr>
          <w:p w14:paraId="671005F7" w14:textId="77777777" w:rsidR="001B68E4" w:rsidRPr="00C9442A" w:rsidRDefault="001B68E4" w:rsidP="0047694C">
            <w:pPr>
              <w:pStyle w:val="TableBlock"/>
              <w:rPr>
                <w:rtl/>
              </w:rPr>
            </w:pPr>
          </w:p>
        </w:tc>
        <w:tc>
          <w:tcPr>
            <w:tcW w:w="7515" w:type="dxa"/>
          </w:tcPr>
          <w:p w14:paraId="6CC1BFE0" w14:textId="77777777" w:rsidR="001B68E4" w:rsidRPr="00C9442A" w:rsidRDefault="001B68E4" w:rsidP="0047694C">
            <w:pPr>
              <w:pStyle w:val="TableBlock"/>
            </w:pPr>
            <w:r w:rsidRPr="00C9442A">
              <w:rPr>
                <w:rtl/>
              </w:rPr>
              <w:t>"(ו)</w:t>
            </w:r>
            <w:r w:rsidRPr="00C9442A">
              <w:rPr>
                <w:rtl/>
              </w:rPr>
              <w:tab/>
            </w:r>
            <w:r w:rsidRPr="00C9442A">
              <w:rPr>
                <w:rFonts w:hint="eastAsia"/>
                <w:rtl/>
              </w:rPr>
              <w:t>אדם</w:t>
            </w:r>
            <w:r w:rsidRPr="00C9442A">
              <w:rPr>
                <w:rtl/>
              </w:rPr>
              <w:t xml:space="preserve"> </w:t>
            </w:r>
            <w:r w:rsidRPr="00C9442A">
              <w:rPr>
                <w:rFonts w:hint="eastAsia"/>
                <w:rtl/>
              </w:rPr>
              <w:t>שבית</w:t>
            </w:r>
            <w:r w:rsidRPr="00C9442A">
              <w:rPr>
                <w:rtl/>
              </w:rPr>
              <w:t xml:space="preserve"> </w:t>
            </w:r>
            <w:r w:rsidRPr="00C9442A">
              <w:rPr>
                <w:rFonts w:hint="eastAsia"/>
                <w:rtl/>
              </w:rPr>
              <w:t>הדין</w:t>
            </w:r>
            <w:r w:rsidRPr="00C9442A">
              <w:rPr>
                <w:rtl/>
              </w:rPr>
              <w:t xml:space="preserve"> </w:t>
            </w:r>
            <w:r w:rsidRPr="00C9442A">
              <w:rPr>
                <w:rFonts w:hint="eastAsia"/>
                <w:rtl/>
              </w:rPr>
              <w:t>הורה</w:t>
            </w:r>
            <w:r w:rsidRPr="00C9442A">
              <w:rPr>
                <w:rtl/>
              </w:rPr>
              <w:t xml:space="preserve"> </w:t>
            </w:r>
            <w:r w:rsidRPr="00C9442A">
              <w:rPr>
                <w:rFonts w:hint="eastAsia"/>
                <w:rtl/>
              </w:rPr>
              <w:t>על</w:t>
            </w:r>
            <w:r w:rsidRPr="00C9442A">
              <w:rPr>
                <w:rtl/>
              </w:rPr>
              <w:t xml:space="preserve"> </w:t>
            </w:r>
            <w:r w:rsidRPr="00C9442A">
              <w:rPr>
                <w:rFonts w:hint="eastAsia"/>
                <w:rtl/>
              </w:rPr>
              <w:t>החזקתו</w:t>
            </w:r>
            <w:r w:rsidRPr="00C9442A">
              <w:rPr>
                <w:rtl/>
              </w:rPr>
              <w:t xml:space="preserve"> </w:t>
            </w:r>
            <w:r w:rsidRPr="00C9442A">
              <w:rPr>
                <w:rFonts w:hint="eastAsia"/>
                <w:rtl/>
              </w:rPr>
              <w:t>בבידוד</w:t>
            </w:r>
            <w:r w:rsidRPr="00C9442A">
              <w:rPr>
                <w:rtl/>
              </w:rPr>
              <w:t xml:space="preserve"> </w:t>
            </w:r>
            <w:r w:rsidRPr="00C9442A">
              <w:rPr>
                <w:rFonts w:hint="eastAsia"/>
                <w:rtl/>
              </w:rPr>
              <w:t>לפי</w:t>
            </w:r>
            <w:r w:rsidRPr="00C9442A">
              <w:rPr>
                <w:rtl/>
              </w:rPr>
              <w:t xml:space="preserve"> </w:t>
            </w:r>
            <w:r w:rsidRPr="00C9442A">
              <w:rPr>
                <w:rFonts w:hint="eastAsia"/>
                <w:rtl/>
              </w:rPr>
              <w:t>סעיפים</w:t>
            </w:r>
            <w:r w:rsidRPr="00C9442A">
              <w:rPr>
                <w:rtl/>
              </w:rPr>
              <w:t xml:space="preserve"> (א) או (ב) </w:t>
            </w:r>
            <w:r w:rsidRPr="00C9442A">
              <w:rPr>
                <w:rFonts w:hint="eastAsia"/>
                <w:rtl/>
              </w:rPr>
              <w:t>לא</w:t>
            </w:r>
            <w:r w:rsidRPr="00C9442A">
              <w:rPr>
                <w:rtl/>
              </w:rPr>
              <w:t xml:space="preserve"> יהיה רשאי להחזיק חומרי כתיבה וקריאה </w:t>
            </w:r>
            <w:r w:rsidRPr="00C9442A">
              <w:rPr>
                <w:rFonts w:hint="eastAsia"/>
                <w:rtl/>
              </w:rPr>
              <w:t>וכן</w:t>
            </w:r>
            <w:r w:rsidRPr="00C9442A">
              <w:rPr>
                <w:rtl/>
              </w:rPr>
              <w:t xml:space="preserve"> </w:t>
            </w:r>
            <w:r w:rsidRPr="00C9442A">
              <w:rPr>
                <w:rFonts w:hint="eastAsia"/>
                <w:rtl/>
              </w:rPr>
              <w:t>יאסר</w:t>
            </w:r>
            <w:r w:rsidRPr="00C9442A">
              <w:rPr>
                <w:rtl/>
              </w:rPr>
              <w:t xml:space="preserve"> </w:t>
            </w:r>
            <w:r w:rsidRPr="00C9442A">
              <w:rPr>
                <w:rFonts w:hint="eastAsia"/>
                <w:rtl/>
              </w:rPr>
              <w:t>עליו</w:t>
            </w:r>
            <w:r w:rsidRPr="00C9442A">
              <w:rPr>
                <w:rtl/>
              </w:rPr>
              <w:t xml:space="preserve"> </w:t>
            </w:r>
            <w:r w:rsidRPr="00C9442A">
              <w:rPr>
                <w:rFonts w:hint="eastAsia"/>
                <w:rtl/>
              </w:rPr>
              <w:t>לעשות</w:t>
            </w:r>
            <w:r w:rsidRPr="00C9442A">
              <w:rPr>
                <w:rtl/>
              </w:rPr>
              <w:t xml:space="preserve"> </w:t>
            </w:r>
            <w:r w:rsidRPr="00C9442A">
              <w:rPr>
                <w:rFonts w:hint="eastAsia"/>
                <w:rtl/>
              </w:rPr>
              <w:t>שימוש</w:t>
            </w:r>
            <w:r w:rsidRPr="00C9442A">
              <w:rPr>
                <w:rtl/>
              </w:rPr>
              <w:t xml:space="preserve"> ב</w:t>
            </w:r>
            <w:r>
              <w:rPr>
                <w:rFonts w:hint="cs"/>
                <w:rtl/>
              </w:rPr>
              <w:t xml:space="preserve">אמצעי תקשורת מכל סוג שהוא". </w:t>
            </w:r>
          </w:p>
        </w:tc>
      </w:tr>
    </w:tbl>
    <w:p w14:paraId="523FF453" w14:textId="77777777" w:rsidR="001B68E4" w:rsidRDefault="001B68E4" w:rsidP="001B68E4">
      <w:pPr>
        <w:pStyle w:val="HeadDivreiHesber"/>
        <w:rPr>
          <w:rtl/>
        </w:rPr>
      </w:pPr>
      <w:r>
        <w:rPr>
          <w:rFonts w:hint="cs"/>
          <w:rtl/>
        </w:rPr>
        <w:t xml:space="preserve"> </w:t>
      </w:r>
      <w:r w:rsidRPr="0027450A">
        <w:rPr>
          <w:rFonts w:hint="cs"/>
          <w:rtl/>
        </w:rPr>
        <w:t>דברי הסבר</w:t>
      </w:r>
    </w:p>
    <w:p w14:paraId="7A8CF328" w14:textId="77777777" w:rsidR="001B68E4" w:rsidRPr="001B68E4" w:rsidRDefault="001B68E4" w:rsidP="001B68E4">
      <w:pPr>
        <w:pStyle w:val="Hesber"/>
        <w:rPr>
          <w:rtl/>
        </w:rPr>
      </w:pPr>
      <w:r w:rsidRPr="001B68E4">
        <w:rPr>
          <w:rFonts w:hint="cs"/>
          <w:rtl/>
        </w:rPr>
        <w:t>חוק בתי דין רבניים (קיום פסקי דין של גירושין), התשנ"ה</w:t>
      </w:r>
      <w:r w:rsidRPr="001B68E4">
        <w:rPr>
          <w:rtl/>
        </w:rPr>
        <w:t>–</w:t>
      </w:r>
      <w:r w:rsidRPr="001B68E4">
        <w:rPr>
          <w:rFonts w:hint="cs"/>
          <w:rtl/>
        </w:rPr>
        <w:t xml:space="preserve">1995 (להלן </w:t>
      </w:r>
      <w:r w:rsidRPr="001B68E4">
        <w:rPr>
          <w:rtl/>
        </w:rPr>
        <w:t>–</w:t>
      </w:r>
      <w:r w:rsidRPr="001B68E4">
        <w:rPr>
          <w:rFonts w:hint="cs"/>
          <w:rtl/>
        </w:rPr>
        <w:t xml:space="preserve"> החוק)</w:t>
      </w:r>
      <w:r w:rsidRPr="001B68E4">
        <w:rPr>
          <w:rtl/>
        </w:rPr>
        <w:t xml:space="preserve"> </w:t>
      </w:r>
      <w:r w:rsidRPr="001B68E4">
        <w:rPr>
          <w:rFonts w:hint="cs"/>
          <w:rtl/>
        </w:rPr>
        <w:t>הוא</w:t>
      </w:r>
      <w:r w:rsidRPr="001B68E4">
        <w:rPr>
          <w:rtl/>
        </w:rPr>
        <w:t xml:space="preserve"> </w:t>
      </w:r>
      <w:r w:rsidRPr="001B68E4">
        <w:rPr>
          <w:rFonts w:hint="cs"/>
          <w:rtl/>
        </w:rPr>
        <w:t>כלי</w:t>
      </w:r>
      <w:r w:rsidRPr="001B68E4">
        <w:rPr>
          <w:rtl/>
        </w:rPr>
        <w:t xml:space="preserve"> </w:t>
      </w:r>
      <w:r w:rsidRPr="001B68E4">
        <w:rPr>
          <w:rFonts w:hint="cs"/>
          <w:rtl/>
        </w:rPr>
        <w:t>חשוב</w:t>
      </w:r>
      <w:r w:rsidRPr="001B68E4">
        <w:rPr>
          <w:rtl/>
        </w:rPr>
        <w:t xml:space="preserve"> </w:t>
      </w:r>
      <w:r w:rsidRPr="001B68E4">
        <w:rPr>
          <w:rFonts w:hint="cs"/>
          <w:rtl/>
        </w:rPr>
        <w:t>שנתן</w:t>
      </w:r>
      <w:r w:rsidRPr="001B68E4">
        <w:rPr>
          <w:rtl/>
        </w:rPr>
        <w:t xml:space="preserve"> </w:t>
      </w:r>
      <w:r w:rsidRPr="001B68E4">
        <w:rPr>
          <w:rFonts w:hint="cs"/>
          <w:rtl/>
        </w:rPr>
        <w:t>המחוקק</w:t>
      </w:r>
      <w:r w:rsidRPr="001B68E4">
        <w:rPr>
          <w:rtl/>
        </w:rPr>
        <w:t xml:space="preserve"> </w:t>
      </w:r>
      <w:r w:rsidRPr="001B68E4">
        <w:rPr>
          <w:rFonts w:hint="cs"/>
          <w:rtl/>
        </w:rPr>
        <w:t>לבתי</w:t>
      </w:r>
      <w:r w:rsidRPr="001B68E4">
        <w:rPr>
          <w:rtl/>
        </w:rPr>
        <w:t xml:space="preserve"> </w:t>
      </w:r>
      <w:r w:rsidRPr="001B68E4">
        <w:rPr>
          <w:rFonts w:hint="cs"/>
          <w:rtl/>
        </w:rPr>
        <w:t>הדין</w:t>
      </w:r>
      <w:r w:rsidRPr="001B68E4">
        <w:rPr>
          <w:rtl/>
        </w:rPr>
        <w:t xml:space="preserve"> </w:t>
      </w:r>
      <w:r w:rsidRPr="001B68E4">
        <w:rPr>
          <w:rFonts w:hint="cs"/>
          <w:rtl/>
        </w:rPr>
        <w:t>הרבניים, במטרה</w:t>
      </w:r>
      <w:r w:rsidRPr="001B68E4">
        <w:rPr>
          <w:rtl/>
        </w:rPr>
        <w:t xml:space="preserve"> </w:t>
      </w:r>
      <w:r w:rsidRPr="001B68E4">
        <w:rPr>
          <w:rFonts w:hint="cs"/>
          <w:rtl/>
        </w:rPr>
        <w:t>לגרום</w:t>
      </w:r>
      <w:r w:rsidRPr="001B68E4">
        <w:rPr>
          <w:rtl/>
        </w:rPr>
        <w:t xml:space="preserve"> </w:t>
      </w:r>
      <w:r w:rsidRPr="001B68E4">
        <w:rPr>
          <w:rFonts w:hint="cs"/>
          <w:rtl/>
        </w:rPr>
        <w:t>לאכיפת</w:t>
      </w:r>
      <w:r w:rsidRPr="001B68E4">
        <w:rPr>
          <w:rtl/>
        </w:rPr>
        <w:t xml:space="preserve"> </w:t>
      </w:r>
      <w:r w:rsidRPr="001B68E4">
        <w:rPr>
          <w:rFonts w:hint="cs"/>
          <w:rtl/>
        </w:rPr>
        <w:t>פסקי</w:t>
      </w:r>
      <w:r w:rsidRPr="001B68E4">
        <w:rPr>
          <w:rtl/>
        </w:rPr>
        <w:t xml:space="preserve"> </w:t>
      </w:r>
      <w:r w:rsidRPr="001B68E4">
        <w:rPr>
          <w:rFonts w:hint="cs"/>
          <w:rtl/>
        </w:rPr>
        <w:t>דין</w:t>
      </w:r>
      <w:r w:rsidRPr="001B68E4">
        <w:rPr>
          <w:rtl/>
        </w:rPr>
        <w:t xml:space="preserve"> </w:t>
      </w:r>
      <w:r w:rsidRPr="001B68E4">
        <w:rPr>
          <w:rFonts w:hint="cs"/>
          <w:rtl/>
        </w:rPr>
        <w:t>לגירושין</w:t>
      </w:r>
      <w:r w:rsidRPr="001B68E4">
        <w:rPr>
          <w:rtl/>
        </w:rPr>
        <w:t xml:space="preserve"> </w:t>
      </w:r>
      <w:r w:rsidRPr="001B68E4">
        <w:rPr>
          <w:rFonts w:hint="cs"/>
          <w:rtl/>
        </w:rPr>
        <w:t>ומתן</w:t>
      </w:r>
      <w:r w:rsidRPr="001B68E4">
        <w:rPr>
          <w:rtl/>
        </w:rPr>
        <w:t xml:space="preserve"> </w:t>
      </w:r>
      <w:r w:rsidRPr="001B68E4">
        <w:rPr>
          <w:rFonts w:hint="cs"/>
          <w:rtl/>
        </w:rPr>
        <w:t>גט</w:t>
      </w:r>
      <w:r w:rsidRPr="001B68E4">
        <w:rPr>
          <w:rtl/>
        </w:rPr>
        <w:t xml:space="preserve"> </w:t>
      </w:r>
      <w:r w:rsidRPr="001B68E4">
        <w:rPr>
          <w:rFonts w:hint="cs"/>
          <w:rtl/>
        </w:rPr>
        <w:t>באמצעות הטלת</w:t>
      </w:r>
      <w:r w:rsidRPr="001B68E4">
        <w:rPr>
          <w:rtl/>
        </w:rPr>
        <w:t xml:space="preserve"> </w:t>
      </w:r>
      <w:r w:rsidRPr="001B68E4">
        <w:rPr>
          <w:rFonts w:hint="cs"/>
          <w:rtl/>
        </w:rPr>
        <w:t>צווי הגבלה שונים</w:t>
      </w:r>
      <w:r w:rsidRPr="001B68E4">
        <w:rPr>
          <w:rtl/>
        </w:rPr>
        <w:t xml:space="preserve"> </w:t>
      </w:r>
      <w:r w:rsidRPr="001B68E4">
        <w:rPr>
          <w:rFonts w:hint="cs"/>
          <w:rtl/>
        </w:rPr>
        <w:t>על</w:t>
      </w:r>
      <w:r w:rsidRPr="001B68E4">
        <w:rPr>
          <w:rtl/>
        </w:rPr>
        <w:t xml:space="preserve"> </w:t>
      </w:r>
      <w:r w:rsidRPr="001B68E4">
        <w:rPr>
          <w:rFonts w:hint="cs"/>
          <w:rtl/>
        </w:rPr>
        <w:t>סרבני</w:t>
      </w:r>
      <w:r w:rsidRPr="001B68E4">
        <w:rPr>
          <w:rtl/>
        </w:rPr>
        <w:t xml:space="preserve"> </w:t>
      </w:r>
      <w:r w:rsidRPr="001B68E4">
        <w:rPr>
          <w:rFonts w:hint="cs"/>
          <w:rtl/>
        </w:rPr>
        <w:t>גט</w:t>
      </w:r>
      <w:r w:rsidRPr="001B68E4">
        <w:rPr>
          <w:rtl/>
        </w:rPr>
        <w:t xml:space="preserve">. </w:t>
      </w:r>
      <w:r w:rsidRPr="001B68E4">
        <w:rPr>
          <w:rFonts w:hint="cs"/>
          <w:rtl/>
        </w:rPr>
        <w:t>בין</w:t>
      </w:r>
      <w:r w:rsidRPr="001B68E4">
        <w:rPr>
          <w:rtl/>
        </w:rPr>
        <w:t xml:space="preserve"> </w:t>
      </w:r>
      <w:r w:rsidRPr="001B68E4">
        <w:rPr>
          <w:rFonts w:hint="cs"/>
          <w:rtl/>
        </w:rPr>
        <w:t>אפיקי</w:t>
      </w:r>
      <w:r w:rsidRPr="001B68E4">
        <w:rPr>
          <w:rtl/>
        </w:rPr>
        <w:t xml:space="preserve"> </w:t>
      </w:r>
      <w:r w:rsidRPr="001B68E4">
        <w:rPr>
          <w:rFonts w:hint="cs"/>
          <w:rtl/>
        </w:rPr>
        <w:t>הפעולה</w:t>
      </w:r>
      <w:r w:rsidRPr="001B68E4">
        <w:rPr>
          <w:rtl/>
        </w:rPr>
        <w:t xml:space="preserve"> </w:t>
      </w:r>
      <w:r w:rsidRPr="001B68E4">
        <w:rPr>
          <w:rFonts w:hint="cs"/>
          <w:rtl/>
        </w:rPr>
        <w:t>העומדים</w:t>
      </w:r>
      <w:r w:rsidRPr="001B68E4">
        <w:rPr>
          <w:rtl/>
        </w:rPr>
        <w:t xml:space="preserve"> </w:t>
      </w:r>
      <w:r w:rsidRPr="001B68E4">
        <w:rPr>
          <w:rFonts w:hint="cs"/>
          <w:rtl/>
        </w:rPr>
        <w:t>לרשות</w:t>
      </w:r>
      <w:r w:rsidRPr="001B68E4">
        <w:rPr>
          <w:rtl/>
        </w:rPr>
        <w:t xml:space="preserve"> </w:t>
      </w:r>
      <w:r w:rsidRPr="001B68E4">
        <w:rPr>
          <w:rFonts w:hint="cs"/>
          <w:rtl/>
        </w:rPr>
        <w:t>בתי</w:t>
      </w:r>
      <w:r w:rsidRPr="001B68E4">
        <w:rPr>
          <w:rtl/>
        </w:rPr>
        <w:t xml:space="preserve"> </w:t>
      </w:r>
      <w:r w:rsidRPr="001B68E4">
        <w:rPr>
          <w:rFonts w:hint="cs"/>
          <w:rtl/>
        </w:rPr>
        <w:t>הדין</w:t>
      </w:r>
      <w:r w:rsidRPr="001B68E4">
        <w:rPr>
          <w:rtl/>
        </w:rPr>
        <w:t xml:space="preserve"> </w:t>
      </w:r>
      <w:r w:rsidRPr="001B68E4">
        <w:rPr>
          <w:rFonts w:hint="cs"/>
          <w:rtl/>
        </w:rPr>
        <w:t>נחשב</w:t>
      </w:r>
      <w:r w:rsidRPr="001B68E4">
        <w:rPr>
          <w:rtl/>
        </w:rPr>
        <w:t xml:space="preserve"> </w:t>
      </w:r>
      <w:r w:rsidRPr="001B68E4">
        <w:rPr>
          <w:rFonts w:hint="cs"/>
          <w:rtl/>
        </w:rPr>
        <w:t>צו</w:t>
      </w:r>
      <w:r w:rsidRPr="001B68E4">
        <w:rPr>
          <w:rtl/>
        </w:rPr>
        <w:t xml:space="preserve"> </w:t>
      </w:r>
      <w:r w:rsidRPr="001B68E4">
        <w:rPr>
          <w:rFonts w:hint="cs"/>
          <w:rtl/>
        </w:rPr>
        <w:t>המאסר</w:t>
      </w:r>
      <w:r w:rsidRPr="001B68E4">
        <w:rPr>
          <w:rtl/>
        </w:rPr>
        <w:t xml:space="preserve"> </w:t>
      </w:r>
      <w:r w:rsidRPr="001B68E4">
        <w:rPr>
          <w:rFonts w:hint="cs"/>
          <w:rtl/>
        </w:rPr>
        <w:t>בכפייה לקיצוני</w:t>
      </w:r>
      <w:r w:rsidRPr="001B68E4">
        <w:rPr>
          <w:rtl/>
        </w:rPr>
        <w:t xml:space="preserve"> </w:t>
      </w:r>
      <w:r w:rsidRPr="001B68E4">
        <w:rPr>
          <w:rFonts w:hint="cs"/>
          <w:rtl/>
        </w:rPr>
        <w:t>מבין צווי ההגבלה.</w:t>
      </w:r>
      <w:r w:rsidRPr="001B68E4">
        <w:rPr>
          <w:rtl/>
        </w:rPr>
        <w:t xml:space="preserve"> </w:t>
      </w:r>
      <w:r w:rsidRPr="001B68E4">
        <w:rPr>
          <w:rFonts w:hint="cs"/>
          <w:rtl/>
        </w:rPr>
        <w:t>אולם נראה שגם צו זה אינו מטיל הגבלות חמורות מספיק על סרבני הגט.</w:t>
      </w:r>
      <w:r w:rsidRPr="001B68E4">
        <w:rPr>
          <w:rtl/>
        </w:rPr>
        <w:t xml:space="preserve"> </w:t>
      </w:r>
      <w:r w:rsidRPr="001B68E4">
        <w:rPr>
          <w:rFonts w:hint="cs"/>
          <w:rtl/>
        </w:rPr>
        <w:t>בין</w:t>
      </w:r>
      <w:r w:rsidRPr="001B68E4">
        <w:rPr>
          <w:rtl/>
        </w:rPr>
        <w:t xml:space="preserve"> </w:t>
      </w:r>
      <w:r w:rsidRPr="001B68E4">
        <w:rPr>
          <w:rFonts w:hint="cs"/>
          <w:rtl/>
        </w:rPr>
        <w:t>ישנם סרבני גט, שבין כתלי</w:t>
      </w:r>
      <w:r w:rsidRPr="001B68E4">
        <w:rPr>
          <w:rtl/>
        </w:rPr>
        <w:t xml:space="preserve"> </w:t>
      </w:r>
      <w:r w:rsidRPr="001B68E4">
        <w:rPr>
          <w:rFonts w:hint="cs"/>
          <w:rtl/>
        </w:rPr>
        <w:t>בית</w:t>
      </w:r>
      <w:r w:rsidRPr="001B68E4">
        <w:rPr>
          <w:rtl/>
        </w:rPr>
        <w:t xml:space="preserve"> </w:t>
      </w:r>
      <w:r w:rsidRPr="001B68E4">
        <w:rPr>
          <w:rFonts w:hint="cs"/>
          <w:rtl/>
        </w:rPr>
        <w:t>הכלא</w:t>
      </w:r>
      <w:r w:rsidRPr="001B68E4">
        <w:rPr>
          <w:rtl/>
        </w:rPr>
        <w:t xml:space="preserve"> </w:t>
      </w:r>
      <w:r w:rsidRPr="001B68E4">
        <w:rPr>
          <w:rFonts w:hint="cs"/>
          <w:rtl/>
        </w:rPr>
        <w:t>מעזים</w:t>
      </w:r>
      <w:r w:rsidRPr="001B68E4">
        <w:rPr>
          <w:rtl/>
        </w:rPr>
        <w:t xml:space="preserve"> </w:t>
      </w:r>
      <w:r w:rsidRPr="001B68E4">
        <w:rPr>
          <w:rFonts w:hint="cs"/>
          <w:rtl/>
        </w:rPr>
        <w:t>לדרוש</w:t>
      </w:r>
      <w:r w:rsidRPr="001B68E4">
        <w:rPr>
          <w:rtl/>
        </w:rPr>
        <w:t xml:space="preserve"> </w:t>
      </w:r>
      <w:r w:rsidRPr="001B68E4">
        <w:rPr>
          <w:rFonts w:hint="cs"/>
          <w:rtl/>
        </w:rPr>
        <w:t>הטבה</w:t>
      </w:r>
      <w:r w:rsidRPr="001B68E4">
        <w:rPr>
          <w:rtl/>
        </w:rPr>
        <w:t xml:space="preserve"> </w:t>
      </w:r>
      <w:r w:rsidRPr="001B68E4">
        <w:rPr>
          <w:rFonts w:hint="cs"/>
          <w:rtl/>
        </w:rPr>
        <w:t>בתנאיהם או לאמץ</w:t>
      </w:r>
      <w:r w:rsidRPr="001B68E4">
        <w:rPr>
          <w:rtl/>
        </w:rPr>
        <w:t xml:space="preserve"> </w:t>
      </w:r>
      <w:r w:rsidRPr="001B68E4">
        <w:rPr>
          <w:rFonts w:hint="cs"/>
          <w:rtl/>
        </w:rPr>
        <w:t>תנאים</w:t>
      </w:r>
      <w:r w:rsidRPr="001B68E4">
        <w:rPr>
          <w:rtl/>
        </w:rPr>
        <w:t xml:space="preserve"> </w:t>
      </w:r>
      <w:r w:rsidRPr="001B68E4">
        <w:rPr>
          <w:rFonts w:hint="cs"/>
          <w:rtl/>
        </w:rPr>
        <w:t>שייטיבו</w:t>
      </w:r>
      <w:r w:rsidRPr="001B68E4">
        <w:rPr>
          <w:rtl/>
        </w:rPr>
        <w:t xml:space="preserve"> </w:t>
      </w:r>
      <w:r w:rsidRPr="001B68E4">
        <w:rPr>
          <w:rFonts w:hint="cs"/>
          <w:rtl/>
        </w:rPr>
        <w:t>עימם</w:t>
      </w:r>
      <w:r w:rsidRPr="001B68E4">
        <w:rPr>
          <w:rtl/>
        </w:rPr>
        <w:t xml:space="preserve"> </w:t>
      </w:r>
      <w:r w:rsidRPr="001B68E4">
        <w:rPr>
          <w:rFonts w:hint="cs"/>
          <w:rtl/>
        </w:rPr>
        <w:t>במהלך</w:t>
      </w:r>
      <w:r w:rsidRPr="001B68E4">
        <w:rPr>
          <w:rtl/>
        </w:rPr>
        <w:t xml:space="preserve"> </w:t>
      </w:r>
      <w:r w:rsidRPr="001B68E4">
        <w:rPr>
          <w:rFonts w:hint="cs"/>
          <w:rtl/>
        </w:rPr>
        <w:t xml:space="preserve">תקופת מאסרם כדוגמת השתתפות במסגרות לימודיות שונות הקיימות בבתי המאסר, קבלת אוכל כשר למהדרין או שהייה באגף שומרי המצוות. </w:t>
      </w:r>
    </w:p>
    <w:p w14:paraId="0C595206" w14:textId="77777777" w:rsidR="001B68E4" w:rsidRPr="001B68E4" w:rsidRDefault="001B68E4" w:rsidP="001B68E4">
      <w:pPr>
        <w:pStyle w:val="Hesber"/>
        <w:rPr>
          <w:rtl/>
        </w:rPr>
      </w:pPr>
      <w:r w:rsidRPr="001B68E4">
        <w:rPr>
          <w:rFonts w:hint="cs"/>
          <w:rtl/>
        </w:rPr>
        <w:t xml:space="preserve">בית הדין הרבני הגדול הביע את התנגדותו להטבות אלה וקבע כי אין כל הצדקה לשהייתם של סרבני גט (גם דתיים) באגף שומרי המצוות שבבתי המאסר וכן כי אין לטרוח בעבור סרבן גט בהכנת אוכל בכשרות מהודרת זאת בשעה שאינו מקיים את חובתו ההלכתית הבסיסית במתן גט לאשתו. כמו כן קבע בית הדין כי יש לאסור על סרבן גט להשתתף בכל מסגרת לימודית הנמצאת בבית המאסר ואף ניתן למנוע </w:t>
      </w:r>
      <w:r w:rsidRPr="001B68E4">
        <w:rPr>
          <w:rFonts w:hint="cs"/>
          <w:rtl/>
        </w:rPr>
        <w:lastRenderedPageBreak/>
        <w:t>מסרבנים השוהים בבידוד אפשרות אחזקת חומרי קריאה וכתיבה או שימוש באמצעי תקשורת מכל סוג ובכך למנוע מהם להקשות את עורפם במתן הגט.</w:t>
      </w:r>
    </w:p>
    <w:p w14:paraId="59AC79D5" w14:textId="77777777" w:rsidR="001B68E4" w:rsidRPr="001B68E4" w:rsidRDefault="001B68E4" w:rsidP="001B68E4">
      <w:pPr>
        <w:pStyle w:val="Hesber"/>
        <w:rPr>
          <w:rtl/>
        </w:rPr>
      </w:pPr>
      <w:r w:rsidRPr="001B68E4">
        <w:rPr>
          <w:rFonts w:hint="cs"/>
          <w:rtl/>
        </w:rPr>
        <w:t>הצעה זו מבקשת להסמיך את בתי הדין הרבניים להטיל הגבלות אלה על סרבני גט שנמצאים במאסר כפייה, במטרה לשכנעם להתיר את נשותיהם מכבלי עגינותן.</w:t>
      </w:r>
    </w:p>
    <w:p w14:paraId="48CACF6C" w14:textId="77777777" w:rsidR="001B68E4" w:rsidRPr="001B68E4" w:rsidRDefault="001B68E4" w:rsidP="001B68E4">
      <w:pPr>
        <w:pStyle w:val="Hesber"/>
        <w:rPr>
          <w:rtl/>
        </w:rPr>
      </w:pPr>
      <w:r w:rsidRPr="001B68E4">
        <w:rPr>
          <w:rtl/>
        </w:rPr>
        <w:t>הצעת החוק נוסחה בסיוע "אמונה- תנועת האשה הדתית לאומית".</w:t>
      </w:r>
    </w:p>
    <w:p w14:paraId="2FDD3737" w14:textId="66BCEEE7" w:rsidR="00644498" w:rsidRDefault="00644498" w:rsidP="001B68E4">
      <w:pPr>
        <w:rPr>
          <w:rtl/>
        </w:rPr>
      </w:pPr>
    </w:p>
    <w:p w14:paraId="7411CC4C" w14:textId="577B56B1" w:rsidR="004D33EC" w:rsidRDefault="004D33EC" w:rsidP="001B68E4">
      <w:pPr>
        <w:rPr>
          <w:rtl/>
        </w:rPr>
      </w:pPr>
    </w:p>
    <w:p w14:paraId="0BF8810C" w14:textId="77777777" w:rsidR="004D33EC" w:rsidRDefault="004D33EC" w:rsidP="001B68E4">
      <w:pPr>
        <w:rPr>
          <w:rtl/>
        </w:rPr>
      </w:pPr>
    </w:p>
    <w:p w14:paraId="6F7C2261" w14:textId="567678C5" w:rsidR="004D33EC" w:rsidRDefault="004D33EC" w:rsidP="001B68E4">
      <w:pPr>
        <w:rPr>
          <w:rtl/>
        </w:rPr>
      </w:pPr>
    </w:p>
    <w:p w14:paraId="7B5E7C05" w14:textId="77777777" w:rsidR="004D33EC" w:rsidRPr="00D73212" w:rsidRDefault="004D33EC" w:rsidP="004D33EC">
      <w:pPr>
        <w:pStyle w:val="Hesber"/>
        <w:rPr>
          <w:color w:val="auto"/>
          <w:rtl/>
          <w:lang w:eastAsia="en-US"/>
        </w:rPr>
      </w:pPr>
      <w:r w:rsidRPr="00D73212">
        <w:rPr>
          <w:color w:val="auto"/>
          <w:rtl/>
          <w:lang w:eastAsia="en-US"/>
        </w:rPr>
        <w:t>---------------------------------</w:t>
      </w:r>
    </w:p>
    <w:p w14:paraId="72C8CD11" w14:textId="77777777" w:rsidR="004D33EC" w:rsidRPr="00D73212" w:rsidRDefault="004D33EC" w:rsidP="004D33EC">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C6FEBC1" w14:textId="77777777" w:rsidR="004D33EC" w:rsidRPr="00D73212" w:rsidRDefault="004D33EC" w:rsidP="004D33EC">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0CB41838" w14:textId="77777777" w:rsidR="004D33EC" w:rsidRPr="00317312" w:rsidRDefault="004D33EC" w:rsidP="004D33EC">
      <w:pPr>
        <w:pStyle w:val="Hesber"/>
      </w:pPr>
      <w:r>
        <w:rPr>
          <w:rFonts w:hint="cs"/>
          <w:color w:val="auto"/>
          <w:rtl/>
          <w:lang w:eastAsia="en-US"/>
        </w:rPr>
        <w:t>י"ח באדר ב'</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28.3</w:t>
      </w:r>
      <w:r w:rsidRPr="00D73212">
        <w:rPr>
          <w:color w:val="auto"/>
          <w:rtl/>
          <w:lang w:eastAsia="en-US"/>
        </w:rPr>
        <w:t>.1</w:t>
      </w:r>
      <w:r>
        <w:rPr>
          <w:rFonts w:hint="cs"/>
          <w:color w:val="auto"/>
          <w:rtl/>
          <w:lang w:eastAsia="en-US"/>
        </w:rPr>
        <w:t>6</w:t>
      </w:r>
    </w:p>
    <w:p w14:paraId="58127099" w14:textId="77777777" w:rsidR="004D33EC" w:rsidRPr="001B68E4" w:rsidRDefault="004D33EC" w:rsidP="001B68E4">
      <w:pPr>
        <w:rPr>
          <w:rtl/>
        </w:rPr>
      </w:pPr>
    </w:p>
    <w:sectPr w:rsidR="004D33EC" w:rsidRPr="001B68E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D2AFA">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65234813" w14:textId="77777777" w:rsidR="001B68E4" w:rsidRDefault="001B68E4" w:rsidP="001B68E4">
      <w:pPr>
        <w:pStyle w:val="a4"/>
      </w:pPr>
      <w:r>
        <w:rPr>
          <w:rStyle w:val="a6"/>
        </w:rPr>
        <w:footnoteRef/>
      </w:r>
      <w:r>
        <w:rPr>
          <w:rtl/>
        </w:rPr>
        <w:t xml:space="preserve"> </w:t>
      </w:r>
      <w:r>
        <w:rPr>
          <w:rFonts w:hint="cs"/>
          <w:rtl/>
        </w:rPr>
        <w:t>ס"ח התשנ"ה, עמ' 139.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B68E4"/>
    <w:rsid w:val="001C23B0"/>
    <w:rsid w:val="00203A7F"/>
    <w:rsid w:val="002200A1"/>
    <w:rsid w:val="00224705"/>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451AC"/>
    <w:rsid w:val="004B02E1"/>
    <w:rsid w:val="004B24ED"/>
    <w:rsid w:val="004D2D82"/>
    <w:rsid w:val="004D33EC"/>
    <w:rsid w:val="004D3876"/>
    <w:rsid w:val="004E4552"/>
    <w:rsid w:val="00553C9D"/>
    <w:rsid w:val="00562A66"/>
    <w:rsid w:val="005B064E"/>
    <w:rsid w:val="005D51AE"/>
    <w:rsid w:val="0062674B"/>
    <w:rsid w:val="006363B2"/>
    <w:rsid w:val="00644498"/>
    <w:rsid w:val="00644940"/>
    <w:rsid w:val="006818A9"/>
    <w:rsid w:val="006A2D81"/>
    <w:rsid w:val="006C1D0D"/>
    <w:rsid w:val="00703EC7"/>
    <w:rsid w:val="0070601E"/>
    <w:rsid w:val="00712C72"/>
    <w:rsid w:val="00735FE9"/>
    <w:rsid w:val="00763CAA"/>
    <w:rsid w:val="00765F66"/>
    <w:rsid w:val="007C3FA6"/>
    <w:rsid w:val="007D2AFA"/>
    <w:rsid w:val="007D585A"/>
    <w:rsid w:val="007D5A12"/>
    <w:rsid w:val="007E59F9"/>
    <w:rsid w:val="00810BCD"/>
    <w:rsid w:val="00812C98"/>
    <w:rsid w:val="00814D92"/>
    <w:rsid w:val="0083181D"/>
    <w:rsid w:val="00874BBC"/>
    <w:rsid w:val="00892135"/>
    <w:rsid w:val="00895449"/>
    <w:rsid w:val="00897879"/>
    <w:rsid w:val="008A6870"/>
    <w:rsid w:val="008B0EF7"/>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C2561"/>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9176A"/>
    <w:rsid w:val="00CF1AA2"/>
    <w:rsid w:val="00D43D4E"/>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27338CF7-8E07-428B-BA14-696C3518A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4D33E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773168">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2FE7E-0637-4B1D-B104-3BEF82CC86F1}"/>
</file>

<file path=customXml/itemProps2.xml><?xml version="1.0" encoding="utf-8"?>
<ds:datastoreItem xmlns:ds="http://schemas.openxmlformats.org/officeDocument/2006/customXml" ds:itemID="{88F4AFE3-9455-419C-8851-785A55F44517}">
  <ds:schemaRefs>
    <ds:schemaRef ds:uri="http://purl.org/dc/dcmitype/"/>
    <ds:schemaRef ds:uri="http://schemas.microsoft.com/office/infopath/2007/PartnerControls"/>
    <ds:schemaRef ds:uri="http://purl.org/dc/terms/"/>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13536C67-C2A9-4403-953A-71C910F8B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339</Words>
  <Characters>1695</Characters>
  <Application>Microsoft Office Word</Application>
  <DocSecurity>4</DocSecurity>
  <Lines>14</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2016-03-23T11:48:00Z</cp:lastPrinted>
  <dcterms:created xsi:type="dcterms:W3CDTF">2017-02-08T12:11:00Z</dcterms:created>
  <dcterms:modified xsi:type="dcterms:W3CDTF">2017-02-08T12:11:00Z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2013963</vt:r8>
  </property>
</Properties>
</file>