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543E" w:rsidRPr="001A543E" w:rsidRDefault="001A543E" w:rsidP="001A543E">
      <w:pPr>
        <w:jc w:val="right"/>
        <w:rPr>
          <w:rtl/>
        </w:rPr>
      </w:pPr>
      <w:r w:rsidRPr="001A543E">
        <w:rPr>
          <w:rFonts w:hint="cs"/>
          <w:rtl/>
        </w:rPr>
        <w:t>20.2.17</w:t>
      </w:r>
    </w:p>
    <w:p w:rsidR="0097104C" w:rsidRDefault="001A543E" w:rsidP="001A543E">
      <w:pPr>
        <w:jc w:val="center"/>
        <w:rPr>
          <w:b/>
          <w:bCs/>
          <w:u w:val="single"/>
          <w:rtl/>
        </w:rPr>
      </w:pPr>
      <w:r>
        <w:rPr>
          <w:rFonts w:hint="cs"/>
          <w:b/>
          <w:bCs/>
          <w:u w:val="single"/>
          <w:rtl/>
        </w:rPr>
        <w:t>עמדת מרכז רקמן -</w:t>
      </w:r>
      <w:r w:rsidR="00CC0652" w:rsidRPr="00801519">
        <w:rPr>
          <w:rFonts w:hint="cs"/>
          <w:b/>
          <w:bCs/>
          <w:u w:val="single"/>
          <w:rtl/>
        </w:rPr>
        <w:t>הצע</w:t>
      </w:r>
      <w:r w:rsidR="009B7B6F">
        <w:rPr>
          <w:rFonts w:hint="cs"/>
          <w:b/>
          <w:bCs/>
          <w:u w:val="single"/>
          <w:rtl/>
        </w:rPr>
        <w:t>ות</w:t>
      </w:r>
      <w:r w:rsidR="00CC0652" w:rsidRPr="00801519">
        <w:rPr>
          <w:rFonts w:hint="cs"/>
          <w:b/>
          <w:bCs/>
          <w:u w:val="single"/>
          <w:rtl/>
        </w:rPr>
        <w:t xml:space="preserve"> לתיקון </w:t>
      </w:r>
      <w:r w:rsidR="0097104C">
        <w:rPr>
          <w:rFonts w:hint="cs"/>
          <w:b/>
          <w:bCs/>
          <w:u w:val="single"/>
          <w:rtl/>
        </w:rPr>
        <w:t xml:space="preserve">הצעת חוק חדלות פרעון ושיקום כלכלי, התשע"ו </w:t>
      </w:r>
      <w:r w:rsidR="0097104C">
        <w:rPr>
          <w:b/>
          <w:bCs/>
          <w:u w:val="single"/>
          <w:rtl/>
        </w:rPr>
        <w:t>–</w:t>
      </w:r>
      <w:r w:rsidR="0097104C">
        <w:rPr>
          <w:rFonts w:hint="cs"/>
          <w:b/>
          <w:bCs/>
          <w:u w:val="single"/>
          <w:rtl/>
        </w:rPr>
        <w:t xml:space="preserve"> 2016</w:t>
      </w:r>
      <w:r w:rsidR="0097104C">
        <w:rPr>
          <w:b/>
          <w:bCs/>
          <w:u w:val="single"/>
          <w:rtl/>
        </w:rPr>
        <w:br/>
      </w:r>
      <w:r w:rsidR="0097104C">
        <w:rPr>
          <w:rFonts w:hint="cs"/>
          <w:b/>
          <w:bCs/>
          <w:u w:val="single"/>
          <w:rtl/>
        </w:rPr>
        <w:t>אשר פורסמה ביום כ"ב באדר א' התשע"ו   2.3.2016  (1027)</w:t>
      </w:r>
    </w:p>
    <w:p w:rsidR="001A543E" w:rsidRDefault="005A439A" w:rsidP="001A543E">
      <w:pPr>
        <w:jc w:val="center"/>
        <w:rPr>
          <w:b/>
          <w:bCs/>
          <w:u w:val="single"/>
          <w:rtl/>
        </w:rPr>
      </w:pPr>
      <w:r>
        <w:rPr>
          <w:rFonts w:hint="cs"/>
          <w:b/>
          <w:bCs/>
          <w:u w:val="single"/>
          <w:rtl/>
        </w:rPr>
        <w:t>בעניין: תשלום מזונות לתלויים שאינם מתגוררים עם החייב במהלך תקופת הביניים</w:t>
      </w:r>
    </w:p>
    <w:p w:rsidR="001A543E" w:rsidRDefault="009B7B6F" w:rsidP="001A543E">
      <w:pPr>
        <w:rPr>
          <w:rtl/>
        </w:rPr>
      </w:pPr>
      <w:r>
        <w:rPr>
          <w:b/>
          <w:bCs/>
          <w:u w:val="single"/>
          <w:rtl/>
        </w:rPr>
        <w:br/>
      </w:r>
      <w:r w:rsidR="001A543E" w:rsidRPr="001A543E">
        <w:rPr>
          <w:b/>
          <w:bCs/>
          <w:u w:val="single"/>
          <w:rtl/>
        </w:rPr>
        <w:t xml:space="preserve">1. </w:t>
      </w:r>
      <w:r w:rsidR="001A543E" w:rsidRPr="001A543E">
        <w:rPr>
          <w:rFonts w:hint="cs"/>
          <w:b/>
          <w:bCs/>
          <w:u w:val="single"/>
          <w:rtl/>
        </w:rPr>
        <w:t>מטרה</w:t>
      </w:r>
    </w:p>
    <w:p w:rsidR="00395A81" w:rsidRDefault="00395A81" w:rsidP="001A543E">
      <w:pPr>
        <w:rPr>
          <w:rtl/>
        </w:rPr>
      </w:pPr>
      <w:r>
        <w:rPr>
          <w:rFonts w:hint="cs"/>
          <w:rtl/>
        </w:rPr>
        <w:t>הצעה זו נועדה למנוע הפסקה של תשלומי מזונות לילדים</w:t>
      </w:r>
      <w:r w:rsidR="000F4BB4">
        <w:rPr>
          <w:rFonts w:hint="cs"/>
          <w:rtl/>
        </w:rPr>
        <w:t>,</w:t>
      </w:r>
      <w:r>
        <w:rPr>
          <w:rFonts w:hint="cs"/>
          <w:rtl/>
        </w:rPr>
        <w:t xml:space="preserve"> עם מתן צו </w:t>
      </w:r>
      <w:r w:rsidR="005762BD">
        <w:rPr>
          <w:rFonts w:hint="cs"/>
          <w:rtl/>
        </w:rPr>
        <w:t>לפתיחת הליכים (</w:t>
      </w:r>
      <w:r w:rsidR="009B7B6F">
        <w:rPr>
          <w:rFonts w:hint="cs"/>
          <w:rtl/>
        </w:rPr>
        <w:t>'</w:t>
      </w:r>
      <w:r w:rsidR="005762BD">
        <w:rPr>
          <w:rFonts w:hint="cs"/>
          <w:rtl/>
        </w:rPr>
        <w:t>צו כינוס</w:t>
      </w:r>
      <w:r w:rsidR="009B7B6F">
        <w:rPr>
          <w:rFonts w:hint="cs"/>
          <w:rtl/>
        </w:rPr>
        <w:t>' בשמו על פי פקודת פשיטת הרגל</w:t>
      </w:r>
      <w:r w:rsidR="005762BD">
        <w:rPr>
          <w:rFonts w:hint="cs"/>
          <w:rtl/>
        </w:rPr>
        <w:t xml:space="preserve">) </w:t>
      </w:r>
      <w:r w:rsidR="00C523A6">
        <w:rPr>
          <w:rFonts w:hint="cs"/>
          <w:rtl/>
        </w:rPr>
        <w:t>כ</w:t>
      </w:r>
      <w:r>
        <w:rPr>
          <w:rFonts w:hint="cs"/>
          <w:rtl/>
        </w:rPr>
        <w:t>נגד משלם המזונות</w:t>
      </w:r>
      <w:r w:rsidR="00C523A6">
        <w:rPr>
          <w:rFonts w:hint="cs"/>
          <w:rtl/>
        </w:rPr>
        <w:t>.</w:t>
      </w:r>
      <w:r w:rsidR="00251E4A">
        <w:rPr>
          <w:rtl/>
        </w:rPr>
        <w:tab/>
      </w:r>
      <w:r w:rsidR="00251E4A">
        <w:rPr>
          <w:rtl/>
        </w:rPr>
        <w:br/>
      </w:r>
    </w:p>
    <w:p w:rsidR="005762BD" w:rsidRDefault="000347AF" w:rsidP="001A543E">
      <w:pPr>
        <w:jc w:val="both"/>
        <w:rPr>
          <w:b/>
          <w:bCs/>
          <w:u w:val="single"/>
          <w:rtl/>
        </w:rPr>
      </w:pPr>
      <w:r>
        <w:rPr>
          <w:rFonts w:hint="cs"/>
          <w:b/>
          <w:bCs/>
          <w:u w:val="single"/>
          <w:rtl/>
        </w:rPr>
        <w:t xml:space="preserve">2. </w:t>
      </w:r>
      <w:r w:rsidR="005762BD">
        <w:rPr>
          <w:rFonts w:hint="cs"/>
          <w:b/>
          <w:bCs/>
          <w:u w:val="single"/>
          <w:rtl/>
        </w:rPr>
        <w:t xml:space="preserve">המצב המשפטי הקיים </w:t>
      </w:r>
    </w:p>
    <w:p w:rsidR="009B7B6F" w:rsidRDefault="009B7B6F" w:rsidP="001A543E">
      <w:pPr>
        <w:jc w:val="both"/>
        <w:rPr>
          <w:rFonts w:ascii="David" w:hAnsi="David"/>
          <w:sz w:val="24"/>
          <w:rtl/>
        </w:rPr>
      </w:pPr>
      <w:r>
        <w:rPr>
          <w:rFonts w:hint="cs"/>
          <w:u w:val="single"/>
          <w:rtl/>
        </w:rPr>
        <w:t xml:space="preserve">כללי </w:t>
      </w:r>
      <w:r w:rsidRPr="009B7B6F">
        <w:rPr>
          <w:rFonts w:hint="cs"/>
          <w:rtl/>
        </w:rPr>
        <w:tab/>
      </w:r>
      <w:r w:rsidR="002150DB">
        <w:rPr>
          <w:rtl/>
        </w:rPr>
        <w:br/>
      </w:r>
      <w:r w:rsidRPr="00EC6B15">
        <w:rPr>
          <w:rFonts w:ascii="David" w:hAnsi="David" w:hint="cs"/>
          <w:sz w:val="24"/>
          <w:rtl/>
        </w:rPr>
        <w:t>ממחקר שנערך על ידי ההוצאה לפועל והוגש לשרת המשפטים, עולה כי נכון לסוף שנת 2015, שיעור החייבים שהינם גרושים מהווה 22% מאוכלוסיית החייבים</w:t>
      </w:r>
      <w:r>
        <w:rPr>
          <w:rFonts w:ascii="David" w:hAnsi="David" w:hint="cs"/>
          <w:sz w:val="24"/>
          <w:rtl/>
        </w:rPr>
        <w:t>.</w:t>
      </w:r>
      <w:r>
        <w:rPr>
          <w:rFonts w:ascii="David" w:hAnsi="David"/>
          <w:sz w:val="24"/>
          <w:rtl/>
        </w:rPr>
        <w:tab/>
      </w:r>
    </w:p>
    <w:p w:rsidR="00395A81" w:rsidRDefault="00395A81" w:rsidP="001A543E">
      <w:pPr>
        <w:jc w:val="both"/>
        <w:rPr>
          <w:rtl/>
        </w:rPr>
      </w:pPr>
      <w:r>
        <w:rPr>
          <w:rFonts w:hint="cs"/>
          <w:rtl/>
        </w:rPr>
        <w:t xml:space="preserve">על פי </w:t>
      </w:r>
      <w:r w:rsidRPr="00395A81">
        <w:rPr>
          <w:rtl/>
        </w:rPr>
        <w:t>פקודת פשיטת הרגל [נוסח חדש], תש"ם-1980</w:t>
      </w:r>
      <w:r>
        <w:rPr>
          <w:rFonts w:hint="cs"/>
          <w:rtl/>
        </w:rPr>
        <w:t xml:space="preserve">, </w:t>
      </w:r>
      <w:r w:rsidR="00C523A6">
        <w:rPr>
          <w:rFonts w:hint="cs"/>
          <w:rtl/>
        </w:rPr>
        <w:t xml:space="preserve">כאשר  </w:t>
      </w:r>
      <w:r w:rsidR="005762BD">
        <w:rPr>
          <w:rFonts w:hint="cs"/>
          <w:rtl/>
        </w:rPr>
        <w:t xml:space="preserve">ניתן </w:t>
      </w:r>
      <w:r>
        <w:rPr>
          <w:rFonts w:hint="cs"/>
          <w:rtl/>
        </w:rPr>
        <w:t>צו כינוס כנגד החייב</w:t>
      </w:r>
      <w:r w:rsidR="005762BD">
        <w:rPr>
          <w:rFonts w:hint="cs"/>
          <w:rtl/>
        </w:rPr>
        <w:t>,</w:t>
      </w:r>
      <w:r>
        <w:rPr>
          <w:rFonts w:hint="cs"/>
          <w:rtl/>
        </w:rPr>
        <w:t xml:space="preserve"> </w:t>
      </w:r>
      <w:r w:rsidR="005762BD">
        <w:rPr>
          <w:rFonts w:hint="cs"/>
          <w:rtl/>
        </w:rPr>
        <w:t xml:space="preserve">כל תשלומי החובות של החייב לנושיו מופסקים </w:t>
      </w:r>
      <w:r>
        <w:rPr>
          <w:rFonts w:hint="cs"/>
          <w:rtl/>
        </w:rPr>
        <w:t>באופן אוטומטי</w:t>
      </w:r>
      <w:r w:rsidR="005762BD">
        <w:rPr>
          <w:rFonts w:hint="cs"/>
          <w:rtl/>
        </w:rPr>
        <w:t xml:space="preserve">, </w:t>
      </w:r>
      <w:r>
        <w:rPr>
          <w:rFonts w:hint="cs"/>
          <w:rtl/>
        </w:rPr>
        <w:t>כולל תשלומי המזונות לילדיו</w:t>
      </w:r>
      <w:r w:rsidR="00C523A6">
        <w:rPr>
          <w:rFonts w:hint="cs"/>
          <w:rtl/>
        </w:rPr>
        <w:t xml:space="preserve"> הקטינים שאינם מתגוררים עמו</w:t>
      </w:r>
      <w:r w:rsidR="002150DB">
        <w:rPr>
          <w:rFonts w:hint="cs"/>
          <w:rtl/>
        </w:rPr>
        <w:t xml:space="preserve">. כדי לחדש את תשלומי המזונות על הזכאי למזונות לפנות לבית המשפט </w:t>
      </w:r>
      <w:r w:rsidR="00B309A4">
        <w:rPr>
          <w:rFonts w:hint="cs"/>
          <w:rtl/>
        </w:rPr>
        <w:t xml:space="preserve">(עפ"י סעיף 128 לפקודה) </w:t>
      </w:r>
      <w:r w:rsidR="002150DB">
        <w:rPr>
          <w:rFonts w:hint="cs"/>
          <w:rtl/>
        </w:rPr>
        <w:t>ולבקש שיקצבו לו סכומי כסף מתוך הכנסות החייב. בית המשפט דן בבקשה ומכריע בה.</w:t>
      </w:r>
    </w:p>
    <w:p w:rsidR="002150DB" w:rsidRPr="00801519" w:rsidRDefault="002150DB" w:rsidP="001A543E">
      <w:pPr>
        <w:jc w:val="both"/>
        <w:rPr>
          <w:rtl/>
        </w:rPr>
      </w:pPr>
      <w:r>
        <w:rPr>
          <w:rFonts w:hint="cs"/>
          <w:rtl/>
        </w:rPr>
        <w:t xml:space="preserve">התוצאה היא </w:t>
      </w:r>
      <w:r w:rsidRPr="00B9706E">
        <w:rPr>
          <w:rFonts w:hint="cs"/>
          <w:rtl/>
        </w:rPr>
        <w:t>שבמהלך התקופה שבין צו הכינוס לבין הקצבת סכום המזונות לזכאי</w:t>
      </w:r>
      <w:r>
        <w:rPr>
          <w:rFonts w:hint="cs"/>
          <w:rtl/>
        </w:rPr>
        <w:t>ם</w:t>
      </w:r>
      <w:r w:rsidRPr="00B9706E">
        <w:rPr>
          <w:rFonts w:hint="cs"/>
          <w:rtl/>
        </w:rPr>
        <w:t>, ילדיו של החייב שאינם מתגוררים עמו אינם מקבלים כל תשלום עבור מזונות</w:t>
      </w:r>
      <w:r>
        <w:rPr>
          <w:rFonts w:hint="cs"/>
          <w:rtl/>
        </w:rPr>
        <w:t>. ההורה המשמורן נאלץ לשאת בעלויות המשפטיות של יזום וניהול הליך לקציבת המזונות, וזאת לאחר שכבר ניהל הליך בעבר לצורך קבלת המזונות. לאורך ההליך, שיכול להימשך חודשים ארוכים, המזונות אינם משולמים. העומס הכלכלי שמוטל על ההורה המשמורן הוא לעיתים בלתי אפשרי ועלול להוביל גם אותו לפשיטת רגל, במיוחד לאור העובדה ש</w:t>
      </w:r>
      <w:r w:rsidRPr="00801519">
        <w:rPr>
          <w:rFonts w:hint="cs"/>
          <w:rtl/>
        </w:rPr>
        <w:t>במקרים רבים הפיגור בתשלומי המזונות מתחיל</w:t>
      </w:r>
      <w:r>
        <w:rPr>
          <w:rFonts w:hint="cs"/>
          <w:rtl/>
        </w:rPr>
        <w:t xml:space="preserve"> כבר</w:t>
      </w:r>
      <w:r w:rsidRPr="00801519">
        <w:rPr>
          <w:rFonts w:hint="cs"/>
          <w:rtl/>
        </w:rPr>
        <w:t xml:space="preserve"> עם התדרדרותו הכלכלית של החייב, עוד טרם מתן צו </w:t>
      </w:r>
      <w:r>
        <w:rPr>
          <w:rFonts w:hint="cs"/>
          <w:rtl/>
        </w:rPr>
        <w:t>הכינוס</w:t>
      </w:r>
      <w:r w:rsidRPr="00801519">
        <w:rPr>
          <w:rFonts w:hint="cs"/>
          <w:rtl/>
        </w:rPr>
        <w:t>.</w:t>
      </w:r>
    </w:p>
    <w:p w:rsidR="002150DB" w:rsidRPr="00B309A4" w:rsidRDefault="002150DB" w:rsidP="001A543E">
      <w:pPr>
        <w:jc w:val="both"/>
        <w:rPr>
          <w:u w:val="single"/>
        </w:rPr>
      </w:pPr>
      <w:r w:rsidRPr="00B309A4">
        <w:rPr>
          <w:rFonts w:hint="cs"/>
          <w:u w:val="single"/>
          <w:rtl/>
        </w:rPr>
        <w:t>סע</w:t>
      </w:r>
      <w:r w:rsidR="00B309A4">
        <w:rPr>
          <w:rFonts w:hint="cs"/>
          <w:u w:val="single"/>
          <w:rtl/>
        </w:rPr>
        <w:t xml:space="preserve">יף 128 לפקודת פשיטת הרגל </w:t>
      </w:r>
      <w:r w:rsidRPr="00B309A4">
        <w:rPr>
          <w:rFonts w:hint="cs"/>
          <w:u w:val="single"/>
          <w:rtl/>
        </w:rPr>
        <w:t xml:space="preserve"> </w:t>
      </w:r>
      <w:r w:rsidR="009B7B6F">
        <w:rPr>
          <w:rFonts w:hint="cs"/>
          <w:u w:val="single"/>
          <w:rtl/>
        </w:rPr>
        <w:t>על הבעייתיות שבו</w:t>
      </w:r>
    </w:p>
    <w:p w:rsidR="005762BD" w:rsidRDefault="000347AF" w:rsidP="001A543E">
      <w:pPr>
        <w:jc w:val="both"/>
        <w:rPr>
          <w:rFonts w:ascii="David" w:hAnsi="David"/>
          <w:sz w:val="24"/>
          <w:rtl/>
        </w:rPr>
      </w:pPr>
      <w:r w:rsidRPr="000347AF">
        <w:rPr>
          <w:rFonts w:ascii="David" w:hAnsi="David"/>
          <w:noProof/>
          <w:sz w:val="24"/>
        </w:rPr>
        <mc:AlternateContent>
          <mc:Choice Requires="wps">
            <w:drawing>
              <wp:anchor distT="91440" distB="91440" distL="114300" distR="114300" simplePos="0" relativeHeight="251659264" behindDoc="0" locked="0" layoutInCell="1" allowOverlap="1">
                <wp:simplePos x="0" y="0"/>
                <wp:positionH relativeFrom="margin">
                  <wp:posOffset>276225</wp:posOffset>
                </wp:positionH>
                <wp:positionV relativeFrom="paragraph">
                  <wp:posOffset>611505</wp:posOffset>
                </wp:positionV>
                <wp:extent cx="4800600" cy="80962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809625"/>
                        </a:xfrm>
                        <a:prstGeom prst="rect">
                          <a:avLst/>
                        </a:prstGeom>
                        <a:noFill/>
                        <a:ln w="9525">
                          <a:noFill/>
                          <a:miter lim="800000"/>
                          <a:headEnd/>
                          <a:tailEnd/>
                        </a:ln>
                      </wps:spPr>
                      <wps:txbx>
                        <w:txbxContent>
                          <w:p w:rsidR="000347AF" w:rsidRPr="000F4BB4" w:rsidRDefault="000347AF" w:rsidP="000347AF">
                            <w:pPr>
                              <w:jc w:val="both"/>
                              <w:rPr>
                                <w:rFonts w:ascii="David" w:hAnsi="David"/>
                                <w:i/>
                                <w:iCs/>
                                <w:sz w:val="24"/>
                                <w:rtl/>
                              </w:rPr>
                            </w:pPr>
                            <w:r w:rsidRPr="000F4BB4">
                              <w:rPr>
                                <w:rFonts w:ascii="FrankRuehl" w:hAnsi="FrankRuehl" w:cs="FrankRuehl" w:hint="cs"/>
                                <w:i/>
                                <w:iCs/>
                                <w:sz w:val="26"/>
                                <w:szCs w:val="26"/>
                                <w:rtl/>
                              </w:rPr>
                              <w:t>"</w:t>
                            </w:r>
                            <w:r w:rsidRPr="000F4BB4">
                              <w:rPr>
                                <w:rFonts w:ascii="FrankRuehl" w:hAnsi="FrankRuehl" w:cs="FrankRuehl"/>
                                <w:i/>
                                <w:iCs/>
                                <w:sz w:val="26"/>
                                <w:szCs w:val="26"/>
                                <w:rtl/>
                              </w:rPr>
                              <w:t>ניתן צו כינוס, רשאי בית המשפט, לפי בקשתו של אדם שמגיעים לו מחייב על פי פסק דין מזונות שזמן פרעונם חל אחרי מתן צו הכינוס, להקציב לאותו אדם מזמן לזמן מתוך נכסי החייב או מתוך הכנסותיו סכומי כסף שימצא לנכון</w:t>
                            </w:r>
                            <w:r w:rsidRPr="000F4BB4">
                              <w:rPr>
                                <w:rFonts w:ascii="FrankRuehl" w:hAnsi="FrankRuehl" w:cs="FrankRuehl" w:hint="cs"/>
                                <w:i/>
                                <w:iCs/>
                                <w:sz w:val="26"/>
                                <w:szCs w:val="26"/>
                                <w:rtl/>
                              </w:rPr>
                              <w:t>"</w:t>
                            </w:r>
                            <w:r w:rsidRPr="000F4BB4">
                              <w:rPr>
                                <w:rFonts w:ascii="FrankRuehl" w:hAnsi="FrankRuehl" w:cs="FrankRuehl"/>
                                <w:i/>
                                <w:iCs/>
                                <w:sz w:val="26"/>
                                <w:szCs w:val="26"/>
                                <w:rt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75pt;margin-top:48.15pt;width:378pt;height:63.75pt;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" filled="f" stroked="f">
                <v:textbox>
                  <w:txbxContent>
                    <w:p w:rsidR="000347AF" w:rsidRPr="000F4BB4" w:rsidRDefault="000347AF" w:rsidP="000347AF">
                      <w:pPr>
                        <w:jc w:val="both"/>
                        <w:rPr>
                          <w:rFonts w:ascii="David" w:hAnsi="David"/>
                          <w:i/>
                          <w:iCs/>
                          <w:sz w:val="24"/>
                          <w:rtl/>
                        </w:rPr>
                      </w:pPr>
                      <w:r w:rsidRPr="000F4BB4">
                        <w:rPr>
                          <w:rFonts w:ascii="FrankRuehl" w:hAnsi="FrankRuehl" w:cs="FrankRuehl" w:hint="cs"/>
                          <w:i/>
                          <w:iCs/>
                          <w:sz w:val="26"/>
                          <w:szCs w:val="26"/>
                          <w:rtl/>
                        </w:rPr>
                        <w:t>"</w:t>
                      </w:r>
                      <w:r w:rsidRPr="000F4BB4">
                        <w:rPr>
                          <w:rFonts w:ascii="FrankRuehl" w:hAnsi="FrankRuehl" w:cs="FrankRuehl"/>
                          <w:i/>
                          <w:iCs/>
                          <w:sz w:val="26"/>
                          <w:szCs w:val="26"/>
                          <w:rtl/>
                        </w:rPr>
                        <w:t>ניתן צו כינוס, רשאי בית המשפט, לפי בקשתו של אדם שמגיעים לו מחייב על פי פסק דין מזונות שזמן פרעונם חל אחרי מתן צו הכינוס, להקציב לאותו אדם מזמן לזמן מתוך נכסי החייב או מתוך הכנסותיו סכומי כסף שימצא לנכון</w:t>
                      </w:r>
                      <w:r w:rsidRPr="000F4BB4">
                        <w:rPr>
                          <w:rFonts w:ascii="FrankRuehl" w:hAnsi="FrankRuehl" w:cs="FrankRuehl" w:hint="cs"/>
                          <w:i/>
                          <w:iCs/>
                          <w:sz w:val="26"/>
                          <w:szCs w:val="26"/>
                          <w:rtl/>
                        </w:rPr>
                        <w:t>"</w:t>
                      </w:r>
                      <w:r w:rsidRPr="000F4BB4">
                        <w:rPr>
                          <w:rFonts w:ascii="FrankRuehl" w:hAnsi="FrankRuehl" w:cs="FrankRuehl"/>
                          <w:i/>
                          <w:iCs/>
                          <w:sz w:val="26"/>
                          <w:szCs w:val="26"/>
                          <w:rtl/>
                        </w:rPr>
                        <w:t>.</w:t>
                      </w:r>
                    </w:p>
                  </w:txbxContent>
                </v:textbox>
                <w10:wrap type="topAndBottom" anchorx="margin"/>
              </v:shape>
            </w:pict>
          </mc:Fallback>
        </mc:AlternateContent>
      </w:r>
      <w:r w:rsidR="00395A81">
        <w:rPr>
          <w:rFonts w:ascii="David" w:hAnsi="David" w:hint="cs"/>
          <w:sz w:val="24"/>
          <w:rtl/>
        </w:rPr>
        <w:t>סעיף 128 לפקוד</w:t>
      </w:r>
      <w:r w:rsidR="005762BD">
        <w:rPr>
          <w:rFonts w:ascii="David" w:hAnsi="David" w:hint="cs"/>
          <w:sz w:val="24"/>
          <w:rtl/>
        </w:rPr>
        <w:t>ת פשיטת הרגל, מתייחס לעניין המזונות, ו</w:t>
      </w:r>
      <w:r w:rsidR="00395A81">
        <w:rPr>
          <w:rFonts w:ascii="David" w:hAnsi="David" w:hint="cs"/>
          <w:sz w:val="24"/>
          <w:rtl/>
        </w:rPr>
        <w:t>ק</w:t>
      </w:r>
      <w:r w:rsidR="005762BD">
        <w:rPr>
          <w:rFonts w:ascii="David" w:hAnsi="David" w:hint="cs"/>
          <w:sz w:val="24"/>
          <w:rtl/>
        </w:rPr>
        <w:t>ו</w:t>
      </w:r>
      <w:r w:rsidR="00395A81">
        <w:rPr>
          <w:rFonts w:ascii="David" w:hAnsi="David" w:hint="cs"/>
          <w:sz w:val="24"/>
          <w:rtl/>
        </w:rPr>
        <w:t>בע מנגנון שיפוטי להקצבת מזונות לזכאי</w:t>
      </w:r>
      <w:r w:rsidR="000F4BB4">
        <w:rPr>
          <w:rFonts w:ascii="David" w:hAnsi="David" w:hint="cs"/>
          <w:sz w:val="24"/>
          <w:rtl/>
        </w:rPr>
        <w:t>, לאחר מתן צו הכינוס</w:t>
      </w:r>
      <w:r w:rsidR="005762BD">
        <w:rPr>
          <w:rFonts w:ascii="David" w:hAnsi="David" w:hint="cs"/>
          <w:sz w:val="24"/>
          <w:rtl/>
        </w:rPr>
        <w:t>. הסעיף קובע כדלקמן:</w:t>
      </w:r>
      <w:r w:rsidR="00395A81">
        <w:rPr>
          <w:rFonts w:ascii="David" w:hAnsi="David" w:hint="cs"/>
          <w:sz w:val="24"/>
          <w:rtl/>
        </w:rPr>
        <w:t xml:space="preserve"> </w:t>
      </w:r>
    </w:p>
    <w:p w:rsidR="00F919B5" w:rsidRDefault="00F919B5" w:rsidP="001A543E">
      <w:pPr>
        <w:jc w:val="both"/>
        <w:rPr>
          <w:rFonts w:ascii="David" w:hAnsi="David"/>
          <w:sz w:val="24"/>
          <w:rtl/>
        </w:rPr>
      </w:pPr>
      <w:r>
        <w:rPr>
          <w:rFonts w:ascii="David" w:hAnsi="David" w:hint="cs"/>
          <w:sz w:val="24"/>
          <w:rtl/>
        </w:rPr>
        <w:t>סעיף זה בעייתי מכמה סיבות:</w:t>
      </w:r>
    </w:p>
    <w:p w:rsidR="0075080F" w:rsidRDefault="00F919B5" w:rsidP="001A543E">
      <w:pPr>
        <w:pStyle w:val="a4"/>
        <w:numPr>
          <w:ilvl w:val="0"/>
          <w:numId w:val="13"/>
        </w:numPr>
        <w:jc w:val="both"/>
        <w:rPr>
          <w:rFonts w:ascii="David" w:hAnsi="David"/>
          <w:sz w:val="24"/>
        </w:rPr>
      </w:pPr>
      <w:r>
        <w:rPr>
          <w:rFonts w:ascii="David" w:hAnsi="David" w:hint="cs"/>
          <w:sz w:val="24"/>
          <w:rtl/>
        </w:rPr>
        <w:lastRenderedPageBreak/>
        <w:t>ה</w:t>
      </w:r>
      <w:r w:rsidR="00C523A6">
        <w:rPr>
          <w:rFonts w:ascii="David" w:hAnsi="David" w:hint="cs"/>
          <w:sz w:val="24"/>
          <w:rtl/>
        </w:rPr>
        <w:t xml:space="preserve">סעיף </w:t>
      </w:r>
      <w:r>
        <w:rPr>
          <w:rFonts w:ascii="David" w:hAnsi="David" w:hint="cs"/>
          <w:sz w:val="24"/>
          <w:rtl/>
        </w:rPr>
        <w:t xml:space="preserve">גורם </w:t>
      </w:r>
      <w:r w:rsidRPr="00251E4A">
        <w:rPr>
          <w:rFonts w:ascii="David" w:hAnsi="David" w:hint="cs"/>
          <w:b/>
          <w:bCs/>
          <w:sz w:val="24"/>
          <w:rtl/>
        </w:rPr>
        <w:t>ל</w:t>
      </w:r>
      <w:r w:rsidR="000F4BB4" w:rsidRPr="00251E4A">
        <w:rPr>
          <w:rFonts w:ascii="David" w:hAnsi="David" w:hint="cs"/>
          <w:b/>
          <w:bCs/>
          <w:sz w:val="24"/>
          <w:rtl/>
        </w:rPr>
        <w:t>הפ</w:t>
      </w:r>
      <w:r w:rsidRPr="00251E4A">
        <w:rPr>
          <w:rFonts w:ascii="David" w:hAnsi="David" w:hint="cs"/>
          <w:b/>
          <w:bCs/>
          <w:sz w:val="24"/>
          <w:rtl/>
        </w:rPr>
        <w:t>חתה של דמי המזונות</w:t>
      </w:r>
      <w:r w:rsidR="00C523A6">
        <w:rPr>
          <w:rFonts w:ascii="David" w:hAnsi="David" w:hint="cs"/>
          <w:sz w:val="24"/>
          <w:rtl/>
        </w:rPr>
        <w:t xml:space="preserve"> </w:t>
      </w:r>
      <w:r w:rsidR="00C523A6">
        <w:rPr>
          <w:rFonts w:ascii="David" w:hAnsi="David"/>
          <w:sz w:val="24"/>
          <w:rtl/>
        </w:rPr>
        <w:t>–</w:t>
      </w:r>
      <w:r>
        <w:rPr>
          <w:rFonts w:ascii="David" w:hAnsi="David" w:hint="cs"/>
          <w:sz w:val="24"/>
          <w:rtl/>
        </w:rPr>
        <w:t xml:space="preserve"> </w:t>
      </w:r>
      <w:r w:rsidR="00C523A6">
        <w:rPr>
          <w:rFonts w:ascii="David" w:hAnsi="David" w:hint="cs"/>
          <w:sz w:val="24"/>
          <w:rtl/>
        </w:rPr>
        <w:t xml:space="preserve">מכח סעיף זה </w:t>
      </w:r>
      <w:r>
        <w:rPr>
          <w:rFonts w:ascii="David" w:hAnsi="David" w:hint="cs"/>
          <w:sz w:val="24"/>
          <w:rtl/>
        </w:rPr>
        <w:t>בית המשפט מקטין בדרך כלל את גובה תשלומי המזונות</w:t>
      </w:r>
      <w:r w:rsidR="00C523A6">
        <w:rPr>
          <w:rFonts w:ascii="David" w:hAnsi="David" w:hint="cs"/>
          <w:sz w:val="24"/>
          <w:rtl/>
        </w:rPr>
        <w:t xml:space="preserve">, וזאת </w:t>
      </w:r>
      <w:r>
        <w:rPr>
          <w:rFonts w:ascii="David" w:hAnsi="David" w:hint="cs"/>
          <w:sz w:val="24"/>
          <w:rtl/>
        </w:rPr>
        <w:t>על מנת שי</w:t>
      </w:r>
      <w:r w:rsidR="00C523A6">
        <w:rPr>
          <w:rFonts w:ascii="David" w:hAnsi="David" w:hint="cs"/>
          <w:sz w:val="24"/>
          <w:rtl/>
        </w:rPr>
        <w:t xml:space="preserve">וותרו כספים </w:t>
      </w:r>
      <w:r>
        <w:rPr>
          <w:rFonts w:ascii="David" w:hAnsi="David" w:hint="cs"/>
          <w:sz w:val="24"/>
          <w:rtl/>
        </w:rPr>
        <w:t>לתשלום חובות אחרים</w:t>
      </w:r>
      <w:r w:rsidR="00C523A6">
        <w:rPr>
          <w:rFonts w:ascii="David" w:hAnsi="David" w:hint="cs"/>
          <w:sz w:val="24"/>
          <w:rtl/>
        </w:rPr>
        <w:t xml:space="preserve"> של פושט הרגל</w:t>
      </w:r>
      <w:r>
        <w:rPr>
          <w:rFonts w:ascii="David" w:hAnsi="David" w:hint="cs"/>
          <w:sz w:val="24"/>
          <w:rtl/>
        </w:rPr>
        <w:t>. סכומי המזונות הנפסקים בבתי המשפט ובבתי הדין בישראל הם ממילא נמוכים</w:t>
      </w:r>
      <w:r w:rsidR="00251E4A">
        <w:rPr>
          <w:rFonts w:ascii="David" w:hAnsi="David" w:hint="cs"/>
          <w:sz w:val="24"/>
          <w:rtl/>
        </w:rPr>
        <w:t>,</w:t>
      </w:r>
      <w:r>
        <w:rPr>
          <w:rFonts w:ascii="David" w:hAnsi="David" w:hint="cs"/>
          <w:sz w:val="24"/>
          <w:rtl/>
        </w:rPr>
        <w:t xml:space="preserve"> הפחתתם עוד יותר עלולה להיות בעייתית</w:t>
      </w:r>
      <w:r w:rsidR="00C523A6">
        <w:rPr>
          <w:rFonts w:ascii="David" w:hAnsi="David" w:hint="cs"/>
          <w:sz w:val="24"/>
          <w:rtl/>
        </w:rPr>
        <w:t xml:space="preserve"> ולה</w:t>
      </w:r>
      <w:r w:rsidR="000F4BB4">
        <w:rPr>
          <w:rFonts w:ascii="David" w:hAnsi="David" w:hint="cs"/>
          <w:sz w:val="24"/>
          <w:rtl/>
        </w:rPr>
        <w:t>ביא</w:t>
      </w:r>
      <w:r w:rsidR="00C523A6">
        <w:rPr>
          <w:rFonts w:ascii="David" w:hAnsi="David" w:hint="cs"/>
          <w:sz w:val="24"/>
          <w:rtl/>
        </w:rPr>
        <w:t xml:space="preserve"> ילדים אל מתחת לקו העוני</w:t>
      </w:r>
      <w:r>
        <w:rPr>
          <w:rFonts w:ascii="David" w:hAnsi="David" w:hint="cs"/>
          <w:sz w:val="24"/>
          <w:rtl/>
        </w:rPr>
        <w:t xml:space="preserve">. </w:t>
      </w:r>
    </w:p>
    <w:p w:rsidR="00F919B5" w:rsidRDefault="00F919B5" w:rsidP="001A543E">
      <w:pPr>
        <w:pStyle w:val="a4"/>
        <w:numPr>
          <w:ilvl w:val="0"/>
          <w:numId w:val="13"/>
        </w:numPr>
        <w:jc w:val="both"/>
        <w:rPr>
          <w:rFonts w:ascii="David" w:hAnsi="David"/>
          <w:sz w:val="24"/>
        </w:rPr>
      </w:pPr>
      <w:r w:rsidRPr="00251E4A">
        <w:rPr>
          <w:rFonts w:ascii="David" w:hAnsi="David" w:hint="cs"/>
          <w:b/>
          <w:bCs/>
          <w:sz w:val="24"/>
          <w:rtl/>
        </w:rPr>
        <w:t xml:space="preserve">לבית המשפט אין את הכלים לדעת </w:t>
      </w:r>
      <w:r w:rsidR="0075080F" w:rsidRPr="00251E4A">
        <w:rPr>
          <w:rFonts w:ascii="David" w:hAnsi="David" w:hint="cs"/>
          <w:b/>
          <w:bCs/>
          <w:sz w:val="24"/>
          <w:rtl/>
        </w:rPr>
        <w:t>ב</w:t>
      </w:r>
      <w:r w:rsidR="000F4BB4" w:rsidRPr="00251E4A">
        <w:rPr>
          <w:rFonts w:ascii="David" w:hAnsi="David" w:hint="cs"/>
          <w:b/>
          <w:bCs/>
          <w:sz w:val="24"/>
          <w:rtl/>
        </w:rPr>
        <w:t>כמה</w:t>
      </w:r>
      <w:r w:rsidRPr="00251E4A">
        <w:rPr>
          <w:rFonts w:ascii="David" w:hAnsi="David" w:hint="cs"/>
          <w:b/>
          <w:bCs/>
          <w:sz w:val="24"/>
          <w:rtl/>
        </w:rPr>
        <w:t xml:space="preserve"> ניתן להפחית את המזונות</w:t>
      </w:r>
      <w:r w:rsidR="000F4BB4">
        <w:rPr>
          <w:rFonts w:ascii="David" w:hAnsi="David" w:hint="cs"/>
          <w:sz w:val="24"/>
          <w:rtl/>
        </w:rPr>
        <w:t xml:space="preserve"> -</w:t>
      </w:r>
      <w:r>
        <w:rPr>
          <w:rFonts w:ascii="David" w:hAnsi="David" w:hint="cs"/>
          <w:sz w:val="24"/>
          <w:rtl/>
        </w:rPr>
        <w:t xml:space="preserve"> לא מדובר בבית משפט לענייני משפחה שאמון על נושאים אלה</w:t>
      </w:r>
      <w:r w:rsidR="00251E4A">
        <w:rPr>
          <w:rFonts w:ascii="David" w:hAnsi="David" w:hint="cs"/>
          <w:sz w:val="24"/>
          <w:rtl/>
        </w:rPr>
        <w:t>,</w:t>
      </w:r>
      <w:r>
        <w:rPr>
          <w:rFonts w:ascii="David" w:hAnsi="David" w:hint="cs"/>
          <w:sz w:val="24"/>
          <w:rtl/>
        </w:rPr>
        <w:t xml:space="preserve"> אלא </w:t>
      </w:r>
      <w:r w:rsidR="00C523A6">
        <w:rPr>
          <w:rFonts w:ascii="David" w:hAnsi="David" w:hint="cs"/>
          <w:sz w:val="24"/>
          <w:rtl/>
        </w:rPr>
        <w:t>ב</w:t>
      </w:r>
      <w:r>
        <w:rPr>
          <w:rFonts w:ascii="David" w:hAnsi="David" w:hint="cs"/>
          <w:sz w:val="24"/>
          <w:rtl/>
        </w:rPr>
        <w:t xml:space="preserve">בית משפט </w:t>
      </w:r>
      <w:r w:rsidR="00251E4A">
        <w:rPr>
          <w:rFonts w:ascii="David" w:hAnsi="David" w:hint="cs"/>
          <w:sz w:val="24"/>
          <w:rtl/>
        </w:rPr>
        <w:t xml:space="preserve">שאחראי על הליכי פשיטת הרגל, </w:t>
      </w:r>
      <w:r>
        <w:rPr>
          <w:rFonts w:ascii="David" w:hAnsi="David" w:hint="cs"/>
          <w:sz w:val="24"/>
          <w:rtl/>
        </w:rPr>
        <w:t>שאי</w:t>
      </w:r>
      <w:r w:rsidR="00C523A6">
        <w:rPr>
          <w:rFonts w:ascii="David" w:hAnsi="David" w:hint="cs"/>
          <w:sz w:val="24"/>
          <w:rtl/>
        </w:rPr>
        <w:t xml:space="preserve">נו עוסק בדרך שגרה בהקצבת מזונות. בנוסף, לבית המשפט </w:t>
      </w:r>
      <w:r w:rsidR="000F4BB4">
        <w:rPr>
          <w:rFonts w:ascii="David" w:hAnsi="David" w:hint="cs"/>
          <w:sz w:val="24"/>
          <w:rtl/>
        </w:rPr>
        <w:t xml:space="preserve">הדן בנושא </w:t>
      </w:r>
      <w:r w:rsidR="00C523A6">
        <w:rPr>
          <w:rFonts w:ascii="David" w:hAnsi="David" w:hint="cs"/>
          <w:sz w:val="24"/>
          <w:rtl/>
        </w:rPr>
        <w:t>אין את כל המידע הדרוש לשם הקצבת המזונות.</w:t>
      </w:r>
    </w:p>
    <w:p w:rsidR="00F919B5" w:rsidRDefault="00F919B5" w:rsidP="001A543E">
      <w:pPr>
        <w:pStyle w:val="a4"/>
        <w:numPr>
          <w:ilvl w:val="0"/>
          <w:numId w:val="13"/>
        </w:numPr>
        <w:jc w:val="both"/>
        <w:rPr>
          <w:rFonts w:ascii="David" w:hAnsi="David"/>
          <w:sz w:val="24"/>
        </w:rPr>
      </w:pPr>
      <w:r w:rsidRPr="00251E4A">
        <w:rPr>
          <w:rFonts w:ascii="David" w:hAnsi="David" w:hint="cs"/>
          <w:b/>
          <w:bCs/>
          <w:sz w:val="24"/>
          <w:rtl/>
        </w:rPr>
        <w:t>הסעיף אינו קובע מועד ספציפי לקציבת המזונות</w:t>
      </w:r>
      <w:r w:rsidR="00C523A6">
        <w:rPr>
          <w:rFonts w:ascii="David" w:hAnsi="David" w:hint="cs"/>
          <w:sz w:val="24"/>
          <w:rtl/>
        </w:rPr>
        <w:t xml:space="preserve">, </w:t>
      </w:r>
      <w:r w:rsidR="00251E4A">
        <w:rPr>
          <w:rFonts w:ascii="David" w:hAnsi="David" w:hint="cs"/>
          <w:sz w:val="24"/>
          <w:rtl/>
        </w:rPr>
        <w:t xml:space="preserve">או חובה לקציבת מזונות, </w:t>
      </w:r>
      <w:r w:rsidR="00C523A6">
        <w:rPr>
          <w:rFonts w:ascii="David" w:hAnsi="David" w:hint="cs"/>
          <w:sz w:val="24"/>
          <w:rtl/>
        </w:rPr>
        <w:t>כך שקיימת אפשרות ש</w:t>
      </w:r>
      <w:r w:rsidR="000F4BB4">
        <w:rPr>
          <w:rFonts w:ascii="David" w:hAnsi="David" w:hint="cs"/>
          <w:sz w:val="24"/>
          <w:rtl/>
        </w:rPr>
        <w:t xml:space="preserve">מרגע מתן צו הכינוס </w:t>
      </w:r>
      <w:r w:rsidR="00C523A6">
        <w:rPr>
          <w:rFonts w:ascii="David" w:hAnsi="David" w:hint="cs"/>
          <w:sz w:val="24"/>
          <w:rtl/>
        </w:rPr>
        <w:t xml:space="preserve">כלל לא </w:t>
      </w:r>
      <w:r w:rsidR="000F4BB4">
        <w:rPr>
          <w:rFonts w:ascii="David" w:hAnsi="David" w:hint="cs"/>
          <w:sz w:val="24"/>
          <w:rtl/>
        </w:rPr>
        <w:t>י</w:t>
      </w:r>
      <w:r w:rsidR="00C523A6">
        <w:rPr>
          <w:rFonts w:ascii="David" w:hAnsi="David" w:hint="cs"/>
          <w:sz w:val="24"/>
          <w:rtl/>
        </w:rPr>
        <w:t>שולמו מזונות לזכאים</w:t>
      </w:r>
      <w:r>
        <w:rPr>
          <w:rFonts w:ascii="David" w:hAnsi="David" w:hint="cs"/>
          <w:sz w:val="24"/>
          <w:rtl/>
        </w:rPr>
        <w:t>.</w:t>
      </w:r>
    </w:p>
    <w:p w:rsidR="00C523A6" w:rsidRDefault="00C523A6" w:rsidP="001A543E">
      <w:pPr>
        <w:pStyle w:val="a4"/>
        <w:numPr>
          <w:ilvl w:val="0"/>
          <w:numId w:val="13"/>
        </w:numPr>
        <w:jc w:val="both"/>
        <w:rPr>
          <w:rFonts w:ascii="David" w:hAnsi="David"/>
          <w:sz w:val="24"/>
        </w:rPr>
      </w:pPr>
      <w:r>
        <w:rPr>
          <w:rFonts w:ascii="David" w:hAnsi="David" w:hint="cs"/>
          <w:sz w:val="24"/>
          <w:rtl/>
        </w:rPr>
        <w:t xml:space="preserve">כדי שבית המשפט יוכל לקצוב המזונות נדרשים לו מסמכים ונתונים שאין בחזקתו. </w:t>
      </w:r>
      <w:r w:rsidRPr="00251E4A">
        <w:rPr>
          <w:rFonts w:ascii="David" w:hAnsi="David" w:hint="cs"/>
          <w:b/>
          <w:bCs/>
          <w:sz w:val="24"/>
          <w:rtl/>
        </w:rPr>
        <w:t>ה</w:t>
      </w:r>
      <w:r w:rsidR="000F4BB4" w:rsidRPr="00251E4A">
        <w:rPr>
          <w:rFonts w:ascii="David" w:hAnsi="David" w:hint="cs"/>
          <w:b/>
          <w:bCs/>
          <w:sz w:val="24"/>
          <w:rtl/>
        </w:rPr>
        <w:t xml:space="preserve">הליך המשפטי </w:t>
      </w:r>
      <w:r w:rsidR="000F4BB4">
        <w:rPr>
          <w:rFonts w:ascii="David" w:hAnsi="David" w:hint="cs"/>
          <w:sz w:val="24"/>
          <w:rtl/>
        </w:rPr>
        <w:t xml:space="preserve">של הקצבת המזונות, בו נדרשים מסמכים ונתונים מן הזכאים </w:t>
      </w:r>
      <w:r w:rsidR="000F4BB4" w:rsidRPr="00251E4A">
        <w:rPr>
          <w:rFonts w:ascii="David" w:hAnsi="David" w:hint="cs"/>
          <w:b/>
          <w:bCs/>
          <w:sz w:val="24"/>
          <w:rtl/>
        </w:rPr>
        <w:t>עלול לארוך זמן</w:t>
      </w:r>
      <w:r w:rsidR="000F4BB4">
        <w:rPr>
          <w:rFonts w:ascii="David" w:hAnsi="David" w:hint="cs"/>
          <w:sz w:val="24"/>
          <w:rtl/>
        </w:rPr>
        <w:t xml:space="preserve"> </w:t>
      </w:r>
      <w:r w:rsidR="000F4BB4" w:rsidRPr="00251E4A">
        <w:rPr>
          <w:rFonts w:ascii="David" w:hAnsi="David" w:hint="cs"/>
          <w:b/>
          <w:bCs/>
          <w:sz w:val="24"/>
          <w:rtl/>
        </w:rPr>
        <w:t>רב.</w:t>
      </w:r>
      <w:r w:rsidR="000F4BB4">
        <w:rPr>
          <w:rFonts w:ascii="David" w:hAnsi="David" w:hint="cs"/>
          <w:sz w:val="24"/>
          <w:rtl/>
        </w:rPr>
        <w:t xml:space="preserve"> זמן שבו </w:t>
      </w:r>
      <w:r>
        <w:rPr>
          <w:rFonts w:ascii="David" w:hAnsi="David" w:hint="cs"/>
          <w:sz w:val="24"/>
          <w:rtl/>
        </w:rPr>
        <w:t>לא משולמים מזונות לזכאים.</w:t>
      </w:r>
    </w:p>
    <w:p w:rsidR="00F919B5" w:rsidRDefault="00F919B5" w:rsidP="001A543E">
      <w:pPr>
        <w:pStyle w:val="a4"/>
        <w:numPr>
          <w:ilvl w:val="0"/>
          <w:numId w:val="13"/>
        </w:numPr>
        <w:jc w:val="both"/>
        <w:rPr>
          <w:rFonts w:ascii="David" w:hAnsi="David"/>
          <w:sz w:val="24"/>
        </w:rPr>
      </w:pPr>
      <w:r w:rsidRPr="00251E4A">
        <w:rPr>
          <w:rFonts w:ascii="David" w:hAnsi="David" w:hint="cs"/>
          <w:b/>
          <w:bCs/>
          <w:sz w:val="24"/>
          <w:rtl/>
        </w:rPr>
        <w:t xml:space="preserve">הסעיף מתנה את קציבת המזונות בהגשת בקשה </w:t>
      </w:r>
      <w:r w:rsidR="000F4BB4" w:rsidRPr="00251E4A">
        <w:rPr>
          <w:rFonts w:ascii="David" w:hAnsi="David" w:hint="cs"/>
          <w:b/>
          <w:bCs/>
          <w:sz w:val="24"/>
          <w:rtl/>
        </w:rPr>
        <w:t>מטעם הזכאים</w:t>
      </w:r>
      <w:r w:rsidR="000F4BB4">
        <w:rPr>
          <w:rFonts w:ascii="David" w:hAnsi="David" w:hint="cs"/>
          <w:sz w:val="24"/>
          <w:rtl/>
        </w:rPr>
        <w:t xml:space="preserve"> (במקרה זה </w:t>
      </w:r>
      <w:r>
        <w:rPr>
          <w:rFonts w:ascii="David" w:hAnsi="David" w:hint="cs"/>
          <w:sz w:val="24"/>
          <w:rtl/>
        </w:rPr>
        <w:t xml:space="preserve">ילדי החייב באמצעות אמם) לבית המשפט. האם והילדים </w:t>
      </w:r>
      <w:r w:rsidR="000F4BB4">
        <w:rPr>
          <w:rFonts w:ascii="David" w:hAnsi="David" w:hint="cs"/>
          <w:sz w:val="24"/>
          <w:rtl/>
        </w:rPr>
        <w:t>לא תמיד</w:t>
      </w:r>
      <w:r>
        <w:rPr>
          <w:rFonts w:ascii="David" w:hAnsi="David" w:hint="cs"/>
          <w:sz w:val="24"/>
          <w:rtl/>
        </w:rPr>
        <w:t xml:space="preserve"> מודעים לכך שהאב פשט רגל ו</w:t>
      </w:r>
      <w:r w:rsidR="000F4BB4">
        <w:rPr>
          <w:rFonts w:ascii="David" w:hAnsi="David" w:hint="cs"/>
          <w:sz w:val="24"/>
          <w:rtl/>
        </w:rPr>
        <w:t xml:space="preserve">לעיתים </w:t>
      </w:r>
      <w:r>
        <w:rPr>
          <w:rFonts w:ascii="David" w:hAnsi="David" w:hint="cs"/>
          <w:sz w:val="24"/>
          <w:rtl/>
        </w:rPr>
        <w:t xml:space="preserve">לומדים על כך רק מעצם הפסקת תשלומי המזונות. כמו כן על מנת להגיש הבקשה נדרשת האם לשכור שירותי עורך דין והדבר כרוך בזמן ובכסף.  </w:t>
      </w:r>
    </w:p>
    <w:p w:rsidR="00F919B5" w:rsidRDefault="000347AF" w:rsidP="001A543E">
      <w:pPr>
        <w:jc w:val="both"/>
        <w:rPr>
          <w:b/>
          <w:bCs/>
          <w:u w:val="single"/>
          <w:rtl/>
        </w:rPr>
      </w:pPr>
      <w:r>
        <w:rPr>
          <w:rFonts w:hint="cs"/>
          <w:b/>
          <w:bCs/>
          <w:u w:val="single"/>
          <w:rtl/>
        </w:rPr>
        <w:t xml:space="preserve">3. </w:t>
      </w:r>
      <w:r w:rsidR="00F919B5">
        <w:rPr>
          <w:rFonts w:hint="cs"/>
          <w:b/>
          <w:bCs/>
          <w:u w:val="single"/>
          <w:rtl/>
        </w:rPr>
        <w:t xml:space="preserve">הצעת חוק חדלות פרעון ושיקום כלכלי, התשע"ו </w:t>
      </w:r>
      <w:r w:rsidR="00F919B5">
        <w:rPr>
          <w:b/>
          <w:bCs/>
          <w:u w:val="single"/>
          <w:rtl/>
        </w:rPr>
        <w:t>–</w:t>
      </w:r>
      <w:r w:rsidR="00F919B5">
        <w:rPr>
          <w:rFonts w:hint="cs"/>
          <w:b/>
          <w:bCs/>
          <w:u w:val="single"/>
          <w:rtl/>
        </w:rPr>
        <w:t xml:space="preserve"> 2016</w:t>
      </w:r>
    </w:p>
    <w:p w:rsidR="00F919B5" w:rsidRDefault="0075080F" w:rsidP="001A543E">
      <w:pPr>
        <w:jc w:val="both"/>
        <w:rPr>
          <w:rtl/>
        </w:rPr>
      </w:pPr>
      <w:r>
        <w:rPr>
          <w:rFonts w:hint="cs"/>
          <w:rtl/>
        </w:rPr>
        <w:t xml:space="preserve">בהצעת </w:t>
      </w:r>
      <w:r w:rsidR="00F919B5" w:rsidRPr="00F919B5">
        <w:rPr>
          <w:rFonts w:hint="cs"/>
          <w:rtl/>
        </w:rPr>
        <w:t>חוק חדלות פרעון כלכלי</w:t>
      </w:r>
      <w:r w:rsidR="00F919B5">
        <w:rPr>
          <w:rFonts w:hint="cs"/>
          <w:rtl/>
        </w:rPr>
        <w:t xml:space="preserve"> ושיקום כלכלי </w:t>
      </w:r>
      <w:r>
        <w:rPr>
          <w:rFonts w:hint="cs"/>
          <w:rtl/>
        </w:rPr>
        <w:t>יש נסיון לשנות מעט א</w:t>
      </w:r>
      <w:r w:rsidR="00F919B5">
        <w:rPr>
          <w:rFonts w:hint="cs"/>
          <w:rtl/>
        </w:rPr>
        <w:t>ת המצב</w:t>
      </w:r>
      <w:r w:rsidR="002305DB">
        <w:rPr>
          <w:rFonts w:hint="cs"/>
          <w:rtl/>
        </w:rPr>
        <w:t xml:space="preserve">. </w:t>
      </w:r>
      <w:r>
        <w:rPr>
          <w:rFonts w:hint="cs"/>
          <w:rtl/>
        </w:rPr>
        <w:t xml:space="preserve"> </w:t>
      </w:r>
    </w:p>
    <w:p w:rsidR="0075080F" w:rsidRDefault="000347AF" w:rsidP="001A543E">
      <w:pPr>
        <w:jc w:val="both"/>
        <w:rPr>
          <w:rtl/>
        </w:rPr>
      </w:pPr>
      <w:r>
        <w:rPr>
          <w:noProof/>
        </w:rPr>
        <mc:AlternateContent>
          <mc:Choice Requires="wps">
            <w:drawing>
              <wp:anchor distT="91440" distB="91440" distL="114300" distR="114300" simplePos="0" relativeHeight="251661312" behindDoc="0" locked="0" layoutInCell="1" allowOverlap="1">
                <wp:simplePos x="0" y="0"/>
                <wp:positionH relativeFrom="page">
                  <wp:posOffset>1590675</wp:posOffset>
                </wp:positionH>
                <wp:positionV relativeFrom="paragraph">
                  <wp:posOffset>358140</wp:posOffset>
                </wp:positionV>
                <wp:extent cx="4591050" cy="1314450"/>
                <wp:effectExtent l="0" t="0" r="0" b="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1314450"/>
                        </a:xfrm>
                        <a:prstGeom prst="rect">
                          <a:avLst/>
                        </a:prstGeom>
                        <a:noFill/>
                        <a:ln w="9525">
                          <a:noFill/>
                          <a:miter lim="800000"/>
                          <a:headEnd/>
                          <a:tailEnd/>
                        </a:ln>
                      </wps:spPr>
                      <wps:txbx>
                        <w:txbxContent>
                          <w:p w:rsidR="000347AF" w:rsidRPr="000F4BB4" w:rsidRDefault="000347AF" w:rsidP="009B7B6F">
                            <w:pPr>
                              <w:jc w:val="both"/>
                              <w:rPr>
                                <w:rFonts w:ascii="FrankRuehl" w:hAnsi="FrankRuehl" w:cs="FrankRuehl"/>
                                <w:i/>
                                <w:iCs/>
                                <w:sz w:val="26"/>
                                <w:szCs w:val="26"/>
                                <w:rtl/>
                              </w:rPr>
                            </w:pPr>
                            <w:r w:rsidRPr="000F4BB4">
                              <w:rPr>
                                <w:rFonts w:ascii="FrankRuehl" w:hAnsi="FrankRuehl" w:cs="FrankRuehl" w:hint="cs"/>
                                <w:i/>
                                <w:iCs/>
                                <w:sz w:val="26"/>
                                <w:szCs w:val="26"/>
                                <w:rtl/>
                              </w:rPr>
                              <w:t>"היה</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ליחיד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חוב</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מזונות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שהוא</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חייב</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בו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על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פי</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פסק</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דין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ושזמן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פירעונו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חל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לאחר</w:t>
                            </w:r>
                            <w:r w:rsidR="009B7B6F">
                              <w:rPr>
                                <w:rFonts w:ascii="FrankRuehl" w:hAnsi="FrankRuehl" w:cs="FrankRuehl" w:hint="cs"/>
                                <w:i/>
                                <w:iCs/>
                                <w:sz w:val="26"/>
                                <w:szCs w:val="26"/>
                                <w:rtl/>
                              </w:rPr>
                              <w:t xml:space="preserve"> </w:t>
                            </w:r>
                            <w:r w:rsidRPr="000F4BB4">
                              <w:rPr>
                                <w:rFonts w:ascii="FrankRuehl" w:hAnsi="FrankRuehl" w:cs="FrankRuehl" w:hint="cs"/>
                                <w:i/>
                                <w:iCs/>
                                <w:sz w:val="26"/>
                                <w:szCs w:val="26"/>
                                <w:rtl/>
                              </w:rPr>
                              <w:t>מתן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צו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לפתיחת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הליכים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יקציב</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בית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המשפט</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לאדם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הזכאי</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למזונות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סכום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שישולם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מעת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לעת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מהשתכרותו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של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היחיד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מעבודה</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או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מכל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מקור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אחר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או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מתוך</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נכסי</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קופת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הנשייה</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עד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לסיום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תקופת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התשלומים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ואם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ניתן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הפטר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לאלתר</w:t>
                            </w:r>
                            <w:r w:rsidRPr="000F4BB4">
                              <w:rPr>
                                <w:rFonts w:ascii="FrankRuehl" w:hAnsi="FrankRuehl" w:cs="FrankRuehl"/>
                                <w:i/>
                                <w:iCs/>
                                <w:sz w:val="26"/>
                                <w:szCs w:val="26"/>
                                <w:rtl/>
                              </w:rPr>
                              <w:t xml:space="preserve"> - </w:t>
                            </w:r>
                            <w:r w:rsidRPr="000F4BB4">
                              <w:rPr>
                                <w:rFonts w:ascii="FrankRuehl" w:hAnsi="FrankRuehl" w:cs="FrankRuehl" w:hint="cs"/>
                                <w:i/>
                                <w:iCs/>
                                <w:sz w:val="26"/>
                                <w:szCs w:val="26"/>
                                <w:rtl/>
                              </w:rPr>
                              <w:t>עד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למועד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מתן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ההפטר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בצו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לשיקום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כלכלי."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25.25pt;margin-top:28.2pt;width:361.5pt;height:103.5pt;z-index:25166131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" filled="f" stroked="f">
                <v:textbox>
                  <w:txbxContent>
                    <w:p w:rsidR="000347AF" w:rsidRPr="000F4BB4" w:rsidRDefault="000347AF" w:rsidP="009B7B6F">
                      <w:pPr>
                        <w:jc w:val="both"/>
                        <w:rPr>
                          <w:rFonts w:ascii="FrankRuehl" w:hAnsi="FrankRuehl" w:cs="FrankRuehl"/>
                          <w:i/>
                          <w:iCs/>
                          <w:sz w:val="26"/>
                          <w:szCs w:val="26"/>
                          <w:rtl/>
                        </w:rPr>
                      </w:pPr>
                      <w:r w:rsidRPr="000F4BB4">
                        <w:rPr>
                          <w:rFonts w:ascii="FrankRuehl" w:hAnsi="FrankRuehl" w:cs="FrankRuehl" w:hint="cs"/>
                          <w:i/>
                          <w:iCs/>
                          <w:sz w:val="26"/>
                          <w:szCs w:val="26"/>
                          <w:rtl/>
                        </w:rPr>
                        <w:t>"היה</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ליחיד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חוב</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מזונות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שהוא</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חייב</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בו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על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פי</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פסק</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דין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ושזמן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פירעונו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חל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לאחר</w:t>
                      </w:r>
                      <w:r w:rsidR="009B7B6F">
                        <w:rPr>
                          <w:rFonts w:ascii="FrankRuehl" w:hAnsi="FrankRuehl" w:cs="FrankRuehl" w:hint="cs"/>
                          <w:i/>
                          <w:iCs/>
                          <w:sz w:val="26"/>
                          <w:szCs w:val="26"/>
                          <w:rtl/>
                        </w:rPr>
                        <w:t xml:space="preserve"> </w:t>
                      </w:r>
                      <w:r w:rsidRPr="000F4BB4">
                        <w:rPr>
                          <w:rFonts w:ascii="FrankRuehl" w:hAnsi="FrankRuehl" w:cs="FrankRuehl" w:hint="cs"/>
                          <w:i/>
                          <w:iCs/>
                          <w:sz w:val="26"/>
                          <w:szCs w:val="26"/>
                          <w:rtl/>
                        </w:rPr>
                        <w:t>מתן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צו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לפתיחת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הליכים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יקציב</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בית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המשפט</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לאדם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הזכאי</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למזונות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סכום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שישולם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מעת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לעת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מהשתכרותו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של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היחיד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מעבודה</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או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מכל</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מקור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אחר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או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מתוך</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נכסי</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קופת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הנשייה</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עד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לסיום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תקופת</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התשלומים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ואם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ניתן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הפטר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לאלתר</w:t>
                      </w:r>
                      <w:r w:rsidRPr="000F4BB4">
                        <w:rPr>
                          <w:rFonts w:ascii="FrankRuehl" w:hAnsi="FrankRuehl" w:cs="FrankRuehl"/>
                          <w:i/>
                          <w:iCs/>
                          <w:sz w:val="26"/>
                          <w:szCs w:val="26"/>
                          <w:rtl/>
                        </w:rPr>
                        <w:t xml:space="preserve"> - </w:t>
                      </w:r>
                      <w:r w:rsidRPr="000F4BB4">
                        <w:rPr>
                          <w:rFonts w:ascii="FrankRuehl" w:hAnsi="FrankRuehl" w:cs="FrankRuehl" w:hint="cs"/>
                          <w:i/>
                          <w:iCs/>
                          <w:sz w:val="26"/>
                          <w:szCs w:val="26"/>
                          <w:rtl/>
                        </w:rPr>
                        <w:t>עד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למועד</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מתן</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ההפטר</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בצו</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לשיקום</w:t>
                      </w:r>
                      <w:r w:rsidRPr="000F4BB4">
                        <w:rPr>
                          <w:rFonts w:ascii="FrankRuehl" w:hAnsi="FrankRuehl" w:cs="FrankRuehl"/>
                          <w:i/>
                          <w:iCs/>
                          <w:sz w:val="26"/>
                          <w:szCs w:val="26"/>
                          <w:rtl/>
                        </w:rPr>
                        <w:t xml:space="preserve"> </w:t>
                      </w:r>
                      <w:r w:rsidRPr="000F4BB4">
                        <w:rPr>
                          <w:rFonts w:ascii="FrankRuehl" w:hAnsi="FrankRuehl" w:cs="FrankRuehl" w:hint="cs"/>
                          <w:i/>
                          <w:iCs/>
                          <w:sz w:val="26"/>
                          <w:szCs w:val="26"/>
                          <w:rtl/>
                        </w:rPr>
                        <w:t>כלכלי."</w:t>
                      </w:r>
                    </w:p>
                  </w:txbxContent>
                </v:textbox>
                <w10:wrap type="topAndBottom" anchorx="page"/>
              </v:shape>
            </w:pict>
          </mc:Fallback>
        </mc:AlternateContent>
      </w:r>
      <w:r w:rsidR="0075080F">
        <w:rPr>
          <w:rFonts w:hint="cs"/>
          <w:rtl/>
        </w:rPr>
        <w:t>סעיף 179 (א) ל</w:t>
      </w:r>
      <w:r w:rsidR="000F4BB4">
        <w:rPr>
          <w:rFonts w:hint="cs"/>
          <w:rtl/>
        </w:rPr>
        <w:t xml:space="preserve">הצעת החוק </w:t>
      </w:r>
      <w:r w:rsidR="0075080F">
        <w:rPr>
          <w:rFonts w:hint="cs"/>
          <w:rtl/>
        </w:rPr>
        <w:t>מחליף את סעיף 128 (א) לפקודת פשיטת הרגל וקובע כדלקמן:</w:t>
      </w:r>
    </w:p>
    <w:p w:rsidR="0075080F" w:rsidRDefault="0075080F" w:rsidP="001A543E">
      <w:pPr>
        <w:jc w:val="both"/>
        <w:rPr>
          <w:rtl/>
        </w:rPr>
      </w:pPr>
      <w:r>
        <w:rPr>
          <w:rFonts w:hint="cs"/>
          <w:rtl/>
        </w:rPr>
        <w:t xml:space="preserve">השינוי שעושה החוק </w:t>
      </w:r>
      <w:r w:rsidR="00B309A4">
        <w:rPr>
          <w:rFonts w:hint="cs"/>
          <w:rtl/>
        </w:rPr>
        <w:t xml:space="preserve">החדש </w:t>
      </w:r>
      <w:r>
        <w:rPr>
          <w:rFonts w:hint="cs"/>
          <w:rtl/>
        </w:rPr>
        <w:t>הוא בכך שבעוד שעל פי פקודת פשיטת הרגל</w:t>
      </w:r>
      <w:r w:rsidR="000F4BB4">
        <w:rPr>
          <w:rFonts w:hint="cs"/>
          <w:rtl/>
        </w:rPr>
        <w:t>,</w:t>
      </w:r>
      <w:r>
        <w:rPr>
          <w:rFonts w:hint="cs"/>
          <w:rtl/>
        </w:rPr>
        <w:t xml:space="preserve"> </w:t>
      </w:r>
      <w:r w:rsidR="000F4BB4">
        <w:rPr>
          <w:rFonts w:hint="cs"/>
          <w:rtl/>
        </w:rPr>
        <w:t>הקצבת</w:t>
      </w:r>
      <w:r>
        <w:rPr>
          <w:rFonts w:hint="cs"/>
          <w:rtl/>
        </w:rPr>
        <w:t xml:space="preserve"> דמי המזונות </w:t>
      </w:r>
      <w:r w:rsidR="000F4BB4">
        <w:rPr>
          <w:rFonts w:hint="cs"/>
          <w:rtl/>
        </w:rPr>
        <w:t xml:space="preserve">לזכאי </w:t>
      </w:r>
      <w:r>
        <w:rPr>
          <w:rFonts w:hint="cs"/>
          <w:rtl/>
        </w:rPr>
        <w:t xml:space="preserve">היתה רשות הנתונה לבית המשפט ("רשאי בית המשפט") אשר כפופה להגשת בקשה מטעם הזכאי ("לפי בקשתו של אדם ..."), החוק החדש מורה לבית המשפט לקצוב את סכום המזונות </w:t>
      </w:r>
      <w:r w:rsidR="000F4BB4">
        <w:rPr>
          <w:rFonts w:hint="cs"/>
          <w:rtl/>
        </w:rPr>
        <w:t xml:space="preserve">לזכאי </w:t>
      </w:r>
      <w:r>
        <w:rPr>
          <w:rFonts w:hint="cs"/>
          <w:rtl/>
        </w:rPr>
        <w:t>("יקציב בית המשפט").</w:t>
      </w:r>
    </w:p>
    <w:p w:rsidR="009B7B6F" w:rsidRDefault="0075080F" w:rsidP="001A543E">
      <w:pPr>
        <w:jc w:val="both"/>
        <w:rPr>
          <w:rtl/>
        </w:rPr>
      </w:pPr>
      <w:r>
        <w:rPr>
          <w:rFonts w:hint="cs"/>
          <w:rtl/>
        </w:rPr>
        <w:t xml:space="preserve">החוק החדש </w:t>
      </w:r>
      <w:r w:rsidR="00117D37">
        <w:rPr>
          <w:rFonts w:hint="cs"/>
          <w:rtl/>
        </w:rPr>
        <w:t>אמנם פו</w:t>
      </w:r>
      <w:r w:rsidR="000F4BB4">
        <w:rPr>
          <w:rFonts w:hint="cs"/>
          <w:rtl/>
        </w:rPr>
        <w:t>ט</w:t>
      </w:r>
      <w:r w:rsidR="00117D37">
        <w:rPr>
          <w:rFonts w:hint="cs"/>
          <w:rtl/>
        </w:rPr>
        <w:t>ר את ה</w:t>
      </w:r>
      <w:r w:rsidR="000F4BB4">
        <w:rPr>
          <w:rFonts w:hint="cs"/>
          <w:rtl/>
        </w:rPr>
        <w:t xml:space="preserve">זכאי מהגשת בקשה, דבר שמוריד נטל גדול מהזכאי, </w:t>
      </w:r>
      <w:r w:rsidR="00117D37">
        <w:rPr>
          <w:rFonts w:hint="cs"/>
          <w:rtl/>
        </w:rPr>
        <w:t xml:space="preserve">אולם </w:t>
      </w:r>
      <w:r>
        <w:rPr>
          <w:rFonts w:hint="cs"/>
          <w:rtl/>
        </w:rPr>
        <w:t xml:space="preserve">אינו פותר את הבעיות </w:t>
      </w:r>
      <w:r w:rsidR="00117D37">
        <w:rPr>
          <w:rFonts w:hint="cs"/>
          <w:rtl/>
        </w:rPr>
        <w:t xml:space="preserve">הנוספות </w:t>
      </w:r>
      <w:r>
        <w:rPr>
          <w:rFonts w:hint="cs"/>
          <w:rtl/>
        </w:rPr>
        <w:t>שהצבענו עליהן קודם</w:t>
      </w:r>
      <w:r w:rsidR="00B309A4">
        <w:rPr>
          <w:rFonts w:hint="cs"/>
          <w:rtl/>
        </w:rPr>
        <w:t xml:space="preserve"> (הפחתת סכום המזונות, העדר כלים מתאימים כדי להכריע בשאלה, הליך ארוך שבמהלכו אין תשלומי מזונות, אין מועד ספציפי לקציבת ה</w:t>
      </w:r>
      <w:r w:rsidR="009B7B6F">
        <w:rPr>
          <w:rFonts w:hint="cs"/>
          <w:rtl/>
        </w:rPr>
        <w:t>סכום</w:t>
      </w:r>
      <w:r w:rsidR="00B309A4">
        <w:rPr>
          <w:rFonts w:hint="cs"/>
          <w:rtl/>
        </w:rPr>
        <w:t>).</w:t>
      </w:r>
    </w:p>
    <w:p w:rsidR="008D0FE6" w:rsidRPr="008D0FE6" w:rsidRDefault="00FA25DF" w:rsidP="001A543E">
      <w:pPr>
        <w:jc w:val="both"/>
        <w:rPr>
          <w:b/>
          <w:bCs/>
          <w:u w:val="single"/>
          <w:rtl/>
        </w:rPr>
      </w:pPr>
      <w:r>
        <w:rPr>
          <w:rtl/>
        </w:rPr>
        <w:lastRenderedPageBreak/>
        <w:br/>
      </w:r>
      <w:r w:rsidR="000347AF">
        <w:rPr>
          <w:rFonts w:hint="cs"/>
          <w:b/>
          <w:bCs/>
          <w:u w:val="single"/>
          <w:rtl/>
        </w:rPr>
        <w:t xml:space="preserve">4. </w:t>
      </w:r>
      <w:r w:rsidR="00B309A4">
        <w:rPr>
          <w:rFonts w:hint="cs"/>
          <w:b/>
          <w:bCs/>
          <w:u w:val="single"/>
          <w:rtl/>
        </w:rPr>
        <w:t xml:space="preserve">ההצעה של </w:t>
      </w:r>
      <w:r w:rsidR="008D0FE6" w:rsidRPr="008D0FE6">
        <w:rPr>
          <w:rFonts w:hint="cs"/>
          <w:b/>
          <w:bCs/>
          <w:u w:val="single"/>
          <w:rtl/>
        </w:rPr>
        <w:t>ועדת חריס</w:t>
      </w:r>
      <w:r w:rsidR="00B309A4">
        <w:rPr>
          <w:rFonts w:hint="cs"/>
          <w:b/>
          <w:bCs/>
          <w:u w:val="single"/>
          <w:rtl/>
        </w:rPr>
        <w:t xml:space="preserve"> לתיקון המצב</w:t>
      </w:r>
    </w:p>
    <w:p w:rsidR="00251E4A" w:rsidRDefault="008D0FE6" w:rsidP="001A543E">
      <w:pPr>
        <w:jc w:val="both"/>
        <w:rPr>
          <w:rtl/>
        </w:rPr>
      </w:pPr>
      <w:r>
        <w:rPr>
          <w:rFonts w:hint="cs"/>
          <w:rtl/>
        </w:rPr>
        <w:t xml:space="preserve">הועדה לבחינת תכנית הפירעון בהליך פשיטת הרגל ("ועדת חריס"), </w:t>
      </w:r>
      <w:r w:rsidR="00251E4A">
        <w:rPr>
          <w:rFonts w:hint="cs"/>
          <w:rtl/>
        </w:rPr>
        <w:t>אשר בחנה את הצעת חוק חדלות פרעון ושיקום כלכלי, נתנה דעתה לכך ש</w:t>
      </w:r>
      <w:r w:rsidR="001D0EFF">
        <w:rPr>
          <w:rFonts w:hint="cs"/>
          <w:rtl/>
        </w:rPr>
        <w:t xml:space="preserve">קיימת בעייתיות בעניין תשלומי מזונות </w:t>
      </w:r>
      <w:r w:rsidR="00251E4A">
        <w:rPr>
          <w:rFonts w:hint="cs"/>
          <w:rtl/>
        </w:rPr>
        <w:t>לילדי החייב שאינם מתגוררים עמו</w:t>
      </w:r>
      <w:r w:rsidR="001D0EFF">
        <w:rPr>
          <w:rFonts w:hint="cs"/>
          <w:rtl/>
        </w:rPr>
        <w:t>, במהלך תקופת הביניים,</w:t>
      </w:r>
      <w:r w:rsidR="00251E4A">
        <w:rPr>
          <w:rFonts w:hint="cs"/>
          <w:rtl/>
        </w:rPr>
        <w:t xml:space="preserve"> ולפיכך הציעה תיקון בהצעת החוק:</w:t>
      </w:r>
    </w:p>
    <w:p w:rsidR="008D0FE6" w:rsidRDefault="008D0FE6" w:rsidP="001A543E">
      <w:pPr>
        <w:jc w:val="both"/>
        <w:rPr>
          <w:rFonts w:ascii="David" w:hAnsi="David"/>
          <w:sz w:val="24"/>
          <w:rtl/>
        </w:rPr>
      </w:pPr>
      <w:r>
        <w:rPr>
          <w:rFonts w:hint="cs"/>
          <w:rtl/>
        </w:rPr>
        <w:t xml:space="preserve">סעיף 156 להצעת החוק קובע כי עם מתן הצו לפתיחת הליכים או בהקדם האפשרי לאחר מכן, יקבע הממונה (הכונס הרשמי) 'דמי מחיה' כהגדרתם בסעיף 162(א) שיוקצו ליחיד במהלך תקופת הביניים. סעיף 162(א) להצעת החוק קובע כי דמי המחיה הינם "הסכום הדרוש ליחיד לצורך מחיה בכבוד, שלו ושל התלויים בו, המחושב על בסיס כלכלי המחיה בכבוד ובהתאם לנסיבותיו האישיות של היחיד". בדו"ח שהגישה הועדה לכונס הרשמי ביום 8.11.2015, הציעה הועדה לתקן את הסעיף הדן בתשלום דמי המחיה לחייב בתקופת הביניים, באופן שהסכום שיוקצה ליחיד במהלך תקופת הביניים, על ידי הממונה, יכלול לא רק את צרכי התלויים ביחיד אלא גם את צרכי מחייתם של </w:t>
      </w:r>
      <w:r w:rsidRPr="00FE0356">
        <w:rPr>
          <w:rFonts w:hint="cs"/>
          <w:u w:val="single"/>
          <w:rtl/>
        </w:rPr>
        <w:t>התלויים ביחיד שאינם מתגוררים עמו</w:t>
      </w:r>
      <w:r>
        <w:rPr>
          <w:rFonts w:hint="cs"/>
          <w:rtl/>
        </w:rPr>
        <w:t xml:space="preserve">. (סעיף 117 לדו"ח הועדה). </w:t>
      </w:r>
      <w:r>
        <w:rPr>
          <w:rFonts w:ascii="David" w:hAnsi="David" w:hint="cs"/>
          <w:sz w:val="24"/>
          <w:rtl/>
        </w:rPr>
        <w:t xml:space="preserve">למרות שבהצעת הועדה יש הכרה בכך שיש להתחשב בתלויים ביחיד שאינם מתגוררים עמו במהלך תקופת הביניים, אין בהצעת התיקון של הועדה פתרון מספק לבעיה. הקצאת סכום כולל לחייב ולתלויים שאינם מתגוררים עמו, אינה מבטיחה כי החייב יעביר בפועל את הכספים שהוקצבו לתלויים אלה, במיוחד לאור מצוקתו הכלכלית. בנוסף, אין להותיר את הקצבת הסכום שיש להעביר לתלויים שאינם מתגוררים עם היחיד לשיקול דעתה של רשות מנהלית (הממונה) כאשר קיים פסק דין למזונות אשר ניתן על ידי רשות שיפוטית.  קביעת סכום מזונות הינה החלטה שיפוטית לכל עניין ודבר שאין להפקידה בידי רשות מנהלית, במיוחד כאשר רשות שיפוטית דנה בשאלה והכריעה בה. ודוק. החוק מספק </w:t>
      </w:r>
      <w:r w:rsidRPr="00B84780">
        <w:rPr>
          <w:rFonts w:ascii="David" w:hAnsi="David" w:hint="cs"/>
          <w:b/>
          <w:bCs/>
          <w:sz w:val="24"/>
          <w:rtl/>
        </w:rPr>
        <w:t>מנגנון שיפוטי</w:t>
      </w:r>
      <w:r>
        <w:rPr>
          <w:rFonts w:ascii="David" w:hAnsi="David" w:hint="cs"/>
          <w:sz w:val="24"/>
          <w:rtl/>
        </w:rPr>
        <w:t xml:space="preserve"> להקצבת דמי מזונות לזכאי, עם מתן הצו לפתיחת הליכים, בסעיף 179 להצעת החוק, כאמור לעיל. </w:t>
      </w:r>
    </w:p>
    <w:p w:rsidR="008D0FE6" w:rsidRDefault="008D0FE6" w:rsidP="001A543E">
      <w:pPr>
        <w:jc w:val="both"/>
        <w:rPr>
          <w:rFonts w:ascii="David" w:hAnsi="David"/>
          <w:sz w:val="24"/>
          <w:rtl/>
        </w:rPr>
      </w:pPr>
      <w:r>
        <w:rPr>
          <w:rFonts w:ascii="David" w:hAnsi="David" w:hint="cs"/>
          <w:sz w:val="24"/>
          <w:rtl/>
        </w:rPr>
        <w:t>הצעת הועדה לא נכנסה להצעת החוק.</w:t>
      </w:r>
    </w:p>
    <w:p w:rsidR="000F4BB4" w:rsidRPr="000F4BB4" w:rsidRDefault="000347AF" w:rsidP="001A543E">
      <w:pPr>
        <w:jc w:val="both"/>
        <w:rPr>
          <w:b/>
          <w:bCs/>
          <w:u w:val="single"/>
          <w:rtl/>
        </w:rPr>
      </w:pPr>
      <w:r>
        <w:rPr>
          <w:rFonts w:hint="cs"/>
          <w:b/>
          <w:bCs/>
          <w:u w:val="single"/>
          <w:rtl/>
        </w:rPr>
        <w:t xml:space="preserve">5. </w:t>
      </w:r>
      <w:r w:rsidR="001D0EFF">
        <w:rPr>
          <w:rFonts w:hint="cs"/>
          <w:b/>
          <w:bCs/>
          <w:u w:val="single"/>
          <w:rtl/>
        </w:rPr>
        <w:t>הצעות לפתרון</w:t>
      </w:r>
      <w:r w:rsidR="00B309A4">
        <w:rPr>
          <w:rFonts w:hint="cs"/>
          <w:b/>
          <w:bCs/>
          <w:u w:val="single"/>
          <w:rtl/>
        </w:rPr>
        <w:t xml:space="preserve"> </w:t>
      </w:r>
      <w:r w:rsidR="00B41066">
        <w:rPr>
          <w:rFonts w:hint="cs"/>
          <w:b/>
          <w:bCs/>
          <w:u w:val="single"/>
          <w:rtl/>
        </w:rPr>
        <w:t xml:space="preserve">הסוגיה </w:t>
      </w:r>
      <w:r w:rsidR="00B309A4">
        <w:rPr>
          <w:rFonts w:hint="cs"/>
          <w:b/>
          <w:bCs/>
          <w:u w:val="single"/>
          <w:rtl/>
        </w:rPr>
        <w:t>מטעם מרכז רקמן</w:t>
      </w:r>
      <w:r w:rsidR="001D0EFF">
        <w:rPr>
          <w:rFonts w:hint="cs"/>
          <w:b/>
          <w:bCs/>
          <w:u w:val="single"/>
          <w:rtl/>
        </w:rPr>
        <w:t>:</w:t>
      </w:r>
    </w:p>
    <w:p w:rsidR="00395A81" w:rsidRPr="000F4BB4" w:rsidRDefault="000347AF" w:rsidP="001A543E">
      <w:pPr>
        <w:jc w:val="both"/>
        <w:rPr>
          <w:b/>
          <w:bCs/>
          <w:u w:val="single"/>
          <w:rtl/>
        </w:rPr>
      </w:pPr>
      <w:r w:rsidRPr="00FA25DF">
        <w:rPr>
          <w:rFonts w:hint="cs"/>
          <w:b/>
          <w:bCs/>
          <w:u w:val="single"/>
          <w:rtl/>
        </w:rPr>
        <w:t>(א)</w:t>
      </w:r>
      <w:r w:rsidR="00FA25DF">
        <w:rPr>
          <w:rFonts w:hint="cs"/>
          <w:b/>
          <w:bCs/>
          <w:u w:val="single"/>
          <w:rtl/>
        </w:rPr>
        <w:t xml:space="preserve"> </w:t>
      </w:r>
      <w:r>
        <w:rPr>
          <w:rFonts w:hint="cs"/>
          <w:b/>
          <w:bCs/>
          <w:u w:val="single"/>
          <w:rtl/>
        </w:rPr>
        <w:t>המשך תשלו</w:t>
      </w:r>
      <w:r w:rsidR="00B41066">
        <w:rPr>
          <w:rFonts w:hint="cs"/>
          <w:b/>
          <w:bCs/>
          <w:u w:val="single"/>
          <w:rtl/>
        </w:rPr>
        <w:t>ם</w:t>
      </w:r>
      <w:r>
        <w:rPr>
          <w:rFonts w:hint="cs"/>
          <w:b/>
          <w:bCs/>
          <w:u w:val="single"/>
          <w:rtl/>
        </w:rPr>
        <w:t xml:space="preserve"> </w:t>
      </w:r>
      <w:r w:rsidR="00B41066">
        <w:rPr>
          <w:rFonts w:hint="cs"/>
          <w:b/>
          <w:bCs/>
          <w:u w:val="single"/>
          <w:rtl/>
        </w:rPr>
        <w:t xml:space="preserve">חוב </w:t>
      </w:r>
      <w:r>
        <w:rPr>
          <w:rFonts w:hint="cs"/>
          <w:b/>
          <w:bCs/>
          <w:u w:val="single"/>
          <w:rtl/>
        </w:rPr>
        <w:t>המזונות באמצעות הנאמן</w:t>
      </w:r>
      <w:r w:rsidR="000F4BB4" w:rsidRPr="000F4BB4">
        <w:rPr>
          <w:rFonts w:hint="cs"/>
          <w:b/>
          <w:bCs/>
          <w:u w:val="single"/>
          <w:rtl/>
        </w:rPr>
        <w:t>:</w:t>
      </w:r>
    </w:p>
    <w:p w:rsidR="008D0FE6" w:rsidRDefault="008D0FE6" w:rsidP="001A543E">
      <w:pPr>
        <w:jc w:val="both"/>
        <w:rPr>
          <w:rtl/>
        </w:rPr>
      </w:pPr>
      <w:r>
        <w:rPr>
          <w:rFonts w:ascii="David" w:hAnsi="David" w:hint="cs"/>
          <w:sz w:val="24"/>
          <w:rtl/>
        </w:rPr>
        <w:t xml:space="preserve">מוצע לתקן את סעיף 156 להצעת החוק באופן שבו </w:t>
      </w:r>
      <w:r w:rsidRPr="00B9706E">
        <w:rPr>
          <w:rFonts w:ascii="David" w:hAnsi="David" w:hint="cs"/>
          <w:b/>
          <w:bCs/>
          <w:sz w:val="24"/>
          <w:rtl/>
        </w:rPr>
        <w:t>במהלך תקופת הביניים</w:t>
      </w:r>
      <w:r>
        <w:rPr>
          <w:rFonts w:ascii="David" w:hAnsi="David" w:hint="cs"/>
          <w:sz w:val="24"/>
          <w:rtl/>
        </w:rPr>
        <w:t xml:space="preserve">, וככל שיש פסק דין למזונות כנגד היחיד, ימשכו תשלומי המזונות כסדרם, וביצוע התשלום יעשה על ידי הנאמן שמונה ליחיד. </w:t>
      </w:r>
      <w:r>
        <w:rPr>
          <w:rFonts w:hint="cs"/>
          <w:rtl/>
        </w:rPr>
        <w:t xml:space="preserve">הנאמן יעביר את חוב המזונות לזכאים למזונות מדי חודש בחודשו, מתוך השתכרותו של היחיד מעבודה או מכל מקור אחר, וזאת - עד שבית המשפט יתן החלטה אחרת בעניין. תיקון זה יביא לכך שהתלויים ביחיד שאינם מתגוררים עמו ימשיכו לקבל את מזונותיהם כסדרם ולא יפגעו מהליכי חדלות הפרעון. </w:t>
      </w:r>
      <w:r w:rsidR="000347AF">
        <w:rPr>
          <w:rFonts w:hint="cs"/>
          <w:rtl/>
        </w:rPr>
        <w:t xml:space="preserve">גם אם יחליט בית המשפט לקצוב להם סכומים מתוך הכנסות החייב, אזי הליך קציבת סכומים אלה לא יעכב את תשלום המזונות. </w:t>
      </w:r>
      <w:r>
        <w:rPr>
          <w:rFonts w:hint="cs"/>
          <w:rtl/>
        </w:rPr>
        <w:t>כמו כן העברת הסמכות לתשלום הכספים לנאמן</w:t>
      </w:r>
      <w:r w:rsidR="000347AF">
        <w:rPr>
          <w:rFonts w:hint="cs"/>
          <w:rtl/>
        </w:rPr>
        <w:t xml:space="preserve"> (להבדיל מהחייב עצמו)</w:t>
      </w:r>
      <w:r>
        <w:rPr>
          <w:rFonts w:hint="cs"/>
          <w:rtl/>
        </w:rPr>
        <w:t xml:space="preserve">, תבטיח כי הכספים יגיעו ליעדם. ויודגש </w:t>
      </w:r>
      <w:r w:rsidRPr="00D22DE0">
        <w:rPr>
          <w:rtl/>
        </w:rPr>
        <w:t>–</w:t>
      </w:r>
      <w:r w:rsidRPr="00D22DE0">
        <w:rPr>
          <w:rFonts w:hint="cs"/>
          <w:rtl/>
        </w:rPr>
        <w:t xml:space="preserve"> עסקינן בתקופת הבינים בלבד.</w:t>
      </w:r>
      <w:r>
        <w:rPr>
          <w:rFonts w:hint="cs"/>
          <w:rtl/>
        </w:rPr>
        <w:t xml:space="preserve"> ככל שידרשו התאמות של סכומי המזונות לתלויים, בשל קיומם של נושים נוספים או מכל סיבה אחרת שהיא, הד</w:t>
      </w:r>
      <w:r w:rsidR="002150DB">
        <w:rPr>
          <w:rFonts w:hint="cs"/>
          <w:rtl/>
        </w:rPr>
        <w:t xml:space="preserve">בר יעשה </w:t>
      </w:r>
      <w:r>
        <w:rPr>
          <w:rFonts w:hint="cs"/>
          <w:rtl/>
        </w:rPr>
        <w:t xml:space="preserve">באמצעות סעיף 179 להצעת החוק. </w:t>
      </w:r>
    </w:p>
    <w:p w:rsidR="008D0FE6" w:rsidRPr="000347AF" w:rsidRDefault="002150DB" w:rsidP="001A543E">
      <w:pPr>
        <w:jc w:val="both"/>
        <w:rPr>
          <w:u w:val="single"/>
          <w:rtl/>
        </w:rPr>
      </w:pPr>
      <w:r w:rsidRPr="000347AF">
        <w:rPr>
          <w:rFonts w:hint="cs"/>
          <w:u w:val="single"/>
          <w:rtl/>
        </w:rPr>
        <w:lastRenderedPageBreak/>
        <w:t>נוסח</w:t>
      </w:r>
      <w:r w:rsidR="008D0FE6" w:rsidRPr="000347AF">
        <w:rPr>
          <w:rFonts w:hint="cs"/>
          <w:u w:val="single"/>
          <w:rtl/>
        </w:rPr>
        <w:t xml:space="preserve"> ההצעה: </w:t>
      </w:r>
    </w:p>
    <w:p w:rsidR="00DC1382" w:rsidRDefault="00DC1382" w:rsidP="001A543E">
      <w:pPr>
        <w:jc w:val="both"/>
        <w:rPr>
          <w:rtl/>
        </w:rPr>
      </w:pPr>
      <w:r>
        <w:rPr>
          <w:rFonts w:hint="cs"/>
          <w:rtl/>
        </w:rPr>
        <w:t>יתווסף סעיף 156(ו) כדלקמן:</w:t>
      </w:r>
    </w:p>
    <w:p w:rsidR="00DC1382" w:rsidRDefault="00DC1382" w:rsidP="001A543E">
      <w:pPr>
        <w:jc w:val="both"/>
        <w:rPr>
          <w:rtl/>
        </w:rPr>
      </w:pPr>
      <w:r>
        <w:rPr>
          <w:rFonts w:hint="cs"/>
          <w:rtl/>
        </w:rPr>
        <w:t xml:space="preserve">(ו) </w:t>
      </w:r>
      <w:r w:rsidR="009F3D86">
        <w:rPr>
          <w:rFonts w:hint="cs"/>
          <w:rtl/>
        </w:rPr>
        <w:t>במהלך תקופת הביניים, וכ</w:t>
      </w:r>
      <w:r>
        <w:rPr>
          <w:rFonts w:hint="cs"/>
          <w:rtl/>
        </w:rPr>
        <w:t xml:space="preserve">כל שקיים </w:t>
      </w:r>
      <w:r w:rsidR="009F3D86">
        <w:rPr>
          <w:rFonts w:hint="cs"/>
          <w:rtl/>
        </w:rPr>
        <w:t>ליחיד חוב מזונות שהוא חייב בו על פי פסק דין ושזמן פ</w:t>
      </w:r>
      <w:r w:rsidR="00FE7ABD">
        <w:rPr>
          <w:rFonts w:hint="cs"/>
          <w:rtl/>
        </w:rPr>
        <w:t>י</w:t>
      </w:r>
      <w:r w:rsidR="009F3D86">
        <w:rPr>
          <w:rFonts w:hint="cs"/>
          <w:rtl/>
        </w:rPr>
        <w:t xml:space="preserve">רעונו חל לאחר מתן צו לפתיחת הליכים, יעביר הנאמן את חוב המזונות לזכאים </w:t>
      </w:r>
      <w:r w:rsidR="00B633F3">
        <w:rPr>
          <w:rFonts w:hint="cs"/>
          <w:rtl/>
        </w:rPr>
        <w:t xml:space="preserve">מדי חודש בחודשו, </w:t>
      </w:r>
      <w:r w:rsidR="009F3D86">
        <w:rPr>
          <w:rFonts w:hint="cs"/>
          <w:rtl/>
        </w:rPr>
        <w:t xml:space="preserve">וזאת מתוך השתכרותו של היחיד מעבודה או מכל מקור אחר. </w:t>
      </w:r>
      <w:r w:rsidR="000F4BB4">
        <w:rPr>
          <w:rFonts w:hint="cs"/>
          <w:rtl/>
        </w:rPr>
        <w:t>הנאמן יפעל כאמור עד שיוקצב</w:t>
      </w:r>
      <w:r w:rsidR="008D0FE6">
        <w:rPr>
          <w:rFonts w:hint="cs"/>
          <w:rtl/>
        </w:rPr>
        <w:t xml:space="preserve"> </w:t>
      </w:r>
      <w:r w:rsidR="000F4BB4">
        <w:rPr>
          <w:rFonts w:hint="cs"/>
          <w:rtl/>
        </w:rPr>
        <w:t>סכום מזונות לזכאים על פי סעיף 179(א) לחוק</w:t>
      </w:r>
      <w:r w:rsidR="008D0FE6">
        <w:rPr>
          <w:rFonts w:hint="cs"/>
          <w:rtl/>
        </w:rPr>
        <w:t>, ככל שיוקצב.</w:t>
      </w:r>
    </w:p>
    <w:p w:rsidR="00DB748F" w:rsidRDefault="00DB748F" w:rsidP="001A543E">
      <w:pPr>
        <w:jc w:val="both"/>
        <w:rPr>
          <w:rtl/>
        </w:rPr>
      </w:pPr>
      <w:r>
        <w:rPr>
          <w:rFonts w:hint="cs"/>
          <w:rtl/>
        </w:rPr>
        <w:t>בסעיף  162(א) להצעת החוק, תוחלף הגדרת "דמי המחיה" בהגדרה הבאה:</w:t>
      </w:r>
    </w:p>
    <w:p w:rsidR="00DC1382" w:rsidRDefault="00DB748F" w:rsidP="001A543E">
      <w:pPr>
        <w:jc w:val="both"/>
        <w:rPr>
          <w:rtl/>
        </w:rPr>
      </w:pPr>
      <w:r>
        <w:rPr>
          <w:rFonts w:hint="cs"/>
          <w:rtl/>
        </w:rPr>
        <w:t xml:space="preserve">"דמי המחיה" </w:t>
      </w:r>
      <w:r>
        <w:rPr>
          <w:rtl/>
        </w:rPr>
        <w:t>–</w:t>
      </w:r>
      <w:r>
        <w:rPr>
          <w:rFonts w:hint="cs"/>
          <w:rtl/>
        </w:rPr>
        <w:t xml:space="preserve"> הסכום הדרוש ליחיד לצורך מחיה בכבוד, שלו </w:t>
      </w:r>
      <w:r w:rsidR="005A439A">
        <w:rPr>
          <w:rFonts w:hint="cs"/>
          <w:rtl/>
        </w:rPr>
        <w:t>ו</w:t>
      </w:r>
      <w:r>
        <w:rPr>
          <w:rFonts w:hint="cs"/>
          <w:rtl/>
        </w:rPr>
        <w:t>של התלויים בו</w:t>
      </w:r>
      <w:r w:rsidR="005A439A">
        <w:rPr>
          <w:rFonts w:hint="cs"/>
          <w:rtl/>
        </w:rPr>
        <w:t xml:space="preserve"> המתגוררים עמו, </w:t>
      </w:r>
      <w:r>
        <w:rPr>
          <w:rFonts w:hint="cs"/>
          <w:rtl/>
        </w:rPr>
        <w:t>המחושב על בסיס כלכלי המחיה בכבוד ובהתאם לנסיבותיו האישיות של היחיד</w:t>
      </w:r>
      <w:r w:rsidR="00DC1382">
        <w:rPr>
          <w:rFonts w:hint="cs"/>
          <w:rtl/>
        </w:rPr>
        <w:t>.</w:t>
      </w:r>
    </w:p>
    <w:p w:rsidR="000347AF" w:rsidRPr="00FA25DF" w:rsidRDefault="000347AF" w:rsidP="001A543E">
      <w:pPr>
        <w:jc w:val="both"/>
        <w:rPr>
          <w:b/>
          <w:bCs/>
          <w:u w:val="single"/>
          <w:rtl/>
        </w:rPr>
      </w:pPr>
      <w:r w:rsidRPr="00FA25DF">
        <w:rPr>
          <w:rFonts w:hint="cs"/>
          <w:b/>
          <w:bCs/>
          <w:u w:val="single"/>
          <w:rtl/>
        </w:rPr>
        <w:t>(ב) קציבת מועד לפסיקת בית המשפט על פי סעיף 179(א)</w:t>
      </w:r>
    </w:p>
    <w:p w:rsidR="00FA25DF" w:rsidRPr="00FA25DF" w:rsidRDefault="00FA25DF" w:rsidP="001A543E">
      <w:pPr>
        <w:jc w:val="both"/>
        <w:rPr>
          <w:rtl/>
        </w:rPr>
      </w:pPr>
      <w:r w:rsidRPr="00FA25DF">
        <w:rPr>
          <w:rFonts w:hint="cs"/>
          <w:rtl/>
        </w:rPr>
        <w:t xml:space="preserve">כאמור לעיל, סעיף 179 המוצע בהצעת החוק </w:t>
      </w:r>
      <w:r w:rsidR="003A7501">
        <w:rPr>
          <w:rFonts w:hint="cs"/>
          <w:rtl/>
        </w:rPr>
        <w:t xml:space="preserve">(ראה נוסח לעיל) </w:t>
      </w:r>
      <w:r w:rsidRPr="00FA25DF">
        <w:rPr>
          <w:rFonts w:hint="cs"/>
          <w:rtl/>
        </w:rPr>
        <w:t>מורה לבית המשפט לקצוב לאדם הזכאי למזונות סכום שישול</w:t>
      </w:r>
      <w:r w:rsidR="003A7501">
        <w:rPr>
          <w:rFonts w:hint="cs"/>
          <w:rtl/>
        </w:rPr>
        <w:t>ם</w:t>
      </w:r>
      <w:r w:rsidRPr="00FA25DF">
        <w:rPr>
          <w:rFonts w:hint="cs"/>
          <w:rtl/>
        </w:rPr>
        <w:t xml:space="preserve"> לו מעת לעת. הסעיף מחליף את סעיף 128(א) לפקודת פשיטת הרגל. היה ולא תתקבל ההצעה כי תשלומי המזונות ימשיכו להיות משולמים על ידי הנאמן, מוצע להוסיף בסעיף מועד שבו ידרש בית המשפט לתת דעתו על סוגיה זו.</w:t>
      </w:r>
    </w:p>
    <w:p w:rsidR="00B5101F" w:rsidRDefault="00B5101F" w:rsidP="001A543E">
      <w:pPr>
        <w:jc w:val="both"/>
        <w:rPr>
          <w:rtl/>
        </w:rPr>
      </w:pPr>
      <w:r>
        <w:rPr>
          <w:rFonts w:hint="cs"/>
          <w:rtl/>
        </w:rPr>
        <w:t>הצעה זו לא פותרת את עניין הפחתת המזונות, ואף לא מקרים בהם ההליך יתמשך וכתוצאה מכך לא ישולמו בפועל מזונות, אך יש בה כדי לשפר את המצב הקיים.</w:t>
      </w:r>
    </w:p>
    <w:p w:rsidR="00FA25DF" w:rsidRPr="00356F19" w:rsidRDefault="00FA25DF" w:rsidP="00E012A2">
      <w:pPr>
        <w:jc w:val="both"/>
        <w:rPr>
          <w:rtl/>
        </w:rPr>
      </w:pPr>
      <w:r w:rsidRPr="00FA25DF">
        <w:rPr>
          <w:rFonts w:hint="cs"/>
          <w:rtl/>
        </w:rPr>
        <w:t>המועד המבוקש הינו מועד מתן הצו לפתיחת הליכים. זהו גם המועד בו קובעת הצעת החוק כי בו הממונה יקבע בו 'דמי מחיה' לחייב ולתלויים בו. אך הוגן הוא שהתלויים בחייב</w:t>
      </w:r>
      <w:r w:rsidR="00B5101F">
        <w:rPr>
          <w:rFonts w:hint="cs"/>
          <w:rtl/>
        </w:rPr>
        <w:t>,</w:t>
      </w:r>
      <w:r w:rsidRPr="00FA25DF">
        <w:rPr>
          <w:rFonts w:hint="cs"/>
          <w:rtl/>
        </w:rPr>
        <w:t xml:space="preserve"> שאינם מתגוררים עמו</w:t>
      </w:r>
      <w:r w:rsidR="00B5101F">
        <w:rPr>
          <w:rFonts w:hint="cs"/>
          <w:rtl/>
        </w:rPr>
        <w:t>,</w:t>
      </w:r>
      <w:r w:rsidRPr="00FA25DF">
        <w:rPr>
          <w:rFonts w:hint="cs"/>
          <w:rtl/>
        </w:rPr>
        <w:t xml:space="preserve"> יקבלו את מזונותיהם במועד בו מקבלים אותם התלויים בחייב המתגוררים עמו.</w:t>
      </w:r>
      <w:r w:rsidR="00E012A2">
        <w:br/>
      </w:r>
      <w:r w:rsidR="00B5101F" w:rsidRPr="00B5101F">
        <w:rPr>
          <w:rFonts w:ascii="FrankRuehl" w:hAnsi="FrankRuehl" w:cs="FrankRuehl"/>
          <w:i/>
          <w:iCs/>
          <w:noProof/>
          <w:sz w:val="26"/>
          <w:szCs w:val="26"/>
        </w:rPr>
        <mc:AlternateContent>
          <mc:Choice Requires="wps">
            <w:drawing>
              <wp:anchor distT="91440" distB="91440" distL="114300" distR="114300" simplePos="0" relativeHeight="251663360" behindDoc="0" locked="0" layoutInCell="1" allowOverlap="1">
                <wp:simplePos x="0" y="0"/>
                <wp:positionH relativeFrom="page">
                  <wp:posOffset>1495425</wp:posOffset>
                </wp:positionH>
                <wp:positionV relativeFrom="paragraph">
                  <wp:posOffset>404495</wp:posOffset>
                </wp:positionV>
                <wp:extent cx="4610100" cy="647700"/>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647700"/>
                        </a:xfrm>
                        <a:prstGeom prst="rect">
                          <a:avLst/>
                        </a:prstGeom>
                        <a:noFill/>
                        <a:ln w="9525">
                          <a:noFill/>
                          <a:miter lim="800000"/>
                          <a:headEnd/>
                          <a:tailEnd/>
                        </a:ln>
                      </wps:spPr>
                      <wps:txbx>
                        <w:txbxContent>
                          <w:p w:rsidR="00B5101F" w:rsidRDefault="00B5101F" w:rsidP="00B5101F">
                            <w:pPr>
                              <w:jc w:val="both"/>
                              <w:rPr>
                                <w:rFonts w:ascii="FrankRuehl" w:hAnsi="FrankRuehl" w:cs="FrankRuehl"/>
                                <w:i/>
                                <w:iCs/>
                                <w:sz w:val="26"/>
                                <w:szCs w:val="26"/>
                                <w:rtl/>
                              </w:rPr>
                            </w:pPr>
                            <w:r>
                              <w:rPr>
                                <w:rFonts w:ascii="FrankRuehl" w:hAnsi="FrankRuehl" w:cs="FrankRuehl" w:hint="cs"/>
                                <w:i/>
                                <w:iCs/>
                                <w:sz w:val="26"/>
                                <w:szCs w:val="26"/>
                                <w:rtl/>
                              </w:rPr>
                              <w:t>"לכן מוצע לקבוע כי עם מתן הצו לפתיחת הליכים, יקציב בית המשפט לאדם הזכאי למזונות סכום שישולם לו מעת לעת מהשתכרותו של היחיד מעבודה..."</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17.75pt;margin-top:31.85pt;width:363pt;height:51pt;z-index:25166336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" filled="f" stroked="f">
                <v:textbox>
                  <w:txbxContent>
                    <w:p w:rsidR="00B5101F" w:rsidRDefault="00B5101F" w:rsidP="00B5101F">
                      <w:pPr>
                        <w:jc w:val="both"/>
                        <w:rPr>
                          <w:rFonts w:ascii="FrankRuehl" w:hAnsi="FrankRuehl" w:cs="FrankRuehl"/>
                          <w:i/>
                          <w:iCs/>
                          <w:sz w:val="26"/>
                          <w:szCs w:val="26"/>
                          <w:rtl/>
                        </w:rPr>
                      </w:pPr>
                      <w:r>
                        <w:rPr>
                          <w:rFonts w:ascii="FrankRuehl" w:hAnsi="FrankRuehl" w:cs="FrankRuehl" w:hint="cs"/>
                          <w:i/>
                          <w:iCs/>
                          <w:sz w:val="26"/>
                          <w:szCs w:val="26"/>
                          <w:rtl/>
                        </w:rPr>
                        <w:t>"לכן מוצע לקבוע כי עם מתן הצו לפתיחת הליכים, יקציב בית המשפט לאדם הזכאי למזונות סכום שישולם לו מעת לעת מהשתכרותו של היחיד מעבודה..."</w:t>
                      </w:r>
                    </w:p>
                  </w:txbxContent>
                </v:textbox>
                <w10:wrap type="topAndBottom" anchorx="page"/>
              </v:shape>
            </w:pict>
          </mc:Fallback>
        </mc:AlternateContent>
      </w:r>
      <w:r w:rsidR="003A7501">
        <w:rPr>
          <w:rFonts w:hint="cs"/>
          <w:rtl/>
        </w:rPr>
        <w:t xml:space="preserve">יש לציין כי </w:t>
      </w:r>
      <w:r w:rsidRPr="00356F19">
        <w:rPr>
          <w:rFonts w:hint="cs"/>
          <w:rtl/>
        </w:rPr>
        <w:t>בדברי ההסבר לסעיף 179</w:t>
      </w:r>
      <w:r w:rsidR="003A7501">
        <w:rPr>
          <w:rFonts w:hint="cs"/>
          <w:rtl/>
        </w:rPr>
        <w:t xml:space="preserve"> </w:t>
      </w:r>
      <w:r w:rsidRPr="00356F19">
        <w:rPr>
          <w:rFonts w:hint="cs"/>
          <w:rtl/>
        </w:rPr>
        <w:t>להצעת החוק נכתב כדלקמן:</w:t>
      </w:r>
    </w:p>
    <w:p w:rsidR="00FA25DF" w:rsidRPr="00356F19" w:rsidRDefault="00FA25DF" w:rsidP="001A543E">
      <w:pPr>
        <w:jc w:val="both"/>
        <w:rPr>
          <w:rtl/>
        </w:rPr>
      </w:pPr>
      <w:r w:rsidRPr="00356F19">
        <w:rPr>
          <w:rFonts w:hint="cs"/>
          <w:rtl/>
        </w:rPr>
        <w:t xml:space="preserve">היינו כוונת הצעת החוק היתה כי </w:t>
      </w:r>
      <w:r w:rsidR="00356F19" w:rsidRPr="00356F19">
        <w:rPr>
          <w:rFonts w:hint="cs"/>
          <w:rtl/>
        </w:rPr>
        <w:t>הקצבת הסכומים תעשה עם מתן הצו לפתיחת הליכים. הדברים הכתובים בדברי ההסבר לא מצאו ביטויים בלשון החוק ומוצע כי הדבר יכתב מפורשות.</w:t>
      </w:r>
      <w:r w:rsidRPr="00356F19">
        <w:rPr>
          <w:rFonts w:hint="cs"/>
          <w:rtl/>
        </w:rPr>
        <w:t xml:space="preserve"> </w:t>
      </w:r>
    </w:p>
    <w:p w:rsidR="001A543E" w:rsidRPr="00E012A2" w:rsidRDefault="00356F19" w:rsidP="00E012A2">
      <w:pPr>
        <w:jc w:val="both"/>
        <w:rPr>
          <w:rFonts w:hint="cs"/>
          <w:u w:val="single"/>
          <w:rtl/>
        </w:rPr>
      </w:pPr>
      <w:r w:rsidRPr="000347AF">
        <w:rPr>
          <w:rFonts w:hint="cs"/>
          <w:u w:val="single"/>
          <w:rtl/>
        </w:rPr>
        <w:t xml:space="preserve">נוסח ההצעה: </w:t>
      </w:r>
      <w:r w:rsidRPr="00356F19">
        <w:rPr>
          <w:rFonts w:hint="cs"/>
          <w:rtl/>
        </w:rPr>
        <w:t>סעיף 179(א) להצעת החוק יתוקן כדלקמן:</w:t>
      </w:r>
      <w:r w:rsidR="002B7FB9">
        <w:rPr>
          <w:rtl/>
        </w:rPr>
        <w:tab/>
      </w:r>
      <w:r w:rsidR="002B7FB9">
        <w:rPr>
          <w:rtl/>
        </w:rPr>
        <w:br/>
      </w:r>
      <w:r w:rsidR="002B7FB9">
        <w:rPr>
          <w:rFonts w:hint="cs"/>
          <w:rtl/>
        </w:rPr>
        <w:t>בסעיף 179(א) אחרי המילים:</w:t>
      </w:r>
      <w:r w:rsidR="003A7501">
        <w:rPr>
          <w:rFonts w:hint="cs"/>
          <w:rtl/>
        </w:rPr>
        <w:t xml:space="preserve"> </w:t>
      </w:r>
      <w:r w:rsidR="002B7FB9">
        <w:rPr>
          <w:rFonts w:hint="cs"/>
          <w:rtl/>
        </w:rPr>
        <w:t>"יקציב בית המשפט</w:t>
      </w:r>
      <w:r w:rsidR="003A7501">
        <w:rPr>
          <w:rFonts w:hint="cs"/>
          <w:rtl/>
        </w:rPr>
        <w:t xml:space="preserve"> לאדם הזכאי למזונות</w:t>
      </w:r>
      <w:r w:rsidR="002B7FB9">
        <w:rPr>
          <w:rFonts w:hint="cs"/>
          <w:rtl/>
        </w:rPr>
        <w:t>" יתווספו המילים: "</w:t>
      </w:r>
      <w:r w:rsidR="003A7501">
        <w:rPr>
          <w:rFonts w:hint="cs"/>
          <w:rtl/>
        </w:rPr>
        <w:t>,</w:t>
      </w:r>
      <w:r w:rsidR="002B7FB9">
        <w:rPr>
          <w:rFonts w:hint="cs"/>
          <w:rtl/>
        </w:rPr>
        <w:t>עם מתן הצו לפתיחת הליכים</w:t>
      </w:r>
      <w:r w:rsidR="003A7501">
        <w:rPr>
          <w:rFonts w:hint="cs"/>
          <w:rtl/>
        </w:rPr>
        <w:t>,</w:t>
      </w:r>
      <w:r w:rsidR="002B7FB9">
        <w:rPr>
          <w:rFonts w:hint="cs"/>
          <w:rtl/>
        </w:rPr>
        <w:t>".</w:t>
      </w:r>
    </w:p>
    <w:p w:rsidR="00E012A2" w:rsidRDefault="00E012A2" w:rsidP="00E012A2">
      <w:pPr>
        <w:spacing w:after="0"/>
        <w:jc w:val="right"/>
        <w:rPr>
          <w:rtl/>
        </w:rPr>
      </w:pPr>
      <w:r>
        <w:rPr>
          <w:rFonts w:hint="cs"/>
          <w:rtl/>
        </w:rPr>
        <w:t>מירי</w:t>
      </w:r>
      <w:r>
        <w:rPr>
          <w:rtl/>
        </w:rPr>
        <w:t xml:space="preserve"> </w:t>
      </w:r>
      <w:r>
        <w:rPr>
          <w:rFonts w:hint="cs"/>
          <w:rtl/>
        </w:rPr>
        <w:t>ברנשטיין</w:t>
      </w:r>
      <w:r>
        <w:rPr>
          <w:rtl/>
        </w:rPr>
        <w:t xml:space="preserve">, </w:t>
      </w:r>
      <w:r>
        <w:rPr>
          <w:rFonts w:hint="cs"/>
          <w:rtl/>
        </w:rPr>
        <w:t>עו</w:t>
      </w:r>
      <w:r>
        <w:rPr>
          <w:rtl/>
        </w:rPr>
        <w:t>"</w:t>
      </w:r>
      <w:r>
        <w:rPr>
          <w:rFonts w:hint="cs"/>
          <w:rtl/>
        </w:rPr>
        <w:t>ד</w:t>
      </w:r>
    </w:p>
    <w:p w:rsidR="00E012A2" w:rsidRDefault="00E012A2" w:rsidP="00E012A2">
      <w:pPr>
        <w:spacing w:after="0"/>
        <w:jc w:val="right"/>
        <w:rPr>
          <w:rtl/>
        </w:rPr>
      </w:pPr>
      <w:r>
        <w:rPr>
          <w:rFonts w:hint="cs"/>
          <w:rtl/>
        </w:rPr>
        <w:t>היחידה</w:t>
      </w:r>
      <w:r>
        <w:rPr>
          <w:rtl/>
        </w:rPr>
        <w:t xml:space="preserve"> </w:t>
      </w:r>
      <w:r>
        <w:rPr>
          <w:rFonts w:hint="cs"/>
          <w:rtl/>
        </w:rPr>
        <w:t>לקידום</w:t>
      </w:r>
      <w:r>
        <w:rPr>
          <w:rtl/>
        </w:rPr>
        <w:t xml:space="preserve"> </w:t>
      </w:r>
      <w:r>
        <w:rPr>
          <w:rFonts w:hint="cs"/>
          <w:rtl/>
        </w:rPr>
        <w:t>מדיניות</w:t>
      </w:r>
      <w:r>
        <w:rPr>
          <w:rtl/>
        </w:rPr>
        <w:t xml:space="preserve"> </w:t>
      </w:r>
      <w:r>
        <w:rPr>
          <w:rFonts w:hint="cs"/>
          <w:rtl/>
        </w:rPr>
        <w:t>ציבורית</w:t>
      </w:r>
      <w:r>
        <w:rPr>
          <w:rtl/>
        </w:rPr>
        <w:t xml:space="preserve"> </w:t>
      </w:r>
      <w:r>
        <w:rPr>
          <w:rFonts w:hint="cs"/>
          <w:rtl/>
        </w:rPr>
        <w:t>וחקיקה</w:t>
      </w:r>
      <w:r>
        <w:rPr>
          <w:rtl/>
        </w:rPr>
        <w:t xml:space="preserve"> </w:t>
      </w:r>
      <w:r>
        <w:rPr>
          <w:rFonts w:hint="cs"/>
          <w:rtl/>
        </w:rPr>
        <w:t>ע</w:t>
      </w:r>
      <w:r>
        <w:rPr>
          <w:rtl/>
        </w:rPr>
        <w:t>"</w:t>
      </w:r>
      <w:r>
        <w:rPr>
          <w:rFonts w:hint="cs"/>
          <w:rtl/>
        </w:rPr>
        <w:t>ש</w:t>
      </w:r>
      <w:r>
        <w:rPr>
          <w:rtl/>
        </w:rPr>
        <w:t xml:space="preserve"> </w:t>
      </w:r>
      <w:r>
        <w:rPr>
          <w:rFonts w:hint="cs"/>
          <w:rtl/>
        </w:rPr>
        <w:t>ברוך</w:t>
      </w:r>
      <w:r>
        <w:rPr>
          <w:rtl/>
        </w:rPr>
        <w:t xml:space="preserve"> </w:t>
      </w:r>
      <w:r>
        <w:rPr>
          <w:rFonts w:hint="cs"/>
          <w:rtl/>
        </w:rPr>
        <w:t>ורות</w:t>
      </w:r>
      <w:r>
        <w:rPr>
          <w:rtl/>
        </w:rPr>
        <w:t xml:space="preserve"> </w:t>
      </w:r>
      <w:r>
        <w:rPr>
          <w:rFonts w:hint="cs"/>
          <w:rtl/>
        </w:rPr>
        <w:t>רפופורט</w:t>
      </w:r>
    </w:p>
    <w:p w:rsidR="00614209" w:rsidRPr="00E012A2" w:rsidRDefault="00E012A2" w:rsidP="00E012A2">
      <w:pPr>
        <w:spacing w:after="0"/>
        <w:jc w:val="right"/>
        <w:rPr>
          <w:rtl/>
        </w:rPr>
      </w:pPr>
      <w:r>
        <w:rPr>
          <w:rFonts w:hint="cs"/>
          <w:rtl/>
        </w:rPr>
        <w:t>מרכז</w:t>
      </w:r>
      <w:r>
        <w:rPr>
          <w:rtl/>
        </w:rPr>
        <w:t xml:space="preserve"> </w:t>
      </w:r>
      <w:r>
        <w:rPr>
          <w:rFonts w:hint="cs"/>
          <w:rtl/>
        </w:rPr>
        <w:t>רקמן</w:t>
      </w:r>
      <w:r>
        <w:rPr>
          <w:rtl/>
        </w:rPr>
        <w:t xml:space="preserve">, </w:t>
      </w:r>
      <w:r>
        <w:rPr>
          <w:rFonts w:hint="cs"/>
          <w:rtl/>
        </w:rPr>
        <w:t>הפקולטה</w:t>
      </w:r>
      <w:r>
        <w:rPr>
          <w:rtl/>
        </w:rPr>
        <w:t xml:space="preserve"> </w:t>
      </w:r>
      <w:r>
        <w:rPr>
          <w:rFonts w:hint="cs"/>
          <w:rtl/>
        </w:rPr>
        <w:t>למשפטים</w:t>
      </w:r>
      <w:r>
        <w:rPr>
          <w:rtl/>
        </w:rPr>
        <w:t xml:space="preserve"> - </w:t>
      </w:r>
      <w:r>
        <w:rPr>
          <w:rFonts w:hint="cs"/>
          <w:rtl/>
        </w:rPr>
        <w:t>אוניברסיטת</w:t>
      </w:r>
      <w:r>
        <w:rPr>
          <w:rtl/>
        </w:rPr>
        <w:t xml:space="preserve"> </w:t>
      </w:r>
      <w:r>
        <w:rPr>
          <w:rFonts w:hint="cs"/>
          <w:rtl/>
        </w:rPr>
        <w:t>בר</w:t>
      </w:r>
      <w:r>
        <w:rPr>
          <w:rtl/>
        </w:rPr>
        <w:t xml:space="preserve"> </w:t>
      </w:r>
      <w:r>
        <w:rPr>
          <w:rFonts w:hint="cs"/>
          <w:rtl/>
        </w:rPr>
        <w:t>אילן</w:t>
      </w:r>
      <w:bookmarkStart w:id="0" w:name="_GoBack"/>
      <w:bookmarkEnd w:id="0"/>
    </w:p>
    <w:sectPr w:rsidR="00614209" w:rsidRPr="00E012A2" w:rsidSect="000A2C0D">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3CDE" w:rsidRDefault="00283CDE" w:rsidP="00CC0652">
      <w:pPr>
        <w:spacing w:after="0" w:line="240" w:lineRule="auto"/>
      </w:pPr>
      <w:r>
        <w:separator/>
      </w:r>
    </w:p>
  </w:endnote>
  <w:endnote w:type="continuationSeparator" w:id="0">
    <w:p w:rsidR="00283CDE" w:rsidRDefault="00283CDE" w:rsidP="00CC0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20E05030601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3CDE" w:rsidRDefault="00283CDE" w:rsidP="00CC0652">
      <w:pPr>
        <w:spacing w:after="0" w:line="240" w:lineRule="auto"/>
      </w:pPr>
      <w:r>
        <w:separator/>
      </w:r>
    </w:p>
  </w:footnote>
  <w:footnote w:type="continuationSeparator" w:id="0">
    <w:p w:rsidR="00283CDE" w:rsidRDefault="00283CDE" w:rsidP="00CC06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E007E"/>
    <w:multiLevelType w:val="hybridMultilevel"/>
    <w:tmpl w:val="19F07BC8"/>
    <w:lvl w:ilvl="0" w:tplc="6A2A2912">
      <w:start w:val="7"/>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478A9"/>
    <w:multiLevelType w:val="hybridMultilevel"/>
    <w:tmpl w:val="338871C8"/>
    <w:lvl w:ilvl="0" w:tplc="35DC8642">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57103"/>
    <w:multiLevelType w:val="hybridMultilevel"/>
    <w:tmpl w:val="BCAE0590"/>
    <w:lvl w:ilvl="0" w:tplc="9C088584">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BEB41D5"/>
    <w:multiLevelType w:val="hybridMultilevel"/>
    <w:tmpl w:val="B81EC524"/>
    <w:lvl w:ilvl="0" w:tplc="8ED616A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A75BEF"/>
    <w:multiLevelType w:val="hybridMultilevel"/>
    <w:tmpl w:val="90FE001E"/>
    <w:lvl w:ilvl="0" w:tplc="364E94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C7797F"/>
    <w:multiLevelType w:val="hybridMultilevel"/>
    <w:tmpl w:val="FAF4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384337"/>
    <w:multiLevelType w:val="multilevel"/>
    <w:tmpl w:val="A6DA9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4E7B1A"/>
    <w:multiLevelType w:val="hybridMultilevel"/>
    <w:tmpl w:val="90A0B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066D43"/>
    <w:multiLevelType w:val="hybridMultilevel"/>
    <w:tmpl w:val="1752FE32"/>
    <w:lvl w:ilvl="0" w:tplc="6338B630">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F203F1"/>
    <w:multiLevelType w:val="hybridMultilevel"/>
    <w:tmpl w:val="1972929E"/>
    <w:lvl w:ilvl="0" w:tplc="6A2A2912">
      <w:start w:val="7"/>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6C145F"/>
    <w:multiLevelType w:val="hybridMultilevel"/>
    <w:tmpl w:val="39B0927E"/>
    <w:lvl w:ilvl="0" w:tplc="BF5E06C6">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F62A42"/>
    <w:multiLevelType w:val="hybridMultilevel"/>
    <w:tmpl w:val="5ADE633E"/>
    <w:lvl w:ilvl="0" w:tplc="3CE80B24">
      <w:start w:val="1"/>
      <w:numFmt w:val="hebrew1"/>
      <w:lvlText w:val="%1."/>
      <w:lvlJc w:val="left"/>
      <w:pPr>
        <w:ind w:left="720" w:hanging="360"/>
      </w:pPr>
      <w:rPr>
        <w:rFonts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3B2F96"/>
    <w:multiLevelType w:val="hybridMultilevel"/>
    <w:tmpl w:val="0142A7D6"/>
    <w:lvl w:ilvl="0" w:tplc="9DFC61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AF1103"/>
    <w:multiLevelType w:val="multilevel"/>
    <w:tmpl w:val="C2E2E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4"/>
  </w:num>
  <w:num w:numId="3">
    <w:abstractNumId w:val="13"/>
  </w:num>
  <w:num w:numId="4">
    <w:abstractNumId w:val="9"/>
  </w:num>
  <w:num w:numId="5">
    <w:abstractNumId w:val="0"/>
  </w:num>
  <w:num w:numId="6">
    <w:abstractNumId w:val="7"/>
  </w:num>
  <w:num w:numId="7">
    <w:abstractNumId w:val="5"/>
  </w:num>
  <w:num w:numId="8">
    <w:abstractNumId w:val="6"/>
  </w:num>
  <w:num w:numId="9">
    <w:abstractNumId w:val="1"/>
  </w:num>
  <w:num w:numId="10">
    <w:abstractNumId w:val="2"/>
  </w:num>
  <w:num w:numId="11">
    <w:abstractNumId w:val="11"/>
  </w:num>
  <w:num w:numId="12">
    <w:abstractNumId w:val="3"/>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D02"/>
    <w:rsid w:val="00032154"/>
    <w:rsid w:val="000347AF"/>
    <w:rsid w:val="00036918"/>
    <w:rsid w:val="0004237D"/>
    <w:rsid w:val="00046DA2"/>
    <w:rsid w:val="00053BAC"/>
    <w:rsid w:val="0005497E"/>
    <w:rsid w:val="00067171"/>
    <w:rsid w:val="00081AAE"/>
    <w:rsid w:val="000938FE"/>
    <w:rsid w:val="000A1ABF"/>
    <w:rsid w:val="000A2C0D"/>
    <w:rsid w:val="000F0BB1"/>
    <w:rsid w:val="000F4BB4"/>
    <w:rsid w:val="00117D37"/>
    <w:rsid w:val="0012415A"/>
    <w:rsid w:val="00135FB7"/>
    <w:rsid w:val="00145698"/>
    <w:rsid w:val="00147057"/>
    <w:rsid w:val="00154422"/>
    <w:rsid w:val="001576B3"/>
    <w:rsid w:val="00157BC6"/>
    <w:rsid w:val="00160860"/>
    <w:rsid w:val="00166B73"/>
    <w:rsid w:val="0019271A"/>
    <w:rsid w:val="001A543E"/>
    <w:rsid w:val="001D0EFF"/>
    <w:rsid w:val="001D1729"/>
    <w:rsid w:val="001D45CF"/>
    <w:rsid w:val="001F15E7"/>
    <w:rsid w:val="002150DB"/>
    <w:rsid w:val="002305DB"/>
    <w:rsid w:val="00237AD7"/>
    <w:rsid w:val="00243EDD"/>
    <w:rsid w:val="00251E4A"/>
    <w:rsid w:val="00283CDE"/>
    <w:rsid w:val="002A418B"/>
    <w:rsid w:val="002B7FB9"/>
    <w:rsid w:val="002D24EF"/>
    <w:rsid w:val="002E27CA"/>
    <w:rsid w:val="00356F19"/>
    <w:rsid w:val="0038425A"/>
    <w:rsid w:val="00395A81"/>
    <w:rsid w:val="00396ADF"/>
    <w:rsid w:val="003A7501"/>
    <w:rsid w:val="003A7A5E"/>
    <w:rsid w:val="003C0560"/>
    <w:rsid w:val="003C45AA"/>
    <w:rsid w:val="003C74C9"/>
    <w:rsid w:val="003D3621"/>
    <w:rsid w:val="00410F24"/>
    <w:rsid w:val="0041253A"/>
    <w:rsid w:val="00422A77"/>
    <w:rsid w:val="00462EE7"/>
    <w:rsid w:val="004639E6"/>
    <w:rsid w:val="00471706"/>
    <w:rsid w:val="0047598F"/>
    <w:rsid w:val="004823A1"/>
    <w:rsid w:val="0048262F"/>
    <w:rsid w:val="004D1930"/>
    <w:rsid w:val="004D2382"/>
    <w:rsid w:val="004F4D1D"/>
    <w:rsid w:val="00532152"/>
    <w:rsid w:val="005762BD"/>
    <w:rsid w:val="00583E84"/>
    <w:rsid w:val="005A281A"/>
    <w:rsid w:val="005A2DDE"/>
    <w:rsid w:val="005A439A"/>
    <w:rsid w:val="005B6319"/>
    <w:rsid w:val="005D447B"/>
    <w:rsid w:val="005E2F57"/>
    <w:rsid w:val="005F1115"/>
    <w:rsid w:val="005F7A10"/>
    <w:rsid w:val="00614209"/>
    <w:rsid w:val="006154D5"/>
    <w:rsid w:val="006674D2"/>
    <w:rsid w:val="00676E33"/>
    <w:rsid w:val="00695BEA"/>
    <w:rsid w:val="006B17FC"/>
    <w:rsid w:val="006B7B08"/>
    <w:rsid w:val="006D0A0E"/>
    <w:rsid w:val="006D7B67"/>
    <w:rsid w:val="00701C5D"/>
    <w:rsid w:val="00722F6E"/>
    <w:rsid w:val="00724BA8"/>
    <w:rsid w:val="007347C9"/>
    <w:rsid w:val="00742E8E"/>
    <w:rsid w:val="0075080F"/>
    <w:rsid w:val="00772F3D"/>
    <w:rsid w:val="00787E68"/>
    <w:rsid w:val="007C7B1E"/>
    <w:rsid w:val="007D5562"/>
    <w:rsid w:val="007F1462"/>
    <w:rsid w:val="008001AD"/>
    <w:rsid w:val="00801519"/>
    <w:rsid w:val="00805C65"/>
    <w:rsid w:val="00816061"/>
    <w:rsid w:val="00830DB7"/>
    <w:rsid w:val="00832EFA"/>
    <w:rsid w:val="00861D6B"/>
    <w:rsid w:val="00862A4F"/>
    <w:rsid w:val="00867BCE"/>
    <w:rsid w:val="008736C5"/>
    <w:rsid w:val="0087451E"/>
    <w:rsid w:val="00874E44"/>
    <w:rsid w:val="00886159"/>
    <w:rsid w:val="00887004"/>
    <w:rsid w:val="00887363"/>
    <w:rsid w:val="008A29C9"/>
    <w:rsid w:val="008A40E7"/>
    <w:rsid w:val="008A6A93"/>
    <w:rsid w:val="008B51F4"/>
    <w:rsid w:val="008C4470"/>
    <w:rsid w:val="008C59D1"/>
    <w:rsid w:val="008D0FE6"/>
    <w:rsid w:val="008E0682"/>
    <w:rsid w:val="008E7F76"/>
    <w:rsid w:val="008F44B9"/>
    <w:rsid w:val="008F61E7"/>
    <w:rsid w:val="00900E9A"/>
    <w:rsid w:val="00912EE1"/>
    <w:rsid w:val="00913F98"/>
    <w:rsid w:val="009202AD"/>
    <w:rsid w:val="00924E89"/>
    <w:rsid w:val="0094772E"/>
    <w:rsid w:val="0097104C"/>
    <w:rsid w:val="009755CE"/>
    <w:rsid w:val="00980373"/>
    <w:rsid w:val="009813A8"/>
    <w:rsid w:val="0099076A"/>
    <w:rsid w:val="00993BD7"/>
    <w:rsid w:val="00997EE7"/>
    <w:rsid w:val="009B4155"/>
    <w:rsid w:val="009B7B6F"/>
    <w:rsid w:val="009F3D86"/>
    <w:rsid w:val="00A10E81"/>
    <w:rsid w:val="00A14BA2"/>
    <w:rsid w:val="00A2462C"/>
    <w:rsid w:val="00A24D84"/>
    <w:rsid w:val="00A26CC0"/>
    <w:rsid w:val="00A311E1"/>
    <w:rsid w:val="00A76FDA"/>
    <w:rsid w:val="00A859EE"/>
    <w:rsid w:val="00AB1B09"/>
    <w:rsid w:val="00AC0EFD"/>
    <w:rsid w:val="00AC1D02"/>
    <w:rsid w:val="00AC3722"/>
    <w:rsid w:val="00AD597D"/>
    <w:rsid w:val="00AF3738"/>
    <w:rsid w:val="00B309A4"/>
    <w:rsid w:val="00B31634"/>
    <w:rsid w:val="00B31663"/>
    <w:rsid w:val="00B41066"/>
    <w:rsid w:val="00B424DD"/>
    <w:rsid w:val="00B45452"/>
    <w:rsid w:val="00B45F7F"/>
    <w:rsid w:val="00B50180"/>
    <w:rsid w:val="00B5101F"/>
    <w:rsid w:val="00B633F3"/>
    <w:rsid w:val="00B84780"/>
    <w:rsid w:val="00B9706E"/>
    <w:rsid w:val="00BA5B98"/>
    <w:rsid w:val="00BC2DE5"/>
    <w:rsid w:val="00BE2D18"/>
    <w:rsid w:val="00C1517D"/>
    <w:rsid w:val="00C435BC"/>
    <w:rsid w:val="00C44880"/>
    <w:rsid w:val="00C51BD9"/>
    <w:rsid w:val="00C523A6"/>
    <w:rsid w:val="00C533F7"/>
    <w:rsid w:val="00C6304B"/>
    <w:rsid w:val="00C654BB"/>
    <w:rsid w:val="00C72BB0"/>
    <w:rsid w:val="00CC0652"/>
    <w:rsid w:val="00CC79BF"/>
    <w:rsid w:val="00CD0377"/>
    <w:rsid w:val="00CD60BA"/>
    <w:rsid w:val="00CE3399"/>
    <w:rsid w:val="00CE6FA5"/>
    <w:rsid w:val="00CF694B"/>
    <w:rsid w:val="00D026C6"/>
    <w:rsid w:val="00D22DE0"/>
    <w:rsid w:val="00D26B9B"/>
    <w:rsid w:val="00D32127"/>
    <w:rsid w:val="00D45B7A"/>
    <w:rsid w:val="00D53AC4"/>
    <w:rsid w:val="00D702C4"/>
    <w:rsid w:val="00D71A9E"/>
    <w:rsid w:val="00D83806"/>
    <w:rsid w:val="00D91BCB"/>
    <w:rsid w:val="00DB314D"/>
    <w:rsid w:val="00DB65FB"/>
    <w:rsid w:val="00DB748F"/>
    <w:rsid w:val="00DC1382"/>
    <w:rsid w:val="00DE0A34"/>
    <w:rsid w:val="00DE2964"/>
    <w:rsid w:val="00E012A2"/>
    <w:rsid w:val="00E6374F"/>
    <w:rsid w:val="00E64C20"/>
    <w:rsid w:val="00E94C80"/>
    <w:rsid w:val="00EA0002"/>
    <w:rsid w:val="00EC31FB"/>
    <w:rsid w:val="00EC60D7"/>
    <w:rsid w:val="00EC6B15"/>
    <w:rsid w:val="00EC6C43"/>
    <w:rsid w:val="00ED2C3F"/>
    <w:rsid w:val="00EE3644"/>
    <w:rsid w:val="00F14467"/>
    <w:rsid w:val="00F2463A"/>
    <w:rsid w:val="00F442FC"/>
    <w:rsid w:val="00F60171"/>
    <w:rsid w:val="00F80E60"/>
    <w:rsid w:val="00F9156F"/>
    <w:rsid w:val="00F919B5"/>
    <w:rsid w:val="00F922F0"/>
    <w:rsid w:val="00F92878"/>
    <w:rsid w:val="00FA25DF"/>
    <w:rsid w:val="00FD1C2D"/>
    <w:rsid w:val="00FE0356"/>
    <w:rsid w:val="00FE56E7"/>
    <w:rsid w:val="00FE7A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A1ACBC-7F62-4F1C-A4A7-DAA46CA4F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מותאם עבודות"/>
    <w:qFormat/>
    <w:rsid w:val="00AD597D"/>
    <w:pPr>
      <w:bidi/>
      <w:spacing w:line="360" w:lineRule="auto"/>
    </w:pPr>
    <w:rPr>
      <w:rFonts w:cs="David"/>
      <w:szCs w:val="24"/>
    </w:rPr>
  </w:style>
  <w:style w:type="paragraph" w:styleId="1">
    <w:name w:val="heading 1"/>
    <w:basedOn w:val="a"/>
    <w:next w:val="a"/>
    <w:link w:val="10"/>
    <w:uiPriority w:val="9"/>
    <w:qFormat/>
    <w:rsid w:val="00CC0652"/>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tl/>
      <w: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אוטומטי"/>
    <w:basedOn w:val="a"/>
    <w:link w:val="Char"/>
    <w:autoRedefine/>
    <w:qFormat/>
    <w:rsid w:val="00032154"/>
    <w:pPr>
      <w:spacing w:after="0" w:line="276" w:lineRule="auto"/>
    </w:pPr>
    <w:rPr>
      <w:rFonts w:ascii="Arial" w:hAnsi="Arial"/>
    </w:rPr>
  </w:style>
  <w:style w:type="character" w:customStyle="1" w:styleId="Char">
    <w:name w:val="אוטומטי Char"/>
    <w:link w:val="a3"/>
    <w:rsid w:val="00032154"/>
    <w:rPr>
      <w:rFonts w:ascii="Arial" w:hAnsi="Arial" w:cs="David"/>
      <w:szCs w:val="24"/>
    </w:rPr>
  </w:style>
  <w:style w:type="character" w:customStyle="1" w:styleId="default">
    <w:name w:val="default"/>
    <w:rsid w:val="00AC1D02"/>
    <w:rPr>
      <w:rFonts w:ascii="Times New Roman" w:hAnsi="Times New Roman" w:cs="Times New Roman"/>
      <w:sz w:val="26"/>
      <w:szCs w:val="26"/>
    </w:rPr>
  </w:style>
  <w:style w:type="paragraph" w:customStyle="1" w:styleId="P00">
    <w:name w:val="P00"/>
    <w:rsid w:val="00AC1D0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AC1D02"/>
    <w:rPr>
      <w:rFonts w:ascii="Times New Roman" w:hAnsi="Times New Roman" w:cs="Times New Roman"/>
      <w:sz w:val="32"/>
      <w:szCs w:val="32"/>
    </w:rPr>
  </w:style>
  <w:style w:type="paragraph" w:customStyle="1" w:styleId="TableBlock">
    <w:name w:val="Table Block"/>
    <w:basedOn w:val="a"/>
    <w:uiPriority w:val="99"/>
    <w:rsid w:val="00AC1D02"/>
    <w:pPr>
      <w:keepLines/>
      <w:widowControl w:val="0"/>
      <w:tabs>
        <w:tab w:val="left" w:pos="624"/>
        <w:tab w:val="left" w:pos="1247"/>
      </w:tabs>
      <w:autoSpaceDE w:val="0"/>
      <w:autoSpaceDN w:val="0"/>
      <w:adjustRightInd w:val="0"/>
      <w:snapToGrid w:val="0"/>
      <w:spacing w:after="0"/>
      <w:jc w:val="both"/>
      <w:textAlignment w:val="center"/>
    </w:pPr>
    <w:rPr>
      <w:rFonts w:ascii="Arial" w:eastAsia="Arial Unicode MS" w:hAnsi="Arial"/>
      <w:color w:val="000000"/>
      <w:sz w:val="20"/>
      <w:szCs w:val="26"/>
      <w:lang w:eastAsia="ja-JP"/>
    </w:rPr>
  </w:style>
  <w:style w:type="paragraph" w:styleId="a4">
    <w:name w:val="List Paragraph"/>
    <w:basedOn w:val="a"/>
    <w:uiPriority w:val="34"/>
    <w:qFormat/>
    <w:rsid w:val="00AC1D02"/>
    <w:pPr>
      <w:ind w:left="720"/>
      <w:contextualSpacing/>
    </w:pPr>
  </w:style>
  <w:style w:type="character" w:styleId="a5">
    <w:name w:val="annotation reference"/>
    <w:basedOn w:val="a0"/>
    <w:uiPriority w:val="99"/>
    <w:semiHidden/>
    <w:unhideWhenUsed/>
    <w:rsid w:val="0005497E"/>
    <w:rPr>
      <w:sz w:val="16"/>
      <w:szCs w:val="16"/>
    </w:rPr>
  </w:style>
  <w:style w:type="paragraph" w:styleId="a6">
    <w:name w:val="annotation text"/>
    <w:basedOn w:val="a"/>
    <w:link w:val="a7"/>
    <w:uiPriority w:val="99"/>
    <w:semiHidden/>
    <w:unhideWhenUsed/>
    <w:rsid w:val="0005497E"/>
    <w:pPr>
      <w:spacing w:line="240" w:lineRule="auto"/>
    </w:pPr>
    <w:rPr>
      <w:sz w:val="20"/>
      <w:szCs w:val="20"/>
    </w:rPr>
  </w:style>
  <w:style w:type="character" w:customStyle="1" w:styleId="a7">
    <w:name w:val="טקסט הערה תו"/>
    <w:basedOn w:val="a0"/>
    <w:link w:val="a6"/>
    <w:uiPriority w:val="99"/>
    <w:semiHidden/>
    <w:rsid w:val="0005497E"/>
    <w:rPr>
      <w:rFonts w:cs="David"/>
      <w:sz w:val="20"/>
      <w:szCs w:val="20"/>
    </w:rPr>
  </w:style>
  <w:style w:type="paragraph" w:styleId="a8">
    <w:name w:val="annotation subject"/>
    <w:basedOn w:val="a6"/>
    <w:next w:val="a6"/>
    <w:link w:val="a9"/>
    <w:uiPriority w:val="99"/>
    <w:semiHidden/>
    <w:unhideWhenUsed/>
    <w:rsid w:val="0005497E"/>
    <w:rPr>
      <w:b/>
      <w:bCs/>
    </w:rPr>
  </w:style>
  <w:style w:type="character" w:customStyle="1" w:styleId="a9">
    <w:name w:val="נושא הערה תו"/>
    <w:basedOn w:val="a7"/>
    <w:link w:val="a8"/>
    <w:uiPriority w:val="99"/>
    <w:semiHidden/>
    <w:rsid w:val="0005497E"/>
    <w:rPr>
      <w:rFonts w:cs="David"/>
      <w:b/>
      <w:bCs/>
      <w:sz w:val="20"/>
      <w:szCs w:val="20"/>
    </w:rPr>
  </w:style>
  <w:style w:type="paragraph" w:styleId="aa">
    <w:name w:val="Balloon Text"/>
    <w:basedOn w:val="a"/>
    <w:link w:val="ab"/>
    <w:uiPriority w:val="99"/>
    <w:semiHidden/>
    <w:unhideWhenUsed/>
    <w:rsid w:val="0005497E"/>
    <w:pPr>
      <w:spacing w:after="0" w:line="240" w:lineRule="auto"/>
    </w:pPr>
    <w:rPr>
      <w:rFonts w:ascii="Tahoma" w:hAnsi="Tahoma" w:cs="Tahoma"/>
      <w:sz w:val="16"/>
      <w:szCs w:val="16"/>
    </w:rPr>
  </w:style>
  <w:style w:type="character" w:customStyle="1" w:styleId="ab">
    <w:name w:val="טקסט בלונים תו"/>
    <w:basedOn w:val="a0"/>
    <w:link w:val="aa"/>
    <w:uiPriority w:val="99"/>
    <w:semiHidden/>
    <w:rsid w:val="0005497E"/>
    <w:rPr>
      <w:rFonts w:ascii="Tahoma" w:hAnsi="Tahoma" w:cs="Tahoma"/>
      <w:sz w:val="16"/>
      <w:szCs w:val="16"/>
    </w:rPr>
  </w:style>
  <w:style w:type="character" w:customStyle="1" w:styleId="10">
    <w:name w:val="כותרת 1 תו"/>
    <w:basedOn w:val="a0"/>
    <w:link w:val="1"/>
    <w:uiPriority w:val="9"/>
    <w:rsid w:val="00CC0652"/>
    <w:rPr>
      <w:rFonts w:asciiTheme="majorHAnsi" w:eastAsiaTheme="majorEastAsia" w:hAnsiTheme="majorHAnsi" w:cstheme="majorBidi"/>
      <w:b/>
      <w:bCs/>
      <w:color w:val="365F91" w:themeColor="accent1" w:themeShade="BF"/>
      <w:sz w:val="28"/>
      <w:szCs w:val="28"/>
    </w:rPr>
  </w:style>
  <w:style w:type="paragraph" w:customStyle="1" w:styleId="TableText">
    <w:name w:val="Table Text"/>
    <w:basedOn w:val="a"/>
    <w:uiPriority w:val="99"/>
    <w:rsid w:val="00CC0652"/>
    <w:pPr>
      <w:keepLines/>
      <w:widowControl w:val="0"/>
      <w:tabs>
        <w:tab w:val="left" w:pos="624"/>
        <w:tab w:val="left" w:pos="1247"/>
      </w:tabs>
      <w:autoSpaceDE w:val="0"/>
      <w:autoSpaceDN w:val="0"/>
      <w:adjustRightInd w:val="0"/>
      <w:snapToGrid w:val="0"/>
      <w:spacing w:after="0"/>
      <w:ind w:right="57"/>
      <w:textAlignment w:val="center"/>
    </w:pPr>
    <w:rPr>
      <w:rFonts w:ascii="Arial" w:eastAsia="Arial Unicode MS" w:hAnsi="Arial"/>
      <w:color w:val="000000"/>
      <w:sz w:val="20"/>
      <w:szCs w:val="26"/>
      <w:lang w:eastAsia="ja-JP"/>
    </w:rPr>
  </w:style>
  <w:style w:type="paragraph" w:customStyle="1" w:styleId="TableSideHeading">
    <w:name w:val="Table SideHeading"/>
    <w:basedOn w:val="TableText"/>
    <w:uiPriority w:val="99"/>
    <w:rsid w:val="00CC0652"/>
  </w:style>
  <w:style w:type="paragraph" w:styleId="ac">
    <w:name w:val="footnote text"/>
    <w:basedOn w:val="a"/>
    <w:link w:val="ad"/>
    <w:autoRedefine/>
    <w:uiPriority w:val="99"/>
    <w:rsid w:val="00CC0652"/>
    <w:pPr>
      <w:widowControl w:val="0"/>
      <w:autoSpaceDE w:val="0"/>
      <w:autoSpaceDN w:val="0"/>
      <w:adjustRightInd w:val="0"/>
      <w:snapToGrid w:val="0"/>
      <w:spacing w:after="0" w:line="240" w:lineRule="auto"/>
      <w:ind w:left="227" w:hanging="227"/>
      <w:textAlignment w:val="center"/>
    </w:pPr>
    <w:rPr>
      <w:rFonts w:ascii="Arial" w:eastAsia="Arial Unicode MS" w:hAnsi="Arial"/>
      <w:color w:val="000000"/>
      <w:sz w:val="14"/>
      <w:szCs w:val="20"/>
      <w:lang w:eastAsia="ja-JP"/>
    </w:rPr>
  </w:style>
  <w:style w:type="character" w:customStyle="1" w:styleId="ad">
    <w:name w:val="טקסט הערת שוליים תו"/>
    <w:basedOn w:val="a0"/>
    <w:link w:val="ac"/>
    <w:uiPriority w:val="99"/>
    <w:rsid w:val="00CC0652"/>
    <w:rPr>
      <w:rFonts w:ascii="Arial" w:eastAsia="Arial Unicode MS" w:hAnsi="Arial" w:cs="David"/>
      <w:color w:val="000000"/>
      <w:sz w:val="14"/>
      <w:szCs w:val="20"/>
      <w:lang w:eastAsia="ja-JP"/>
    </w:rPr>
  </w:style>
  <w:style w:type="character" w:styleId="ae">
    <w:name w:val="footnote reference"/>
    <w:basedOn w:val="a0"/>
    <w:uiPriority w:val="99"/>
    <w:rsid w:val="00CC0652"/>
    <w:rPr>
      <w:rFonts w:cs="Times New Roman"/>
      <w:vertAlign w:val="superscript"/>
    </w:rPr>
  </w:style>
  <w:style w:type="paragraph" w:customStyle="1" w:styleId="Hesber">
    <w:name w:val="Hesber"/>
    <w:basedOn w:val="a"/>
    <w:rsid w:val="00DB65FB"/>
    <w:pPr>
      <w:widowControl w:val="0"/>
      <w:autoSpaceDE w:val="0"/>
      <w:autoSpaceDN w:val="0"/>
      <w:adjustRightInd w:val="0"/>
      <w:snapToGrid w:val="0"/>
      <w:spacing w:after="0"/>
      <w:ind w:firstLine="340"/>
      <w:jc w:val="both"/>
      <w:textAlignment w:val="center"/>
    </w:pPr>
    <w:rPr>
      <w:rFonts w:ascii="Arial" w:eastAsia="Arial Unicode MS" w:hAnsi="Arial"/>
      <w:color w:val="000000"/>
      <w:sz w:val="20"/>
      <w:szCs w:val="26"/>
      <w:lang w:eastAsia="ja-JP"/>
    </w:rPr>
  </w:style>
  <w:style w:type="paragraph" w:customStyle="1" w:styleId="HeadHatzaotHok">
    <w:name w:val="Head HatzaotHok"/>
    <w:basedOn w:val="a"/>
    <w:rsid w:val="008F44B9"/>
    <w:pPr>
      <w:keepNext/>
      <w:keepLines/>
      <w:widowControl w:val="0"/>
      <w:autoSpaceDE w:val="0"/>
      <w:autoSpaceDN w:val="0"/>
      <w:adjustRightInd w:val="0"/>
      <w:snapToGrid w:val="0"/>
      <w:spacing w:before="240" w:after="0"/>
      <w:jc w:val="center"/>
      <w:textAlignment w:val="center"/>
    </w:pPr>
    <w:rPr>
      <w:rFonts w:ascii="Arial" w:eastAsia="Arial Unicode MS" w:hAnsi="Arial"/>
      <w:b/>
      <w:bCs/>
      <w:color w:val="000000"/>
      <w:sz w:val="20"/>
      <w:szCs w:val="26"/>
      <w:lang w:eastAsia="ja-JP"/>
    </w:rPr>
  </w:style>
  <w:style w:type="paragraph" w:customStyle="1" w:styleId="David">
    <w:name w:val="רגיל + (עברית ושפות אחרות) David"/>
    <w:aliases w:val="‏13 נק',מודגש,אחרי:  6 נק'"/>
    <w:basedOn w:val="a"/>
    <w:rsid w:val="008F44B9"/>
    <w:pPr>
      <w:widowControl w:val="0"/>
      <w:autoSpaceDE w:val="0"/>
      <w:autoSpaceDN w:val="0"/>
      <w:adjustRightInd w:val="0"/>
      <w:spacing w:before="102" w:after="0" w:line="204" w:lineRule="atLeast"/>
      <w:textAlignment w:val="center"/>
    </w:pPr>
    <w:rPr>
      <w:rFonts w:ascii="Hadasa Roso SL" w:eastAsia="MS Mincho" w:hAnsi="Hadasa Roso SL"/>
      <w:color w:val="000000"/>
      <w:spacing w:val="1"/>
      <w:sz w:val="26"/>
      <w:szCs w:val="26"/>
      <w:lang w:eastAsia="ja-JP"/>
    </w:rPr>
  </w:style>
  <w:style w:type="paragraph" w:customStyle="1" w:styleId="HeadDivreiHesber">
    <w:name w:val="Head DivreiHesber"/>
    <w:basedOn w:val="a"/>
    <w:rsid w:val="008F44B9"/>
    <w:pPr>
      <w:widowControl w:val="0"/>
      <w:autoSpaceDE w:val="0"/>
      <w:autoSpaceDN w:val="0"/>
      <w:adjustRightInd w:val="0"/>
      <w:snapToGrid w:val="0"/>
      <w:spacing w:before="360" w:after="120"/>
      <w:jc w:val="center"/>
      <w:textAlignment w:val="center"/>
    </w:pPr>
    <w:rPr>
      <w:rFonts w:ascii="Arial" w:eastAsia="Arial Unicode MS" w:hAnsi="Arial"/>
      <w:b/>
      <w:color w:val="000000"/>
      <w:spacing w:val="40"/>
      <w:sz w:val="20"/>
      <w:szCs w:val="26"/>
      <w:lang w:eastAsia="ja-JP"/>
    </w:rPr>
  </w:style>
  <w:style w:type="paragraph" w:styleId="af">
    <w:name w:val="No Spacing"/>
    <w:link w:val="af0"/>
    <w:uiPriority w:val="1"/>
    <w:qFormat/>
    <w:rsid w:val="000347AF"/>
    <w:pPr>
      <w:spacing w:after="0" w:line="240" w:lineRule="auto"/>
    </w:pPr>
    <w:rPr>
      <w:rFonts w:eastAsiaTheme="minorEastAsia"/>
      <w:lang w:bidi="ar-SA"/>
    </w:rPr>
  </w:style>
  <w:style w:type="character" w:customStyle="1" w:styleId="af0">
    <w:name w:val="ללא מרווח תו"/>
    <w:basedOn w:val="a0"/>
    <w:link w:val="af"/>
    <w:uiPriority w:val="1"/>
    <w:rsid w:val="000347AF"/>
    <w:rPr>
      <w:rFonts w:eastAsiaTheme="minorEastAsia"/>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678041">
      <w:bodyDiv w:val="1"/>
      <w:marLeft w:val="0"/>
      <w:marRight w:val="0"/>
      <w:marTop w:val="0"/>
      <w:marBottom w:val="0"/>
      <w:divBdr>
        <w:top w:val="none" w:sz="0" w:space="0" w:color="auto"/>
        <w:left w:val="none" w:sz="0" w:space="0" w:color="auto"/>
        <w:bottom w:val="none" w:sz="0" w:space="0" w:color="auto"/>
        <w:right w:val="none" w:sz="0" w:space="0" w:color="auto"/>
      </w:divBdr>
    </w:div>
    <w:div w:id="678435402">
      <w:bodyDiv w:val="1"/>
      <w:marLeft w:val="0"/>
      <w:marRight w:val="0"/>
      <w:marTop w:val="0"/>
      <w:marBottom w:val="0"/>
      <w:divBdr>
        <w:top w:val="none" w:sz="0" w:space="0" w:color="auto"/>
        <w:left w:val="none" w:sz="0" w:space="0" w:color="auto"/>
        <w:bottom w:val="none" w:sz="0" w:space="0" w:color="auto"/>
        <w:right w:val="none" w:sz="0" w:space="0" w:color="auto"/>
      </w:divBdr>
    </w:div>
    <w:div w:id="908229333">
      <w:bodyDiv w:val="1"/>
      <w:marLeft w:val="0"/>
      <w:marRight w:val="0"/>
      <w:marTop w:val="0"/>
      <w:marBottom w:val="0"/>
      <w:divBdr>
        <w:top w:val="none" w:sz="0" w:space="0" w:color="auto"/>
        <w:left w:val="none" w:sz="0" w:space="0" w:color="auto"/>
        <w:bottom w:val="none" w:sz="0" w:space="0" w:color="auto"/>
        <w:right w:val="none" w:sz="0" w:space="0" w:color="auto"/>
      </w:divBdr>
    </w:div>
    <w:div w:id="1780878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CB46CE-0915-46FA-83AB-DAE91AE16E31}">
  <ds:schemaRefs>
    <ds:schemaRef ds:uri="http://schemas.openxmlformats.org/officeDocument/2006/bibliography"/>
  </ds:schemaRefs>
</ds:datastoreItem>
</file>

<file path=customXml/itemProps2.xml><?xml version="1.0" encoding="utf-8"?>
<ds:datastoreItem xmlns:ds="http://schemas.openxmlformats.org/officeDocument/2006/customXml" ds:itemID="{A3829017-5640-43CB-A6F0-3463E8EE94C4}"/>
</file>

<file path=customXml/itemProps3.xml><?xml version="1.0" encoding="utf-8"?>
<ds:datastoreItem xmlns:ds="http://schemas.openxmlformats.org/officeDocument/2006/customXml" ds:itemID="{7A324DAC-E958-41AB-952B-F1F0C9CC07CC}"/>
</file>

<file path=customXml/itemProps4.xml><?xml version="1.0" encoding="utf-8"?>
<ds:datastoreItem xmlns:ds="http://schemas.openxmlformats.org/officeDocument/2006/customXml" ds:itemID="{55630D0A-80FD-457C-A608-8836A0EB43D3}"/>
</file>

<file path=docProps/app.xml><?xml version="1.0" encoding="utf-8"?>
<Properties xmlns="http://schemas.openxmlformats.org/officeDocument/2006/extended-properties" xmlns:vt="http://schemas.openxmlformats.org/officeDocument/2006/docPropsVTypes">
  <Template>Normal</Template>
  <TotalTime>0</TotalTime>
  <Pages>4</Pages>
  <Words>1303</Words>
  <Characters>6518</Characters>
  <Application>Microsoft Office Word</Application>
  <DocSecurity>4</DocSecurity>
  <Lines>54</Lines>
  <Paragraphs>15</Paragraphs>
  <ScaleCrop>false</ScaleCrop>
  <HeadingPairs>
    <vt:vector size="2" baseType="variant">
      <vt:variant>
        <vt:lpstr>שם</vt:lpstr>
      </vt:variant>
      <vt:variant>
        <vt:i4>1</vt:i4>
      </vt:variant>
    </vt:vector>
  </HeadingPairs>
  <TitlesOfParts>
    <vt:vector size="1" baseType="lpstr">
      <vt:lpstr/>
    </vt:vector>
  </TitlesOfParts>
  <Company>IEC</Company>
  <LinksUpToDate>false</LinksUpToDate>
  <CharactersWithSpaces>7806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יהל - גלעד יחסי ממשל ולובינג</cp:lastModifiedBy>
  <cp:revision>2</cp:revision>
  <dcterms:created xsi:type="dcterms:W3CDTF">2017-02-20T09:13:00Z</dcterms:created>
  <dcterms:modified xsi:type="dcterms:W3CDTF">2017-02-20T09:13:00Z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2013957</vt:r8>
  </property>
</Properties>
</file>