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C17" w:rsidRPr="00B64682" w:rsidRDefault="00D23C17" w:rsidP="00D23C17">
      <w:pPr>
        <w:spacing w:line="360" w:lineRule="auto"/>
        <w:jc w:val="center"/>
        <w:rPr>
          <w:rFonts w:ascii="David" w:hAnsi="David" w:cs="David"/>
          <w:b/>
          <w:bCs/>
          <w:sz w:val="36"/>
          <w:szCs w:val="36"/>
          <w:rtl/>
        </w:rPr>
      </w:pPr>
      <w:r w:rsidRPr="00B64682">
        <w:rPr>
          <w:rFonts w:ascii="David" w:hAnsi="David" w:cs="David" w:hint="cs"/>
          <w:b/>
          <w:bCs/>
          <w:sz w:val="36"/>
          <w:szCs w:val="36"/>
          <w:rtl/>
        </w:rPr>
        <w:t>חוסר ביטחון תזונתי בקרב נשים הרות</w:t>
      </w:r>
    </w:p>
    <w:p w:rsidR="00DE5259" w:rsidRPr="00B64682" w:rsidRDefault="00D23C17" w:rsidP="00D23C17">
      <w:pPr>
        <w:spacing w:line="360" w:lineRule="auto"/>
        <w:jc w:val="both"/>
        <w:rPr>
          <w:rFonts w:ascii="David" w:hAnsi="David" w:cs="David"/>
          <w:sz w:val="28"/>
          <w:szCs w:val="28"/>
          <w:u w:val="single"/>
          <w:rtl/>
        </w:rPr>
      </w:pPr>
      <w:r w:rsidRPr="00B64682">
        <w:rPr>
          <w:rFonts w:ascii="David" w:hAnsi="David" w:cs="David"/>
          <w:sz w:val="28"/>
          <w:szCs w:val="28"/>
          <w:u w:val="single"/>
          <w:rtl/>
        </w:rPr>
        <w:t>הבעיה</w:t>
      </w:r>
    </w:p>
    <w:p w:rsidR="00FD5D53" w:rsidRPr="00FD5D53" w:rsidRDefault="00D23C17" w:rsidP="00B64682">
      <w:pPr>
        <w:spacing w:after="0" w:line="360" w:lineRule="auto"/>
        <w:jc w:val="both"/>
        <w:rPr>
          <w:rFonts w:ascii="David" w:eastAsia="Times New Roman" w:hAnsi="David" w:cs="David"/>
          <w:sz w:val="24"/>
          <w:szCs w:val="24"/>
          <w:rtl/>
        </w:rPr>
      </w:pPr>
      <w:r w:rsidRPr="00FD5D53">
        <w:rPr>
          <w:rFonts w:ascii="David" w:eastAsia="Times New Roman" w:hAnsi="David" w:cs="David"/>
          <w:sz w:val="24"/>
          <w:szCs w:val="24"/>
          <w:rtl/>
        </w:rPr>
        <w:t xml:space="preserve">ביטחון תזונתי הוגדר </w:t>
      </w:r>
      <w:r w:rsidRPr="00FD5D53">
        <w:rPr>
          <w:rFonts w:ascii="David" w:hAnsi="David" w:cs="David"/>
          <w:sz w:val="24"/>
          <w:szCs w:val="24"/>
          <w:rtl/>
        </w:rPr>
        <w:t>בפסגת המזון העולמית ברומא (</w:t>
      </w:r>
      <w:r w:rsidRPr="00FD5D53">
        <w:rPr>
          <w:rFonts w:ascii="David" w:hAnsi="David" w:cs="David"/>
          <w:sz w:val="24"/>
          <w:szCs w:val="24"/>
        </w:rPr>
        <w:t>World Food Summit</w:t>
      </w:r>
      <w:r w:rsidRPr="00FD5D53">
        <w:rPr>
          <w:rFonts w:ascii="David" w:hAnsi="David" w:cs="David"/>
          <w:sz w:val="24"/>
          <w:szCs w:val="24"/>
          <w:rtl/>
        </w:rPr>
        <w:t>)  בשנת 1996, כ"מצב בו לכל האנשים יש כל הזמן נגישות סדירה, פיזית וכלכלית, לכמות מספקת של מזון בריא ומזין, אשר מתאים להעדפותיהם וצורכיהם התזונתיים ומאפשר קיום חיים פעילים ובריאים". חוסר ביטחון תזונתי</w:t>
      </w:r>
      <w:r w:rsidR="0048139B">
        <w:rPr>
          <w:rFonts w:ascii="David" w:hAnsi="David" w:cs="David" w:hint="cs"/>
          <w:sz w:val="24"/>
          <w:szCs w:val="24"/>
          <w:rtl/>
        </w:rPr>
        <w:t xml:space="preserve"> בארצות מפותחות הוסיף מרכיב חברתי ו</w:t>
      </w:r>
      <w:r w:rsidRPr="00FD5D53">
        <w:rPr>
          <w:rFonts w:ascii="David" w:hAnsi="David" w:cs="David"/>
          <w:sz w:val="24"/>
          <w:szCs w:val="24"/>
          <w:rtl/>
        </w:rPr>
        <w:t>הוגדר</w:t>
      </w:r>
      <w:r w:rsidR="0048139B">
        <w:rPr>
          <w:rFonts w:ascii="David" w:hAnsi="David" w:cs="David" w:hint="cs"/>
          <w:sz w:val="24"/>
          <w:szCs w:val="24"/>
          <w:rtl/>
        </w:rPr>
        <w:t xml:space="preserve"> </w:t>
      </w:r>
      <w:r w:rsidRPr="00FD5D53">
        <w:rPr>
          <w:rFonts w:ascii="David" w:hAnsi="David" w:cs="David"/>
          <w:sz w:val="24"/>
          <w:szCs w:val="24"/>
          <w:rtl/>
        </w:rPr>
        <w:t>כ"העדר נגישות סדירה למזון מזין בדרכים מקובלות ובכמות מספקת. דרכים מקובלות, פירושן רכישת המזון הנדרש, ולא, למשל, קבלת מזון מגופים פילנתרופיים או איסוף תרומות וקבצנות". הגדרות אלו, המקובלת בעולם המערבי, אומצו</w:t>
      </w:r>
      <w:r w:rsidR="0048139B">
        <w:rPr>
          <w:rFonts w:ascii="David" w:hAnsi="David" w:cs="David" w:hint="cs"/>
          <w:sz w:val="24"/>
          <w:szCs w:val="24"/>
          <w:rtl/>
        </w:rPr>
        <w:t xml:space="preserve"> בישראל בשנת 2008</w:t>
      </w:r>
      <w:r w:rsidRPr="00FD5D53">
        <w:rPr>
          <w:rFonts w:ascii="David" w:hAnsi="David" w:cs="David"/>
          <w:sz w:val="24"/>
          <w:szCs w:val="24"/>
          <w:rtl/>
        </w:rPr>
        <w:t xml:space="preserve"> ע"י הועדה הבין-משרדית לבחינת אחריות המדינה לביטחון התזונתי של אז</w:t>
      </w:r>
      <w:r w:rsidR="0048139B">
        <w:rPr>
          <w:rFonts w:ascii="David" w:hAnsi="David" w:cs="David"/>
          <w:sz w:val="24"/>
          <w:szCs w:val="24"/>
          <w:rtl/>
        </w:rPr>
        <w:t>רחיה (ועדת הרצוג-</w:t>
      </w:r>
      <w:proofErr w:type="spellStart"/>
      <w:r w:rsidR="0048139B">
        <w:rPr>
          <w:rFonts w:ascii="David" w:hAnsi="David" w:cs="David"/>
          <w:sz w:val="24"/>
          <w:szCs w:val="24"/>
          <w:rtl/>
        </w:rPr>
        <w:t>איצקוביץ</w:t>
      </w:r>
      <w:proofErr w:type="spellEnd"/>
      <w:r w:rsidR="0048139B">
        <w:rPr>
          <w:rFonts w:ascii="David" w:hAnsi="David" w:cs="David"/>
          <w:sz w:val="24"/>
          <w:szCs w:val="24"/>
          <w:rtl/>
        </w:rPr>
        <w:t>)</w:t>
      </w:r>
      <w:r w:rsidR="00FD5D53">
        <w:rPr>
          <w:rStyle w:val="a7"/>
          <w:rFonts w:ascii="David" w:hAnsi="David" w:cs="David"/>
          <w:sz w:val="24"/>
          <w:szCs w:val="24"/>
          <w:rtl/>
        </w:rPr>
        <w:footnoteReference w:id="1"/>
      </w:r>
      <w:r w:rsidR="0048139B">
        <w:rPr>
          <w:rFonts w:ascii="David" w:hAnsi="David" w:cs="David" w:hint="cs"/>
          <w:sz w:val="24"/>
          <w:szCs w:val="24"/>
          <w:rtl/>
        </w:rPr>
        <w:t>.</w:t>
      </w:r>
    </w:p>
    <w:p w:rsidR="00D23C17" w:rsidRPr="0048139B" w:rsidRDefault="00D23C17" w:rsidP="0048139B">
      <w:pPr>
        <w:spacing w:line="360" w:lineRule="auto"/>
        <w:jc w:val="both"/>
        <w:rPr>
          <w:rFonts w:ascii="Times New Roman" w:eastAsia="Times New Roman" w:hAnsi="Times New Roman" w:cs="David"/>
          <w:b/>
          <w:bCs/>
          <w:sz w:val="24"/>
          <w:szCs w:val="24"/>
          <w:rtl/>
        </w:rPr>
      </w:pPr>
      <w:r w:rsidRPr="00FD5D53">
        <w:rPr>
          <w:rFonts w:ascii="David" w:eastAsia="Times New Roman" w:hAnsi="David" w:cs="David"/>
          <w:b/>
          <w:bCs/>
          <w:sz w:val="24"/>
          <w:szCs w:val="24"/>
          <w:rtl/>
        </w:rPr>
        <w:t>חוסר ביטחון תזונתי בקרב נשים הרות הינה בעיה חברתית ובריאותית בעלת מאפיינים ייחודיים וחמורים בהשוואה לחוסר ביטחון תזונתי באוכלוסייה הכללית.</w:t>
      </w:r>
      <w:r w:rsidRPr="00FD5D53">
        <w:rPr>
          <w:rFonts w:ascii="David" w:eastAsia="Times New Roman" w:hAnsi="David" w:cs="David"/>
          <w:sz w:val="24"/>
          <w:szCs w:val="24"/>
          <w:rtl/>
        </w:rPr>
        <w:t xml:space="preserve"> מצב זה מתקיים כאשר האישה אינה צורכת את המרכיבים התזונתיים הדרושים לה ולהתפתחותו התקינה של עוברה.</w:t>
      </w:r>
      <w:r w:rsidR="00FD5D53">
        <w:rPr>
          <w:rFonts w:ascii="David" w:eastAsia="Times New Roman" w:hAnsi="David" w:cs="David" w:hint="cs"/>
          <w:sz w:val="24"/>
          <w:szCs w:val="24"/>
          <w:rtl/>
        </w:rPr>
        <w:t xml:space="preserve"> </w:t>
      </w:r>
      <w:r w:rsidRPr="00FD5D53">
        <w:rPr>
          <w:rFonts w:ascii="David" w:eastAsia="Times New Roman" w:hAnsi="David" w:cs="David"/>
          <w:sz w:val="24"/>
          <w:szCs w:val="24"/>
          <w:rtl/>
        </w:rPr>
        <w:t>כיום לא קיימים נתונים סטטיסטיים בנוגע להיקף הבעיה בקרב נשים הרות בישראל.</w:t>
      </w:r>
      <w:r w:rsidR="0048139B">
        <w:rPr>
          <w:rFonts w:ascii="David" w:eastAsia="Times New Roman" w:hAnsi="David" w:cs="David" w:hint="cs"/>
          <w:sz w:val="24"/>
          <w:szCs w:val="24"/>
          <w:rtl/>
        </w:rPr>
        <w:t xml:space="preserve"> </w:t>
      </w:r>
      <w:r w:rsidR="0048139B" w:rsidRPr="00B765D4">
        <w:rPr>
          <w:rFonts w:ascii="David" w:eastAsia="Times New Roman" w:hAnsi="David" w:cs="David" w:hint="cs"/>
          <w:b/>
          <w:bCs/>
          <w:sz w:val="24"/>
          <w:szCs w:val="24"/>
          <w:rtl/>
        </w:rPr>
        <w:t>בעת קביעת מדיניות ותכניות התערבות מתאימות, המטרה שצריכה לעמוד לנגד עינינו היא שלכל</w:t>
      </w:r>
      <w:r w:rsidR="0048139B" w:rsidRPr="00B765D4">
        <w:rPr>
          <w:rFonts w:ascii="Times New Roman" w:eastAsia="Times New Roman" w:hAnsi="Times New Roman" w:cs="David" w:hint="cs"/>
          <w:b/>
          <w:bCs/>
          <w:sz w:val="24"/>
          <w:szCs w:val="24"/>
          <w:rtl/>
        </w:rPr>
        <w:t xml:space="preserve"> </w:t>
      </w:r>
      <w:r w:rsidR="0048139B" w:rsidRPr="00B765D4">
        <w:rPr>
          <w:rFonts w:ascii="David" w:eastAsia="Times New Roman" w:hAnsi="David" w:cs="David"/>
          <w:b/>
          <w:bCs/>
          <w:sz w:val="24"/>
          <w:szCs w:val="24"/>
          <w:rtl/>
        </w:rPr>
        <w:t xml:space="preserve">אישה הרה במדינת ישראל </w:t>
      </w:r>
      <w:r w:rsidR="0048139B" w:rsidRPr="00B765D4">
        <w:rPr>
          <w:rFonts w:ascii="David" w:eastAsia="Times New Roman" w:hAnsi="David" w:cs="David" w:hint="cs"/>
          <w:b/>
          <w:bCs/>
          <w:sz w:val="24"/>
          <w:szCs w:val="24"/>
          <w:rtl/>
        </w:rPr>
        <w:t xml:space="preserve">תהא נגישות </w:t>
      </w:r>
      <w:r w:rsidR="0048139B" w:rsidRPr="00B765D4">
        <w:rPr>
          <w:rFonts w:ascii="David" w:eastAsia="Times New Roman" w:hAnsi="David" w:cs="David"/>
          <w:b/>
          <w:bCs/>
          <w:sz w:val="24"/>
          <w:szCs w:val="24"/>
          <w:rtl/>
        </w:rPr>
        <w:t>לכלל המרכיבים התזונתיים אשר להם היא זקוקה על מנת להבטיח את הבריאות שלה ושל עוברה</w:t>
      </w:r>
      <w:r w:rsidR="0048139B">
        <w:rPr>
          <w:rFonts w:ascii="David" w:eastAsia="Times New Roman" w:hAnsi="David" w:cs="David" w:hint="cs"/>
          <w:b/>
          <w:bCs/>
          <w:sz w:val="24"/>
          <w:szCs w:val="24"/>
          <w:rtl/>
        </w:rPr>
        <w:t xml:space="preserve"> תוך שמירה על כבודה וערכיה</w:t>
      </w:r>
      <w:r w:rsidR="0048139B" w:rsidRPr="00B765D4">
        <w:rPr>
          <w:rFonts w:ascii="David" w:eastAsia="Times New Roman" w:hAnsi="David" w:cs="David"/>
          <w:b/>
          <w:bCs/>
          <w:sz w:val="24"/>
          <w:szCs w:val="24"/>
          <w:rtl/>
        </w:rPr>
        <w:t xml:space="preserve">. </w:t>
      </w:r>
    </w:p>
    <w:p w:rsidR="00D23C17" w:rsidRPr="00B64682" w:rsidRDefault="00D23C17" w:rsidP="00D23C17">
      <w:pPr>
        <w:spacing w:line="360" w:lineRule="auto"/>
        <w:jc w:val="both"/>
        <w:rPr>
          <w:rFonts w:ascii="David" w:eastAsia="Times New Roman" w:hAnsi="David" w:cs="David"/>
          <w:sz w:val="28"/>
          <w:szCs w:val="28"/>
          <w:u w:val="single"/>
          <w:rtl/>
        </w:rPr>
      </w:pPr>
      <w:r w:rsidRPr="00B64682">
        <w:rPr>
          <w:rFonts w:ascii="David" w:eastAsia="Times New Roman" w:hAnsi="David" w:cs="David"/>
          <w:sz w:val="28"/>
          <w:szCs w:val="28"/>
          <w:u w:val="single"/>
          <w:rtl/>
        </w:rPr>
        <w:t>חלופות</w:t>
      </w:r>
    </w:p>
    <w:p w:rsidR="00D23C17" w:rsidRPr="00FD5D53" w:rsidRDefault="00D23C17" w:rsidP="00B64682">
      <w:pPr>
        <w:spacing w:after="0" w:line="360" w:lineRule="auto"/>
        <w:jc w:val="both"/>
        <w:rPr>
          <w:rFonts w:ascii="David" w:eastAsia="Times New Roman" w:hAnsi="David" w:cs="David"/>
          <w:sz w:val="24"/>
          <w:szCs w:val="24"/>
          <w:rtl/>
        </w:rPr>
      </w:pPr>
      <w:r w:rsidRPr="00FD5D53">
        <w:rPr>
          <w:rFonts w:ascii="David" w:eastAsia="Times New Roman" w:hAnsi="David" w:cs="David"/>
          <w:b/>
          <w:bCs/>
          <w:sz w:val="24"/>
          <w:szCs w:val="24"/>
          <w:rtl/>
        </w:rPr>
        <w:t>המדיניות כיום בישראל בנוגע להתמודדות עם הבעיה אינה מתייחסת לאוכלוסיית הנשים ההרות כקבוצה נפרדת ובעלת צרכים ייחודיים</w:t>
      </w:r>
      <w:r w:rsidRPr="00FD5D53">
        <w:rPr>
          <w:rFonts w:ascii="David" w:eastAsia="Times New Roman" w:hAnsi="David" w:cs="David"/>
          <w:sz w:val="24"/>
          <w:szCs w:val="24"/>
          <w:rtl/>
        </w:rPr>
        <w:t>.</w:t>
      </w:r>
      <w:r w:rsidR="00FD5D53">
        <w:rPr>
          <w:rFonts w:ascii="David" w:eastAsia="Times New Roman" w:hAnsi="David" w:cs="David" w:hint="cs"/>
          <w:sz w:val="24"/>
          <w:szCs w:val="24"/>
          <w:rtl/>
        </w:rPr>
        <w:t xml:space="preserve"> לכן, </w:t>
      </w:r>
      <w:r w:rsidRPr="00FD5D53">
        <w:rPr>
          <w:rFonts w:ascii="David" w:eastAsia="Times New Roman" w:hAnsi="David" w:cs="David"/>
          <w:sz w:val="24"/>
          <w:szCs w:val="24"/>
          <w:rtl/>
        </w:rPr>
        <w:t>בשלב ראשון, יש לערוך איסוף נתונים מדויק ככל הניתן על האוכלוסייה במסגרת הסקרים שמבצע המוסד לביטוח לאומי או באמצעות בדיקות במסגרת של מערכת הבריאות, כמו לדוגמא בדיקות דם. במקביל, יש לפעול להעלאת המודעות לנושא בקרב אנשי מקצוע, ויצירת שיח בין אנשי מקצוע מתחומים שונים הנוגעים לבעיה.</w:t>
      </w:r>
      <w:r w:rsidRPr="00FD5D53">
        <w:rPr>
          <w:rFonts w:ascii="David" w:hAnsi="David" w:cs="David"/>
          <w:sz w:val="24"/>
          <w:szCs w:val="24"/>
          <w:rtl/>
        </w:rPr>
        <w:t xml:space="preserve"> </w:t>
      </w:r>
      <w:r w:rsidRPr="00FD5D53">
        <w:rPr>
          <w:rFonts w:ascii="David" w:eastAsia="Times New Roman" w:hAnsi="David" w:cs="David"/>
          <w:sz w:val="24"/>
          <w:szCs w:val="24"/>
          <w:rtl/>
        </w:rPr>
        <w:t>בכדי להשיג יעדים אלה ללא פגיעה בערכים המצוינים לעיל, יש לשמוע את קולן של הנשים עצמן</w:t>
      </w:r>
      <w:r w:rsidR="00FD5D53">
        <w:rPr>
          <w:rFonts w:ascii="David" w:eastAsia="Times New Roman" w:hAnsi="David" w:cs="David" w:hint="cs"/>
          <w:sz w:val="24"/>
          <w:szCs w:val="24"/>
          <w:rtl/>
        </w:rPr>
        <w:t>,</w:t>
      </w:r>
      <w:r w:rsidRPr="00FD5D53">
        <w:rPr>
          <w:rFonts w:ascii="David" w:eastAsia="Times New Roman" w:hAnsi="David" w:cs="David"/>
          <w:sz w:val="24"/>
          <w:szCs w:val="24"/>
          <w:rtl/>
        </w:rPr>
        <w:t xml:space="preserve"> זאת מתוך הבנה שנשים הן המומחיות למצבן ואצלן מצוי הידע גם באשר לפתרון הרצוי. </w:t>
      </w:r>
    </w:p>
    <w:p w:rsidR="00D23C17" w:rsidRPr="00FD5D53" w:rsidRDefault="00D23C17" w:rsidP="00B64682">
      <w:pPr>
        <w:spacing w:after="0" w:line="360" w:lineRule="auto"/>
        <w:jc w:val="both"/>
        <w:rPr>
          <w:rFonts w:ascii="David" w:eastAsia="Times New Roman" w:hAnsi="David" w:cs="David"/>
          <w:sz w:val="24"/>
          <w:szCs w:val="24"/>
          <w:rtl/>
        </w:rPr>
      </w:pPr>
      <w:r w:rsidRPr="00FD5D53">
        <w:rPr>
          <w:rFonts w:ascii="David" w:eastAsia="Times New Roman" w:hAnsi="David" w:cs="David"/>
          <w:sz w:val="24"/>
          <w:szCs w:val="24"/>
          <w:rtl/>
        </w:rPr>
        <w:t>מישורי הפעולה אותם ראוי לבחון:</w:t>
      </w:r>
    </w:p>
    <w:p w:rsidR="00D23C17" w:rsidRPr="00B64682" w:rsidRDefault="0048139B" w:rsidP="00B64682">
      <w:pPr>
        <w:pStyle w:val="ac"/>
        <w:numPr>
          <w:ilvl w:val="0"/>
          <w:numId w:val="1"/>
        </w:numPr>
        <w:spacing w:after="0" w:line="360" w:lineRule="auto"/>
        <w:jc w:val="both"/>
        <w:rPr>
          <w:rFonts w:ascii="David" w:eastAsia="Times New Roman" w:hAnsi="David" w:cs="David"/>
          <w:sz w:val="24"/>
          <w:szCs w:val="24"/>
          <w:rtl/>
        </w:rPr>
      </w:pPr>
      <w:r w:rsidRPr="00B64682">
        <w:rPr>
          <w:rFonts w:ascii="David" w:eastAsia="Times New Roman" w:hAnsi="David" w:cs="David" w:hint="cs"/>
          <w:sz w:val="24"/>
          <w:szCs w:val="24"/>
          <w:rtl/>
        </w:rPr>
        <w:t>הקמה ו</w:t>
      </w:r>
      <w:r w:rsidR="00FF2227" w:rsidRPr="00B64682">
        <w:rPr>
          <w:rFonts w:ascii="David" w:eastAsia="Times New Roman" w:hAnsi="David" w:cs="David"/>
          <w:sz w:val="24"/>
          <w:szCs w:val="24"/>
          <w:rtl/>
        </w:rPr>
        <w:t>הטמע</w:t>
      </w:r>
      <w:r w:rsidR="00FF2227" w:rsidRPr="00B64682">
        <w:rPr>
          <w:rFonts w:ascii="David" w:eastAsia="Times New Roman" w:hAnsi="David" w:cs="David" w:hint="cs"/>
          <w:sz w:val="24"/>
          <w:szCs w:val="24"/>
          <w:rtl/>
        </w:rPr>
        <w:t>ה</w:t>
      </w:r>
      <w:r w:rsidR="00D23C17" w:rsidRPr="00B64682">
        <w:rPr>
          <w:rFonts w:ascii="David" w:eastAsia="Times New Roman" w:hAnsi="David" w:cs="David"/>
          <w:sz w:val="24"/>
          <w:szCs w:val="24"/>
          <w:rtl/>
        </w:rPr>
        <w:t xml:space="preserve"> </w:t>
      </w:r>
      <w:r w:rsidR="00FF2227" w:rsidRPr="00B64682">
        <w:rPr>
          <w:rFonts w:ascii="David" w:eastAsia="Times New Roman" w:hAnsi="David" w:cs="David" w:hint="cs"/>
          <w:sz w:val="24"/>
          <w:szCs w:val="24"/>
          <w:rtl/>
        </w:rPr>
        <w:t xml:space="preserve">של </w:t>
      </w:r>
      <w:r w:rsidR="00D23C17" w:rsidRPr="00B64682">
        <w:rPr>
          <w:rFonts w:ascii="David" w:eastAsia="Times New Roman" w:hAnsi="David" w:cs="David"/>
          <w:sz w:val="24"/>
          <w:szCs w:val="24"/>
          <w:rtl/>
        </w:rPr>
        <w:t xml:space="preserve">תוכנית </w:t>
      </w:r>
      <w:r w:rsidR="00D23C17" w:rsidRPr="00B64682">
        <w:rPr>
          <w:rFonts w:ascii="David" w:eastAsia="Times New Roman" w:hAnsi="David" w:cs="David"/>
          <w:sz w:val="24"/>
          <w:szCs w:val="24"/>
        </w:rPr>
        <w:t>WIC</w:t>
      </w:r>
      <w:r w:rsidR="00D23C17" w:rsidRPr="00B64682">
        <w:rPr>
          <w:rFonts w:ascii="David" w:eastAsia="Times New Roman" w:hAnsi="David" w:cs="David"/>
          <w:sz w:val="24"/>
          <w:szCs w:val="24"/>
          <w:rtl/>
        </w:rPr>
        <w:t xml:space="preserve"> האמריקאית בישראל.</w:t>
      </w:r>
    </w:p>
    <w:p w:rsidR="00D23C17" w:rsidRPr="00B64682" w:rsidRDefault="00D23C17" w:rsidP="00B64682">
      <w:pPr>
        <w:pStyle w:val="ac"/>
        <w:numPr>
          <w:ilvl w:val="0"/>
          <w:numId w:val="1"/>
        </w:numPr>
        <w:spacing w:after="0" w:line="360" w:lineRule="auto"/>
        <w:jc w:val="both"/>
        <w:rPr>
          <w:rFonts w:ascii="David" w:eastAsia="Times New Roman" w:hAnsi="David" w:cs="David"/>
          <w:sz w:val="24"/>
          <w:szCs w:val="24"/>
          <w:rtl/>
        </w:rPr>
      </w:pPr>
      <w:r w:rsidRPr="00B64682">
        <w:rPr>
          <w:rFonts w:ascii="David" w:eastAsia="Times New Roman" w:hAnsi="David" w:cs="David"/>
          <w:sz w:val="24"/>
          <w:szCs w:val="24"/>
          <w:rtl/>
        </w:rPr>
        <w:t xml:space="preserve">התאמת המיזם לביטחון תזונתי </w:t>
      </w:r>
      <w:r w:rsidR="0048139B" w:rsidRPr="00B64682">
        <w:rPr>
          <w:rFonts w:ascii="David" w:eastAsia="Times New Roman" w:hAnsi="David" w:cs="David" w:hint="cs"/>
          <w:sz w:val="24"/>
          <w:szCs w:val="24"/>
          <w:rtl/>
        </w:rPr>
        <w:t xml:space="preserve">של הג'וינט למענה </w:t>
      </w:r>
      <w:r w:rsidRPr="00B64682">
        <w:rPr>
          <w:rFonts w:ascii="David" w:eastAsia="Times New Roman" w:hAnsi="David" w:cs="David"/>
          <w:sz w:val="24"/>
          <w:szCs w:val="24"/>
          <w:rtl/>
        </w:rPr>
        <w:t>עבור נשים הרות הסובלות מהבעיה.</w:t>
      </w:r>
    </w:p>
    <w:p w:rsidR="00D23C17" w:rsidRPr="00B64682" w:rsidRDefault="00D23C17" w:rsidP="00B64682">
      <w:pPr>
        <w:pStyle w:val="ac"/>
        <w:numPr>
          <w:ilvl w:val="0"/>
          <w:numId w:val="1"/>
        </w:numPr>
        <w:spacing w:after="0" w:line="360" w:lineRule="auto"/>
        <w:jc w:val="both"/>
        <w:rPr>
          <w:rFonts w:ascii="David" w:eastAsia="Times New Roman" w:hAnsi="David" w:cs="David"/>
          <w:sz w:val="24"/>
          <w:szCs w:val="24"/>
          <w:rtl/>
        </w:rPr>
      </w:pPr>
      <w:r w:rsidRPr="00B64682">
        <w:rPr>
          <w:rFonts w:ascii="David" w:eastAsia="Times New Roman" w:hAnsi="David" w:cs="David"/>
          <w:sz w:val="24"/>
          <w:szCs w:val="24"/>
          <w:rtl/>
        </w:rPr>
        <w:t>סבסוד תר</w:t>
      </w:r>
      <w:r w:rsidR="0048139B" w:rsidRPr="00B64682">
        <w:rPr>
          <w:rFonts w:ascii="David" w:eastAsia="Times New Roman" w:hAnsi="David" w:cs="David"/>
          <w:sz w:val="24"/>
          <w:szCs w:val="24"/>
          <w:rtl/>
        </w:rPr>
        <w:t>ופות ובדיקות עבור נשים בהיריון.</w:t>
      </w:r>
    </w:p>
    <w:p w:rsidR="00D23C17" w:rsidRPr="00FD5D53" w:rsidRDefault="00D23C17" w:rsidP="00D23C17">
      <w:pPr>
        <w:bidi w:val="0"/>
        <w:spacing w:after="0" w:line="360" w:lineRule="auto"/>
        <w:jc w:val="both"/>
        <w:rPr>
          <w:rFonts w:ascii="David" w:eastAsia="Times New Roman" w:hAnsi="David" w:cs="David"/>
          <w:sz w:val="24"/>
          <w:szCs w:val="24"/>
          <w:rtl/>
        </w:rPr>
      </w:pPr>
    </w:p>
    <w:p w:rsidR="00D23C17" w:rsidRPr="00BB7693" w:rsidRDefault="00FF2227" w:rsidP="00D23C17">
      <w:pPr>
        <w:spacing w:after="0" w:line="360" w:lineRule="auto"/>
        <w:jc w:val="both"/>
        <w:rPr>
          <w:rFonts w:ascii="David" w:eastAsia="Times New Roman" w:hAnsi="David" w:cs="David"/>
          <w:b/>
          <w:bCs/>
          <w:i/>
          <w:iCs/>
          <w:sz w:val="24"/>
          <w:szCs w:val="24"/>
          <w:rtl/>
        </w:rPr>
      </w:pPr>
      <w:r>
        <w:rPr>
          <w:rFonts w:ascii="David" w:eastAsia="Times New Roman" w:hAnsi="David" w:cs="David" w:hint="cs"/>
          <w:b/>
          <w:bCs/>
          <w:i/>
          <w:iCs/>
          <w:sz w:val="24"/>
          <w:szCs w:val="24"/>
          <w:rtl/>
        </w:rPr>
        <w:t xml:space="preserve">הקמה והטמעה של </w:t>
      </w:r>
      <w:bookmarkStart w:id="0" w:name="_GoBack"/>
      <w:bookmarkEnd w:id="0"/>
      <w:r w:rsidR="00D23C17" w:rsidRPr="00BB7693">
        <w:rPr>
          <w:rFonts w:ascii="David" w:eastAsia="Times New Roman" w:hAnsi="David" w:cs="David"/>
          <w:b/>
          <w:bCs/>
          <w:i/>
          <w:iCs/>
          <w:sz w:val="24"/>
          <w:szCs w:val="24"/>
          <w:rtl/>
        </w:rPr>
        <w:t xml:space="preserve">תכנית </w:t>
      </w:r>
      <w:r w:rsidR="00D23C17" w:rsidRPr="00BB7693">
        <w:rPr>
          <w:rFonts w:ascii="David" w:eastAsia="Times New Roman" w:hAnsi="David" w:cs="David"/>
          <w:b/>
          <w:bCs/>
          <w:i/>
          <w:iCs/>
          <w:sz w:val="24"/>
          <w:szCs w:val="24"/>
        </w:rPr>
        <w:t>WIC</w:t>
      </w:r>
      <w:r>
        <w:rPr>
          <w:rFonts w:ascii="David" w:eastAsia="Times New Roman" w:hAnsi="David" w:cs="David" w:hint="cs"/>
          <w:b/>
          <w:bCs/>
          <w:i/>
          <w:iCs/>
          <w:sz w:val="24"/>
          <w:szCs w:val="24"/>
          <w:rtl/>
        </w:rPr>
        <w:t xml:space="preserve"> בישראל</w:t>
      </w:r>
      <w:r w:rsidR="00D23C17" w:rsidRPr="00BB7693">
        <w:rPr>
          <w:rFonts w:ascii="David" w:eastAsia="Times New Roman" w:hAnsi="David" w:cs="David"/>
          <w:b/>
          <w:bCs/>
          <w:i/>
          <w:iCs/>
          <w:sz w:val="24"/>
          <w:szCs w:val="24"/>
          <w:rtl/>
        </w:rPr>
        <w:t>:</w:t>
      </w:r>
    </w:p>
    <w:p w:rsidR="00D23C17" w:rsidRPr="00FD5D53" w:rsidRDefault="00D23C17" w:rsidP="00FD5D53">
      <w:pPr>
        <w:spacing w:after="0" w:line="360" w:lineRule="auto"/>
        <w:jc w:val="both"/>
        <w:rPr>
          <w:rFonts w:ascii="David" w:eastAsia="Times New Roman" w:hAnsi="David" w:cs="David"/>
          <w:sz w:val="24"/>
          <w:szCs w:val="24"/>
          <w:rtl/>
        </w:rPr>
      </w:pPr>
      <w:r w:rsidRPr="00FD5D53">
        <w:rPr>
          <w:rFonts w:ascii="David" w:eastAsia="Times New Roman" w:hAnsi="David" w:cs="David"/>
          <w:sz w:val="24"/>
          <w:szCs w:val="24"/>
          <w:rtl/>
        </w:rPr>
        <w:t xml:space="preserve">משנת 1973 פועלת בארה"ב תכנית </w:t>
      </w:r>
      <w:r w:rsidRPr="00FD5D53">
        <w:rPr>
          <w:rFonts w:ascii="David" w:eastAsia="Times New Roman" w:hAnsi="David" w:cs="David"/>
          <w:sz w:val="24"/>
          <w:szCs w:val="24"/>
        </w:rPr>
        <w:t>WIC</w:t>
      </w:r>
      <w:r w:rsidRPr="00FD5D53">
        <w:rPr>
          <w:rFonts w:ascii="David" w:eastAsia="Times New Roman" w:hAnsi="David" w:cs="David"/>
          <w:sz w:val="24"/>
          <w:szCs w:val="24"/>
          <w:rtl/>
        </w:rPr>
        <w:t xml:space="preserve"> (</w:t>
      </w:r>
      <w:r w:rsidRPr="00FD5D53">
        <w:rPr>
          <w:rFonts w:ascii="David" w:eastAsia="Times New Roman" w:hAnsi="David" w:cs="David"/>
          <w:sz w:val="24"/>
          <w:szCs w:val="24"/>
        </w:rPr>
        <w:t>Women, Infants and Children</w:t>
      </w:r>
      <w:r w:rsidRPr="00FD5D53">
        <w:rPr>
          <w:rFonts w:ascii="David" w:eastAsia="Times New Roman" w:hAnsi="David" w:cs="David"/>
          <w:sz w:val="24"/>
          <w:szCs w:val="24"/>
          <w:rtl/>
        </w:rPr>
        <w:t xml:space="preserve">) שהינה ייעודית לטיפול בנשים, תינוקות וילדים הנמצאים במצב של חוסר ביטחון תזונתי. במסגרת התוכנית נעשית חלוקת מזונות משלימים לנשים, תינוקות וילדים, וכן מתבצעות הפניות לשירותי בריאות, חינוך תזונתי וייעוץ במרפאות של </w:t>
      </w:r>
      <w:r w:rsidRPr="00FD5D53">
        <w:rPr>
          <w:rFonts w:ascii="David" w:eastAsia="Times New Roman" w:hAnsi="David" w:cs="David"/>
          <w:sz w:val="24"/>
          <w:szCs w:val="24"/>
        </w:rPr>
        <w:t>WIC</w:t>
      </w:r>
      <w:r w:rsidRPr="00FD5D53">
        <w:rPr>
          <w:rFonts w:ascii="David" w:eastAsia="Times New Roman" w:hAnsi="David" w:cs="David"/>
          <w:sz w:val="24"/>
          <w:szCs w:val="24"/>
          <w:rtl/>
        </w:rPr>
        <w:t xml:space="preserve">, הפנייה לשירותי רווחה והפנייה לשירותים חברתיים אחרים. נכון לשנת 2013, התוכנית העניקה שירות </w:t>
      </w:r>
      <w:proofErr w:type="spellStart"/>
      <w:r w:rsidRPr="00FD5D53">
        <w:rPr>
          <w:rFonts w:ascii="David" w:eastAsia="Times New Roman" w:hAnsi="David" w:cs="David"/>
          <w:sz w:val="24"/>
          <w:szCs w:val="24"/>
          <w:rtl/>
        </w:rPr>
        <w:t>לכ</w:t>
      </w:r>
      <w:proofErr w:type="spellEnd"/>
      <w:r w:rsidRPr="00FD5D53">
        <w:rPr>
          <w:rFonts w:ascii="David" w:eastAsia="Times New Roman" w:hAnsi="David" w:cs="David"/>
          <w:sz w:val="24"/>
          <w:szCs w:val="24"/>
          <w:rtl/>
        </w:rPr>
        <w:t>- 8.6 מיליון משתתפים מתוכם 2 מיליון נשים (</w:t>
      </w:r>
      <w:r w:rsidRPr="00FD5D53">
        <w:rPr>
          <w:rFonts w:ascii="David" w:eastAsia="Times New Roman" w:hAnsi="David" w:cs="David"/>
          <w:sz w:val="24"/>
          <w:szCs w:val="24"/>
        </w:rPr>
        <w:t>www.fns.usda.gov/wic</w:t>
      </w:r>
      <w:r w:rsidRPr="00FD5D53">
        <w:rPr>
          <w:rFonts w:ascii="David" w:eastAsia="Times New Roman" w:hAnsi="David" w:cs="David"/>
          <w:sz w:val="24"/>
          <w:szCs w:val="24"/>
          <w:rtl/>
        </w:rPr>
        <w:t>).</w:t>
      </w:r>
    </w:p>
    <w:p w:rsidR="00D23C17" w:rsidRPr="00FD5D53" w:rsidRDefault="00D23C17" w:rsidP="00D23C17">
      <w:pPr>
        <w:spacing w:after="0" w:line="360" w:lineRule="auto"/>
        <w:jc w:val="both"/>
        <w:rPr>
          <w:rFonts w:ascii="David" w:eastAsia="Times New Roman" w:hAnsi="David" w:cs="David"/>
          <w:sz w:val="24"/>
          <w:szCs w:val="24"/>
          <w:rtl/>
        </w:rPr>
      </w:pPr>
      <w:r w:rsidRPr="00FD5D53">
        <w:rPr>
          <w:rFonts w:ascii="David" w:eastAsia="Times New Roman" w:hAnsi="David" w:cs="David"/>
          <w:sz w:val="24"/>
          <w:szCs w:val="24"/>
          <w:rtl/>
        </w:rPr>
        <w:t>תכנית זו נותנת מענה ממוקד לאוכלוסי</w:t>
      </w:r>
      <w:r w:rsidR="00FD5D53">
        <w:rPr>
          <w:rFonts w:ascii="David" w:eastAsia="Times New Roman" w:hAnsi="David" w:cs="David" w:hint="cs"/>
          <w:sz w:val="24"/>
          <w:szCs w:val="24"/>
          <w:rtl/>
        </w:rPr>
        <w:t>י</w:t>
      </w:r>
      <w:r w:rsidRPr="00FD5D53">
        <w:rPr>
          <w:rFonts w:ascii="David" w:eastAsia="Times New Roman" w:hAnsi="David" w:cs="David"/>
          <w:sz w:val="24"/>
          <w:szCs w:val="24"/>
          <w:rtl/>
        </w:rPr>
        <w:t xml:space="preserve">ה של נשים הרות הסובלת מחוסר ביטחון תזונתי. ההתייחסות מותאמת לצורכיהן הייחודיים, הן בכך שמספקת מזון הנדרש לאישה ההרה והן בכך שמנסה ליצור מענה רחב באמצעות </w:t>
      </w:r>
      <w:r w:rsidRPr="00FD5D53">
        <w:rPr>
          <w:rFonts w:ascii="David" w:eastAsia="Times New Roman" w:hAnsi="David" w:cs="David"/>
          <w:sz w:val="24"/>
          <w:szCs w:val="24"/>
          <w:rtl/>
        </w:rPr>
        <w:lastRenderedPageBreak/>
        <w:t xml:space="preserve">ליווי, הדרכה וייעוץ, שיסייעו לנשים להיחלץ מהמצוקה. עצם קיום התכנית תורם להבנה שהבעיה הינה בעיה חברתית ולא אישית, זאת מכיוון שהמענה ניתן על ידי המדינה ומוכר כנמצא תחת אחריותה. </w:t>
      </w:r>
    </w:p>
    <w:p w:rsidR="00D23C17" w:rsidRPr="00FD5D53" w:rsidRDefault="00D23C17" w:rsidP="00D23C17">
      <w:pPr>
        <w:spacing w:after="0" w:line="360" w:lineRule="auto"/>
        <w:jc w:val="both"/>
        <w:rPr>
          <w:rFonts w:ascii="David" w:eastAsia="Times New Roman" w:hAnsi="David" w:cs="David"/>
          <w:sz w:val="24"/>
          <w:szCs w:val="24"/>
          <w:rtl/>
        </w:rPr>
      </w:pPr>
      <w:r w:rsidRPr="00FD5D53">
        <w:rPr>
          <w:rFonts w:ascii="David" w:eastAsia="Times New Roman" w:hAnsi="David" w:cs="David"/>
          <w:sz w:val="24"/>
          <w:szCs w:val="24"/>
          <w:rtl/>
        </w:rPr>
        <w:t xml:space="preserve">במסגרת התכנית, חופש הבחירה של הנשים הינו חלקי. ניתנת בחירה מסוימת לגבי סוג המזון הנרכש, אך אפשרויות הבחירה מוגבלות. מטרת התכנית, מעבר לעזרה הקונקרטית, מאפשרת שמירה על כבודן של הנשים בכך שמכירה בבעייתן כמשמעותית וראויה להתייחסות. עם זאת, הוכחת הנזקקות עלולה לפגוע בכבודן או לעורר אי נוחות. באופן עקרוני, כתכנית ממשלתית, על אנשי המקצוע לשמור על סודיות ובכך לשמור על פרטיות הנשים. אולם, השתייכות לתכנית עלולה לתייג אותן כאחרות או כנזקקות, ובכך לעורר רתיעה מהשתתפות. </w:t>
      </w:r>
    </w:p>
    <w:p w:rsidR="00D23C17" w:rsidRPr="00FD5D53" w:rsidRDefault="00D23C17" w:rsidP="00D23C17">
      <w:pPr>
        <w:spacing w:after="0" w:line="360" w:lineRule="auto"/>
        <w:jc w:val="both"/>
        <w:rPr>
          <w:rFonts w:ascii="David" w:eastAsia="Times New Roman" w:hAnsi="David" w:cs="David"/>
          <w:sz w:val="24"/>
          <w:szCs w:val="24"/>
          <w:rtl/>
        </w:rPr>
      </w:pPr>
      <w:r w:rsidRPr="00FD5D53">
        <w:rPr>
          <w:rFonts w:ascii="David" w:eastAsia="Times New Roman" w:hAnsi="David" w:cs="David"/>
          <w:sz w:val="24"/>
          <w:szCs w:val="24"/>
          <w:rtl/>
        </w:rPr>
        <w:t xml:space="preserve">התכנית מתקיימת בהצלחה מזה שנים רבות בארה"ב ועל כן ישנו בסיס להנחלת התכנית בארץ. כמו כן היא בעלת מבנה ברור ולכן ישנה סבירות נמוכה לאי וודאות באשר להצלחתה בקידום פתרון הבעיה. </w:t>
      </w:r>
    </w:p>
    <w:p w:rsidR="00D23C17" w:rsidRPr="00BB7693" w:rsidRDefault="00D23C17" w:rsidP="00D23C17">
      <w:pPr>
        <w:spacing w:before="240" w:after="0" w:line="360" w:lineRule="auto"/>
        <w:jc w:val="both"/>
        <w:rPr>
          <w:rFonts w:ascii="David" w:eastAsia="Times New Roman" w:hAnsi="David" w:cs="David"/>
          <w:b/>
          <w:bCs/>
          <w:i/>
          <w:iCs/>
          <w:sz w:val="24"/>
          <w:szCs w:val="24"/>
          <w:rtl/>
        </w:rPr>
      </w:pPr>
      <w:r w:rsidRPr="00BB7693">
        <w:rPr>
          <w:rFonts w:ascii="David" w:eastAsia="Times New Roman" w:hAnsi="David" w:cs="David"/>
          <w:b/>
          <w:bCs/>
          <w:i/>
          <w:iCs/>
          <w:sz w:val="24"/>
          <w:szCs w:val="24"/>
          <w:rtl/>
        </w:rPr>
        <w:t>התאמת המיזם לביטחון תזונתי עבור נשים הרות הסובלות מהבעיה:</w:t>
      </w:r>
    </w:p>
    <w:p w:rsidR="00D23C17" w:rsidRPr="00FD5D53" w:rsidRDefault="00D23C17" w:rsidP="00D23C17">
      <w:pPr>
        <w:spacing w:after="0" w:line="360" w:lineRule="auto"/>
        <w:jc w:val="both"/>
        <w:rPr>
          <w:rFonts w:ascii="David" w:eastAsia="Times New Roman" w:hAnsi="David" w:cs="David"/>
          <w:sz w:val="24"/>
          <w:szCs w:val="24"/>
          <w:rtl/>
        </w:rPr>
      </w:pPr>
      <w:r w:rsidRPr="00FD5D53">
        <w:rPr>
          <w:rFonts w:ascii="David" w:eastAsia="Times New Roman" w:hAnsi="David" w:cs="David"/>
          <w:sz w:val="24"/>
          <w:szCs w:val="24"/>
          <w:rtl/>
        </w:rPr>
        <w:t xml:space="preserve">חלופה זו תיתן מענה מותאם לנשים בהיריון הסובלות מחוסר ביטחון תזונתי כחלק מהמענה הקיים של המיזם. במסגרת זו נשים שיפנו לרווחה ויימצאו זכאיות יקבלו סלי מזון או כרטיס אלקטרוני לרכישת מזון המתאים לצרכיהן. המענה ממוקד ומותאם למי שזקוקה לעזרה תזונתית במהלך ההיריון ולכן שומר על כבודן ובריאותן של המשתתפות. במסגרת התכנית חופש הבחירה של הנשים חלקי, כלומר הן יכולות לבחור מזונות על פי העדפותיהן אך מתוך רשימה מוגבלת. בנוסף, תהליך הוכחת הנזקקות ועצם הפנייה לשירותי הרווחה עלולים להוות גורם המעורר אי נוחות ואף תחושה של פגיעה בכבודן. השתייכות לתכנית עלולה לתייגן כשונות, ובכך לעורר רתיעה מהשתתפות בתכנית. </w:t>
      </w:r>
      <w:r w:rsidR="00497634">
        <w:rPr>
          <w:rFonts w:ascii="David" w:eastAsia="Times New Roman" w:hAnsi="David" w:cs="David" w:hint="cs"/>
          <w:sz w:val="24"/>
          <w:szCs w:val="24"/>
          <w:rtl/>
        </w:rPr>
        <w:t>בנוסף, תכנית זו מוגבלת בהיקפה ולא מגיעה למרבית הנשים ההרות.</w:t>
      </w:r>
    </w:p>
    <w:p w:rsidR="00D23C17" w:rsidRPr="00FD5D53" w:rsidRDefault="00D23C17" w:rsidP="00D23C17">
      <w:pPr>
        <w:spacing w:after="0" w:line="360" w:lineRule="auto"/>
        <w:jc w:val="both"/>
        <w:rPr>
          <w:rFonts w:ascii="David" w:eastAsia="Times New Roman" w:hAnsi="David" w:cs="David"/>
          <w:sz w:val="24"/>
          <w:szCs w:val="24"/>
          <w:rtl/>
        </w:rPr>
      </w:pPr>
      <w:r w:rsidRPr="00FD5D53">
        <w:rPr>
          <w:rFonts w:ascii="David" w:eastAsia="Times New Roman" w:hAnsi="David" w:cs="David"/>
          <w:sz w:val="24"/>
          <w:szCs w:val="24"/>
          <w:rtl/>
        </w:rPr>
        <w:t>מאחר והמיזם הינו חלק מפתרון קיים, האפשרות לבצעו זמינה ופשוטה יותר. יחד עם זאת ישנם קשיים בירוקרטיים, יישומיים וערכיים הקיימים בתכנית הנוכחית העלולים להקשות גם על הצלחתה של התכנית המותאמת.</w:t>
      </w:r>
    </w:p>
    <w:p w:rsidR="00D23C17" w:rsidRPr="00FD5D53" w:rsidRDefault="00D23C17" w:rsidP="00D23C17">
      <w:pPr>
        <w:spacing w:after="0" w:line="360" w:lineRule="auto"/>
        <w:jc w:val="both"/>
        <w:rPr>
          <w:rFonts w:ascii="David" w:eastAsia="Times New Roman" w:hAnsi="David" w:cs="David"/>
          <w:sz w:val="24"/>
          <w:szCs w:val="24"/>
          <w:rtl/>
        </w:rPr>
      </w:pPr>
    </w:p>
    <w:p w:rsidR="00D23C17" w:rsidRPr="00BB7693" w:rsidRDefault="00D23C17" w:rsidP="00D23C17">
      <w:pPr>
        <w:spacing w:after="0" w:line="360" w:lineRule="auto"/>
        <w:jc w:val="both"/>
        <w:rPr>
          <w:rFonts w:ascii="David" w:eastAsia="Times New Roman" w:hAnsi="David" w:cs="David"/>
          <w:b/>
          <w:bCs/>
          <w:i/>
          <w:iCs/>
          <w:sz w:val="24"/>
          <w:szCs w:val="24"/>
          <w:rtl/>
        </w:rPr>
      </w:pPr>
      <w:r w:rsidRPr="00BB7693">
        <w:rPr>
          <w:rFonts w:ascii="David" w:eastAsia="Times New Roman" w:hAnsi="David" w:cs="David"/>
          <w:b/>
          <w:bCs/>
          <w:i/>
          <w:iCs/>
          <w:sz w:val="24"/>
          <w:szCs w:val="24"/>
          <w:rtl/>
        </w:rPr>
        <w:t>סבסוד תרופות ובדיקות עבור נשים בהיריון:</w:t>
      </w:r>
    </w:p>
    <w:p w:rsidR="00D23C17" w:rsidRPr="00FD5D53" w:rsidRDefault="00497634" w:rsidP="00D23C17">
      <w:pPr>
        <w:spacing w:after="0" w:line="360" w:lineRule="auto"/>
        <w:jc w:val="both"/>
        <w:rPr>
          <w:rFonts w:ascii="David" w:eastAsia="Times New Roman" w:hAnsi="David" w:cs="David"/>
          <w:sz w:val="24"/>
          <w:szCs w:val="24"/>
          <w:rtl/>
        </w:rPr>
      </w:pPr>
      <w:r>
        <w:rPr>
          <w:rFonts w:ascii="Times New Roman" w:eastAsia="Times New Roman" w:hAnsi="Times New Roman" w:cs="David" w:hint="cs"/>
          <w:sz w:val="24"/>
          <w:szCs w:val="24"/>
          <w:rtl/>
        </w:rPr>
        <w:t xml:space="preserve">בדיקות רפואיות במהלך ההיריון וכן תרופות משלימות, כגון </w:t>
      </w:r>
      <w:r w:rsidR="00BB7693">
        <w:rPr>
          <w:rFonts w:ascii="Times New Roman" w:eastAsia="Times New Roman" w:hAnsi="Times New Roman" w:cs="David" w:hint="cs"/>
          <w:sz w:val="24"/>
          <w:szCs w:val="24"/>
          <w:rtl/>
        </w:rPr>
        <w:t xml:space="preserve">תוספי </w:t>
      </w:r>
      <w:r>
        <w:rPr>
          <w:rFonts w:ascii="Times New Roman" w:eastAsia="Times New Roman" w:hAnsi="Times New Roman" w:cs="David" w:hint="cs"/>
          <w:sz w:val="24"/>
          <w:szCs w:val="24"/>
          <w:rtl/>
        </w:rPr>
        <w:t>תזונה</w:t>
      </w:r>
      <w:r w:rsidR="00BB7693">
        <w:rPr>
          <w:rFonts w:ascii="Times New Roman" w:eastAsia="Times New Roman" w:hAnsi="Times New Roman" w:cs="David" w:hint="cs"/>
          <w:sz w:val="24"/>
          <w:szCs w:val="24"/>
          <w:rtl/>
        </w:rPr>
        <w:t xml:space="preserve"> וויטמינים,</w:t>
      </w:r>
      <w:r>
        <w:rPr>
          <w:rFonts w:ascii="Times New Roman" w:eastAsia="Times New Roman" w:hAnsi="Times New Roman" w:cs="David" w:hint="cs"/>
          <w:sz w:val="24"/>
          <w:szCs w:val="24"/>
          <w:rtl/>
        </w:rPr>
        <w:t xml:space="preserve"> הינם מרכיבים משמעותיים לבריאות האישה ההרה ועוברה, אך יקרים ולכן לא תמיד ברי השגה.</w:t>
      </w:r>
      <w:r>
        <w:rPr>
          <w:rFonts w:ascii="David" w:eastAsia="Times New Roman" w:hAnsi="David" w:cs="David" w:hint="cs"/>
          <w:sz w:val="24"/>
          <w:szCs w:val="24"/>
          <w:rtl/>
        </w:rPr>
        <w:t xml:space="preserve"> </w:t>
      </w:r>
      <w:r w:rsidR="00D23C17" w:rsidRPr="00FD5D53">
        <w:rPr>
          <w:rFonts w:ascii="David" w:eastAsia="Times New Roman" w:hAnsi="David" w:cs="David"/>
          <w:sz w:val="24"/>
          <w:szCs w:val="24"/>
          <w:rtl/>
        </w:rPr>
        <w:t xml:space="preserve">מענה זה הוצע עבור נשים בהיריון הסובלות מחוסר בביטחון תזונתי, ע"פ קריטריונים שייקבעו מראש. סבסוד התרופות והבדיקות עבור אותן נשים יספק להן הקלה מבחינה כלכלית ויכולת לרכוש מזון מזין. המענה לא מאלץ את הנשים לרכוש מוצרים מסוימים אלא מאפשר להן חופש בחירה ועצמאות. עם זאת, על מנת לקבל את הסבסוד המגיע להן, עליהן להוכיח את זכאותן, דבר הכרוך בתהליך בירוקרטי שעלול להיתפס כפוגע בכבודן. </w:t>
      </w:r>
    </w:p>
    <w:p w:rsidR="00D23C17" w:rsidRPr="00FD5D53" w:rsidRDefault="00D23C17" w:rsidP="00D23C17">
      <w:pPr>
        <w:spacing w:after="0" w:line="360" w:lineRule="auto"/>
        <w:jc w:val="both"/>
        <w:rPr>
          <w:rFonts w:ascii="David" w:eastAsia="Times New Roman" w:hAnsi="David" w:cs="David"/>
          <w:sz w:val="24"/>
          <w:szCs w:val="24"/>
          <w:rtl/>
        </w:rPr>
      </w:pPr>
      <w:r w:rsidRPr="00FD5D53">
        <w:rPr>
          <w:rFonts w:ascii="David" w:eastAsia="Times New Roman" w:hAnsi="David" w:cs="David"/>
          <w:sz w:val="24"/>
          <w:szCs w:val="24"/>
          <w:rtl/>
        </w:rPr>
        <w:t>המענה לבעיה הינו עקיף במידה מסוימת כיוון שלא מספק מענה ישיר לבעיית חוסר ביטחון תזונתי. יחד עם זאת הוא מקל על הלחץ הכלכלי ממנו סובלות הנשים בזמן ההיריון. ייתכן כי עלות הסבסוד תהיה גבוהה ולכן הסבירות שהתוכנית תוכל להתבצע נמוכה יותר.</w:t>
      </w:r>
    </w:p>
    <w:p w:rsidR="00D23C17" w:rsidRPr="00FD5D53" w:rsidRDefault="00D23C17" w:rsidP="00D23C17">
      <w:pPr>
        <w:pStyle w:val="a3"/>
        <w:spacing w:line="360" w:lineRule="auto"/>
        <w:jc w:val="both"/>
        <w:rPr>
          <w:rFonts w:ascii="David" w:hAnsi="David" w:cs="David"/>
          <w:sz w:val="24"/>
          <w:szCs w:val="24"/>
          <w:rtl/>
        </w:rPr>
      </w:pPr>
    </w:p>
    <w:p w:rsidR="00D23C17" w:rsidRDefault="00D23C17" w:rsidP="00D23C17">
      <w:pPr>
        <w:pStyle w:val="a3"/>
        <w:spacing w:line="360" w:lineRule="auto"/>
        <w:jc w:val="both"/>
        <w:rPr>
          <w:rFonts w:ascii="David" w:hAnsi="David" w:cs="David"/>
          <w:sz w:val="24"/>
          <w:szCs w:val="24"/>
          <w:rtl/>
        </w:rPr>
      </w:pPr>
    </w:p>
    <w:p w:rsidR="00FD5D53" w:rsidRDefault="00FD5D53" w:rsidP="00D23C17">
      <w:pPr>
        <w:pStyle w:val="a3"/>
        <w:spacing w:line="360" w:lineRule="auto"/>
        <w:jc w:val="both"/>
        <w:rPr>
          <w:rFonts w:ascii="David" w:hAnsi="David" w:cs="David"/>
          <w:sz w:val="24"/>
          <w:szCs w:val="24"/>
          <w:rtl/>
        </w:rPr>
      </w:pPr>
    </w:p>
    <w:p w:rsidR="00FD5D53" w:rsidRDefault="00FD5D53" w:rsidP="00D23C17">
      <w:pPr>
        <w:pStyle w:val="a3"/>
        <w:spacing w:line="360" w:lineRule="auto"/>
        <w:jc w:val="both"/>
        <w:rPr>
          <w:rFonts w:ascii="David" w:hAnsi="David" w:cs="David"/>
          <w:sz w:val="24"/>
          <w:szCs w:val="24"/>
          <w:rtl/>
        </w:rPr>
      </w:pPr>
    </w:p>
    <w:p w:rsidR="00D23C17" w:rsidRPr="00FD5D53" w:rsidRDefault="00D23C17" w:rsidP="00D23C17">
      <w:pPr>
        <w:spacing w:line="360" w:lineRule="auto"/>
        <w:jc w:val="both"/>
        <w:rPr>
          <w:rFonts w:ascii="David" w:hAnsi="David" w:cs="David"/>
          <w:sz w:val="24"/>
          <w:szCs w:val="24"/>
        </w:rPr>
      </w:pPr>
    </w:p>
    <w:sectPr w:rsidR="00D23C17" w:rsidRPr="00FD5D53" w:rsidSect="00D23C17">
      <w:pgSz w:w="11906" w:h="16838"/>
      <w:pgMar w:top="1134" w:right="1134" w:bottom="1134" w:left="1134"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5BD" w:rsidRDefault="007665BD" w:rsidP="00FD5D53">
      <w:pPr>
        <w:spacing w:after="0" w:line="240" w:lineRule="auto"/>
      </w:pPr>
      <w:r>
        <w:separator/>
      </w:r>
    </w:p>
  </w:endnote>
  <w:endnote w:type="continuationSeparator" w:id="0">
    <w:p w:rsidR="007665BD" w:rsidRDefault="007665BD" w:rsidP="00FD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5BD" w:rsidRDefault="007665BD" w:rsidP="00FD5D53">
      <w:pPr>
        <w:spacing w:after="0" w:line="240" w:lineRule="auto"/>
      </w:pPr>
      <w:r>
        <w:separator/>
      </w:r>
    </w:p>
  </w:footnote>
  <w:footnote w:type="continuationSeparator" w:id="0">
    <w:p w:rsidR="007665BD" w:rsidRDefault="007665BD" w:rsidP="00FD5D53">
      <w:pPr>
        <w:spacing w:after="0" w:line="240" w:lineRule="auto"/>
      </w:pPr>
      <w:r>
        <w:continuationSeparator/>
      </w:r>
    </w:p>
  </w:footnote>
  <w:footnote w:id="1">
    <w:p w:rsidR="00FD5D53" w:rsidRDefault="00FD5D53" w:rsidP="00FD5D53">
      <w:pPr>
        <w:pStyle w:val="a5"/>
      </w:pPr>
      <w:r>
        <w:rPr>
          <w:rStyle w:val="a7"/>
        </w:rPr>
        <w:footnoteRef/>
      </w:r>
      <w:r>
        <w:rPr>
          <w:rtl/>
        </w:rPr>
        <w:t xml:space="preserve"> </w:t>
      </w:r>
      <w:r w:rsidRPr="00FD5D53">
        <w:rPr>
          <w:rFonts w:hint="cs"/>
          <w:rtl/>
        </w:rPr>
        <w:t xml:space="preserve">משרד הרווחה והשירותים החברתיים (2008). </w:t>
      </w:r>
      <w:r w:rsidRPr="00FD5D53">
        <w:rPr>
          <w:rFonts w:hint="cs"/>
          <w:i/>
          <w:iCs/>
          <w:rtl/>
        </w:rPr>
        <w:t>דין וחשבון הוועדה הבין-משרדית לבחינת האחריות של המדינה להבטחת הביטחון התזונתי של אזרחיה</w:t>
      </w:r>
      <w:r w:rsidRPr="00FD5D53">
        <w:rPr>
          <w:rFonts w:hint="cs"/>
          <w:rtl/>
        </w:rPr>
        <w:t>. ירושלים: משרד הרווחה והשירותים החברתיים.</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A91FE0"/>
    <w:multiLevelType w:val="hybridMultilevel"/>
    <w:tmpl w:val="4E92CD1A"/>
    <w:lvl w:ilvl="0" w:tplc="F1CEFC2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9B72AD1"/>
    <w:multiLevelType w:val="hybridMultilevel"/>
    <w:tmpl w:val="87E026FC"/>
    <w:lvl w:ilvl="0" w:tplc="04090013">
      <w:start w:val="1"/>
      <w:numFmt w:val="hebrew1"/>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259"/>
    <w:rsid w:val="0048139B"/>
    <w:rsid w:val="00497634"/>
    <w:rsid w:val="004C6DD1"/>
    <w:rsid w:val="0050326B"/>
    <w:rsid w:val="00641CC6"/>
    <w:rsid w:val="006C10A7"/>
    <w:rsid w:val="007230FA"/>
    <w:rsid w:val="007665BD"/>
    <w:rsid w:val="00A31552"/>
    <w:rsid w:val="00B64682"/>
    <w:rsid w:val="00BB7693"/>
    <w:rsid w:val="00D23C17"/>
    <w:rsid w:val="00DE5259"/>
    <w:rsid w:val="00FD5D53"/>
    <w:rsid w:val="00FF222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23C17"/>
    <w:rPr>
      <w:rFonts w:ascii="Calibri" w:eastAsia="Calibri" w:hAnsi="Calibri" w:cs="Arial"/>
      <w:sz w:val="20"/>
      <w:szCs w:val="20"/>
    </w:rPr>
  </w:style>
  <w:style w:type="character" w:customStyle="1" w:styleId="a4">
    <w:name w:val="טקסט הערה תו"/>
    <w:basedOn w:val="a0"/>
    <w:link w:val="a3"/>
    <w:uiPriority w:val="99"/>
    <w:semiHidden/>
    <w:rsid w:val="00D23C17"/>
    <w:rPr>
      <w:rFonts w:ascii="Calibri" w:eastAsia="Calibri" w:hAnsi="Calibri" w:cs="Arial"/>
      <w:sz w:val="20"/>
      <w:szCs w:val="20"/>
    </w:rPr>
  </w:style>
  <w:style w:type="paragraph" w:styleId="a5">
    <w:name w:val="footnote text"/>
    <w:basedOn w:val="a"/>
    <w:link w:val="a6"/>
    <w:uiPriority w:val="99"/>
    <w:semiHidden/>
    <w:unhideWhenUsed/>
    <w:rsid w:val="00FD5D53"/>
    <w:pPr>
      <w:spacing w:after="0" w:line="240" w:lineRule="auto"/>
    </w:pPr>
    <w:rPr>
      <w:sz w:val="20"/>
      <w:szCs w:val="20"/>
    </w:rPr>
  </w:style>
  <w:style w:type="character" w:customStyle="1" w:styleId="a6">
    <w:name w:val="טקסט הערת שוליים תו"/>
    <w:basedOn w:val="a0"/>
    <w:link w:val="a5"/>
    <w:uiPriority w:val="99"/>
    <w:semiHidden/>
    <w:rsid w:val="00FD5D53"/>
    <w:rPr>
      <w:sz w:val="20"/>
      <w:szCs w:val="20"/>
    </w:rPr>
  </w:style>
  <w:style w:type="character" w:styleId="a7">
    <w:name w:val="footnote reference"/>
    <w:basedOn w:val="a0"/>
    <w:uiPriority w:val="99"/>
    <w:semiHidden/>
    <w:unhideWhenUsed/>
    <w:rsid w:val="00FD5D53"/>
    <w:rPr>
      <w:vertAlign w:val="superscript"/>
    </w:rPr>
  </w:style>
  <w:style w:type="paragraph" w:styleId="a8">
    <w:name w:val="header"/>
    <w:basedOn w:val="a"/>
    <w:link w:val="a9"/>
    <w:uiPriority w:val="99"/>
    <w:unhideWhenUsed/>
    <w:rsid w:val="00FD5D53"/>
    <w:pPr>
      <w:tabs>
        <w:tab w:val="center" w:pos="4153"/>
        <w:tab w:val="right" w:pos="8306"/>
      </w:tabs>
      <w:spacing w:after="0" w:line="240" w:lineRule="auto"/>
    </w:pPr>
  </w:style>
  <w:style w:type="character" w:customStyle="1" w:styleId="a9">
    <w:name w:val="כותרת עליונה תו"/>
    <w:basedOn w:val="a0"/>
    <w:link w:val="a8"/>
    <w:uiPriority w:val="99"/>
    <w:rsid w:val="00FD5D53"/>
  </w:style>
  <w:style w:type="paragraph" w:styleId="aa">
    <w:name w:val="footer"/>
    <w:basedOn w:val="a"/>
    <w:link w:val="ab"/>
    <w:uiPriority w:val="99"/>
    <w:unhideWhenUsed/>
    <w:rsid w:val="00FD5D53"/>
    <w:pPr>
      <w:tabs>
        <w:tab w:val="center" w:pos="4153"/>
        <w:tab w:val="right" w:pos="8306"/>
      </w:tabs>
      <w:spacing w:after="0" w:line="240" w:lineRule="auto"/>
    </w:pPr>
  </w:style>
  <w:style w:type="character" w:customStyle="1" w:styleId="ab">
    <w:name w:val="כותרת תחתונה תו"/>
    <w:basedOn w:val="a0"/>
    <w:link w:val="aa"/>
    <w:uiPriority w:val="99"/>
    <w:rsid w:val="00FD5D53"/>
  </w:style>
  <w:style w:type="paragraph" w:styleId="ac">
    <w:name w:val="List Paragraph"/>
    <w:basedOn w:val="a"/>
    <w:uiPriority w:val="34"/>
    <w:qFormat/>
    <w:rsid w:val="00B646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23C17"/>
    <w:rPr>
      <w:rFonts w:ascii="Calibri" w:eastAsia="Calibri" w:hAnsi="Calibri" w:cs="Arial"/>
      <w:sz w:val="20"/>
      <w:szCs w:val="20"/>
    </w:rPr>
  </w:style>
  <w:style w:type="character" w:customStyle="1" w:styleId="a4">
    <w:name w:val="טקסט הערה תו"/>
    <w:basedOn w:val="a0"/>
    <w:link w:val="a3"/>
    <w:uiPriority w:val="99"/>
    <w:semiHidden/>
    <w:rsid w:val="00D23C17"/>
    <w:rPr>
      <w:rFonts w:ascii="Calibri" w:eastAsia="Calibri" w:hAnsi="Calibri" w:cs="Arial"/>
      <w:sz w:val="20"/>
      <w:szCs w:val="20"/>
    </w:rPr>
  </w:style>
  <w:style w:type="paragraph" w:styleId="a5">
    <w:name w:val="footnote text"/>
    <w:basedOn w:val="a"/>
    <w:link w:val="a6"/>
    <w:uiPriority w:val="99"/>
    <w:semiHidden/>
    <w:unhideWhenUsed/>
    <w:rsid w:val="00FD5D53"/>
    <w:pPr>
      <w:spacing w:after="0" w:line="240" w:lineRule="auto"/>
    </w:pPr>
    <w:rPr>
      <w:sz w:val="20"/>
      <w:szCs w:val="20"/>
    </w:rPr>
  </w:style>
  <w:style w:type="character" w:customStyle="1" w:styleId="a6">
    <w:name w:val="טקסט הערת שוליים תו"/>
    <w:basedOn w:val="a0"/>
    <w:link w:val="a5"/>
    <w:uiPriority w:val="99"/>
    <w:semiHidden/>
    <w:rsid w:val="00FD5D53"/>
    <w:rPr>
      <w:sz w:val="20"/>
      <w:szCs w:val="20"/>
    </w:rPr>
  </w:style>
  <w:style w:type="character" w:styleId="a7">
    <w:name w:val="footnote reference"/>
    <w:basedOn w:val="a0"/>
    <w:uiPriority w:val="99"/>
    <w:semiHidden/>
    <w:unhideWhenUsed/>
    <w:rsid w:val="00FD5D53"/>
    <w:rPr>
      <w:vertAlign w:val="superscript"/>
    </w:rPr>
  </w:style>
  <w:style w:type="paragraph" w:styleId="a8">
    <w:name w:val="header"/>
    <w:basedOn w:val="a"/>
    <w:link w:val="a9"/>
    <w:uiPriority w:val="99"/>
    <w:unhideWhenUsed/>
    <w:rsid w:val="00FD5D53"/>
    <w:pPr>
      <w:tabs>
        <w:tab w:val="center" w:pos="4153"/>
        <w:tab w:val="right" w:pos="8306"/>
      </w:tabs>
      <w:spacing w:after="0" w:line="240" w:lineRule="auto"/>
    </w:pPr>
  </w:style>
  <w:style w:type="character" w:customStyle="1" w:styleId="a9">
    <w:name w:val="כותרת עליונה תו"/>
    <w:basedOn w:val="a0"/>
    <w:link w:val="a8"/>
    <w:uiPriority w:val="99"/>
    <w:rsid w:val="00FD5D53"/>
  </w:style>
  <w:style w:type="paragraph" w:styleId="aa">
    <w:name w:val="footer"/>
    <w:basedOn w:val="a"/>
    <w:link w:val="ab"/>
    <w:uiPriority w:val="99"/>
    <w:unhideWhenUsed/>
    <w:rsid w:val="00FD5D53"/>
    <w:pPr>
      <w:tabs>
        <w:tab w:val="center" w:pos="4153"/>
        <w:tab w:val="right" w:pos="8306"/>
      </w:tabs>
      <w:spacing w:after="0" w:line="240" w:lineRule="auto"/>
    </w:pPr>
  </w:style>
  <w:style w:type="character" w:customStyle="1" w:styleId="ab">
    <w:name w:val="כותרת תחתונה תו"/>
    <w:basedOn w:val="a0"/>
    <w:link w:val="aa"/>
    <w:uiPriority w:val="99"/>
    <w:rsid w:val="00FD5D53"/>
  </w:style>
  <w:style w:type="paragraph" w:styleId="ac">
    <w:name w:val="List Paragraph"/>
    <w:basedOn w:val="a"/>
    <w:uiPriority w:val="34"/>
    <w:qFormat/>
    <w:rsid w:val="00B646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06F799-8427-4619-95C7-838CB9F099EB}">
  <ds:schemaRefs>
    <ds:schemaRef ds:uri="http://schemas.openxmlformats.org/officeDocument/2006/bibliography"/>
  </ds:schemaRefs>
</ds:datastoreItem>
</file>

<file path=customXml/itemProps2.xml><?xml version="1.0" encoding="utf-8"?>
<ds:datastoreItem xmlns:ds="http://schemas.openxmlformats.org/officeDocument/2006/customXml" ds:itemID="{D43B1304-5B3C-4438-B620-9F4B40AAEC0B}"/>
</file>

<file path=customXml/itemProps3.xml><?xml version="1.0" encoding="utf-8"?>
<ds:datastoreItem xmlns:ds="http://schemas.openxmlformats.org/officeDocument/2006/customXml" ds:itemID="{E3964510-BA76-4AE3-B1F6-8917B7CBFB99}"/>
</file>

<file path=customXml/itemProps4.xml><?xml version="1.0" encoding="utf-8"?>
<ds:datastoreItem xmlns:ds="http://schemas.openxmlformats.org/officeDocument/2006/customXml" ds:itemID="{B9D6E78B-2F42-4796-8060-D968B21C6FB8}"/>
</file>

<file path=docProps/app.xml><?xml version="1.0" encoding="utf-8"?>
<Properties xmlns="http://schemas.openxmlformats.org/officeDocument/2006/extended-properties" xmlns:vt="http://schemas.openxmlformats.org/officeDocument/2006/docPropsVTypes">
  <Template>Normal.dotm</Template>
  <TotalTime>28</TotalTime>
  <Pages>2</Pages>
  <Words>855</Words>
  <Characters>4280</Characters>
  <Application>Microsoft Office Word</Application>
  <DocSecurity>0</DocSecurity>
  <Lines>35</Lines>
  <Paragraphs>10</Paragraphs>
  <ScaleCrop>false</ScaleCrop>
  <HeadingPairs>
    <vt:vector size="2" baseType="variant">
      <vt:variant>
        <vt:lpstr>שם</vt:lpstr>
      </vt:variant>
      <vt:variant>
        <vt:i4>1</vt:i4>
      </vt:variant>
    </vt:vector>
  </HeadingPairs>
  <TitlesOfParts>
    <vt:vector size="1" baseType="lpstr">
      <vt:lpstr/>
    </vt:vector>
  </TitlesOfParts>
  <Company>Yaron'S Team</Company>
  <LinksUpToDate>false</LinksUpToDate>
  <CharactersWithSpaces>5125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לירז פרידלנדר</dc:creator>
  <cp:keywords/>
  <dc:description/>
  <cp:lastModifiedBy>Noga</cp:lastModifiedBy>
  <cp:revision>7</cp:revision>
  <dcterms:created xsi:type="dcterms:W3CDTF">2015-08-04T15:05:00Z</dcterms:created>
  <dcterms:modified xsi:type="dcterms:W3CDTF">2015-08-06T19:07:00Z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2013283</vt:r8>
  </property>
</Properties>
</file>