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393" w:rsidRDefault="00667393" w:rsidP="00667393">
      <w:pPr>
        <w:bidi/>
        <w:spacing w:line="276" w:lineRule="auto"/>
        <w:jc w:val="both"/>
        <w:rPr>
          <w:rFonts w:ascii="David" w:hAnsi="David" w:cs="David"/>
          <w:b/>
          <w:bCs/>
          <w:sz w:val="24"/>
          <w:szCs w:val="24"/>
          <w:rtl/>
        </w:rPr>
      </w:pPr>
    </w:p>
    <w:p w:rsidR="00667393" w:rsidRPr="00667393" w:rsidRDefault="00667393" w:rsidP="00667393">
      <w:pPr>
        <w:pStyle w:val="ListParagraph"/>
        <w:numPr>
          <w:ilvl w:val="0"/>
          <w:numId w:val="13"/>
        </w:numPr>
        <w:bidi/>
        <w:spacing w:line="276" w:lineRule="auto"/>
        <w:jc w:val="both"/>
        <w:rPr>
          <w:rFonts w:ascii="David" w:hAnsi="David" w:cs="David"/>
          <w:sz w:val="24"/>
          <w:szCs w:val="24"/>
        </w:rPr>
      </w:pPr>
      <w:r>
        <w:rPr>
          <w:rFonts w:ascii="David" w:hAnsi="David" w:cs="David" w:hint="cs"/>
          <w:b/>
          <w:bCs/>
          <w:sz w:val="24"/>
          <w:szCs w:val="24"/>
          <w:rtl/>
        </w:rPr>
        <w:t>נ</w:t>
      </w:r>
      <w:r w:rsidRPr="00667393">
        <w:rPr>
          <w:rFonts w:ascii="David" w:hAnsi="David" w:cs="David" w:hint="cs"/>
          <w:b/>
          <w:bCs/>
          <w:sz w:val="24"/>
          <w:szCs w:val="24"/>
          <w:rtl/>
        </w:rPr>
        <w:t>והג סגירת תלונות על רקע להט"בי על ידי המשטרה מסיבות "חוסר עניין לציבור"</w:t>
      </w:r>
    </w:p>
    <w:p w:rsidR="00667393" w:rsidRDefault="00667393" w:rsidP="00667393">
      <w:pPr>
        <w:pStyle w:val="ListParagraph"/>
        <w:numPr>
          <w:ilvl w:val="0"/>
          <w:numId w:val="14"/>
        </w:numPr>
        <w:bidi/>
        <w:spacing w:line="276" w:lineRule="auto"/>
        <w:jc w:val="both"/>
        <w:rPr>
          <w:rFonts w:ascii="David" w:hAnsi="David" w:cs="David" w:hint="cs"/>
          <w:sz w:val="24"/>
          <w:szCs w:val="24"/>
        </w:rPr>
      </w:pPr>
      <w:r>
        <w:rPr>
          <w:rFonts w:ascii="David" w:hAnsi="David" w:cs="David" w:hint="cs"/>
          <w:sz w:val="24"/>
          <w:szCs w:val="24"/>
          <w:rtl/>
        </w:rPr>
        <w:t>פניות רבות מגיעות למשטרה של עבירות על רקע נטיה מינית/העדפה מגדרית, ורבות מהן נגמרות בסגירת התיק מחוסר עניין לציבור, בשל תיוג האירועים כ"סכסוך שכנים" וסיבות אחרות, המתעלמות מהאספקט הלהט"בי, שלרב מניעו הוא שנאה.</w:t>
      </w:r>
    </w:p>
    <w:p w:rsidR="00667393" w:rsidRDefault="00667393" w:rsidP="00667393">
      <w:pPr>
        <w:pStyle w:val="ListParagraph"/>
        <w:numPr>
          <w:ilvl w:val="0"/>
          <w:numId w:val="14"/>
        </w:numPr>
        <w:bidi/>
        <w:spacing w:line="276" w:lineRule="auto"/>
        <w:jc w:val="both"/>
        <w:rPr>
          <w:rFonts w:ascii="David" w:hAnsi="David" w:cs="David"/>
          <w:sz w:val="24"/>
          <w:szCs w:val="24"/>
        </w:rPr>
      </w:pPr>
      <w:r>
        <w:rPr>
          <w:rFonts w:ascii="David" w:hAnsi="David" w:cs="David" w:hint="cs"/>
          <w:sz w:val="24"/>
          <w:szCs w:val="24"/>
          <w:rtl/>
        </w:rPr>
        <w:t>מכאן, אין קורלציה בין חומרת המקרים להגדרתם במשטרה. כך, משטרת ירושלים סגרה תיק של דייר שהותקף ש</w:t>
      </w:r>
      <w:bookmarkStart w:id="0" w:name="_GoBack"/>
      <w:bookmarkEnd w:id="0"/>
      <w:r>
        <w:rPr>
          <w:rFonts w:ascii="David" w:hAnsi="David" w:cs="David" w:hint="cs"/>
          <w:sz w:val="24"/>
          <w:szCs w:val="24"/>
          <w:rtl/>
        </w:rPr>
        <w:t xml:space="preserve">לוש פעמים במשך שנה על ידי שכנו, כל פעם מיד לאחר שגבר נכנס אל דירת השכן, בהגדרת התקיפה האחרונה כ"סכסוך שכנים". </w:t>
      </w:r>
    </w:p>
    <w:p w:rsidR="00667393" w:rsidRDefault="00667393" w:rsidP="00667393">
      <w:pPr>
        <w:pStyle w:val="ListParagraph"/>
        <w:numPr>
          <w:ilvl w:val="0"/>
          <w:numId w:val="14"/>
        </w:numPr>
        <w:bidi/>
        <w:spacing w:line="276" w:lineRule="auto"/>
        <w:jc w:val="both"/>
        <w:rPr>
          <w:rFonts w:ascii="David" w:hAnsi="David" w:cs="David"/>
          <w:sz w:val="24"/>
          <w:szCs w:val="24"/>
        </w:rPr>
      </w:pPr>
      <w:r>
        <w:rPr>
          <w:rFonts w:ascii="David" w:hAnsi="David" w:cs="David" w:hint="cs"/>
          <w:sz w:val="24"/>
          <w:szCs w:val="24"/>
          <w:rtl/>
        </w:rPr>
        <w:t xml:space="preserve">כתוצאה מכך, נוצר חוסר אמון בין הקהילה הגאה וגורמי המשטרה, וקורבנות עבירה חברי הקהילה הגאה אינם מגישים תלונות במשטרה מתוך חוסר אמון בטיפול התיק. </w:t>
      </w:r>
    </w:p>
    <w:p w:rsidR="00667393" w:rsidRDefault="00667393" w:rsidP="00667393">
      <w:pPr>
        <w:pStyle w:val="ListParagraph"/>
        <w:numPr>
          <w:ilvl w:val="0"/>
          <w:numId w:val="14"/>
        </w:numPr>
        <w:bidi/>
        <w:spacing w:line="276" w:lineRule="auto"/>
        <w:jc w:val="both"/>
        <w:rPr>
          <w:rFonts w:ascii="David" w:hAnsi="David" w:cs="David" w:hint="cs"/>
          <w:sz w:val="24"/>
          <w:szCs w:val="24"/>
        </w:rPr>
      </w:pPr>
      <w:r>
        <w:rPr>
          <w:rFonts w:ascii="David" w:hAnsi="David" w:cs="David" w:hint="cs"/>
          <w:sz w:val="24"/>
          <w:szCs w:val="24"/>
          <w:rtl/>
        </w:rPr>
        <w:t>בעוד שתיקים רבים אכן נופלים לקטגורית הסגירה בצדק, ישנן אינטראקציות עם חברי קהילת הלהט"ב אשר ידרשו הפעלה נוספת של שיקול דעת בטרם סגירת התיק.</w:t>
      </w:r>
    </w:p>
    <w:p w:rsidR="00667393" w:rsidRDefault="00667393" w:rsidP="00667393">
      <w:pPr>
        <w:pStyle w:val="ListParagraph"/>
        <w:numPr>
          <w:ilvl w:val="0"/>
          <w:numId w:val="14"/>
        </w:numPr>
        <w:bidi/>
        <w:spacing w:line="276" w:lineRule="auto"/>
        <w:jc w:val="both"/>
        <w:rPr>
          <w:rFonts w:ascii="David" w:hAnsi="David" w:cs="David"/>
          <w:sz w:val="24"/>
          <w:szCs w:val="24"/>
        </w:rPr>
      </w:pPr>
      <w:r>
        <w:rPr>
          <w:rFonts w:ascii="David" w:hAnsi="David" w:cs="David" w:hint="cs"/>
          <w:sz w:val="24"/>
          <w:szCs w:val="24"/>
          <w:rtl/>
        </w:rPr>
        <w:t>על כן, על המשטרה לחדול מנוהג הגדרת עבירות על רקע נטיה מינית כ"סכסוכי שכנים" ועבירות אחרות, המביאות לרב לאי פתיחת חקירה או סגירת התיק.</w:t>
      </w:r>
    </w:p>
    <w:p w:rsidR="00667393" w:rsidRDefault="00667393" w:rsidP="00667393">
      <w:pPr>
        <w:pStyle w:val="ListParagraph"/>
        <w:numPr>
          <w:ilvl w:val="0"/>
          <w:numId w:val="14"/>
        </w:numPr>
        <w:bidi/>
        <w:spacing w:line="276" w:lineRule="auto"/>
        <w:jc w:val="both"/>
        <w:rPr>
          <w:rFonts w:ascii="David" w:hAnsi="David" w:cs="David"/>
          <w:sz w:val="24"/>
          <w:szCs w:val="24"/>
        </w:rPr>
      </w:pPr>
      <w:r>
        <w:rPr>
          <w:rFonts w:ascii="David" w:hAnsi="David" w:cs="David" w:hint="cs"/>
          <w:sz w:val="24"/>
          <w:szCs w:val="24"/>
          <w:rtl/>
        </w:rPr>
        <w:t>כך, נוצר נוהג של "התעלמות מנורות אזהרה" חשובות בשל הגדרה חוקית שאיננה נכונה המובילה לסגירת תיקים מסיבות של "חוסר עניין לציבור", חרף העובדה כי מדובר בנושאים בוערים בציבור.</w:t>
      </w:r>
    </w:p>
    <w:p w:rsidR="00667393" w:rsidRDefault="00667393" w:rsidP="00667393">
      <w:pPr>
        <w:pStyle w:val="ListParagraph"/>
        <w:numPr>
          <w:ilvl w:val="0"/>
          <w:numId w:val="14"/>
        </w:numPr>
        <w:bidi/>
        <w:spacing w:line="276" w:lineRule="auto"/>
        <w:jc w:val="both"/>
        <w:rPr>
          <w:rFonts w:ascii="David" w:hAnsi="David" w:cs="David"/>
          <w:sz w:val="24"/>
          <w:szCs w:val="24"/>
        </w:rPr>
      </w:pPr>
      <w:r>
        <w:rPr>
          <w:rFonts w:ascii="David" w:hAnsi="David" w:cs="David" w:hint="cs"/>
          <w:sz w:val="24"/>
          <w:szCs w:val="24"/>
          <w:rtl/>
        </w:rPr>
        <w:t xml:space="preserve"> כאשר מתקיימת התייחסות "שווה" במקרים בהם ישנה טענה של אלימות או פגיעה אחרת על רקע להט"בופובי, למעשה מתקיימת אפליה הואיל ובפועל מקרים רבים נובעים מאותה שייכות לקהילה, ולכן היא דורשת התייחסות שונה. </w:t>
      </w:r>
    </w:p>
    <w:p w:rsidR="00667393" w:rsidRDefault="00667393" w:rsidP="00667393">
      <w:pPr>
        <w:pStyle w:val="ListParagraph"/>
        <w:numPr>
          <w:ilvl w:val="0"/>
          <w:numId w:val="14"/>
        </w:numPr>
        <w:bidi/>
        <w:spacing w:line="276" w:lineRule="auto"/>
        <w:jc w:val="both"/>
        <w:rPr>
          <w:rFonts w:ascii="David" w:hAnsi="David" w:cs="David"/>
          <w:sz w:val="24"/>
          <w:szCs w:val="24"/>
        </w:rPr>
      </w:pPr>
      <w:r>
        <w:rPr>
          <w:rFonts w:ascii="David" w:hAnsi="David" w:cs="David" w:hint="cs"/>
          <w:sz w:val="24"/>
          <w:szCs w:val="24"/>
          <w:rtl/>
        </w:rPr>
        <w:t>התעלמות במשטרה מטיעונים המתייחסים למניעים של פגיעה על רקע נטיה מינית/מגדרית היא זו שפוגעת בדעת המשטרה בקרב הקהילה הגאה.</w:t>
      </w:r>
      <w:r w:rsidRPr="00601550">
        <w:rPr>
          <w:rFonts w:ascii="David" w:hAnsi="David" w:cs="David" w:hint="cs"/>
          <w:sz w:val="24"/>
          <w:szCs w:val="24"/>
          <w:rtl/>
        </w:rPr>
        <w:t xml:space="preserve"> </w:t>
      </w:r>
    </w:p>
    <w:p w:rsidR="00667393" w:rsidRPr="00601550" w:rsidRDefault="00667393" w:rsidP="00667393">
      <w:pPr>
        <w:pStyle w:val="ListParagraph"/>
        <w:bidi/>
        <w:spacing w:line="276" w:lineRule="auto"/>
        <w:ind w:left="1080"/>
        <w:jc w:val="both"/>
        <w:rPr>
          <w:rFonts w:ascii="David" w:hAnsi="David" w:cs="David"/>
          <w:sz w:val="24"/>
          <w:szCs w:val="24"/>
        </w:rPr>
      </w:pPr>
    </w:p>
    <w:p w:rsidR="00667393" w:rsidRDefault="00667393" w:rsidP="00667393">
      <w:pPr>
        <w:pStyle w:val="ListParagraph"/>
        <w:numPr>
          <w:ilvl w:val="0"/>
          <w:numId w:val="13"/>
        </w:numPr>
        <w:bidi/>
        <w:spacing w:line="276" w:lineRule="auto"/>
        <w:jc w:val="both"/>
        <w:rPr>
          <w:rFonts w:ascii="David" w:hAnsi="David" w:cs="David"/>
          <w:sz w:val="24"/>
          <w:szCs w:val="24"/>
        </w:rPr>
      </w:pPr>
      <w:r>
        <w:rPr>
          <w:rFonts w:ascii="David" w:hAnsi="David" w:cs="David" w:hint="cs"/>
          <w:b/>
          <w:bCs/>
          <w:sz w:val="24"/>
          <w:szCs w:val="24"/>
          <w:rtl/>
        </w:rPr>
        <w:t>הפרת החוק על ידי שוטרים</w:t>
      </w:r>
    </w:p>
    <w:p w:rsidR="00667393" w:rsidRDefault="00667393" w:rsidP="00667393">
      <w:pPr>
        <w:pStyle w:val="ListParagraph"/>
        <w:numPr>
          <w:ilvl w:val="0"/>
          <w:numId w:val="15"/>
        </w:numPr>
        <w:bidi/>
        <w:spacing w:line="276" w:lineRule="auto"/>
        <w:jc w:val="both"/>
        <w:rPr>
          <w:rFonts w:ascii="David" w:hAnsi="David" w:cs="David"/>
          <w:sz w:val="24"/>
          <w:szCs w:val="24"/>
        </w:rPr>
      </w:pPr>
      <w:r>
        <w:rPr>
          <w:rFonts w:ascii="David" w:hAnsi="David" w:cs="David" w:hint="cs"/>
          <w:sz w:val="24"/>
          <w:szCs w:val="24"/>
          <w:rtl/>
        </w:rPr>
        <w:t xml:space="preserve">בחודש יוני 2016, במהלך מצעד הגאווה בבאר-שבע, שוטר מג"ב אשר אבטחו את הארוע פנו לאמו של אחד הצועדים אשר החזיקה שלט עליו הכיתוב "אני אמא גאה" ואמר לה כי היא מגעילה אותו. בנה החל לצלם את השוטר והשוטרים הסמוכים לו, ואלה הורידו את תגי השם שלהם, בניגוד לחוק. מיד לאחר מכן, עצרו את הצעיר באשמת "סנוור שוטר" ו"הפרעה למילוי תפקיד", והצעיר נלקח אל תחנת המשטרה לכל אורך הלילה, עד שבסופו של דבר שוחרר. לאחר שהוגשה תלונה למח"ש, התיק נותר תלוי ועומד, אך הצעיר סובל מטראומה ואינו מסוגל להתקרב לשוטרים. הוא מעיד על כך שאמונו במשטרה נהרס כליל. </w:t>
      </w:r>
    </w:p>
    <w:p w:rsidR="00667393" w:rsidRDefault="00667393" w:rsidP="00667393">
      <w:pPr>
        <w:pStyle w:val="ListParagraph"/>
        <w:numPr>
          <w:ilvl w:val="0"/>
          <w:numId w:val="15"/>
        </w:numPr>
        <w:bidi/>
        <w:spacing w:line="276" w:lineRule="auto"/>
        <w:jc w:val="both"/>
        <w:rPr>
          <w:rFonts w:ascii="David" w:hAnsi="David" w:cs="David" w:hint="cs"/>
          <w:sz w:val="24"/>
          <w:szCs w:val="24"/>
        </w:rPr>
      </w:pPr>
      <w:r>
        <w:rPr>
          <w:rFonts w:ascii="David" w:hAnsi="David" w:cs="David" w:hint="cs"/>
          <w:sz w:val="24"/>
          <w:szCs w:val="24"/>
          <w:rtl/>
        </w:rPr>
        <w:t>החקירה במח"ש איננה מתקדמת כיום בשל פחד הצעיר ואי רצונו לעסוק במקרה. לאחר שהתייצב לחקירה אחת במח"ש, העיד כי חש כי מנסים להובילו להקטנת חומרת האירועים וסרב לגשת בשנית.</w:t>
      </w:r>
    </w:p>
    <w:p w:rsidR="00667393" w:rsidRDefault="00667393" w:rsidP="00667393">
      <w:pPr>
        <w:pStyle w:val="ListParagraph"/>
        <w:numPr>
          <w:ilvl w:val="0"/>
          <w:numId w:val="15"/>
        </w:numPr>
        <w:bidi/>
        <w:spacing w:line="276" w:lineRule="auto"/>
        <w:jc w:val="both"/>
        <w:rPr>
          <w:rFonts w:ascii="David" w:hAnsi="David" w:cs="David"/>
          <w:sz w:val="24"/>
          <w:szCs w:val="24"/>
        </w:rPr>
      </w:pPr>
      <w:r>
        <w:rPr>
          <w:rFonts w:ascii="David" w:hAnsi="David" w:cs="David" w:hint="cs"/>
          <w:sz w:val="24"/>
          <w:szCs w:val="24"/>
          <w:rtl/>
        </w:rPr>
        <w:t>מקרים כגון אלו אינם חדשים ומעלים את הצורך באכיפה מוגברת של החוק החל על שוטרים במילוי תפקידם.</w:t>
      </w:r>
    </w:p>
    <w:p w:rsidR="00667393" w:rsidRPr="00402A52" w:rsidRDefault="00667393" w:rsidP="00667393">
      <w:pPr>
        <w:pStyle w:val="ListParagraph"/>
        <w:spacing w:line="276" w:lineRule="auto"/>
        <w:ind w:left="1080"/>
        <w:jc w:val="both"/>
        <w:rPr>
          <w:rFonts w:ascii="David" w:hAnsi="David" w:cs="David"/>
          <w:b/>
          <w:bCs/>
          <w:sz w:val="24"/>
          <w:szCs w:val="24"/>
          <w:rtl/>
        </w:rPr>
      </w:pPr>
    </w:p>
    <w:p w:rsidR="00667393" w:rsidRPr="00402A52" w:rsidRDefault="00667393" w:rsidP="00667393">
      <w:pPr>
        <w:pStyle w:val="ListParagraph"/>
        <w:numPr>
          <w:ilvl w:val="0"/>
          <w:numId w:val="13"/>
        </w:numPr>
        <w:bidi/>
        <w:spacing w:line="276" w:lineRule="auto"/>
        <w:jc w:val="both"/>
        <w:rPr>
          <w:rFonts w:ascii="David" w:hAnsi="David" w:cs="David" w:hint="cs"/>
          <w:b/>
          <w:bCs/>
          <w:sz w:val="24"/>
          <w:szCs w:val="24"/>
        </w:rPr>
      </w:pPr>
      <w:r w:rsidRPr="00402A52">
        <w:rPr>
          <w:rFonts w:ascii="David" w:hAnsi="David" w:cs="David" w:hint="cs"/>
          <w:b/>
          <w:bCs/>
          <w:sz w:val="24"/>
          <w:szCs w:val="24"/>
          <w:rtl/>
        </w:rPr>
        <w:t xml:space="preserve">סיכום </w:t>
      </w:r>
    </w:p>
    <w:p w:rsidR="00667393" w:rsidRPr="00402A52" w:rsidRDefault="00667393" w:rsidP="00667393">
      <w:pPr>
        <w:pStyle w:val="ListParagraph"/>
        <w:numPr>
          <w:ilvl w:val="0"/>
          <w:numId w:val="16"/>
        </w:numPr>
        <w:bidi/>
        <w:spacing w:line="276" w:lineRule="auto"/>
        <w:jc w:val="both"/>
        <w:rPr>
          <w:rFonts w:ascii="David" w:hAnsi="David" w:cs="David"/>
          <w:b/>
          <w:bCs/>
          <w:sz w:val="24"/>
          <w:szCs w:val="24"/>
        </w:rPr>
      </w:pPr>
      <w:r w:rsidRPr="00402A52">
        <w:rPr>
          <w:rFonts w:ascii="David" w:hAnsi="David" w:cs="David" w:hint="cs"/>
          <w:b/>
          <w:bCs/>
          <w:sz w:val="24"/>
          <w:szCs w:val="24"/>
          <w:rtl/>
        </w:rPr>
        <w:t>הפרת החוק על ידי שוטרים, כמו גם נוהג סגירת תיקים על רקע להט"בי על ידי המשטרה מסיבות של "חוסר עניין לציבור", הן בין הסיבות המכריעות לאיבוד האמון במשטרה בקרב חברי הקהילה הגאה.</w:t>
      </w:r>
    </w:p>
    <w:p w:rsidR="00202462" w:rsidRPr="00667393" w:rsidRDefault="00202462" w:rsidP="00202462">
      <w:pPr>
        <w:pStyle w:val="ListParagraph"/>
        <w:bidi/>
        <w:rPr>
          <w:rFonts w:ascii="David" w:hAnsi="David" w:cs="David"/>
          <w:sz w:val="24"/>
          <w:szCs w:val="24"/>
        </w:rPr>
      </w:pPr>
    </w:p>
    <w:sectPr w:rsidR="00202462" w:rsidRPr="0066739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A15" w:rsidRDefault="005D7A15" w:rsidP="007C1786">
      <w:pPr>
        <w:spacing w:after="0" w:line="240" w:lineRule="auto"/>
      </w:pPr>
      <w:r>
        <w:separator/>
      </w:r>
    </w:p>
  </w:endnote>
  <w:endnote w:type="continuationSeparator" w:id="0">
    <w:p w:rsidR="005D7A15" w:rsidRDefault="005D7A15" w:rsidP="007C1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A15" w:rsidRDefault="005D7A15" w:rsidP="007C1786">
      <w:pPr>
        <w:spacing w:after="0" w:line="240" w:lineRule="auto"/>
      </w:pPr>
      <w:r>
        <w:separator/>
      </w:r>
    </w:p>
  </w:footnote>
  <w:footnote w:type="continuationSeparator" w:id="0">
    <w:p w:rsidR="005D7A15" w:rsidRDefault="005D7A15" w:rsidP="007C17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1786" w:rsidRPr="00202462" w:rsidRDefault="009C098E" w:rsidP="007C1786">
    <w:pPr>
      <w:pStyle w:val="Header"/>
      <w:bidi/>
      <w:jc w:val="center"/>
      <w:rPr>
        <w:rFonts w:ascii="David" w:hAnsi="David" w:cs="David"/>
        <w:b/>
        <w:bCs/>
        <w:rtl/>
      </w:rPr>
    </w:pPr>
    <w:r>
      <w:rPr>
        <w:rFonts w:ascii="David" w:hAnsi="David" w:cs="David"/>
        <w:noProof/>
      </w:rPr>
      <w:drawing>
        <wp:anchor distT="0" distB="0" distL="114300" distR="114300" simplePos="0" relativeHeight="251659264" behindDoc="1" locked="0" layoutInCell="1" allowOverlap="1">
          <wp:simplePos x="0" y="0"/>
          <wp:positionH relativeFrom="column">
            <wp:posOffset>5038725</wp:posOffset>
          </wp:positionH>
          <wp:positionV relativeFrom="paragraph">
            <wp:posOffset>-314325</wp:posOffset>
          </wp:positionV>
          <wp:extent cx="1692910" cy="887095"/>
          <wp:effectExtent l="0" t="0" r="2540" b="8255"/>
          <wp:wrapNone/>
          <wp:docPr id="2" name="Picture 2" descr="C:\Users\User\AppData\Local\Microsoft\Windows\INetCache\Content.Word\12916290_1120867634631868_303260858804207605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12916290_1120867634631868_3032608588042076050_o.jpg"/>
                  <pic:cNvPicPr>
                    <a:picLocks noChangeAspect="1" noChangeArrowheads="1"/>
                  </pic:cNvPicPr>
                </pic:nvPicPr>
                <pic:blipFill>
                  <a:blip r:embed="rId1">
                    <a:lum bright="40000"/>
                    <a:extLst>
                      <a:ext uri="{28A0092B-C50C-407E-A947-70E740481C1C}">
                        <a14:useLocalDpi xmlns:a14="http://schemas.microsoft.com/office/drawing/2010/main" val="0"/>
                      </a:ext>
                    </a:extLst>
                  </a:blip>
                  <a:srcRect l="9770" t="14235" r="5632" b="17706"/>
                  <a:stretch>
                    <a:fillRect/>
                  </a:stretch>
                </pic:blipFill>
                <pic:spPr bwMode="auto">
                  <a:xfrm>
                    <a:off x="0" y="0"/>
                    <a:ext cx="1692910" cy="8870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David" w:hAnsi="David" w:cs="David"/>
        <w:noProof/>
      </w:rPr>
      <w:drawing>
        <wp:anchor distT="0" distB="0" distL="114300" distR="114300" simplePos="0" relativeHeight="251658240" behindDoc="0" locked="0" layoutInCell="1" allowOverlap="1" wp14:anchorId="2EAE81AC" wp14:editId="77B16040">
          <wp:simplePos x="0" y="0"/>
          <wp:positionH relativeFrom="column">
            <wp:posOffset>-885825</wp:posOffset>
          </wp:positionH>
          <wp:positionV relativeFrom="paragraph">
            <wp:posOffset>-454025</wp:posOffset>
          </wp:positionV>
          <wp:extent cx="962025" cy="962025"/>
          <wp:effectExtent l="0" t="0" r="9525" b="9525"/>
          <wp:wrapTopAndBottom/>
          <wp:docPr id="1" name="Picture 1" descr="לוגו חד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לוגו חדש"/>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14:sizeRelH relativeFrom="page">
            <wp14:pctWidth>0</wp14:pctWidth>
          </wp14:sizeRelH>
          <wp14:sizeRelV relativeFrom="page">
            <wp14:pctHeight>0</wp14:pctHeight>
          </wp14:sizeRelV>
        </wp:anchor>
      </w:drawing>
    </w:r>
    <w:r w:rsidR="00667393">
      <w:rPr>
        <w:rFonts w:ascii="David" w:hAnsi="David" w:cs="David" w:hint="cs"/>
        <w:b/>
        <w:bCs/>
        <w:rtl/>
      </w:rPr>
      <w:t>ועדת הפנים ביום זכויות הקהילה הגאה</w:t>
    </w:r>
    <w:r w:rsidR="007C1786" w:rsidRPr="00202462">
      <w:rPr>
        <w:rFonts w:ascii="David" w:hAnsi="David" w:cs="David" w:hint="cs"/>
        <w:b/>
        <w:bCs/>
        <w:rtl/>
      </w:rPr>
      <w:t xml:space="preserve"> </w:t>
    </w:r>
    <w:r w:rsidR="007C1786" w:rsidRPr="00202462">
      <w:rPr>
        <w:rFonts w:ascii="David" w:hAnsi="David" w:cs="David"/>
        <w:b/>
        <w:bCs/>
        <w:rtl/>
      </w:rPr>
      <w:t>–</w:t>
    </w:r>
    <w:r w:rsidR="007C1786" w:rsidRPr="00202462">
      <w:rPr>
        <w:rFonts w:ascii="David" w:hAnsi="David" w:cs="David" w:hint="cs"/>
        <w:b/>
        <w:bCs/>
        <w:rtl/>
      </w:rPr>
      <w:t xml:space="preserve"> ניר עמדה משפטי</w:t>
    </w:r>
    <w:r w:rsidR="00667393">
      <w:rPr>
        <w:rFonts w:ascii="David" w:hAnsi="David" w:cs="David" w:hint="cs"/>
        <w:b/>
        <w:bCs/>
        <w:rtl/>
      </w:rPr>
      <w:t xml:space="preserve"> בנושא יחס רשויות אכיפת החוק</w:t>
    </w:r>
  </w:p>
  <w:p w:rsidR="00472D4D" w:rsidRPr="00202462" w:rsidRDefault="00472D4D" w:rsidP="00472D4D">
    <w:pPr>
      <w:pStyle w:val="Header"/>
      <w:bidi/>
      <w:jc w:val="center"/>
      <w:rPr>
        <w:rFonts w:ascii="David" w:hAnsi="David" w:cs="David"/>
        <w:b/>
        <w:bCs/>
        <w:rtl/>
      </w:rPr>
    </w:pPr>
  </w:p>
  <w:p w:rsidR="00472D4D" w:rsidRPr="00202462" w:rsidRDefault="00667393" w:rsidP="00472D4D">
    <w:pPr>
      <w:pStyle w:val="Header"/>
      <w:bidi/>
      <w:jc w:val="center"/>
      <w:rPr>
        <w:rFonts w:ascii="David" w:hAnsi="David" w:cs="David"/>
        <w:b/>
        <w:bCs/>
        <w:rtl/>
      </w:rPr>
    </w:pPr>
    <w:r>
      <w:rPr>
        <w:rFonts w:ascii="David" w:hAnsi="David" w:cs="David" w:hint="cs"/>
        <w:b/>
        <w:bCs/>
        <w:rtl/>
      </w:rPr>
      <w:t>נכתב על ידי דן רוזנטל ונמרוד גורנשטיין, פברואר 2017</w:t>
    </w:r>
  </w:p>
  <w:p w:rsidR="00472D4D" w:rsidRDefault="005D7A15" w:rsidP="00667393">
    <w:pPr>
      <w:pStyle w:val="Header"/>
      <w:bidi/>
      <w:jc w:val="center"/>
      <w:rPr>
        <w:rFonts w:ascii="David" w:hAnsi="David" w:cs="David"/>
        <w:rtl/>
      </w:rPr>
    </w:pPr>
    <w:hyperlink r:id="rId3" w:history="1">
      <w:r w:rsidR="00667393">
        <w:rPr>
          <w:rStyle w:val="Hyperlink"/>
          <w:rFonts w:ascii="David" w:hAnsi="David" w:cs="David"/>
        </w:rPr>
        <w:t>justice@glbt.org.il</w:t>
      </w:r>
    </w:hyperlink>
  </w:p>
  <w:p w:rsidR="00472D4D" w:rsidRPr="007C1786" w:rsidRDefault="00472D4D" w:rsidP="00472D4D">
    <w:pPr>
      <w:pStyle w:val="Header"/>
      <w:bidi/>
      <w:jc w:val="center"/>
      <w:rPr>
        <w:rFonts w:ascii="David" w:hAnsi="David"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106A"/>
    <w:multiLevelType w:val="hybridMultilevel"/>
    <w:tmpl w:val="82F2E1E8"/>
    <w:lvl w:ilvl="0" w:tplc="796C96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5D0BCB"/>
    <w:multiLevelType w:val="hybridMultilevel"/>
    <w:tmpl w:val="2E386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F52E3"/>
    <w:multiLevelType w:val="hybridMultilevel"/>
    <w:tmpl w:val="0AC4718E"/>
    <w:lvl w:ilvl="0" w:tplc="F0F81A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12314D"/>
    <w:multiLevelType w:val="hybridMultilevel"/>
    <w:tmpl w:val="0CBAB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A84D7C"/>
    <w:multiLevelType w:val="hybridMultilevel"/>
    <w:tmpl w:val="A080E4E0"/>
    <w:lvl w:ilvl="0" w:tplc="86342310">
      <w:start w:val="1"/>
      <w:numFmt w:val="hebrew1"/>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4A599E"/>
    <w:multiLevelType w:val="hybridMultilevel"/>
    <w:tmpl w:val="CB028640"/>
    <w:lvl w:ilvl="0" w:tplc="1B96893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3EC188B"/>
    <w:multiLevelType w:val="hybridMultilevel"/>
    <w:tmpl w:val="E3FCBDD8"/>
    <w:lvl w:ilvl="0" w:tplc="75E2BD1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39373D6"/>
    <w:multiLevelType w:val="hybridMultilevel"/>
    <w:tmpl w:val="A1085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6400A70"/>
    <w:multiLevelType w:val="hybridMultilevel"/>
    <w:tmpl w:val="E244CD00"/>
    <w:lvl w:ilvl="0" w:tplc="F6C8DE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9B4B2F"/>
    <w:multiLevelType w:val="hybridMultilevel"/>
    <w:tmpl w:val="0D921E78"/>
    <w:lvl w:ilvl="0" w:tplc="43B4D104">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7AC245B"/>
    <w:multiLevelType w:val="hybridMultilevel"/>
    <w:tmpl w:val="C5A24D04"/>
    <w:lvl w:ilvl="0" w:tplc="9D045204">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8382E2B"/>
    <w:multiLevelType w:val="hybridMultilevel"/>
    <w:tmpl w:val="C6D6B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5976F7"/>
    <w:multiLevelType w:val="hybridMultilevel"/>
    <w:tmpl w:val="8D5A2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EF1C94"/>
    <w:multiLevelType w:val="hybridMultilevel"/>
    <w:tmpl w:val="7182F0EE"/>
    <w:lvl w:ilvl="0" w:tplc="9E0E0816">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BFD19F4"/>
    <w:multiLevelType w:val="hybridMultilevel"/>
    <w:tmpl w:val="5A641838"/>
    <w:lvl w:ilvl="0" w:tplc="3DA2EF2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CA82C11"/>
    <w:multiLevelType w:val="hybridMultilevel"/>
    <w:tmpl w:val="5DE0B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15"/>
  </w:num>
  <w:num w:numId="4">
    <w:abstractNumId w:val="7"/>
  </w:num>
  <w:num w:numId="5">
    <w:abstractNumId w:val="12"/>
  </w:num>
  <w:num w:numId="6">
    <w:abstractNumId w:val="2"/>
  </w:num>
  <w:num w:numId="7">
    <w:abstractNumId w:val="11"/>
  </w:num>
  <w:num w:numId="8">
    <w:abstractNumId w:val="13"/>
  </w:num>
  <w:num w:numId="9">
    <w:abstractNumId w:val="5"/>
  </w:num>
  <w:num w:numId="10">
    <w:abstractNumId w:val="3"/>
  </w:num>
  <w:num w:numId="11">
    <w:abstractNumId w:val="1"/>
  </w:num>
  <w:num w:numId="12">
    <w:abstractNumId w:val="9"/>
  </w:num>
  <w:num w:numId="13">
    <w:abstractNumId w:val="8"/>
  </w:num>
  <w:num w:numId="14">
    <w:abstractNumId w:val="4"/>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1786"/>
    <w:rsid w:val="00104264"/>
    <w:rsid w:val="00202462"/>
    <w:rsid w:val="00472D4D"/>
    <w:rsid w:val="005C405B"/>
    <w:rsid w:val="005D7A15"/>
    <w:rsid w:val="006337BF"/>
    <w:rsid w:val="00667393"/>
    <w:rsid w:val="007C1786"/>
    <w:rsid w:val="007F042B"/>
    <w:rsid w:val="009C098E"/>
    <w:rsid w:val="009F37BE"/>
    <w:rsid w:val="00EC70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6D6096-0337-4743-99E3-78FD477D5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1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1786"/>
  </w:style>
  <w:style w:type="paragraph" w:styleId="Footer">
    <w:name w:val="footer"/>
    <w:basedOn w:val="Normal"/>
    <w:link w:val="FooterChar"/>
    <w:uiPriority w:val="99"/>
    <w:unhideWhenUsed/>
    <w:rsid w:val="007C1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1786"/>
  </w:style>
  <w:style w:type="paragraph" w:styleId="ListParagraph">
    <w:name w:val="List Paragraph"/>
    <w:basedOn w:val="Normal"/>
    <w:uiPriority w:val="34"/>
    <w:qFormat/>
    <w:rsid w:val="007C1786"/>
    <w:pPr>
      <w:ind w:left="720"/>
      <w:contextualSpacing/>
    </w:pPr>
  </w:style>
  <w:style w:type="character" w:styleId="Hyperlink">
    <w:name w:val="Hyperlink"/>
    <w:basedOn w:val="DefaultParagraphFont"/>
    <w:uiPriority w:val="99"/>
    <w:unhideWhenUsed/>
    <w:rsid w:val="00472D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nimigor@gmail.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7B5C289-6799-4876-8D30-06F29C1C9C4E}"/>
</file>

<file path=customXml/itemProps2.xml><?xml version="1.0" encoding="utf-8"?>
<ds:datastoreItem xmlns:ds="http://schemas.openxmlformats.org/officeDocument/2006/customXml" ds:itemID="{85B537D5-A1DC-4935-B70E-37B522A151DD}"/>
</file>

<file path=customXml/itemProps3.xml><?xml version="1.0" encoding="utf-8"?>
<ds:datastoreItem xmlns:ds="http://schemas.openxmlformats.org/officeDocument/2006/customXml" ds:itemID="{F111AD94-9EA2-432C-884B-DF53E3C9182F}"/>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2035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nimrod gornstein</dc:creator>
  <cp:keywords/>
  <dc:description/>
  <cp:lastModifiedBy>nimrod gornstein</cp:lastModifiedBy>
  <cp:revision>2</cp:revision>
  <dcterms:created xsi:type="dcterms:W3CDTF">2017-02-19T20:01:00Z</dcterms:created>
  <dcterms:modified xsi:type="dcterms:W3CDTF">2017-02-19T20:01:00Z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2013514</vt:r8>
  </property>
</Properties>
</file>