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2003233</w:t>
      </w:r>
      <w:bookmarkEnd w:id="1"/>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מיכל רוזין</w:t>
      </w:r>
      <w:bookmarkEnd w:id="4"/>
    </w:p>
    <w:p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פ/3106/20</w:t>
      </w:r>
      <w:bookmarkEnd w:id="7"/>
    </w:p>
    <w:p w:rsidR="00E13C27" w:rsidRDefault="00E13C27" w:rsidP="00E13C27">
      <w:pPr>
        <w:spacing w:before="0" w:line="360" w:lineRule="auto"/>
        <w:ind w:left="2880" w:firstLine="720"/>
        <w:rPr>
          <w:rFonts w:cs="David"/>
          <w:sz w:val="26"/>
          <w:szCs w:val="26"/>
          <w:rtl/>
        </w:rPr>
      </w:pPr>
    </w:p>
    <w:p w:rsidR="00E13C27" w:rsidRPr="00F67051" w:rsidRDefault="00A443CF" w:rsidP="00431895">
      <w:pPr>
        <w:pStyle w:val="HeadHatzaotHok"/>
        <w:rPr>
          <w:rtl/>
        </w:rPr>
      </w:pPr>
      <w:bookmarkStart w:id="8" w:name="LGS_Subject"/>
      <w:r>
        <w:rPr>
          <w:rFonts w:hint="cs"/>
          <w:rtl/>
        </w:rPr>
        <w:t>הצעת חוק עובדים זרים (תיקון</w:t>
      </w:r>
      <w:r w:rsidR="00431895">
        <w:rPr>
          <w:rFonts w:hint="cs"/>
          <w:rtl/>
        </w:rPr>
        <w:t xml:space="preserve"> </w:t>
      </w:r>
      <w:r w:rsidR="00431895">
        <w:rPr>
          <w:rFonts w:hint="eastAsia"/>
          <w:rtl/>
        </w:rPr>
        <w:t>–</w:t>
      </w:r>
      <w:r>
        <w:rPr>
          <w:rFonts w:hint="cs"/>
          <w:rtl/>
        </w:rPr>
        <w:t xml:space="preserve"> הגנה על עובדים זרים מפני ניצול ועבירות </w:t>
      </w:r>
      <w:r w:rsidR="00431895">
        <w:rPr>
          <w:rFonts w:hint="cs"/>
          <w:rtl/>
        </w:rPr>
        <w:t>חמורות),</w:t>
      </w:r>
      <w:r>
        <w:rPr>
          <w:rFonts w:hint="cs"/>
          <w:rtl/>
        </w:rPr>
        <w:t xml:space="preserve"> </w:t>
      </w:r>
      <w:proofErr w:type="spellStart"/>
      <w:r>
        <w:rPr>
          <w:rFonts w:hint="cs"/>
          <w:rtl/>
        </w:rPr>
        <w:t>התשע"ו</w:t>
      </w:r>
      <w:proofErr w:type="spellEnd"/>
      <w:r w:rsidR="00FB7936">
        <w:rPr>
          <w:rFonts w:hint="eastAsia"/>
          <w:rtl/>
        </w:rPr>
        <w:t>–</w:t>
      </w:r>
      <w:r>
        <w:rPr>
          <w:rFonts w:hint="cs"/>
          <w:rtl/>
        </w:rPr>
        <w:t>2016</w:t>
      </w:r>
      <w:bookmarkEnd w:id="8"/>
    </w:p>
    <w:p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0C7CBB" w:rsidTr="00F332E1">
        <w:trPr>
          <w:cantSplit/>
        </w:trPr>
        <w:tc>
          <w:tcPr>
            <w:tcW w:w="1871" w:type="dxa"/>
          </w:tcPr>
          <w:p w:rsidR="000C7CBB" w:rsidRDefault="000C7CBB" w:rsidP="00A55FD3">
            <w:pPr>
              <w:pStyle w:val="TableSideHeading"/>
              <w:keepLines w:val="0"/>
              <w:rPr>
                <w:rtl/>
              </w:rPr>
            </w:pPr>
            <w:r>
              <w:rPr>
                <w:rFonts w:hint="cs"/>
                <w:rtl/>
              </w:rPr>
              <w:t>תיקון סעיף 1ג</w:t>
            </w:r>
          </w:p>
        </w:tc>
        <w:tc>
          <w:tcPr>
            <w:tcW w:w="624" w:type="dxa"/>
          </w:tcPr>
          <w:p w:rsidR="000C7CBB" w:rsidRDefault="00FB37B3" w:rsidP="00A55FD3">
            <w:pPr>
              <w:pStyle w:val="TableText"/>
              <w:keepLines w:val="0"/>
              <w:rPr>
                <w:rtl/>
              </w:rPr>
            </w:pPr>
            <w:r>
              <w:rPr>
                <w:rFonts w:hint="cs"/>
                <w:rtl/>
              </w:rPr>
              <w:t>1.</w:t>
            </w:r>
          </w:p>
        </w:tc>
        <w:tc>
          <w:tcPr>
            <w:tcW w:w="7143" w:type="dxa"/>
            <w:gridSpan w:val="2"/>
          </w:tcPr>
          <w:p w:rsidR="000C7CBB" w:rsidRPr="007741B6" w:rsidRDefault="000C7CBB" w:rsidP="00F332E1">
            <w:pPr>
              <w:pStyle w:val="TableBlock"/>
              <w:rPr>
                <w:rtl/>
              </w:rPr>
            </w:pPr>
            <w:r w:rsidRPr="007741B6">
              <w:rPr>
                <w:rFonts w:hint="cs"/>
                <w:rtl/>
              </w:rPr>
              <w:t xml:space="preserve">בסעיף 1ג </w:t>
            </w:r>
            <w:r w:rsidR="00FA3DD9" w:rsidRPr="007741B6">
              <w:rPr>
                <w:rFonts w:hint="cs"/>
                <w:rtl/>
              </w:rPr>
              <w:t>ל</w:t>
            </w:r>
            <w:r w:rsidRPr="007741B6">
              <w:rPr>
                <w:rFonts w:hint="cs"/>
                <w:rtl/>
              </w:rPr>
              <w:t>חוק</w:t>
            </w:r>
            <w:r w:rsidR="00FA3DD9" w:rsidRPr="007741B6">
              <w:rPr>
                <w:rFonts w:hint="cs"/>
                <w:rtl/>
              </w:rPr>
              <w:t xml:space="preserve"> עובדים זרים, </w:t>
            </w:r>
            <w:proofErr w:type="spellStart"/>
            <w:r w:rsidR="00FA3DD9" w:rsidRPr="007741B6">
              <w:rPr>
                <w:rFonts w:hint="cs"/>
                <w:rtl/>
              </w:rPr>
              <w:t>התשנ"א</w:t>
            </w:r>
            <w:proofErr w:type="spellEnd"/>
            <w:r w:rsidR="007741B6">
              <w:rPr>
                <w:rFonts w:hint="eastAsia"/>
                <w:rtl/>
              </w:rPr>
              <w:t>–</w:t>
            </w:r>
            <w:r w:rsidR="00FA3DD9" w:rsidRPr="007741B6">
              <w:rPr>
                <w:rFonts w:hint="cs"/>
                <w:rtl/>
              </w:rPr>
              <w:t>1991</w:t>
            </w:r>
            <w:r w:rsidR="007741B6">
              <w:rPr>
                <w:rStyle w:val="a6"/>
                <w:rtl/>
              </w:rPr>
              <w:footnoteReference w:id="2"/>
            </w:r>
            <w:r w:rsidR="00FA3DD9" w:rsidRPr="007741B6">
              <w:rPr>
                <w:rFonts w:hint="cs"/>
                <w:rtl/>
              </w:rPr>
              <w:t xml:space="preserve"> (להלן</w:t>
            </w:r>
            <w:r w:rsidR="00DC4CFB">
              <w:rPr>
                <w:rFonts w:hint="cs"/>
                <w:rtl/>
              </w:rPr>
              <w:t xml:space="preserve"> </w:t>
            </w:r>
            <w:r w:rsidR="00DC4CFB">
              <w:rPr>
                <w:rFonts w:hint="eastAsia"/>
              </w:rPr>
              <w:t>–</w:t>
            </w:r>
            <w:r w:rsidR="00FA3DD9" w:rsidRPr="007741B6">
              <w:rPr>
                <w:rFonts w:hint="cs"/>
                <w:rtl/>
              </w:rPr>
              <w:t xml:space="preserve"> החוק</w:t>
            </w:r>
            <w:r w:rsidR="00DC4CFB">
              <w:rPr>
                <w:rFonts w:hint="cs"/>
                <w:rtl/>
              </w:rPr>
              <w:t xml:space="preserve"> העיקרי</w:t>
            </w:r>
            <w:r w:rsidR="00FA3DD9" w:rsidRPr="007741B6">
              <w:rPr>
                <w:rFonts w:hint="cs"/>
                <w:rtl/>
              </w:rPr>
              <w:t>)</w:t>
            </w:r>
            <w:r w:rsidRPr="007741B6">
              <w:rPr>
                <w:rFonts w:hint="cs"/>
                <w:rtl/>
              </w:rPr>
              <w:t xml:space="preserve">, אחרי סעיף קטן (9), יבוא: </w:t>
            </w:r>
          </w:p>
        </w:tc>
      </w:tr>
      <w:tr w:rsidR="00F332E1" w:rsidTr="00F332E1">
        <w:trPr>
          <w:cantSplit/>
        </w:trPr>
        <w:tc>
          <w:tcPr>
            <w:tcW w:w="1871" w:type="dxa"/>
          </w:tcPr>
          <w:p w:rsidR="00F332E1" w:rsidRDefault="00F332E1">
            <w:pPr>
              <w:pStyle w:val="TableSideHeading"/>
            </w:pPr>
          </w:p>
        </w:tc>
        <w:tc>
          <w:tcPr>
            <w:tcW w:w="624" w:type="dxa"/>
          </w:tcPr>
          <w:p w:rsidR="00F332E1" w:rsidRDefault="00F332E1">
            <w:pPr>
              <w:pStyle w:val="TableText"/>
            </w:pPr>
          </w:p>
        </w:tc>
        <w:tc>
          <w:tcPr>
            <w:tcW w:w="7143" w:type="dxa"/>
            <w:gridSpan w:val="2"/>
          </w:tcPr>
          <w:p w:rsidR="00F332E1" w:rsidRDefault="00F332E1" w:rsidP="00F332E1">
            <w:pPr>
              <w:pStyle w:val="TableBlock"/>
            </w:pPr>
            <w:r>
              <w:rPr>
                <w:rFonts w:hint="cs"/>
                <w:rtl/>
              </w:rPr>
              <w:t>"(9א)</w:t>
            </w:r>
            <w:r>
              <w:rPr>
                <w:rtl/>
              </w:rPr>
              <w:tab/>
            </w:r>
            <w:r>
              <w:rPr>
                <w:rFonts w:hint="cs"/>
                <w:rtl/>
              </w:rPr>
              <w:t xml:space="preserve">חובת המעסיק, כפי שקבע הממונה בהיתר, לשלם לעובד הזר את שכר העבודה, כולו או חלקו באמצעות הפקדה או העברה לחשבון בנק שנפתח בישראל על שם העובד בלבד ואין למעסיק או לגורם אחר פרט לעובד </w:t>
            </w:r>
            <w:r w:rsidRPr="00FA3DD9">
              <w:rPr>
                <w:rFonts w:hint="cs"/>
                <w:rtl/>
              </w:rPr>
              <w:t>ייפו</w:t>
            </w:r>
            <w:r w:rsidRPr="00FA3DD9">
              <w:rPr>
                <w:rFonts w:hint="eastAsia"/>
                <w:rtl/>
              </w:rPr>
              <w:t>י</w:t>
            </w:r>
            <w:r>
              <w:rPr>
                <w:rFonts w:hint="cs"/>
                <w:rtl/>
              </w:rPr>
              <w:t xml:space="preserve"> כוח או הרשאה לפעול בו."</w:t>
            </w:r>
          </w:p>
        </w:tc>
      </w:tr>
      <w:tr w:rsidR="0090552E" w:rsidTr="00F332E1">
        <w:trPr>
          <w:cantSplit/>
        </w:trPr>
        <w:tc>
          <w:tcPr>
            <w:tcW w:w="1871" w:type="dxa"/>
          </w:tcPr>
          <w:p w:rsidR="0090552E" w:rsidRDefault="0090552E">
            <w:pPr>
              <w:pStyle w:val="TableSideHeading"/>
            </w:pPr>
            <w:r>
              <w:rPr>
                <w:rFonts w:hint="cs"/>
                <w:rtl/>
              </w:rPr>
              <w:t>תיקון סעיף 1יד</w:t>
            </w:r>
          </w:p>
        </w:tc>
        <w:tc>
          <w:tcPr>
            <w:tcW w:w="624" w:type="dxa"/>
          </w:tcPr>
          <w:p w:rsidR="0090552E" w:rsidRDefault="0090552E" w:rsidP="0090552E">
            <w:pPr>
              <w:pStyle w:val="TableText"/>
            </w:pPr>
            <w:r>
              <w:rPr>
                <w:rFonts w:hint="cs"/>
                <w:rtl/>
              </w:rPr>
              <w:t>2.</w:t>
            </w:r>
          </w:p>
        </w:tc>
        <w:tc>
          <w:tcPr>
            <w:tcW w:w="7143" w:type="dxa"/>
            <w:gridSpan w:val="2"/>
          </w:tcPr>
          <w:p w:rsidR="0090552E" w:rsidRDefault="0090552E" w:rsidP="00F332E1">
            <w:pPr>
              <w:pStyle w:val="TableBlock"/>
              <w:rPr>
                <w:rtl/>
              </w:rPr>
            </w:pPr>
            <w:r>
              <w:rPr>
                <w:rFonts w:hint="cs"/>
                <w:rtl/>
              </w:rPr>
              <w:t>בסעיף 1יד(1) לחוק העיקרי, אחרי פסקת משנה (ב3) יבוא:</w:t>
            </w:r>
          </w:p>
        </w:tc>
      </w:tr>
      <w:tr w:rsidR="00F332E1" w:rsidTr="00F332E1">
        <w:trPr>
          <w:cantSplit/>
        </w:trPr>
        <w:tc>
          <w:tcPr>
            <w:tcW w:w="1871" w:type="dxa"/>
          </w:tcPr>
          <w:p w:rsidR="00F332E1" w:rsidRDefault="00F332E1" w:rsidP="0090552E">
            <w:pPr>
              <w:pStyle w:val="TableSideHeading"/>
              <w:ind w:right="0"/>
              <w:rPr>
                <w:rtl/>
              </w:rPr>
            </w:pPr>
          </w:p>
        </w:tc>
        <w:tc>
          <w:tcPr>
            <w:tcW w:w="624" w:type="dxa"/>
          </w:tcPr>
          <w:p w:rsidR="00F332E1" w:rsidRDefault="00F332E1" w:rsidP="0090552E">
            <w:pPr>
              <w:pStyle w:val="TableText"/>
              <w:ind w:right="0"/>
              <w:jc w:val="both"/>
              <w:rPr>
                <w:rtl/>
              </w:rPr>
            </w:pPr>
          </w:p>
        </w:tc>
        <w:tc>
          <w:tcPr>
            <w:tcW w:w="7143" w:type="dxa"/>
            <w:gridSpan w:val="2"/>
          </w:tcPr>
          <w:p w:rsidR="00F332E1" w:rsidRDefault="00F332E1" w:rsidP="00F332E1">
            <w:pPr>
              <w:pStyle w:val="TableBlock"/>
              <w:rPr>
                <w:rtl/>
              </w:rPr>
            </w:pPr>
            <w:r>
              <w:rPr>
                <w:rFonts w:hint="cs"/>
                <w:rtl/>
              </w:rPr>
              <w:t>"(ב4)</w:t>
            </w:r>
            <w:r>
              <w:rPr>
                <w:rtl/>
              </w:rPr>
              <w:tab/>
            </w:r>
            <w:r>
              <w:rPr>
                <w:rFonts w:hint="cs"/>
                <w:rtl/>
              </w:rPr>
              <w:t xml:space="preserve">חובת מעסיק לשלם לעובד הזר את שכר העבודה, כולו או חלקו באמצעות הפקדה או העברה לחשבון בנק שנפתח בישראל על שם העובד בלבד ואין למעסיק או לגורם אחר פרט לעובד </w:t>
            </w:r>
            <w:r w:rsidRPr="00FA3DD9">
              <w:rPr>
                <w:rFonts w:hint="cs"/>
                <w:rtl/>
              </w:rPr>
              <w:t>ייפו</w:t>
            </w:r>
            <w:r w:rsidRPr="00FA3DD9">
              <w:rPr>
                <w:rFonts w:hint="eastAsia"/>
                <w:rtl/>
              </w:rPr>
              <w:t>י</w:t>
            </w:r>
            <w:r>
              <w:rPr>
                <w:rFonts w:hint="cs"/>
                <w:rtl/>
              </w:rPr>
              <w:t xml:space="preserve"> כוח או הרשאה לפעול </w:t>
            </w:r>
            <w:proofErr w:type="spellStart"/>
            <w:r>
              <w:rPr>
                <w:rFonts w:hint="cs"/>
                <w:rtl/>
              </w:rPr>
              <w:t>בו."ז</w:t>
            </w:r>
            <w:proofErr w:type="spellEnd"/>
          </w:p>
        </w:tc>
      </w:tr>
      <w:tr w:rsidR="000C7CBB" w:rsidTr="00F332E1">
        <w:trPr>
          <w:cantSplit/>
        </w:trPr>
        <w:tc>
          <w:tcPr>
            <w:tcW w:w="1871" w:type="dxa"/>
          </w:tcPr>
          <w:p w:rsidR="000C7CBB" w:rsidRDefault="000C7CBB" w:rsidP="00A55FD3">
            <w:pPr>
              <w:pStyle w:val="TableSideHeading"/>
              <w:keepLines w:val="0"/>
              <w:rPr>
                <w:rtl/>
              </w:rPr>
            </w:pPr>
            <w:r>
              <w:rPr>
                <w:rFonts w:hint="cs"/>
                <w:rtl/>
              </w:rPr>
              <w:t>תיקון סעיף 1יד</w:t>
            </w:r>
            <w:r w:rsidR="00DC4CFB">
              <w:rPr>
                <w:rFonts w:hint="cs"/>
                <w:rtl/>
              </w:rPr>
              <w:t>1</w:t>
            </w:r>
          </w:p>
        </w:tc>
        <w:tc>
          <w:tcPr>
            <w:tcW w:w="624" w:type="dxa"/>
          </w:tcPr>
          <w:p w:rsidR="000C7CBB" w:rsidRDefault="0090552E" w:rsidP="00A55FD3">
            <w:pPr>
              <w:pStyle w:val="TableText"/>
              <w:keepLines w:val="0"/>
              <w:rPr>
                <w:rtl/>
              </w:rPr>
            </w:pPr>
            <w:r>
              <w:rPr>
                <w:rFonts w:hint="cs"/>
                <w:rtl/>
              </w:rPr>
              <w:t>3</w:t>
            </w:r>
            <w:r w:rsidR="00FB37B3">
              <w:rPr>
                <w:rFonts w:hint="cs"/>
                <w:rtl/>
              </w:rPr>
              <w:t>.</w:t>
            </w:r>
          </w:p>
        </w:tc>
        <w:tc>
          <w:tcPr>
            <w:tcW w:w="7143" w:type="dxa"/>
            <w:gridSpan w:val="2"/>
          </w:tcPr>
          <w:p w:rsidR="000C7CBB" w:rsidRPr="007741B6" w:rsidRDefault="000C7CBB" w:rsidP="00F332E1">
            <w:pPr>
              <w:pStyle w:val="TableBlock"/>
              <w:rPr>
                <w:rtl/>
              </w:rPr>
            </w:pPr>
            <w:r w:rsidRPr="007741B6">
              <w:rPr>
                <w:rFonts w:hint="cs"/>
                <w:rtl/>
              </w:rPr>
              <w:t>בסעיף 1יד1(ב)</w:t>
            </w:r>
            <w:r w:rsidR="00FA3DD9" w:rsidRPr="007741B6">
              <w:rPr>
                <w:rFonts w:hint="cs"/>
                <w:rtl/>
              </w:rPr>
              <w:t xml:space="preserve"> לחוק</w:t>
            </w:r>
            <w:r w:rsidR="00DC4CFB">
              <w:rPr>
                <w:rFonts w:hint="cs"/>
                <w:rtl/>
              </w:rPr>
              <w:t xml:space="preserve"> העיקרי</w:t>
            </w:r>
            <w:r w:rsidRPr="007741B6">
              <w:rPr>
                <w:rFonts w:hint="cs"/>
                <w:rtl/>
              </w:rPr>
              <w:t xml:space="preserve">, </w:t>
            </w:r>
            <w:r w:rsidR="00FA3DD9" w:rsidRPr="007741B6">
              <w:rPr>
                <w:rFonts w:hint="cs"/>
                <w:rtl/>
              </w:rPr>
              <w:t>ב</w:t>
            </w:r>
            <w:r w:rsidR="0090552E">
              <w:rPr>
                <w:rFonts w:hint="cs"/>
                <w:rtl/>
              </w:rPr>
              <w:t xml:space="preserve">הגדרה "קנס חלוט" </w:t>
            </w:r>
            <w:r w:rsidRPr="007741B6">
              <w:rPr>
                <w:rFonts w:hint="cs"/>
                <w:rtl/>
              </w:rPr>
              <w:t xml:space="preserve">יבוא: </w:t>
            </w:r>
          </w:p>
        </w:tc>
      </w:tr>
      <w:tr w:rsidR="00F332E1" w:rsidTr="00F332E1">
        <w:trPr>
          <w:cantSplit/>
        </w:trPr>
        <w:tc>
          <w:tcPr>
            <w:tcW w:w="1871" w:type="dxa"/>
          </w:tcPr>
          <w:p w:rsidR="00F332E1" w:rsidRDefault="00F332E1">
            <w:pPr>
              <w:pStyle w:val="TableSideHeading"/>
            </w:pPr>
          </w:p>
        </w:tc>
        <w:tc>
          <w:tcPr>
            <w:tcW w:w="624" w:type="dxa"/>
          </w:tcPr>
          <w:p w:rsidR="00F332E1" w:rsidRDefault="00F332E1">
            <w:pPr>
              <w:pStyle w:val="TableText"/>
            </w:pPr>
          </w:p>
        </w:tc>
        <w:tc>
          <w:tcPr>
            <w:tcW w:w="7143" w:type="dxa"/>
            <w:gridSpan w:val="2"/>
          </w:tcPr>
          <w:p w:rsidR="00F332E1" w:rsidRDefault="00F332E1" w:rsidP="00F332E1">
            <w:pPr>
              <w:pStyle w:val="TableBlock"/>
            </w:pPr>
            <w:r>
              <w:rPr>
                <w:rFonts w:hint="cs"/>
                <w:rtl/>
              </w:rPr>
              <w:t>"(3)</w:t>
            </w:r>
            <w:r>
              <w:rPr>
                <w:rtl/>
              </w:rPr>
              <w:tab/>
            </w:r>
            <w:r>
              <w:rPr>
                <w:rFonts w:hint="cs"/>
                <w:rtl/>
              </w:rPr>
              <w:t xml:space="preserve">עיצום כספי שהוטל על המעסיק או על בעל זיקה אליו לפי חוק להגברת </w:t>
            </w:r>
            <w:r w:rsidRPr="00FA3DD9">
              <w:rPr>
                <w:rFonts w:hint="cs"/>
                <w:rtl/>
              </w:rPr>
              <w:t xml:space="preserve">האכיפה על דיני העבודה, </w:t>
            </w:r>
            <w:proofErr w:type="spellStart"/>
            <w:r w:rsidRPr="00FA3DD9">
              <w:rPr>
                <w:rFonts w:hint="cs"/>
                <w:rtl/>
              </w:rPr>
              <w:t>התשע"ב</w:t>
            </w:r>
            <w:proofErr w:type="spellEnd"/>
            <w:r>
              <w:rPr>
                <w:rFonts w:hint="eastAsia"/>
                <w:rtl/>
              </w:rPr>
              <w:t>–</w:t>
            </w:r>
            <w:r w:rsidRPr="00FA3DD9">
              <w:rPr>
                <w:rFonts w:hint="cs"/>
                <w:rtl/>
              </w:rPr>
              <w:t>2011, שחלפו</w:t>
            </w:r>
            <w:r>
              <w:rPr>
                <w:rFonts w:hint="cs"/>
                <w:rtl/>
              </w:rPr>
              <w:t xml:space="preserve"> המועדים להגשת ערר ולהגשת ערעור עליו, וערר או ערעור כאמור לא הוגשו או שנדחו ערר או ערעור כאמור." </w:t>
            </w:r>
          </w:p>
        </w:tc>
      </w:tr>
      <w:tr w:rsidR="002F1D80" w:rsidTr="00F332E1">
        <w:trPr>
          <w:cantSplit/>
        </w:trPr>
        <w:tc>
          <w:tcPr>
            <w:tcW w:w="1871" w:type="dxa"/>
          </w:tcPr>
          <w:p w:rsidR="002F1D80" w:rsidRDefault="000016E4" w:rsidP="002C3041">
            <w:pPr>
              <w:pStyle w:val="TableSideHeading"/>
              <w:keepLines w:val="0"/>
            </w:pPr>
            <w:r>
              <w:rPr>
                <w:rFonts w:hint="cs"/>
                <w:rtl/>
              </w:rPr>
              <w:t>תיקון סעיף 1טו</w:t>
            </w:r>
          </w:p>
        </w:tc>
        <w:tc>
          <w:tcPr>
            <w:tcW w:w="624" w:type="dxa"/>
          </w:tcPr>
          <w:p w:rsidR="002F1D80" w:rsidRDefault="0090552E" w:rsidP="002C3041">
            <w:pPr>
              <w:pStyle w:val="TableText"/>
              <w:keepLines w:val="0"/>
            </w:pPr>
            <w:r>
              <w:rPr>
                <w:rFonts w:hint="cs"/>
                <w:rtl/>
              </w:rPr>
              <w:t>4</w:t>
            </w:r>
            <w:r w:rsidR="000016E4">
              <w:rPr>
                <w:rFonts w:hint="cs"/>
                <w:rtl/>
              </w:rPr>
              <w:t>.</w:t>
            </w:r>
          </w:p>
        </w:tc>
        <w:tc>
          <w:tcPr>
            <w:tcW w:w="7143" w:type="dxa"/>
            <w:gridSpan w:val="2"/>
          </w:tcPr>
          <w:p w:rsidR="002F1D80" w:rsidRPr="000016E4" w:rsidRDefault="000016E4" w:rsidP="00F332E1">
            <w:pPr>
              <w:pStyle w:val="TableBlock"/>
            </w:pPr>
            <w:r>
              <w:rPr>
                <w:rFonts w:hint="cs"/>
                <w:rtl/>
              </w:rPr>
              <w:t>בסעיף 1טו</w:t>
            </w:r>
            <w:r w:rsidR="004D116C">
              <w:rPr>
                <w:rFonts w:hint="cs"/>
                <w:rtl/>
              </w:rPr>
              <w:t xml:space="preserve"> לחוק העיקרי</w:t>
            </w:r>
            <w:r w:rsidR="00F332E1">
              <w:rPr>
                <w:rFonts w:hint="cs"/>
                <w:rtl/>
              </w:rPr>
              <w:t xml:space="preserve"> </w:t>
            </w:r>
            <w:r w:rsidR="004D116C">
              <w:rPr>
                <w:rFonts w:hint="eastAsia"/>
                <w:rtl/>
              </w:rPr>
              <w:t>–</w:t>
            </w:r>
          </w:p>
        </w:tc>
      </w:tr>
      <w:tr w:rsidR="004D116C" w:rsidTr="00F332E1">
        <w:trPr>
          <w:cantSplit/>
        </w:trPr>
        <w:tc>
          <w:tcPr>
            <w:tcW w:w="1871" w:type="dxa"/>
          </w:tcPr>
          <w:p w:rsidR="004D116C" w:rsidRDefault="004D116C" w:rsidP="002C3041">
            <w:pPr>
              <w:pStyle w:val="TableSideHeading"/>
              <w:keepLines w:val="0"/>
              <w:rPr>
                <w:rtl/>
              </w:rPr>
            </w:pPr>
          </w:p>
        </w:tc>
        <w:tc>
          <w:tcPr>
            <w:tcW w:w="624" w:type="dxa"/>
          </w:tcPr>
          <w:p w:rsidR="004D116C" w:rsidRDefault="004D116C" w:rsidP="0090552E">
            <w:pPr>
              <w:pStyle w:val="TableText"/>
              <w:rPr>
                <w:rtl/>
              </w:rPr>
            </w:pPr>
          </w:p>
        </w:tc>
        <w:tc>
          <w:tcPr>
            <w:tcW w:w="7143" w:type="dxa"/>
            <w:gridSpan w:val="2"/>
          </w:tcPr>
          <w:p w:rsidR="004D116C" w:rsidRDefault="004D116C" w:rsidP="00F332E1">
            <w:pPr>
              <w:pStyle w:val="TableBlock"/>
              <w:rPr>
                <w:rtl/>
              </w:rPr>
            </w:pPr>
            <w:r>
              <w:rPr>
                <w:rFonts w:hint="cs"/>
                <w:rtl/>
              </w:rPr>
              <w:t>(1)</w:t>
            </w:r>
            <w:r>
              <w:rPr>
                <w:rtl/>
              </w:rPr>
              <w:tab/>
            </w:r>
            <w:r>
              <w:rPr>
                <w:rFonts w:hint="cs"/>
                <w:rtl/>
              </w:rPr>
              <w:t>בסעיף קטן (א), אחרי "לפי חוק זה" יבוא "לרבות תנאי שנקבע בהיתר";</w:t>
            </w:r>
          </w:p>
        </w:tc>
      </w:tr>
      <w:tr w:rsidR="00C76852" w:rsidTr="00F332E1">
        <w:trPr>
          <w:cantSplit/>
        </w:trPr>
        <w:tc>
          <w:tcPr>
            <w:tcW w:w="1871" w:type="dxa"/>
          </w:tcPr>
          <w:p w:rsidR="00C76852" w:rsidRDefault="00C76852" w:rsidP="00C76852">
            <w:pPr>
              <w:pStyle w:val="TableSideHeading"/>
              <w:keepLines w:val="0"/>
              <w:rPr>
                <w:rtl/>
              </w:rPr>
            </w:pPr>
          </w:p>
        </w:tc>
        <w:tc>
          <w:tcPr>
            <w:tcW w:w="624" w:type="dxa"/>
          </w:tcPr>
          <w:p w:rsidR="00C76852" w:rsidRDefault="00C76852" w:rsidP="002C3041">
            <w:pPr>
              <w:pStyle w:val="TableText"/>
              <w:keepLines w:val="0"/>
              <w:rPr>
                <w:rtl/>
              </w:rPr>
            </w:pPr>
          </w:p>
        </w:tc>
        <w:tc>
          <w:tcPr>
            <w:tcW w:w="7143" w:type="dxa"/>
            <w:gridSpan w:val="2"/>
          </w:tcPr>
          <w:p w:rsidR="00C76852" w:rsidRDefault="004D116C" w:rsidP="00F332E1">
            <w:pPr>
              <w:pStyle w:val="TableBlock"/>
              <w:rPr>
                <w:rtl/>
              </w:rPr>
            </w:pPr>
            <w:r>
              <w:rPr>
                <w:rFonts w:hint="cs"/>
                <w:rtl/>
              </w:rPr>
              <w:t>(2)</w:t>
            </w:r>
            <w:r>
              <w:rPr>
                <w:rtl/>
              </w:rPr>
              <w:tab/>
            </w:r>
            <w:r>
              <w:rPr>
                <w:rFonts w:hint="cs"/>
                <w:rtl/>
              </w:rPr>
              <w:t>ב</w:t>
            </w:r>
            <w:r w:rsidR="00C76852">
              <w:rPr>
                <w:rFonts w:hint="cs"/>
                <w:rtl/>
              </w:rPr>
              <w:t>סעיף קטן (</w:t>
            </w:r>
            <w:r w:rsidR="00C76852" w:rsidRPr="00C76852">
              <w:rPr>
                <w:rFonts w:hint="cs"/>
                <w:rtl/>
              </w:rPr>
              <w:t>א1)</w:t>
            </w:r>
            <w:r>
              <w:rPr>
                <w:rFonts w:hint="cs"/>
                <w:rtl/>
              </w:rPr>
              <w:t xml:space="preserve">, אחרי פסקה </w:t>
            </w:r>
            <w:r w:rsidR="00C76852" w:rsidRPr="00C76852">
              <w:rPr>
                <w:rFonts w:hint="cs"/>
                <w:rtl/>
              </w:rPr>
              <w:t xml:space="preserve">(2) יבוא: </w:t>
            </w:r>
          </w:p>
        </w:tc>
      </w:tr>
      <w:tr w:rsidR="00FA3DD9" w:rsidTr="00F332E1">
        <w:trPr>
          <w:cantSplit/>
        </w:trPr>
        <w:tc>
          <w:tcPr>
            <w:tcW w:w="1871" w:type="dxa"/>
          </w:tcPr>
          <w:p w:rsidR="00FA3DD9" w:rsidRDefault="00FA3DD9">
            <w:pPr>
              <w:pStyle w:val="TableSideHeading"/>
            </w:pPr>
          </w:p>
        </w:tc>
        <w:tc>
          <w:tcPr>
            <w:tcW w:w="624" w:type="dxa"/>
          </w:tcPr>
          <w:p w:rsidR="00FA3DD9" w:rsidRDefault="00FA3DD9">
            <w:pPr>
              <w:pStyle w:val="TableText"/>
            </w:pPr>
          </w:p>
        </w:tc>
        <w:tc>
          <w:tcPr>
            <w:tcW w:w="624" w:type="dxa"/>
          </w:tcPr>
          <w:p w:rsidR="00FA3DD9" w:rsidRDefault="00FA3DD9">
            <w:pPr>
              <w:pStyle w:val="TableText"/>
            </w:pPr>
          </w:p>
        </w:tc>
        <w:tc>
          <w:tcPr>
            <w:tcW w:w="6519" w:type="dxa"/>
          </w:tcPr>
          <w:p w:rsidR="00FA3DD9" w:rsidRDefault="00FA3DD9" w:rsidP="00F332E1">
            <w:pPr>
              <w:pStyle w:val="TableBlock"/>
            </w:pPr>
            <w:r w:rsidRPr="00C76852">
              <w:rPr>
                <w:rFonts w:hint="cs"/>
                <w:rtl/>
              </w:rPr>
              <w:t xml:space="preserve">"(א2) </w:t>
            </w:r>
            <w:r w:rsidRPr="00C76852">
              <w:rPr>
                <w:rStyle w:val="default"/>
                <w:rFonts w:cs="David" w:hint="cs"/>
                <w:rtl/>
              </w:rPr>
              <w:t xml:space="preserve">בלי לגרוע מכלליות האמור בסעיף קטן (א) ובסעיף 1יד1, רשאי הממונה שלא </w:t>
            </w:r>
            <w:proofErr w:type="spellStart"/>
            <w:r w:rsidRPr="00C76852">
              <w:rPr>
                <w:rStyle w:val="default"/>
                <w:rFonts w:cs="David" w:hint="cs"/>
                <w:rtl/>
              </w:rPr>
              <w:t>ליתן</w:t>
            </w:r>
            <w:proofErr w:type="spellEnd"/>
            <w:r w:rsidRPr="00C76852">
              <w:rPr>
                <w:rStyle w:val="default"/>
                <w:rFonts w:cs="David" w:hint="cs"/>
                <w:rtl/>
              </w:rPr>
              <w:t xml:space="preserve"> היתר להעסקת עובד זר למעסיק, לבטל היתר שנתן או לסרב לחדשו, אם נודע לממונה כי המבקש או בעל זיקה אליו הורשע בעבירה לפי סעיפים 375א, 376 או 377א </w:t>
            </w:r>
            <w:r w:rsidR="004D116C">
              <w:rPr>
                <w:sz w:val="26"/>
                <w:rtl/>
              </w:rPr>
              <w:t xml:space="preserve">לחוק </w:t>
            </w:r>
            <w:r w:rsidR="004D116C">
              <w:rPr>
                <w:rFonts w:hint="eastAsia"/>
                <w:sz w:val="26"/>
                <w:rtl/>
              </w:rPr>
              <w:t>העונשין</w:t>
            </w:r>
            <w:r w:rsidR="004D116C">
              <w:rPr>
                <w:sz w:val="26"/>
                <w:rtl/>
              </w:rPr>
              <w:t xml:space="preserve">, </w:t>
            </w:r>
            <w:proofErr w:type="spellStart"/>
            <w:r w:rsidR="004D116C">
              <w:rPr>
                <w:sz w:val="26"/>
                <w:rtl/>
              </w:rPr>
              <w:t>התשל"</w:t>
            </w:r>
            <w:r w:rsidR="004D116C">
              <w:rPr>
                <w:rFonts w:hint="eastAsia"/>
                <w:sz w:val="26"/>
                <w:rtl/>
              </w:rPr>
              <w:t>ז</w:t>
            </w:r>
            <w:proofErr w:type="spellEnd"/>
            <w:r w:rsidR="004D116C">
              <w:rPr>
                <w:sz w:val="26"/>
                <w:rtl/>
              </w:rPr>
              <w:t>–1977</w:t>
            </w:r>
            <w:r w:rsidR="004D116C">
              <w:rPr>
                <w:rStyle w:val="a6"/>
                <w:sz w:val="26"/>
                <w:rtl/>
              </w:rPr>
              <w:footnoteReference w:id="3"/>
            </w:r>
            <w:r w:rsidRPr="00C76852">
              <w:rPr>
                <w:rStyle w:val="default"/>
                <w:rFonts w:cs="David" w:hint="cs"/>
                <w:rtl/>
              </w:rPr>
              <w:t>, או בעבירה אחרת שמפאת מהותה, חומרתה או נסיבותיה אין הוא ראוי לקבל היתר להעסקת עובד זר, או שהוגש נגדו כתב אישום בעבירה כאמור; נפתחה חקירה נגד מבקש או בעל זיקה אליו</w:t>
            </w:r>
            <w:r w:rsidR="004D116C">
              <w:rPr>
                <w:rStyle w:val="default"/>
                <w:rFonts w:cs="David" w:hint="cs"/>
                <w:rtl/>
              </w:rPr>
              <w:t>,</w:t>
            </w:r>
            <w:r w:rsidRPr="00C76852">
              <w:rPr>
                <w:rStyle w:val="default"/>
                <w:rFonts w:cs="David" w:hint="cs"/>
                <w:rtl/>
              </w:rPr>
              <w:t xml:space="preserve"> רשאי הממונה לדחות את החלט</w:t>
            </w:r>
            <w:r>
              <w:rPr>
                <w:rStyle w:val="default"/>
                <w:rFonts w:cs="David" w:hint="cs"/>
                <w:rtl/>
              </w:rPr>
              <w:t>ת</w:t>
            </w:r>
            <w:r w:rsidRPr="00C76852">
              <w:rPr>
                <w:rStyle w:val="default"/>
                <w:rFonts w:cs="David" w:hint="cs"/>
                <w:rtl/>
              </w:rPr>
              <w:t>ו לעניין מתן היתר או חידושו, לפי העניין, עד לקבלת החלטה לעניין הגשת כתב אישום בקשר לאותה עבירה אם ראה כי הדבר מוצדק בנסיבות העניין בשל חומרת העבירה.</w:t>
            </w:r>
            <w:r>
              <w:rPr>
                <w:rFonts w:hint="cs"/>
                <w:rtl/>
              </w:rPr>
              <w:t>"</w:t>
            </w:r>
          </w:p>
        </w:tc>
      </w:tr>
    </w:tbl>
    <w:p w:rsidR="002D1EE3" w:rsidRDefault="002D1EE3" w:rsidP="002D1EE3">
      <w:pPr>
        <w:pStyle w:val="HeadDivreiHesber"/>
        <w:rPr>
          <w:rtl/>
        </w:rPr>
      </w:pPr>
      <w:r w:rsidRPr="0027450A">
        <w:rPr>
          <w:rFonts w:hint="cs"/>
          <w:rtl/>
        </w:rPr>
        <w:t>דברי הסבר</w:t>
      </w:r>
    </w:p>
    <w:p w:rsidR="00FB37B3" w:rsidRDefault="00FB37B3" w:rsidP="00F332E1">
      <w:pPr>
        <w:pStyle w:val="Hesber"/>
        <w:spacing w:line="276" w:lineRule="auto"/>
        <w:rPr>
          <w:rtl/>
        </w:rPr>
      </w:pPr>
      <w:r>
        <w:rPr>
          <w:rFonts w:hint="cs"/>
          <w:rtl/>
        </w:rPr>
        <w:t xml:space="preserve">עשרות עובדים זרים מוכרים מדי שנה על ידי משרד המשפטים כנפגעי עבירות של </w:t>
      </w:r>
      <w:r w:rsidR="00AA4B16">
        <w:rPr>
          <w:rFonts w:hint="cs"/>
          <w:rtl/>
        </w:rPr>
        <w:t xml:space="preserve">החזקה בתנאי עבדות, עבודת כפייה, </w:t>
      </w:r>
      <w:r>
        <w:rPr>
          <w:rFonts w:hint="cs"/>
          <w:rtl/>
        </w:rPr>
        <w:t>סחר בבני אדם</w:t>
      </w:r>
      <w:r w:rsidR="00AA4B16">
        <w:rPr>
          <w:rFonts w:hint="cs"/>
          <w:rtl/>
        </w:rPr>
        <w:t xml:space="preserve"> ועבירות חמורות נוספות</w:t>
      </w:r>
      <w:r>
        <w:rPr>
          <w:rFonts w:hint="cs"/>
          <w:rtl/>
        </w:rPr>
        <w:t xml:space="preserve">. כלפי </w:t>
      </w:r>
      <w:r w:rsidR="00FA3DD9">
        <w:rPr>
          <w:rFonts w:hint="cs"/>
          <w:rtl/>
        </w:rPr>
        <w:t>מעסיקיהם הפוגעים</w:t>
      </w:r>
      <w:r>
        <w:rPr>
          <w:rFonts w:hint="cs"/>
          <w:rtl/>
        </w:rPr>
        <w:t xml:space="preserve"> יכולים להינקט הליכים פליליים לפי החלטת המשטרה והליכים מנהליים לפי החלטת משרד הכלכלה. </w:t>
      </w:r>
      <w:r w:rsidR="00FA3DD9">
        <w:rPr>
          <w:rFonts w:hint="cs"/>
          <w:rtl/>
        </w:rPr>
        <w:t xml:space="preserve">כמו כן, יש </w:t>
      </w:r>
      <w:r>
        <w:rPr>
          <w:rFonts w:hint="cs"/>
          <w:rtl/>
        </w:rPr>
        <w:t xml:space="preserve">בסמכות רשות האוכלוסין וההגירה במשרד הפנים לבטל היתר העסקה או לסרב לבקשת היתר העסקה מטעמים  שונים, אך אין הגדרה ברורה בחוק באשר לנקיטת אותם צעדים כלפי מעסיקים הנאשמים בעבירות חמורות. </w:t>
      </w:r>
    </w:p>
    <w:p w:rsidR="00FB37B3" w:rsidRDefault="00E40D45" w:rsidP="00F332E1">
      <w:pPr>
        <w:pStyle w:val="Hesber"/>
        <w:spacing w:line="276" w:lineRule="auto"/>
        <w:rPr>
          <w:rtl/>
        </w:rPr>
      </w:pPr>
      <w:r>
        <w:rPr>
          <w:rFonts w:hint="cs"/>
          <w:rtl/>
        </w:rPr>
        <w:t>אין זה ראוי לאפשר ל</w:t>
      </w:r>
      <w:r w:rsidR="00FB37B3">
        <w:rPr>
          <w:rFonts w:hint="cs"/>
          <w:rtl/>
        </w:rPr>
        <w:t>מעסיק הנאשם ב</w:t>
      </w:r>
      <w:r w:rsidR="00AA4B16">
        <w:rPr>
          <w:rFonts w:hint="cs"/>
          <w:rtl/>
        </w:rPr>
        <w:t xml:space="preserve">עבירות </w:t>
      </w:r>
      <w:r>
        <w:rPr>
          <w:rFonts w:hint="cs"/>
          <w:rtl/>
        </w:rPr>
        <w:t xml:space="preserve">חמורות כלפי עובדיו, ובמקרים מסוימים גם כלפי אחרים, להמשיך </w:t>
      </w:r>
      <w:r w:rsidR="00FB37B3">
        <w:rPr>
          <w:rFonts w:hint="cs"/>
          <w:rtl/>
        </w:rPr>
        <w:t xml:space="preserve">להעסיק עובדים זרים, </w:t>
      </w:r>
      <w:r>
        <w:rPr>
          <w:rFonts w:hint="cs"/>
          <w:rtl/>
        </w:rPr>
        <w:t>שכן הוא מהווה סיכון עבור</w:t>
      </w:r>
      <w:r w:rsidR="00FB37B3">
        <w:rPr>
          <w:rFonts w:hint="cs"/>
          <w:rtl/>
        </w:rPr>
        <w:t xml:space="preserve"> אותם עובדים, המוחלש</w:t>
      </w:r>
      <w:r>
        <w:rPr>
          <w:rFonts w:hint="cs"/>
          <w:rtl/>
        </w:rPr>
        <w:t>ים ממילא מעצם היותם עובדים זרים</w:t>
      </w:r>
      <w:r w:rsidR="00FB37B3">
        <w:rPr>
          <w:rFonts w:hint="cs"/>
          <w:rtl/>
        </w:rPr>
        <w:t xml:space="preserve">. </w:t>
      </w:r>
    </w:p>
    <w:p w:rsidR="00E40D45" w:rsidRDefault="00FB37B3" w:rsidP="00F332E1">
      <w:pPr>
        <w:pStyle w:val="Hesber"/>
        <w:spacing w:line="276" w:lineRule="auto"/>
        <w:rPr>
          <w:rtl/>
        </w:rPr>
      </w:pPr>
      <w:r>
        <w:rPr>
          <w:rFonts w:hint="cs"/>
          <w:rtl/>
        </w:rPr>
        <w:t xml:space="preserve">מטרת הצעת החוק למנוע פגיעה נוספת בעובדים זרים כמו גם להגביר את ההרתעה מפני ביצוע עבירות חמורות. מוצע בזאת </w:t>
      </w:r>
      <w:r w:rsidR="00AA4B16">
        <w:rPr>
          <w:rFonts w:hint="cs"/>
          <w:rtl/>
        </w:rPr>
        <w:t>לאפשר לממונה מטעם משרד הפנים לבטל או לסרב היתר למעסיק או לבעל זיקה בו, אם נודע לו כי המעסיק הורשע בעבירה שמחמת נסיבותיה, מהותה וחומרתה הוא אינו ראוי להעסיק עובד זר</w:t>
      </w:r>
      <w:r w:rsidR="008E34D1">
        <w:rPr>
          <w:rFonts w:hint="cs"/>
          <w:rtl/>
        </w:rPr>
        <w:t xml:space="preserve"> (בין היתר עבירות של סחר בבני אדם, עבודה בתנאי עבדות ו</w:t>
      </w:r>
      <w:r w:rsidR="00FB65BB">
        <w:rPr>
          <w:rFonts w:hint="cs"/>
          <w:rtl/>
        </w:rPr>
        <w:t>עבודה בכפייה)</w:t>
      </w:r>
      <w:r w:rsidR="00E40D45">
        <w:rPr>
          <w:rFonts w:hint="cs"/>
          <w:rtl/>
        </w:rPr>
        <w:t>.</w:t>
      </w:r>
    </w:p>
    <w:p w:rsidR="00FB37B3" w:rsidRDefault="00FC6994" w:rsidP="00F332E1">
      <w:pPr>
        <w:pStyle w:val="Hesber"/>
        <w:spacing w:line="276" w:lineRule="auto"/>
        <w:rPr>
          <w:rtl/>
        </w:rPr>
      </w:pPr>
      <w:r>
        <w:rPr>
          <w:rFonts w:hint="cs"/>
          <w:rtl/>
        </w:rPr>
        <w:t>כמו כן</w:t>
      </w:r>
      <w:r w:rsidR="00E40D45">
        <w:rPr>
          <w:rFonts w:hint="cs"/>
          <w:rtl/>
        </w:rPr>
        <w:t>, בעקבות מקרים רבים של פגיעה בשכרם ובזכויותיהם הסוציאליות של עובדים זרים, וקושי של גורמי הפיקוח להתחקות אחר התשלומים במזומן,</w:t>
      </w:r>
      <w:r>
        <w:rPr>
          <w:rFonts w:hint="cs"/>
          <w:rtl/>
        </w:rPr>
        <w:t xml:space="preserve"> מוצע לעגן בחקיקה את חובת תשלום השכר של העובד הזר לחשבון בנק בישראל. </w:t>
      </w:r>
    </w:p>
    <w:p w:rsidR="00AF6D33" w:rsidRDefault="00AF6D33" w:rsidP="00F332E1">
      <w:pPr>
        <w:pStyle w:val="Hesber"/>
        <w:spacing w:line="276" w:lineRule="auto"/>
        <w:rPr>
          <w:rtl/>
        </w:rPr>
      </w:pPr>
      <w:r>
        <w:rPr>
          <w:rFonts w:hint="cs"/>
          <w:rtl/>
        </w:rPr>
        <w:t>תיקונים נוספים הכלולים בהצעה מתאימים את החוק לאמצעי האכיפה העדכניים (עיצומים כספיים) וכן מסמיכים את הרשות לבטל היתרים במקרים של אי עמידה בתנאי ההיתר.</w:t>
      </w:r>
    </w:p>
    <w:p w:rsidR="00FC6994" w:rsidRDefault="00AF6D33" w:rsidP="00F332E1">
      <w:pPr>
        <w:pStyle w:val="Hesber"/>
        <w:spacing w:line="276" w:lineRule="auto"/>
        <w:rPr>
          <w:rtl/>
        </w:rPr>
      </w:pPr>
      <w:r>
        <w:rPr>
          <w:rFonts w:hint="cs"/>
          <w:rtl/>
        </w:rPr>
        <w:t xml:space="preserve"> </w:t>
      </w:r>
      <w:r w:rsidR="00FC6994">
        <w:rPr>
          <w:rFonts w:hint="cs"/>
          <w:rtl/>
        </w:rPr>
        <w:t xml:space="preserve">התיקונים </w:t>
      </w:r>
      <w:r w:rsidR="00E40D45">
        <w:rPr>
          <w:rFonts w:hint="cs"/>
          <w:rtl/>
        </w:rPr>
        <w:t>שלעיל</w:t>
      </w:r>
      <w:r w:rsidR="00FC6994">
        <w:rPr>
          <w:rFonts w:hint="cs"/>
          <w:rtl/>
        </w:rPr>
        <w:t xml:space="preserve"> מוצעים לאחר בחינת מדיניות הטיפול של רשות ההגירה והאוכלוסין ב</w:t>
      </w:r>
      <w:r w:rsidR="00373346">
        <w:rPr>
          <w:rFonts w:hint="cs"/>
          <w:rtl/>
        </w:rPr>
        <w:t xml:space="preserve">מקרי ניצול ופגיעה בעובדים זרים, ולאחר התייעצות עם "קו לעובד". </w:t>
      </w:r>
    </w:p>
    <w:p w:rsidR="00FB37B3" w:rsidRDefault="00FB37B3" w:rsidP="00F332E1">
      <w:pPr>
        <w:pStyle w:val="Hesber"/>
        <w:spacing w:line="276" w:lineRule="auto"/>
        <w:rPr>
          <w:rtl/>
        </w:rPr>
      </w:pPr>
      <w:r>
        <w:rPr>
          <w:rFonts w:hint="cs"/>
          <w:rtl/>
        </w:rPr>
        <w:t>הצע</w:t>
      </w:r>
      <w:r w:rsidR="00E40D45">
        <w:rPr>
          <w:rFonts w:hint="cs"/>
          <w:rtl/>
        </w:rPr>
        <w:t>ו</w:t>
      </w:r>
      <w:r>
        <w:rPr>
          <w:rFonts w:hint="cs"/>
          <w:rtl/>
        </w:rPr>
        <w:t>ת חוק דומ</w:t>
      </w:r>
      <w:r w:rsidR="00E40D45">
        <w:rPr>
          <w:rFonts w:hint="cs"/>
          <w:rtl/>
        </w:rPr>
        <w:t>ות</w:t>
      </w:r>
      <w:r w:rsidR="007943CB">
        <w:rPr>
          <w:rFonts w:hint="cs"/>
          <w:rtl/>
        </w:rPr>
        <w:t xml:space="preserve"> בעיקרן</w:t>
      </w:r>
      <w:r w:rsidR="00FB7936">
        <w:rPr>
          <w:rFonts w:hint="cs"/>
          <w:rtl/>
        </w:rPr>
        <w:t xml:space="preserve"> </w:t>
      </w:r>
      <w:r>
        <w:rPr>
          <w:rFonts w:hint="cs"/>
          <w:rtl/>
        </w:rPr>
        <w:t>הונח</w:t>
      </w:r>
      <w:r w:rsidR="00E40D45">
        <w:rPr>
          <w:rFonts w:hint="cs"/>
          <w:rtl/>
        </w:rPr>
        <w:t>ו</w:t>
      </w:r>
      <w:r>
        <w:rPr>
          <w:rFonts w:hint="cs"/>
          <w:rtl/>
        </w:rPr>
        <w:t xml:space="preserve"> על שולחן הכנסת התשע-עשרה על ידי חברת הכנסת מיכל רוזין וקבוצת חברי הכנסת (פ/2829/19), ועל שולחן הכנסת העשרים על ידי חברת הכנסת מיכל רוזין וקבוצת חברי הכנסת (פ/1131/20).</w:t>
      </w:r>
    </w:p>
    <w:p w:rsidR="00F332E1" w:rsidRDefault="00F332E1" w:rsidP="00F332E1">
      <w:pPr>
        <w:pStyle w:val="Hesber"/>
        <w:spacing w:line="276" w:lineRule="auto"/>
        <w:rPr>
          <w:rtl/>
        </w:rPr>
      </w:pPr>
    </w:p>
    <w:p w:rsidR="00F332E1" w:rsidRPr="00D73212" w:rsidRDefault="00F332E1" w:rsidP="00F332E1">
      <w:pPr>
        <w:pStyle w:val="Hesber"/>
        <w:rPr>
          <w:color w:val="auto"/>
          <w:rtl/>
          <w:lang w:eastAsia="en-US"/>
        </w:rPr>
      </w:pPr>
      <w:r w:rsidRPr="00D73212">
        <w:rPr>
          <w:color w:val="auto"/>
          <w:rtl/>
          <w:lang w:eastAsia="en-US"/>
        </w:rPr>
        <w:t>---------------------------------</w:t>
      </w:r>
    </w:p>
    <w:p w:rsidR="00F332E1" w:rsidRPr="00D73212" w:rsidRDefault="00F332E1" w:rsidP="00F332E1">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rsidR="00F332E1" w:rsidRPr="00D73212" w:rsidRDefault="00F332E1" w:rsidP="00F332E1">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rsidR="00E13C27" w:rsidRDefault="00F332E1" w:rsidP="00F332E1">
      <w:pPr>
        <w:pStyle w:val="Hesber"/>
        <w:rPr>
          <w:rtl/>
        </w:rPr>
      </w:pPr>
      <w:r>
        <w:rPr>
          <w:rFonts w:hint="cs"/>
          <w:color w:val="auto"/>
          <w:rtl/>
          <w:lang w:eastAsia="en-US"/>
        </w:rPr>
        <w:t>כ"א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27.6</w:t>
      </w:r>
      <w:r w:rsidRPr="00D73212">
        <w:rPr>
          <w:color w:val="auto"/>
          <w:rtl/>
          <w:lang w:eastAsia="en-US"/>
        </w:rPr>
        <w:t>.1</w:t>
      </w:r>
      <w:r>
        <w:rPr>
          <w:rFonts w:hint="cs"/>
          <w:color w:val="auto"/>
          <w:rtl/>
          <w:lang w:eastAsia="en-US"/>
        </w:rPr>
        <w:t>6</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1EE" w:rsidRDefault="00C641EE">
      <w:r>
        <w:separator/>
      </w:r>
    </w:p>
  </w:endnote>
  <w:endnote w:type="continuationSeparator" w:id="0">
    <w:p w:rsidR="00C641EE" w:rsidRDefault="00C641EE">
      <w:r>
        <w:continuationSeparator/>
      </w:r>
    </w:p>
  </w:endnote>
  <w:endnote w:type="continuationNotice" w:id="1">
    <w:p w:rsidR="00C641EE" w:rsidRDefault="00C641E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E0823">
      <w:rPr>
        <w:rStyle w:val="ab"/>
        <w:noProof/>
        <w:rtl/>
      </w:rPr>
      <w:t>2</w:t>
    </w:r>
    <w:r>
      <w:rPr>
        <w:rStyle w:val="ab"/>
        <w:rtl/>
      </w:rPr>
      <w:fldChar w:fldCharType="end"/>
    </w:r>
  </w:p>
  <w:p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1EE" w:rsidRDefault="00C641EE">
      <w:r>
        <w:separator/>
      </w:r>
    </w:p>
  </w:footnote>
  <w:footnote w:type="continuationSeparator" w:id="0">
    <w:p w:rsidR="00C641EE" w:rsidRDefault="00C641EE">
      <w:r>
        <w:continuationSeparator/>
      </w:r>
    </w:p>
  </w:footnote>
  <w:footnote w:type="continuationNotice" w:id="1">
    <w:p w:rsidR="00C641EE" w:rsidRDefault="00C641EE"/>
  </w:footnote>
  <w:footnote w:id="2">
    <w:p w:rsidR="007741B6" w:rsidRDefault="007741B6">
      <w:pPr>
        <w:pStyle w:val="a4"/>
      </w:pPr>
      <w:r>
        <w:rPr>
          <w:rStyle w:val="a6"/>
        </w:rPr>
        <w:footnoteRef/>
      </w:r>
      <w:r>
        <w:rPr>
          <w:rtl/>
        </w:rPr>
        <w:t xml:space="preserve"> </w:t>
      </w:r>
      <w:r>
        <w:rPr>
          <w:rFonts w:hint="cs"/>
          <w:rtl/>
        </w:rPr>
        <w:t xml:space="preserve">ס"ח </w:t>
      </w:r>
      <w:proofErr w:type="spellStart"/>
      <w:r>
        <w:rPr>
          <w:rFonts w:hint="cs"/>
          <w:rtl/>
        </w:rPr>
        <w:t>התשנ"א</w:t>
      </w:r>
      <w:proofErr w:type="spellEnd"/>
      <w:r>
        <w:rPr>
          <w:rFonts w:hint="cs"/>
          <w:rtl/>
        </w:rPr>
        <w:t>, עמ' 112.</w:t>
      </w:r>
    </w:p>
  </w:footnote>
  <w:footnote w:id="3">
    <w:p w:rsidR="004D116C" w:rsidRDefault="004D116C" w:rsidP="004D116C">
      <w:pPr>
        <w:pStyle w:val="a4"/>
        <w:rPr>
          <w:rtl/>
        </w:rPr>
      </w:pPr>
      <w:r>
        <w:rPr>
          <w:rStyle w:val="a6"/>
        </w:rPr>
        <w:footnoteRef/>
      </w:r>
      <w:r>
        <w:t xml:space="preserve"> </w:t>
      </w:r>
      <w:r>
        <w:rPr>
          <w:rFonts w:hint="eastAsia"/>
          <w:rtl/>
        </w:rPr>
        <w:t>ס</w:t>
      </w:r>
      <w:r>
        <w:rPr>
          <w:rtl/>
        </w:rPr>
        <w:t>"</w:t>
      </w:r>
      <w:r>
        <w:rPr>
          <w:rFonts w:hint="eastAsia"/>
          <w:rtl/>
        </w:rPr>
        <w:t>ח</w:t>
      </w:r>
      <w:r>
        <w:rPr>
          <w:rtl/>
        </w:rPr>
        <w:t xml:space="preserve"> </w:t>
      </w:r>
      <w:proofErr w:type="spellStart"/>
      <w:r>
        <w:rPr>
          <w:rtl/>
        </w:rPr>
        <w:t>התשל"</w:t>
      </w:r>
      <w:r>
        <w:rPr>
          <w:rFonts w:hint="eastAsia"/>
          <w:rtl/>
        </w:rPr>
        <w:t>ז</w:t>
      </w:r>
      <w:proofErr w:type="spellEnd"/>
      <w:r>
        <w:rPr>
          <w:rtl/>
        </w:rPr>
        <w:t xml:space="preserve"> , עמ' 226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16E4"/>
    <w:rsid w:val="00015B27"/>
    <w:rsid w:val="00063A3E"/>
    <w:rsid w:val="00072CAC"/>
    <w:rsid w:val="0007681A"/>
    <w:rsid w:val="000A542E"/>
    <w:rsid w:val="000C7CBB"/>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73346"/>
    <w:rsid w:val="00386E88"/>
    <w:rsid w:val="00396585"/>
    <w:rsid w:val="003D6E38"/>
    <w:rsid w:val="003D74A0"/>
    <w:rsid w:val="004033D8"/>
    <w:rsid w:val="004073F0"/>
    <w:rsid w:val="00412A7D"/>
    <w:rsid w:val="00416B4D"/>
    <w:rsid w:val="00417CFC"/>
    <w:rsid w:val="00431895"/>
    <w:rsid w:val="004A06DC"/>
    <w:rsid w:val="004B24ED"/>
    <w:rsid w:val="004B6625"/>
    <w:rsid w:val="004D116C"/>
    <w:rsid w:val="004D2D82"/>
    <w:rsid w:val="004D3876"/>
    <w:rsid w:val="004E4552"/>
    <w:rsid w:val="004E6CDF"/>
    <w:rsid w:val="00553C9D"/>
    <w:rsid w:val="00562A66"/>
    <w:rsid w:val="005727AF"/>
    <w:rsid w:val="005B064E"/>
    <w:rsid w:val="005D51AE"/>
    <w:rsid w:val="0062674B"/>
    <w:rsid w:val="006363B2"/>
    <w:rsid w:val="00644940"/>
    <w:rsid w:val="006818A9"/>
    <w:rsid w:val="006A2D81"/>
    <w:rsid w:val="006C1D0D"/>
    <w:rsid w:val="0070601E"/>
    <w:rsid w:val="00712C72"/>
    <w:rsid w:val="00735FE9"/>
    <w:rsid w:val="00763CAA"/>
    <w:rsid w:val="00765F66"/>
    <w:rsid w:val="007741B6"/>
    <w:rsid w:val="0078664F"/>
    <w:rsid w:val="007943CB"/>
    <w:rsid w:val="007C3FA6"/>
    <w:rsid w:val="007D585A"/>
    <w:rsid w:val="007D5A12"/>
    <w:rsid w:val="007E59F9"/>
    <w:rsid w:val="00810BCD"/>
    <w:rsid w:val="00812C98"/>
    <w:rsid w:val="00814D92"/>
    <w:rsid w:val="0083181D"/>
    <w:rsid w:val="00843EB2"/>
    <w:rsid w:val="00852593"/>
    <w:rsid w:val="00865572"/>
    <w:rsid w:val="00874BBC"/>
    <w:rsid w:val="00892135"/>
    <w:rsid w:val="00895449"/>
    <w:rsid w:val="00897879"/>
    <w:rsid w:val="008A6870"/>
    <w:rsid w:val="008C2DDC"/>
    <w:rsid w:val="008C7516"/>
    <w:rsid w:val="008E0823"/>
    <w:rsid w:val="008E34D1"/>
    <w:rsid w:val="008E6EC7"/>
    <w:rsid w:val="008F0D63"/>
    <w:rsid w:val="008F1308"/>
    <w:rsid w:val="008F2C35"/>
    <w:rsid w:val="008F6665"/>
    <w:rsid w:val="00904591"/>
    <w:rsid w:val="0090552E"/>
    <w:rsid w:val="00905E5F"/>
    <w:rsid w:val="0091204F"/>
    <w:rsid w:val="009203DB"/>
    <w:rsid w:val="00923CD4"/>
    <w:rsid w:val="00930EFE"/>
    <w:rsid w:val="00943386"/>
    <w:rsid w:val="009456B6"/>
    <w:rsid w:val="00957589"/>
    <w:rsid w:val="00966D06"/>
    <w:rsid w:val="00982412"/>
    <w:rsid w:val="00983A8D"/>
    <w:rsid w:val="009A0DB8"/>
    <w:rsid w:val="009A7257"/>
    <w:rsid w:val="009B6CA5"/>
    <w:rsid w:val="009D6E0A"/>
    <w:rsid w:val="009E1E33"/>
    <w:rsid w:val="009F34FB"/>
    <w:rsid w:val="00A06823"/>
    <w:rsid w:val="00A14672"/>
    <w:rsid w:val="00A26BD6"/>
    <w:rsid w:val="00A443CF"/>
    <w:rsid w:val="00A55FD3"/>
    <w:rsid w:val="00A6611D"/>
    <w:rsid w:val="00A82CB7"/>
    <w:rsid w:val="00A942C1"/>
    <w:rsid w:val="00AA2F03"/>
    <w:rsid w:val="00AA4B16"/>
    <w:rsid w:val="00AC36F7"/>
    <w:rsid w:val="00AC63A4"/>
    <w:rsid w:val="00AD239E"/>
    <w:rsid w:val="00AF6D33"/>
    <w:rsid w:val="00B10265"/>
    <w:rsid w:val="00B16A99"/>
    <w:rsid w:val="00B21211"/>
    <w:rsid w:val="00B35784"/>
    <w:rsid w:val="00B733A7"/>
    <w:rsid w:val="00B75C91"/>
    <w:rsid w:val="00B94085"/>
    <w:rsid w:val="00B975AD"/>
    <w:rsid w:val="00BC1D9E"/>
    <w:rsid w:val="00BC45FB"/>
    <w:rsid w:val="00BF148D"/>
    <w:rsid w:val="00C23B1A"/>
    <w:rsid w:val="00C310EB"/>
    <w:rsid w:val="00C641EE"/>
    <w:rsid w:val="00C76852"/>
    <w:rsid w:val="00C9176A"/>
    <w:rsid w:val="00CF1AA2"/>
    <w:rsid w:val="00D17774"/>
    <w:rsid w:val="00D63620"/>
    <w:rsid w:val="00D8410D"/>
    <w:rsid w:val="00D867D7"/>
    <w:rsid w:val="00DB363B"/>
    <w:rsid w:val="00DB7060"/>
    <w:rsid w:val="00DC4CFB"/>
    <w:rsid w:val="00DE3153"/>
    <w:rsid w:val="00E06736"/>
    <w:rsid w:val="00E13C27"/>
    <w:rsid w:val="00E24C66"/>
    <w:rsid w:val="00E2724F"/>
    <w:rsid w:val="00E33BBD"/>
    <w:rsid w:val="00E374F2"/>
    <w:rsid w:val="00E40D45"/>
    <w:rsid w:val="00E45103"/>
    <w:rsid w:val="00E55A60"/>
    <w:rsid w:val="00E62778"/>
    <w:rsid w:val="00E63D38"/>
    <w:rsid w:val="00E665B9"/>
    <w:rsid w:val="00EA01E6"/>
    <w:rsid w:val="00EA3DE8"/>
    <w:rsid w:val="00EA758F"/>
    <w:rsid w:val="00ED4A6F"/>
    <w:rsid w:val="00EF3A3A"/>
    <w:rsid w:val="00F332E1"/>
    <w:rsid w:val="00F628D6"/>
    <w:rsid w:val="00F67051"/>
    <w:rsid w:val="00F86A1E"/>
    <w:rsid w:val="00FA3DD9"/>
    <w:rsid w:val="00FA5E88"/>
    <w:rsid w:val="00FB37B3"/>
    <w:rsid w:val="00FB65BB"/>
    <w:rsid w:val="00FB7936"/>
    <w:rsid w:val="00FC69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2E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F332E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332E1"/>
    <w:rPr>
      <w:sz w:val="36"/>
      <w:szCs w:val="52"/>
    </w:rPr>
  </w:style>
  <w:style w:type="paragraph" w:customStyle="1" w:styleId="Cover3-Haknesset">
    <w:name w:val="Cover 3-Haknesset"/>
    <w:basedOn w:val="Cover1-Reshumot"/>
    <w:rsid w:val="00F332E1"/>
    <w:rPr>
      <w:b/>
      <w:bCs/>
      <w:spacing w:val="60"/>
    </w:rPr>
  </w:style>
  <w:style w:type="paragraph" w:customStyle="1" w:styleId="Cover4-Date">
    <w:name w:val="Cover 4-Date"/>
    <w:basedOn w:val="a"/>
    <w:rsid w:val="00F332E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F332E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332E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332E1"/>
    <w:pPr>
      <w:spacing w:before="120" w:after="120"/>
    </w:pPr>
    <w:rPr>
      <w:color w:val="FF0000"/>
      <w:w w:val="80"/>
    </w:rPr>
  </w:style>
  <w:style w:type="paragraph" w:styleId="a3">
    <w:name w:val="endnote text"/>
    <w:basedOn w:val="a"/>
    <w:semiHidden/>
    <w:rsid w:val="00F332E1"/>
    <w:pPr>
      <w:ind w:left="227" w:hanging="227"/>
    </w:pPr>
    <w:rPr>
      <w:sz w:val="14"/>
      <w:szCs w:val="22"/>
    </w:rPr>
  </w:style>
  <w:style w:type="paragraph" w:customStyle="1" w:styleId="TableText">
    <w:name w:val="Table Text"/>
    <w:basedOn w:val="a"/>
    <w:rsid w:val="00F332E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332E1"/>
  </w:style>
  <w:style w:type="paragraph" w:customStyle="1" w:styleId="TableBlock">
    <w:name w:val="Table Block"/>
    <w:basedOn w:val="TableText"/>
    <w:rsid w:val="00F332E1"/>
    <w:pPr>
      <w:ind w:right="0"/>
      <w:jc w:val="both"/>
    </w:pPr>
  </w:style>
  <w:style w:type="paragraph" w:customStyle="1" w:styleId="TableHead">
    <w:name w:val="Table Head"/>
    <w:basedOn w:val="TableText"/>
    <w:rsid w:val="00F332E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F332E1"/>
  </w:style>
  <w:style w:type="paragraph" w:customStyle="1" w:styleId="Hesber">
    <w:name w:val="Hesber"/>
    <w:basedOn w:val="a"/>
    <w:rsid w:val="00F332E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F332E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F332E1"/>
    <w:rPr>
      <w:vertAlign w:val="superscript"/>
    </w:rPr>
  </w:style>
  <w:style w:type="paragraph" w:customStyle="1" w:styleId="HesberHeading">
    <w:name w:val="Hesber Heading"/>
    <w:basedOn w:val="Hesber"/>
    <w:rsid w:val="00F332E1"/>
    <w:pPr>
      <w:tabs>
        <w:tab w:val="left" w:pos="624"/>
        <w:tab w:val="left" w:pos="1247"/>
      </w:tabs>
      <w:ind w:firstLine="0"/>
    </w:pPr>
    <w:rPr>
      <w:b/>
      <w:bCs/>
    </w:rPr>
  </w:style>
  <w:style w:type="paragraph" w:customStyle="1" w:styleId="HesberWriters">
    <w:name w:val="Hesber Writers"/>
    <w:basedOn w:val="Hesber"/>
    <w:rsid w:val="00F332E1"/>
    <w:pPr>
      <w:spacing w:before="120" w:after="6000"/>
      <w:ind w:left="1418" w:firstLine="0"/>
      <w:jc w:val="right"/>
    </w:pPr>
    <w:rPr>
      <w:b/>
      <w:bCs/>
    </w:rPr>
  </w:style>
  <w:style w:type="paragraph" w:customStyle="1" w:styleId="Hesber1st">
    <w:name w:val="Hesber 1st"/>
    <w:basedOn w:val="Hesber"/>
    <w:rsid w:val="00F332E1"/>
    <w:pPr>
      <w:tabs>
        <w:tab w:val="left" w:pos="680"/>
        <w:tab w:val="left" w:pos="1020"/>
      </w:tabs>
      <w:ind w:firstLine="0"/>
    </w:pPr>
  </w:style>
  <w:style w:type="character" w:styleId="a7">
    <w:name w:val="endnote reference"/>
    <w:basedOn w:val="a0"/>
    <w:semiHidden/>
    <w:rsid w:val="00F332E1"/>
    <w:rPr>
      <w:vertAlign w:val="superscript"/>
    </w:rPr>
  </w:style>
  <w:style w:type="paragraph" w:customStyle="1" w:styleId="TableBlockOutdent">
    <w:name w:val="Table BlockOutdent"/>
    <w:basedOn w:val="TableBlock"/>
    <w:rsid w:val="00F332E1"/>
    <w:pPr>
      <w:ind w:left="624" w:hanging="624"/>
    </w:pPr>
  </w:style>
  <w:style w:type="paragraph" w:styleId="a8">
    <w:name w:val="header"/>
    <w:basedOn w:val="a"/>
    <w:rsid w:val="00F332E1"/>
    <w:pPr>
      <w:tabs>
        <w:tab w:val="center" w:pos="4153"/>
        <w:tab w:val="right" w:pos="8306"/>
      </w:tabs>
    </w:pPr>
  </w:style>
  <w:style w:type="paragraph" w:styleId="a9">
    <w:name w:val="footer"/>
    <w:basedOn w:val="a"/>
    <w:rsid w:val="00F332E1"/>
    <w:pPr>
      <w:tabs>
        <w:tab w:val="center" w:pos="4153"/>
        <w:tab w:val="right" w:pos="8306"/>
      </w:tabs>
    </w:pPr>
  </w:style>
  <w:style w:type="paragraph" w:customStyle="1" w:styleId="HeadDivreiHesber">
    <w:name w:val="Head DivreiHesber"/>
    <w:basedOn w:val="a"/>
    <w:rsid w:val="00F332E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F332E1"/>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F332E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default">
    <w:name w:val="default"/>
    <w:rsid w:val="00C76852"/>
    <w:rPr>
      <w:rFonts w:ascii="Times New Roman" w:hAnsi="Times New Roman" w:cs="Times New Roman" w:hint="default"/>
      <w:sz w:val="26"/>
      <w:szCs w:val="26"/>
    </w:rPr>
  </w:style>
  <w:style w:type="character" w:customStyle="1" w:styleId="P00">
    <w:name w:val="P00 תו"/>
    <w:basedOn w:val="a0"/>
    <w:link w:val="P000"/>
    <w:locked/>
    <w:rsid w:val="00BC1D9E"/>
    <w:rPr>
      <w:noProof/>
      <w:szCs w:val="26"/>
      <w:lang w:eastAsia="he-IL"/>
    </w:rPr>
  </w:style>
  <w:style w:type="paragraph" w:customStyle="1" w:styleId="P000">
    <w:name w:val="P00"/>
    <w:link w:val="P00"/>
    <w:rsid w:val="00BC1D9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styleId="ae">
    <w:name w:val="annotation reference"/>
    <w:basedOn w:val="a0"/>
    <w:semiHidden/>
    <w:unhideWhenUsed/>
    <w:rsid w:val="00BC1D9E"/>
    <w:rPr>
      <w:sz w:val="16"/>
      <w:szCs w:val="16"/>
    </w:rPr>
  </w:style>
  <w:style w:type="paragraph" w:styleId="af">
    <w:name w:val="annotation text"/>
    <w:basedOn w:val="a"/>
    <w:link w:val="af0"/>
    <w:semiHidden/>
    <w:unhideWhenUsed/>
    <w:rsid w:val="00BC1D9E"/>
    <w:pPr>
      <w:spacing w:line="240" w:lineRule="auto"/>
    </w:pPr>
    <w:rPr>
      <w:sz w:val="20"/>
      <w:szCs w:val="20"/>
    </w:rPr>
  </w:style>
  <w:style w:type="character" w:customStyle="1" w:styleId="af0">
    <w:name w:val="טקסט הערה תו"/>
    <w:basedOn w:val="a0"/>
    <w:link w:val="af"/>
    <w:semiHidden/>
    <w:rsid w:val="00BC1D9E"/>
    <w:rPr>
      <w:rFonts w:ascii="Hadasa Roso SL" w:hAnsi="Hadasa Roso SL" w:cs="Hadasa Roso SL"/>
      <w:color w:val="000000"/>
      <w:spacing w:val="1"/>
      <w:lang w:eastAsia="ja-JP"/>
    </w:rPr>
  </w:style>
  <w:style w:type="paragraph" w:styleId="af1">
    <w:name w:val="annotation subject"/>
    <w:basedOn w:val="af"/>
    <w:next w:val="af"/>
    <w:link w:val="af2"/>
    <w:semiHidden/>
    <w:unhideWhenUsed/>
    <w:rsid w:val="00BC1D9E"/>
    <w:rPr>
      <w:b/>
      <w:bCs/>
    </w:rPr>
  </w:style>
  <w:style w:type="character" w:customStyle="1" w:styleId="af2">
    <w:name w:val="נושא הערה תו"/>
    <w:basedOn w:val="af0"/>
    <w:link w:val="af1"/>
    <w:semiHidden/>
    <w:rsid w:val="00BC1D9E"/>
    <w:rPr>
      <w:rFonts w:ascii="Hadasa Roso SL" w:hAnsi="Hadasa Roso SL" w:cs="Hadasa Roso SL"/>
      <w:b/>
      <w:bCs/>
      <w:color w:val="000000"/>
      <w:spacing w:val="1"/>
      <w:lang w:eastAsia="ja-JP"/>
    </w:rPr>
  </w:style>
  <w:style w:type="character" w:customStyle="1" w:styleId="a5">
    <w:name w:val="טקסט הערת שוליים תו"/>
    <w:basedOn w:val="a0"/>
    <w:link w:val="a4"/>
    <w:semiHidden/>
    <w:rsid w:val="004D116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182263">
      <w:bodyDiv w:val="1"/>
      <w:marLeft w:val="0"/>
      <w:marRight w:val="0"/>
      <w:marTop w:val="0"/>
      <w:marBottom w:val="0"/>
      <w:divBdr>
        <w:top w:val="none" w:sz="0" w:space="0" w:color="auto"/>
        <w:left w:val="none" w:sz="0" w:space="0" w:color="auto"/>
        <w:bottom w:val="none" w:sz="0" w:space="0" w:color="auto"/>
        <w:right w:val="none" w:sz="0" w:space="0" w:color="auto"/>
      </w:divBdr>
    </w:div>
    <w:div w:id="779225870">
      <w:bodyDiv w:val="1"/>
      <w:marLeft w:val="0"/>
      <w:marRight w:val="0"/>
      <w:marTop w:val="0"/>
      <w:marBottom w:val="0"/>
      <w:divBdr>
        <w:top w:val="none" w:sz="0" w:space="0" w:color="auto"/>
        <w:left w:val="none" w:sz="0" w:space="0" w:color="auto"/>
        <w:bottom w:val="none" w:sz="0" w:space="0" w:color="auto"/>
        <w:right w:val="none" w:sz="0" w:space="0" w:color="auto"/>
      </w:divBdr>
    </w:div>
    <w:div w:id="1996837607">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C577588C-6F8B-4AC0-ACD6-E34C06FDE72B}"/>
</file>

<file path=customXml/itemProps4.xml><?xml version="1.0" encoding="utf-8"?>
<ds:datastoreItem xmlns:ds="http://schemas.openxmlformats.org/officeDocument/2006/customXml" ds:itemID="{95396B29-6E67-4CFD-B225-F27299FB5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3069</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2016-06-23T10:25:00Z</cp:lastPrinted>
  <dcterms:created xsi:type="dcterms:W3CDTF">2017-02-22T09:18:00Z</dcterms:created>
  <dcterms:modified xsi:type="dcterms:W3CDTF">2017-02-22T09:18:00Z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2014659</vt:r8>
  </property>
</Properties>
</file>