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575371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בירן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קסניה </w:t>
      </w:r>
      <w:proofErr w:type="spellStart"/>
      <w:r>
        <w:rPr>
          <w:rFonts w:hint="cs"/>
          <w:b/>
          <w:bCs/>
          <w:rtl/>
        </w:rPr>
        <w:t>סבטלובה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 xml:space="preserve"> </w:t>
      </w:r>
      <w:bookmarkEnd w:id="7"/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 השוואת דמי פגיעה לעובד עצמאי),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4A40AA" w14:paraId="3299D682" w14:textId="77777777" w:rsidTr="004A40AA">
        <w:trPr>
          <w:cantSplit/>
        </w:trPr>
        <w:tc>
          <w:tcPr>
            <w:tcW w:w="1871" w:type="dxa"/>
          </w:tcPr>
          <w:p w14:paraId="110B7747" w14:textId="77777777" w:rsidR="004A40AA" w:rsidRDefault="004A40AA" w:rsidP="00FD287F">
            <w:pPr>
              <w:pStyle w:val="TableSideHeading"/>
              <w:keepLines w:val="0"/>
            </w:pPr>
            <w:r>
              <w:rPr>
                <w:rtl/>
              </w:rPr>
              <w:t xml:space="preserve">תיקון סעיף 94 (ב) 2 </w:t>
            </w:r>
          </w:p>
        </w:tc>
        <w:tc>
          <w:tcPr>
            <w:tcW w:w="624" w:type="dxa"/>
          </w:tcPr>
          <w:p w14:paraId="7FEBA6CC" w14:textId="77777777" w:rsidR="004A40AA" w:rsidRDefault="004A40AA" w:rsidP="00FD287F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3" w:type="dxa"/>
          </w:tcPr>
          <w:p w14:paraId="329FAC18" w14:textId="0D7A5187" w:rsidR="004A40AA" w:rsidRPr="00C34DE2" w:rsidRDefault="004A40AA" w:rsidP="004A40AA">
            <w:pPr>
              <w:pStyle w:val="TableBlock"/>
            </w:pPr>
            <w:r>
              <w:rPr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tl/>
              </w:rPr>
              <w:t>התשנ"ה</w:t>
            </w:r>
            <w:proofErr w:type="spellEnd"/>
            <w:r>
              <w:rPr>
                <w:rtl/>
              </w:rPr>
              <w:t>–1995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tl/>
              </w:rPr>
              <w:t xml:space="preserve"> (להלן – החוק העיקרי), בסעיף 94 ימחק </w:t>
            </w:r>
            <w:proofErr w:type="spellStart"/>
            <w:r>
              <w:rPr>
                <w:rtl/>
              </w:rPr>
              <w:t>ס"ק</w:t>
            </w:r>
            <w:proofErr w:type="spellEnd"/>
            <w:r>
              <w:rPr>
                <w:rtl/>
              </w:rPr>
              <w:t xml:space="preserve"> (ב) (2).  </w:t>
            </w:r>
          </w:p>
        </w:tc>
      </w:tr>
      <w:tr w:rsidR="004A40AA" w14:paraId="10AD8D00" w14:textId="77777777" w:rsidTr="004A40AA">
        <w:trPr>
          <w:cantSplit/>
        </w:trPr>
        <w:tc>
          <w:tcPr>
            <w:tcW w:w="1871" w:type="dxa"/>
          </w:tcPr>
          <w:p w14:paraId="52C6FF22" w14:textId="77777777" w:rsidR="004A40AA" w:rsidRDefault="004A40AA" w:rsidP="00FD287F">
            <w:pPr>
              <w:pStyle w:val="TableSideHeading"/>
              <w:keepLines w:val="0"/>
              <w:rPr>
                <w:rtl/>
              </w:rPr>
            </w:pPr>
            <w:r>
              <w:rPr>
                <w:rtl/>
              </w:rPr>
              <w:lastRenderedPageBreak/>
              <w:t>תחילה ותחולה</w:t>
            </w:r>
          </w:p>
        </w:tc>
        <w:tc>
          <w:tcPr>
            <w:tcW w:w="624" w:type="dxa"/>
          </w:tcPr>
          <w:p w14:paraId="3736A740" w14:textId="77777777" w:rsidR="004A40AA" w:rsidRDefault="004A40AA" w:rsidP="00FD287F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3" w:type="dxa"/>
          </w:tcPr>
          <w:p w14:paraId="46BB0B4E" w14:textId="77777777" w:rsidR="004A40AA" w:rsidRDefault="004A40AA" w:rsidP="004A40AA">
            <w:pPr>
              <w:pStyle w:val="TableBlock"/>
              <w:rPr>
                <w:rtl/>
              </w:rPr>
            </w:pPr>
            <w:r>
              <w:rPr>
                <w:rtl/>
              </w:rPr>
              <w:t>תחילתו של חוק זה, שלושה חודשים מיום פרסומו של חוק זה (להלן – יום התחילה).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A0D6EAB" w14:textId="77777777" w:rsidR="004A40AA" w:rsidRDefault="004A40AA" w:rsidP="004A40AA">
      <w:pPr>
        <w:pStyle w:val="Hesber"/>
        <w:rPr>
          <w:color w:val="auto"/>
          <w:sz w:val="26"/>
          <w:rtl/>
        </w:rPr>
      </w:pPr>
      <w:r w:rsidRPr="00E448F0">
        <w:rPr>
          <w:sz w:val="26"/>
          <w:rtl/>
        </w:rPr>
        <w:t>בישראל ישנם מעל ל-450 אלף עסקים זעירים או עצמאיים. למרות שהם חשופים לסיכונים רבים, לפי החוק הישראלי, הם אינם זכאים להגנות סוציאליות להן זוכים השכירים, כגון דמי אבטלה, דמי מחלה, דמי לידה, וכדומה</w:t>
      </w:r>
      <w:r>
        <w:rPr>
          <w:sz w:val="26"/>
          <w:rtl/>
        </w:rPr>
        <w:t xml:space="preserve">. יתרה מכך, חוקים מסוימים מפלים לרעה את מצב העצמאים, כך בין היתר, הזכאות לדמי פגיעה מהביטוח הלאומי אשר קובע כי מחישוב הגמול לו זכאי עצמאי תקוזז השתתפות עצמית השווה ל 12 ימים. </w:t>
      </w:r>
      <w:r>
        <w:rPr>
          <w:color w:val="auto"/>
          <w:sz w:val="26"/>
          <w:rtl/>
        </w:rPr>
        <w:tab/>
      </w:r>
      <w:r>
        <w:rPr>
          <w:color w:val="auto"/>
          <w:sz w:val="26"/>
          <w:rtl/>
        </w:rPr>
        <w:br/>
      </w:r>
      <w:r w:rsidRPr="00E448F0">
        <w:rPr>
          <w:color w:val="auto"/>
          <w:sz w:val="26"/>
          <w:rtl/>
        </w:rPr>
        <w:t>דמי פגיעה הם תשלום שהמוסד לביטוח לאומי משלם למבוטח שנפגע בעבודה כפיצוי על אובדן שכר או הכנסה (מ</w:t>
      </w:r>
      <w:r w:rsidRPr="00E448F0">
        <w:rPr>
          <w:rStyle w:val="tooltipanchor"/>
          <w:color w:val="auto"/>
          <w:sz w:val="26"/>
          <w:rtl/>
        </w:rPr>
        <w:t>תאונת עבודה</w:t>
      </w:r>
      <w:r w:rsidRPr="00E448F0">
        <w:rPr>
          <w:color w:val="auto"/>
          <w:sz w:val="26"/>
          <w:rtl/>
        </w:rPr>
        <w:t xml:space="preserve"> או מ</w:t>
      </w:r>
      <w:r w:rsidRPr="00E448F0">
        <w:rPr>
          <w:rStyle w:val="tooltipanchor"/>
          <w:color w:val="auto"/>
          <w:sz w:val="26"/>
          <w:rtl/>
        </w:rPr>
        <w:t>מחלת</w:t>
      </w:r>
      <w:r w:rsidRPr="00E76BC4">
        <w:rPr>
          <w:rStyle w:val="tooltipanchor"/>
          <w:color w:val="auto"/>
          <w:sz w:val="26"/>
          <w:rtl/>
        </w:rPr>
        <w:t xml:space="preserve"> מקצוע</w:t>
      </w:r>
      <w:r w:rsidRPr="00E76BC4">
        <w:rPr>
          <w:color w:val="auto"/>
          <w:sz w:val="26"/>
          <w:rtl/>
        </w:rPr>
        <w:t>), ובתנאי </w:t>
      </w:r>
      <w:r w:rsidRPr="00E76BC4">
        <w:rPr>
          <w:b/>
          <w:bCs/>
          <w:color w:val="auto"/>
          <w:sz w:val="26"/>
          <w:rtl/>
        </w:rPr>
        <w:t> שאינו מסוגל לעבוד</w:t>
      </w:r>
      <w:r w:rsidRPr="00E76BC4">
        <w:rPr>
          <w:color w:val="auto"/>
          <w:sz w:val="26"/>
          <w:rtl/>
        </w:rPr>
        <w:t xml:space="preserve"> לא בעבודתו ולא בעבודה מתאימה אחרת כתוצאה מהפגיעה (הכול על פי אישור רפואי)</w:t>
      </w:r>
      <w:r>
        <w:rPr>
          <w:color w:val="auto"/>
          <w:sz w:val="26"/>
          <w:rtl/>
        </w:rPr>
        <w:t xml:space="preserve">. </w:t>
      </w:r>
      <w:r>
        <w:rPr>
          <w:color w:val="auto"/>
          <w:sz w:val="26"/>
          <w:rtl/>
        </w:rPr>
        <w:tab/>
      </w:r>
      <w:r>
        <w:rPr>
          <w:color w:val="auto"/>
          <w:sz w:val="26"/>
          <w:rtl/>
        </w:rPr>
        <w:br/>
        <w:t xml:space="preserve">על פי סעיף 92 גם </w:t>
      </w:r>
      <w:r w:rsidRPr="00E76BC4">
        <w:rPr>
          <w:color w:val="auto"/>
          <w:sz w:val="26"/>
          <w:rtl/>
        </w:rPr>
        <w:t xml:space="preserve">מבוטח עצמאי שנפגע בעבודה זכאי לקבל תגמול מהמוסד לביטוח לאומי בגין התקופה שאינו יכול לעבוד. אולם </w:t>
      </w:r>
      <w:r>
        <w:rPr>
          <w:color w:val="auto"/>
          <w:sz w:val="26"/>
          <w:rtl/>
        </w:rPr>
        <w:t>,</w:t>
      </w:r>
      <w:r w:rsidRPr="00E76BC4">
        <w:rPr>
          <w:color w:val="auto"/>
          <w:sz w:val="26"/>
          <w:rtl/>
        </w:rPr>
        <w:t xml:space="preserve">על פי </w:t>
      </w:r>
      <w:r>
        <w:rPr>
          <w:color w:val="auto"/>
          <w:sz w:val="26"/>
          <w:rtl/>
        </w:rPr>
        <w:t xml:space="preserve">סעיף 94 ב (2) </w:t>
      </w:r>
      <w:r w:rsidRPr="00E76BC4">
        <w:rPr>
          <w:color w:val="auto"/>
          <w:sz w:val="26"/>
          <w:rtl/>
        </w:rPr>
        <w:t>בחוק</w:t>
      </w:r>
      <w:r>
        <w:rPr>
          <w:color w:val="auto"/>
          <w:sz w:val="26"/>
          <w:rtl/>
        </w:rPr>
        <w:t xml:space="preserve"> הביטוח הלאומי, </w:t>
      </w:r>
      <w:r w:rsidRPr="00E76BC4">
        <w:rPr>
          <w:color w:val="auto"/>
          <w:sz w:val="26"/>
          <w:rtl/>
        </w:rPr>
        <w:t>מחישוב התגמול שהוא זכאי</w:t>
      </w:r>
      <w:r>
        <w:rPr>
          <w:color w:val="auto"/>
          <w:sz w:val="26"/>
          <w:rtl/>
        </w:rPr>
        <w:t xml:space="preserve"> עובד עצמאי</w:t>
      </w:r>
      <w:r w:rsidRPr="00E76BC4">
        <w:rPr>
          <w:color w:val="auto"/>
          <w:sz w:val="26"/>
          <w:rtl/>
        </w:rPr>
        <w:t xml:space="preserve"> לקבל, מנוכים 12 יום השתתפות עצמית של המבוטח</w:t>
      </w:r>
      <w:r>
        <w:rPr>
          <w:color w:val="auto"/>
          <w:sz w:val="26"/>
          <w:rtl/>
        </w:rPr>
        <w:t xml:space="preserve">, </w:t>
      </w:r>
      <w:r w:rsidRPr="00E76BC4">
        <w:rPr>
          <w:color w:val="auto"/>
          <w:sz w:val="26"/>
          <w:rtl/>
        </w:rPr>
        <w:t>זאת ל</w:t>
      </w:r>
      <w:r>
        <w:rPr>
          <w:color w:val="auto"/>
          <w:sz w:val="26"/>
          <w:rtl/>
        </w:rPr>
        <w:t xml:space="preserve">הבדיל מהקבוע אצל מבוטחים שכירים, </w:t>
      </w:r>
      <w:r w:rsidRPr="00E76BC4">
        <w:rPr>
          <w:color w:val="auto"/>
          <w:sz w:val="26"/>
          <w:rtl/>
        </w:rPr>
        <w:t xml:space="preserve">אשר להם אין השתתפות אישית ומי שמשתתף הינו המעביד.  </w:t>
      </w:r>
    </w:p>
    <w:p w14:paraId="405B3F2F" w14:textId="77777777" w:rsidR="004A40AA" w:rsidRPr="00E76BC4" w:rsidRDefault="004A40AA" w:rsidP="004A40AA">
      <w:pPr>
        <w:pStyle w:val="Hesber"/>
        <w:rPr>
          <w:color w:val="auto"/>
          <w:sz w:val="26"/>
          <w:rtl/>
        </w:rPr>
      </w:pPr>
    </w:p>
    <w:p w14:paraId="7F6961CB" w14:textId="0793B63C" w:rsidR="00E13C27" w:rsidRDefault="004A40AA" w:rsidP="004A40AA">
      <w:pPr>
        <w:pStyle w:val="Hesber"/>
        <w:rPr>
          <w:rtl/>
        </w:rPr>
      </w:pPr>
      <w:r w:rsidRPr="00824C20">
        <w:rPr>
          <w:rFonts w:hint="cs"/>
          <w:sz w:val="26"/>
          <w:rtl/>
        </w:rPr>
        <w:t>יודגש</w:t>
      </w:r>
      <w:r w:rsidRPr="00824C2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כי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כיום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רוב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העצמאים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אינם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אוכלוסייה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בעלת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כושר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השתכרות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גבוה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חלקם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אפילו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לא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מרוויחים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שכר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מינימום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זאת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ועוד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כאשר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אדם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בוחר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להיות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עצמאי</w:t>
      </w:r>
      <w:r>
        <w:rPr>
          <w:sz w:val="26"/>
          <w:rtl/>
        </w:rPr>
        <w:t xml:space="preserve">,  </w:t>
      </w:r>
      <w:r>
        <w:rPr>
          <w:rFonts w:hint="cs"/>
          <w:sz w:val="26"/>
          <w:rtl/>
        </w:rPr>
        <w:t>הסיכון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והסיכוי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נמצא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על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כתפו</w:t>
      </w:r>
      <w:r>
        <w:rPr>
          <w:sz w:val="26"/>
          <w:rtl/>
        </w:rPr>
        <w:t xml:space="preserve">, 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אין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רשת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ביטחון</w:t>
      </w:r>
      <w:r w:rsidRPr="00824C2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כמו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דמי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אבטלה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או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ימי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מחלה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פציעה</w:t>
      </w:r>
      <w:r w:rsidRPr="00824C2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המקרה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היחידי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מקבל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תגמול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הינו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המקרה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דמי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הפגיעה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אולם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כאמור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גם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במקרה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הנ</w:t>
      </w:r>
      <w:r>
        <w:rPr>
          <w:sz w:val="26"/>
          <w:rtl/>
        </w:rPr>
        <w:t>"</w:t>
      </w:r>
      <w:r>
        <w:rPr>
          <w:rFonts w:hint="cs"/>
          <w:sz w:val="26"/>
          <w:rtl/>
        </w:rPr>
        <w:t>ל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גם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כאשר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המחלה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הפציעה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בעקבות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העבודה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מקזזים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לו</w:t>
      </w:r>
      <w:r>
        <w:rPr>
          <w:sz w:val="26"/>
          <w:rtl/>
        </w:rPr>
        <w:t xml:space="preserve"> 12 </w:t>
      </w:r>
      <w:r>
        <w:rPr>
          <w:rFonts w:hint="cs"/>
          <w:sz w:val="26"/>
          <w:rtl/>
        </w:rPr>
        <w:t>ימים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שעבורם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הוא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אינו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זכאי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להחזר</w:t>
      </w:r>
      <w:r w:rsidRPr="00824C2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זאת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למרות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כי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הוא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משלם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דמי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ביטוח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בדומה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לשכיר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ואף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גבוה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מהשכיר</w:t>
      </w:r>
      <w:r w:rsidRPr="00824C20">
        <w:rPr>
          <w:sz w:val="26"/>
          <w:rtl/>
        </w:rPr>
        <w:t xml:space="preserve">. </w:t>
      </w:r>
      <w:r>
        <w:rPr>
          <w:sz w:val="26"/>
          <w:rtl/>
        </w:rPr>
        <w:tab/>
      </w:r>
      <w:r>
        <w:rPr>
          <w:sz w:val="26"/>
          <w:rtl/>
        </w:rPr>
        <w:br/>
      </w:r>
      <w:r>
        <w:rPr>
          <w:sz w:val="26"/>
          <w:rtl/>
        </w:rPr>
        <w:br/>
      </w:r>
      <w:r w:rsidRPr="00824C20">
        <w:rPr>
          <w:rFonts w:hint="cs"/>
          <w:sz w:val="26"/>
          <w:rtl/>
        </w:rPr>
        <w:t>זאת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ועוד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לעתים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מצב</w:t>
      </w:r>
      <w:r>
        <w:rPr>
          <w:rFonts w:hint="cs"/>
          <w:sz w:val="26"/>
          <w:rtl/>
        </w:rPr>
        <w:t>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הכלכלי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העצמאי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קשה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יותר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ממצב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השכיר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בנסיבות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דומות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חובר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יכולת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לעבוד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עקב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פגיעה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בעבודה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שכן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כאשר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העצמאי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אינו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יכול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לעבוד</w:t>
      </w:r>
      <w:r w:rsidRPr="00824C2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עדיין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יש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הוצאות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בגין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התחייבויות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לעובדים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ספקים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שכירת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מקום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אחסון</w:t>
      </w:r>
      <w:r w:rsidRPr="00824C2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החזקת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מלאי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וכדומה</w:t>
      </w:r>
      <w:r w:rsidRPr="00824C20">
        <w:rPr>
          <w:sz w:val="26"/>
          <w:rtl/>
        </w:rPr>
        <w:t xml:space="preserve">. </w:t>
      </w:r>
      <w:r w:rsidRPr="00824C20">
        <w:rPr>
          <w:rFonts w:hint="cs"/>
          <w:sz w:val="26"/>
          <w:rtl/>
        </w:rPr>
        <w:t>כך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נוצר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מצב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מעוות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העצמאי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משלם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ביטוח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לאומי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בדומה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לשכיר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ההוצאות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שלו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לעתים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גבוהות</w:t>
      </w:r>
      <w:r w:rsidRPr="00824C2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יותר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משל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שכיר</w:t>
      </w:r>
      <w:r>
        <w:rPr>
          <w:sz w:val="26"/>
          <w:rtl/>
        </w:rPr>
        <w:t xml:space="preserve">, 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>ב</w:t>
      </w:r>
      <w:r w:rsidRPr="00824C20">
        <w:rPr>
          <w:rFonts w:hint="cs"/>
          <w:sz w:val="26"/>
          <w:rtl/>
        </w:rPr>
        <w:t>מצב</w:t>
      </w:r>
      <w:r w:rsidRPr="00824C2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פגיעה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</w:t>
      </w:r>
      <w:r w:rsidRPr="00824C20">
        <w:rPr>
          <w:rFonts w:hint="cs"/>
          <w:sz w:val="26"/>
          <w:rtl/>
        </w:rPr>
        <w:t>עבודה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התגמול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שהינו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מקבל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קטן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מזה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של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השכיר</w:t>
      </w:r>
      <w:r w:rsidRPr="00824C20">
        <w:rPr>
          <w:sz w:val="26"/>
          <w:rtl/>
        </w:rPr>
        <w:t xml:space="preserve">.  </w:t>
      </w:r>
      <w:r>
        <w:rPr>
          <w:sz w:val="26"/>
          <w:rtl/>
        </w:rPr>
        <w:tab/>
      </w:r>
      <w:r>
        <w:rPr>
          <w:sz w:val="26"/>
          <w:rtl/>
        </w:rPr>
        <w:br/>
      </w:r>
      <w:r>
        <w:rPr>
          <w:sz w:val="26"/>
          <w:rtl/>
        </w:rPr>
        <w:br/>
      </w:r>
      <w:r>
        <w:rPr>
          <w:rFonts w:hint="cs"/>
          <w:sz w:val="26"/>
          <w:rtl/>
        </w:rPr>
        <w:t>אי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לכך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מטרת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הצעת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חוק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לתקן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העיוות</w:t>
      </w:r>
      <w:r w:rsidRPr="00824C2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המפורט</w:t>
      </w:r>
      <w:r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לעיל</w:t>
      </w:r>
      <w:r w:rsidRPr="00824C20">
        <w:rPr>
          <w:sz w:val="26"/>
          <w:rtl/>
        </w:rPr>
        <w:t xml:space="preserve">, </w:t>
      </w:r>
      <w:r w:rsidRPr="00824C20">
        <w:rPr>
          <w:rFonts w:hint="cs"/>
          <w:sz w:val="26"/>
          <w:rtl/>
        </w:rPr>
        <w:t>ומציעה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למחוק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את</w:t>
      </w:r>
      <w:r w:rsidRPr="00824C20">
        <w:rPr>
          <w:sz w:val="26"/>
          <w:rtl/>
        </w:rPr>
        <w:t xml:space="preserve"> </w:t>
      </w:r>
      <w:r w:rsidRPr="00824C20">
        <w:rPr>
          <w:rFonts w:hint="cs"/>
          <w:sz w:val="26"/>
          <w:rtl/>
        </w:rPr>
        <w:t>סעיף</w:t>
      </w:r>
      <w:r w:rsidRPr="00824C20">
        <w:rPr>
          <w:sz w:val="26"/>
          <w:rtl/>
        </w:rPr>
        <w:t xml:space="preserve"> 9 </w:t>
      </w:r>
      <w:r>
        <w:rPr>
          <w:sz w:val="26"/>
          <w:rtl/>
        </w:rPr>
        <w:t>2 (</w:t>
      </w:r>
      <w:r>
        <w:rPr>
          <w:rFonts w:hint="cs"/>
          <w:sz w:val="26"/>
          <w:rtl/>
        </w:rPr>
        <w:t>ב</w:t>
      </w:r>
      <w:r>
        <w:rPr>
          <w:sz w:val="26"/>
          <w:rtl/>
        </w:rPr>
        <w:t xml:space="preserve">) </w:t>
      </w:r>
      <w:r>
        <w:rPr>
          <w:rFonts w:hint="cs"/>
          <w:sz w:val="26"/>
          <w:rtl/>
        </w:rPr>
        <w:t>בחוק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הביטוח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הלאומי</w:t>
      </w:r>
      <w:r>
        <w:rPr>
          <w:sz w:val="26"/>
          <w:rtl/>
        </w:rPr>
        <w:t xml:space="preserve"> (</w:t>
      </w:r>
      <w:r>
        <w:rPr>
          <w:rFonts w:hint="cs"/>
          <w:sz w:val="26"/>
          <w:rtl/>
        </w:rPr>
        <w:t>נוסח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משולב</w:t>
      </w:r>
      <w:r>
        <w:rPr>
          <w:sz w:val="26"/>
          <w:rtl/>
        </w:rPr>
        <w:t xml:space="preserve">) </w:t>
      </w:r>
      <w:r>
        <w:rPr>
          <w:rFonts w:hint="cs"/>
          <w:sz w:val="26"/>
          <w:rtl/>
        </w:rPr>
        <w:t>תשנ</w:t>
      </w:r>
      <w:r>
        <w:rPr>
          <w:sz w:val="26"/>
          <w:rtl/>
        </w:rPr>
        <w:t>"</w:t>
      </w:r>
      <w:r>
        <w:rPr>
          <w:rFonts w:hint="cs"/>
          <w:sz w:val="26"/>
          <w:rtl/>
        </w:rPr>
        <w:t>ה</w:t>
      </w:r>
      <w:r>
        <w:rPr>
          <w:sz w:val="26"/>
          <w:rtl/>
        </w:rPr>
        <w:t xml:space="preserve"> 1995, </w:t>
      </w:r>
      <w:r>
        <w:rPr>
          <w:rFonts w:hint="cs"/>
          <w:sz w:val="26"/>
          <w:rtl/>
        </w:rPr>
        <w:t>סעיף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הקובע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כי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היה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הנפגע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עובד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עצמאי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לא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ישולמו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לו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דמי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פגיעה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בעד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תקופת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הזכאות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הראשונה</w:t>
      </w:r>
      <w:r>
        <w:rPr>
          <w:sz w:val="26"/>
          <w:rtl/>
        </w:rPr>
        <w:t xml:space="preserve">. </w:t>
      </w:r>
      <w:r>
        <w:rPr>
          <w:rFonts w:hint="cs"/>
          <w:sz w:val="26"/>
          <w:rtl/>
        </w:rPr>
        <w:t>תקופת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הזכאות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הראשונה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נקבעה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בסעיף</w:t>
      </w:r>
      <w:r>
        <w:rPr>
          <w:sz w:val="26"/>
          <w:rtl/>
        </w:rPr>
        <w:t xml:space="preserve"> 94 </w:t>
      </w:r>
      <w:r>
        <w:rPr>
          <w:rFonts w:hint="cs"/>
          <w:sz w:val="26"/>
          <w:rtl/>
        </w:rPr>
        <w:t>לחוק</w:t>
      </w:r>
      <w:r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שנים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עשרה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הימים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הראשונים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שבעדם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זכאי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הנפגע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לדמי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פגיעה</w:t>
      </w:r>
      <w:r>
        <w:rPr>
          <w:sz w:val="26"/>
          <w:rtl/>
        </w:rPr>
        <w:t>.</w:t>
      </w: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33DF" w14:textId="77777777" w:rsidR="00A911BA" w:rsidRDefault="00A911BA">
      <w:r>
        <w:separator/>
      </w:r>
    </w:p>
  </w:endnote>
  <w:endnote w:type="continuationSeparator" w:id="0">
    <w:p w14:paraId="1B7C0D50" w14:textId="77777777" w:rsidR="00A911BA" w:rsidRDefault="00A911BA">
      <w:r>
        <w:continuationSeparator/>
      </w:r>
    </w:p>
  </w:endnote>
  <w:endnote w:type="continuationNotice" w:id="1">
    <w:p w14:paraId="7C0A4FDA" w14:textId="77777777" w:rsidR="00A911BA" w:rsidRDefault="00A911B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759CB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2A09C" w14:textId="77777777" w:rsidR="00A911BA" w:rsidRDefault="00A911BA">
      <w:r>
        <w:separator/>
      </w:r>
    </w:p>
  </w:footnote>
  <w:footnote w:type="continuationSeparator" w:id="0">
    <w:p w14:paraId="0E3FD159" w14:textId="77777777" w:rsidR="00A911BA" w:rsidRDefault="00A911BA">
      <w:r>
        <w:continuationSeparator/>
      </w:r>
    </w:p>
  </w:footnote>
  <w:footnote w:type="continuationNotice" w:id="1">
    <w:p w14:paraId="0FEE9763" w14:textId="77777777" w:rsidR="00A911BA" w:rsidRDefault="00A911BA"/>
  </w:footnote>
  <w:footnote w:id="2">
    <w:p w14:paraId="6D06EE6C" w14:textId="77777777" w:rsidR="004A40AA" w:rsidRDefault="004A40AA" w:rsidP="004A40AA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A40AA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11BA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759CB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5624AAE2-0332-4487-9BD0-48913CD54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0A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4A40A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A40AA"/>
    <w:rPr>
      <w:sz w:val="36"/>
      <w:szCs w:val="52"/>
    </w:rPr>
  </w:style>
  <w:style w:type="paragraph" w:customStyle="1" w:styleId="Cover3-Haknesset">
    <w:name w:val="Cover 3-Haknesset"/>
    <w:basedOn w:val="Cover1-Reshumot"/>
    <w:rsid w:val="004A40AA"/>
    <w:rPr>
      <w:b/>
      <w:bCs/>
      <w:spacing w:val="60"/>
    </w:rPr>
  </w:style>
  <w:style w:type="paragraph" w:customStyle="1" w:styleId="Cover4-Date">
    <w:name w:val="Cover 4-Date"/>
    <w:basedOn w:val="a"/>
    <w:rsid w:val="004A40A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4A40A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4A40A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4A40A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4A40A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4A40A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4A40AA"/>
  </w:style>
  <w:style w:type="paragraph" w:customStyle="1" w:styleId="TableBlock">
    <w:name w:val="Table Block"/>
    <w:basedOn w:val="TableText"/>
    <w:rsid w:val="004A40AA"/>
    <w:pPr>
      <w:ind w:right="0"/>
      <w:jc w:val="both"/>
    </w:pPr>
  </w:style>
  <w:style w:type="paragraph" w:customStyle="1" w:styleId="TableHead">
    <w:name w:val="Table Head"/>
    <w:basedOn w:val="TableText"/>
    <w:rsid w:val="004A40A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4A40AA"/>
  </w:style>
  <w:style w:type="paragraph" w:customStyle="1" w:styleId="Hesber">
    <w:name w:val="Hesber"/>
    <w:basedOn w:val="a"/>
    <w:rsid w:val="004A40A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4A40A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4A40AA"/>
    <w:rPr>
      <w:vertAlign w:val="superscript"/>
    </w:rPr>
  </w:style>
  <w:style w:type="paragraph" w:customStyle="1" w:styleId="HesberHeading">
    <w:name w:val="Hesber Heading"/>
    <w:basedOn w:val="Hesber"/>
    <w:rsid w:val="004A40A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A40A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A40A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4A40AA"/>
    <w:rPr>
      <w:vertAlign w:val="superscript"/>
    </w:rPr>
  </w:style>
  <w:style w:type="paragraph" w:customStyle="1" w:styleId="TableBlockOutdent">
    <w:name w:val="Table BlockOutdent"/>
    <w:basedOn w:val="TableBlock"/>
    <w:rsid w:val="004A40AA"/>
    <w:pPr>
      <w:ind w:left="624" w:hanging="624"/>
    </w:pPr>
  </w:style>
  <w:style w:type="paragraph" w:styleId="a8">
    <w:name w:val="header"/>
    <w:basedOn w:val="a"/>
    <w:rsid w:val="004A40A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4A40A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4A40A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4A40A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4A40A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locked/>
    <w:rsid w:val="004A40AA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ooltipanchor">
    <w:name w:val="tooltipanchor"/>
    <w:rsid w:val="004A40A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8E028-7365-4F67-B16D-AFCED45E60C9}"/>
</file>

<file path=customXml/itemProps4.xml><?xml version="1.0" encoding="utf-8"?>
<ds:datastoreItem xmlns:ds="http://schemas.openxmlformats.org/officeDocument/2006/customXml" ds:itemID="{F87D7B94-0092-4369-907E-EE244F5C2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2013-07-04T08:25:00Z</cp:lastPrinted>
  <dcterms:created xsi:type="dcterms:W3CDTF">2017-02-22T09:14:00Z</dcterms:created>
  <dcterms:modified xsi:type="dcterms:W3CDTF">2017-02-22T09:14:00Z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2014681</vt:r8>
  </property>
</Properties>
</file>