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211" w:rsidRPr="005E1C44" w:rsidRDefault="003E4211" w:rsidP="003E4211">
      <w:pPr>
        <w:pStyle w:val="HeadHatzaotHok"/>
        <w:spacing w:before="0" w:line="240" w:lineRule="auto"/>
        <w:ind w:left="720"/>
        <w:rPr>
          <w:rFonts w:ascii="David" w:hAnsi="David"/>
          <w:b w:val="0"/>
          <w:bCs w:val="0"/>
          <w:sz w:val="24"/>
          <w:szCs w:val="24"/>
          <w:rtl/>
        </w:rPr>
      </w:pPr>
      <w:bookmarkStart w:id="0" w:name="_GoBack"/>
      <w:bookmarkEnd w:id="0"/>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5E1C44">
        <w:rPr>
          <w:rFonts w:ascii="David" w:hAnsi="David"/>
          <w:b w:val="0"/>
          <w:bCs w:val="0"/>
          <w:sz w:val="24"/>
          <w:szCs w:val="24"/>
          <w:rtl/>
        </w:rPr>
        <w:t xml:space="preserve">כ"א בטבת  </w:t>
      </w:r>
      <w:proofErr w:type="spellStart"/>
      <w:r w:rsidRPr="005E1C44">
        <w:rPr>
          <w:rFonts w:ascii="David" w:hAnsi="David"/>
          <w:b w:val="0"/>
          <w:bCs w:val="0"/>
          <w:sz w:val="24"/>
          <w:szCs w:val="24"/>
          <w:rtl/>
        </w:rPr>
        <w:t>התשע"ז</w:t>
      </w:r>
      <w:proofErr w:type="spellEnd"/>
    </w:p>
    <w:p w:rsidR="003E4211" w:rsidRPr="005E1C44" w:rsidRDefault="003E4211" w:rsidP="003E4211">
      <w:pPr>
        <w:pStyle w:val="HeadHatzaotHok"/>
        <w:spacing w:before="0" w:line="240" w:lineRule="auto"/>
        <w:ind w:firstLine="720"/>
        <w:rPr>
          <w:rFonts w:ascii="David" w:hAnsi="David"/>
          <w:b w:val="0"/>
          <w:bCs w:val="0"/>
          <w:sz w:val="24"/>
          <w:szCs w:val="24"/>
          <w:rtl/>
        </w:rPr>
      </w:pPr>
      <w:r w:rsidRPr="005E1C44">
        <w:rPr>
          <w:rFonts w:ascii="David" w:hAnsi="David"/>
          <w:b w:val="0"/>
          <w:bCs w:val="0"/>
          <w:sz w:val="24"/>
          <w:szCs w:val="24"/>
          <w:rtl/>
        </w:rPr>
        <w:t xml:space="preserve"> </w:t>
      </w:r>
      <w:r w:rsidRPr="005E1C44">
        <w:rPr>
          <w:rFonts w:ascii="David" w:hAnsi="David"/>
          <w:b w:val="0"/>
          <w:bCs w:val="0"/>
          <w:sz w:val="24"/>
          <w:szCs w:val="24"/>
          <w:rtl/>
        </w:rPr>
        <w:tab/>
      </w:r>
      <w:r w:rsidRPr="005E1C44">
        <w:rPr>
          <w:rFonts w:ascii="David" w:hAnsi="David"/>
          <w:b w:val="0"/>
          <w:bCs w:val="0"/>
          <w:sz w:val="24"/>
          <w:szCs w:val="24"/>
          <w:rtl/>
        </w:rPr>
        <w:tab/>
      </w:r>
      <w:r w:rsidRPr="005E1C44">
        <w:rPr>
          <w:rFonts w:ascii="David" w:hAnsi="David"/>
          <w:b w:val="0"/>
          <w:bCs w:val="0"/>
          <w:sz w:val="24"/>
          <w:szCs w:val="24"/>
          <w:rtl/>
        </w:rPr>
        <w:tab/>
      </w:r>
      <w:r w:rsidRPr="005E1C44">
        <w:rPr>
          <w:rFonts w:ascii="David" w:hAnsi="David"/>
          <w:b w:val="0"/>
          <w:bCs w:val="0"/>
          <w:sz w:val="24"/>
          <w:szCs w:val="24"/>
          <w:rtl/>
        </w:rPr>
        <w:tab/>
      </w:r>
      <w:r w:rsidRPr="005E1C44">
        <w:rPr>
          <w:rFonts w:ascii="David" w:hAnsi="David"/>
          <w:b w:val="0"/>
          <w:bCs w:val="0"/>
          <w:sz w:val="24"/>
          <w:szCs w:val="24"/>
          <w:rtl/>
        </w:rPr>
        <w:tab/>
      </w:r>
      <w:r w:rsidRPr="005E1C44">
        <w:rPr>
          <w:rFonts w:ascii="David" w:hAnsi="David"/>
          <w:b w:val="0"/>
          <w:bCs w:val="0"/>
          <w:sz w:val="24"/>
          <w:szCs w:val="24"/>
          <w:rtl/>
        </w:rPr>
        <w:tab/>
        <w:t xml:space="preserve"> </w:t>
      </w:r>
      <w:r w:rsidRPr="005E1C44">
        <w:rPr>
          <w:rFonts w:ascii="David" w:hAnsi="David"/>
          <w:b w:val="0"/>
          <w:bCs w:val="0"/>
          <w:sz w:val="24"/>
          <w:szCs w:val="24"/>
          <w:rtl/>
        </w:rPr>
        <w:tab/>
      </w:r>
      <w:r w:rsidRPr="005E1C44">
        <w:rPr>
          <w:rFonts w:ascii="David" w:hAnsi="David"/>
          <w:b w:val="0"/>
          <w:bCs w:val="0"/>
          <w:sz w:val="24"/>
          <w:szCs w:val="24"/>
          <w:rtl/>
        </w:rPr>
        <w:tab/>
        <w:t>19 בינואר   2016</w:t>
      </w:r>
    </w:p>
    <w:p w:rsidR="003E4211" w:rsidRPr="005E1C44" w:rsidRDefault="003E4211" w:rsidP="003E4211">
      <w:pPr>
        <w:pStyle w:val="HeadHatzaotHok"/>
        <w:spacing w:before="0" w:line="240" w:lineRule="auto"/>
        <w:jc w:val="left"/>
        <w:rPr>
          <w:rFonts w:ascii="David" w:hAnsi="David"/>
          <w:b w:val="0"/>
          <w:bCs w:val="0"/>
          <w:sz w:val="24"/>
          <w:szCs w:val="24"/>
          <w:rtl/>
        </w:rPr>
      </w:pPr>
      <w:r w:rsidRPr="005E1C44">
        <w:rPr>
          <w:rFonts w:ascii="David" w:hAnsi="David"/>
          <w:b w:val="0"/>
          <w:bCs w:val="0"/>
          <w:sz w:val="24"/>
          <w:szCs w:val="24"/>
          <w:rtl/>
        </w:rPr>
        <w:t>לכבוד חברי ועדת החוקה חוק ומשפט</w:t>
      </w:r>
    </w:p>
    <w:p w:rsidR="003E4211" w:rsidRPr="005E1C44" w:rsidRDefault="003E4211" w:rsidP="003E4211">
      <w:pPr>
        <w:pStyle w:val="HeadHatzaotHok"/>
        <w:spacing w:before="0" w:line="240" w:lineRule="auto"/>
        <w:jc w:val="left"/>
        <w:rPr>
          <w:rFonts w:ascii="David" w:hAnsi="David"/>
          <w:b w:val="0"/>
          <w:bCs w:val="0"/>
          <w:sz w:val="24"/>
          <w:szCs w:val="24"/>
          <w:rtl/>
        </w:rPr>
      </w:pPr>
      <w:r w:rsidRPr="005E1C44">
        <w:rPr>
          <w:rFonts w:ascii="David" w:hAnsi="David"/>
          <w:b w:val="0"/>
          <w:bCs w:val="0"/>
          <w:sz w:val="24"/>
          <w:szCs w:val="24"/>
          <w:rtl/>
        </w:rPr>
        <w:t>מאת הייעוץ המשפטי לוועדה</w:t>
      </w:r>
    </w:p>
    <w:p w:rsidR="003E4211" w:rsidRPr="005E1C44" w:rsidRDefault="003E4211" w:rsidP="003E4211">
      <w:pPr>
        <w:pStyle w:val="HeadHatzaotHok"/>
        <w:spacing w:before="0" w:line="240" w:lineRule="auto"/>
        <w:jc w:val="left"/>
        <w:rPr>
          <w:rFonts w:ascii="David" w:hAnsi="David"/>
          <w:b w:val="0"/>
          <w:bCs w:val="0"/>
          <w:sz w:val="24"/>
          <w:szCs w:val="24"/>
          <w:rtl/>
        </w:rPr>
      </w:pPr>
    </w:p>
    <w:p w:rsidR="003E4211" w:rsidRPr="005E1C44" w:rsidRDefault="003E4211" w:rsidP="003E4211">
      <w:pPr>
        <w:spacing w:after="0" w:line="240" w:lineRule="auto"/>
        <w:jc w:val="center"/>
        <w:rPr>
          <w:rFonts w:ascii="David" w:hAnsi="David" w:cs="David"/>
          <w:b/>
          <w:bCs/>
          <w:sz w:val="24"/>
          <w:szCs w:val="24"/>
          <w:u w:val="single"/>
          <w:rtl/>
        </w:rPr>
      </w:pPr>
    </w:p>
    <w:p w:rsidR="003E4211" w:rsidRPr="005E1C44" w:rsidRDefault="003E4211" w:rsidP="003E4211">
      <w:pPr>
        <w:spacing w:after="0" w:line="240" w:lineRule="auto"/>
        <w:jc w:val="center"/>
        <w:rPr>
          <w:rFonts w:ascii="David" w:hAnsi="David" w:cs="David"/>
          <w:b/>
          <w:bCs/>
          <w:sz w:val="24"/>
          <w:szCs w:val="24"/>
          <w:u w:val="single"/>
          <w:rtl/>
        </w:rPr>
      </w:pPr>
      <w:r w:rsidRPr="005E1C44">
        <w:rPr>
          <w:rFonts w:ascii="David" w:hAnsi="David" w:cs="David"/>
          <w:b/>
          <w:bCs/>
          <w:sz w:val="24"/>
          <w:szCs w:val="24"/>
          <w:u w:val="single"/>
          <w:rtl/>
        </w:rPr>
        <w:t xml:space="preserve">מסמך רקע לקראת דיון הוועדה ביום 23.1.17 בהצעת חוק העונשין (תיקון – הרחבת הגדרת בן משפחה לעניין התיישנות עבירות מין במשפחה), </w:t>
      </w:r>
      <w:proofErr w:type="spellStart"/>
      <w:r w:rsidRPr="005E1C44">
        <w:rPr>
          <w:rFonts w:ascii="David" w:hAnsi="David" w:cs="David"/>
          <w:b/>
          <w:bCs/>
          <w:sz w:val="24"/>
          <w:szCs w:val="24"/>
          <w:u w:val="single"/>
          <w:rtl/>
        </w:rPr>
        <w:t>התשע"</w:t>
      </w:r>
      <w:r w:rsidRPr="005E1C44">
        <w:rPr>
          <w:rFonts w:ascii="David" w:hAnsi="David" w:cs="David" w:hint="cs"/>
          <w:b/>
          <w:bCs/>
          <w:sz w:val="24"/>
          <w:szCs w:val="24"/>
          <w:u w:val="single"/>
          <w:rtl/>
        </w:rPr>
        <w:t>ו</w:t>
      </w:r>
      <w:proofErr w:type="spellEnd"/>
      <w:r w:rsidRPr="005E1C44">
        <w:rPr>
          <w:rFonts w:ascii="David" w:hAnsi="David" w:cs="David"/>
          <w:b/>
          <w:bCs/>
          <w:sz w:val="24"/>
          <w:szCs w:val="24"/>
          <w:u w:val="single"/>
          <w:rtl/>
        </w:rPr>
        <w:t xml:space="preserve">–2016 </w:t>
      </w:r>
    </w:p>
    <w:p w:rsidR="003E4211" w:rsidRPr="005E1C44" w:rsidRDefault="003E4211" w:rsidP="003E4211">
      <w:pPr>
        <w:spacing w:after="0" w:line="240" w:lineRule="auto"/>
        <w:jc w:val="center"/>
        <w:rPr>
          <w:rFonts w:ascii="David" w:hAnsi="David" w:cs="David"/>
          <w:b/>
          <w:bCs/>
          <w:sz w:val="24"/>
          <w:szCs w:val="24"/>
          <w:rtl/>
        </w:rPr>
      </w:pPr>
      <w:r w:rsidRPr="005E1C44">
        <w:rPr>
          <w:rFonts w:ascii="David" w:hAnsi="David" w:cs="David" w:hint="cs"/>
          <w:b/>
          <w:bCs/>
          <w:sz w:val="24"/>
          <w:szCs w:val="24"/>
          <w:rtl/>
        </w:rPr>
        <w:t xml:space="preserve">הצעת חוק </w:t>
      </w:r>
      <w:r w:rsidRPr="005E1C44">
        <w:rPr>
          <w:rFonts w:ascii="David" w:hAnsi="David" w:cs="David"/>
          <w:b/>
          <w:bCs/>
          <w:sz w:val="24"/>
          <w:szCs w:val="24"/>
          <w:rtl/>
        </w:rPr>
        <w:t>פ/2578/20</w:t>
      </w:r>
      <w:r w:rsidRPr="005E1C44">
        <w:rPr>
          <w:rFonts w:ascii="David" w:hAnsi="David" w:cs="David" w:hint="cs"/>
          <w:b/>
          <w:bCs/>
          <w:sz w:val="24"/>
          <w:szCs w:val="24"/>
          <w:rtl/>
        </w:rPr>
        <w:t xml:space="preserve"> של </w:t>
      </w:r>
      <w:r w:rsidRPr="005E1C44">
        <w:rPr>
          <w:rFonts w:ascii="David" w:hAnsi="David" w:cs="David"/>
          <w:b/>
          <w:bCs/>
          <w:sz w:val="24"/>
          <w:szCs w:val="24"/>
          <w:rtl/>
        </w:rPr>
        <w:t xml:space="preserve">חה"כ מיכל רוזין </w:t>
      </w:r>
    </w:p>
    <w:p w:rsidR="003E4211" w:rsidRPr="005E1C44" w:rsidRDefault="003E4211" w:rsidP="003E4211">
      <w:pPr>
        <w:spacing w:before="120" w:after="0" w:line="360" w:lineRule="auto"/>
        <w:jc w:val="both"/>
        <w:rPr>
          <w:rFonts w:ascii="David" w:hAnsi="David" w:cs="David"/>
          <w:sz w:val="24"/>
          <w:szCs w:val="24"/>
          <w:rtl/>
        </w:rPr>
      </w:pP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sz w:val="24"/>
          <w:szCs w:val="24"/>
          <w:rtl/>
        </w:rPr>
        <w:t xml:space="preserve">הצעת </w:t>
      </w:r>
      <w:r w:rsidRPr="005E1C44">
        <w:rPr>
          <w:rFonts w:ascii="David" w:hAnsi="David" w:cs="David" w:hint="cs"/>
          <w:sz w:val="24"/>
          <w:szCs w:val="24"/>
          <w:rtl/>
        </w:rPr>
        <w:t>ה</w:t>
      </w:r>
      <w:r w:rsidRPr="005E1C44">
        <w:rPr>
          <w:rFonts w:ascii="David" w:hAnsi="David" w:cs="David"/>
          <w:sz w:val="24"/>
          <w:szCs w:val="24"/>
          <w:rtl/>
        </w:rPr>
        <w:t xml:space="preserve">חוק </w:t>
      </w:r>
      <w:r w:rsidRPr="005E1C44">
        <w:rPr>
          <w:rFonts w:ascii="David" w:hAnsi="David" w:cs="David" w:hint="cs"/>
          <w:sz w:val="24"/>
          <w:szCs w:val="24"/>
          <w:rtl/>
        </w:rPr>
        <w:t xml:space="preserve">שבנדון </w:t>
      </w:r>
      <w:r w:rsidRPr="005E1C44">
        <w:rPr>
          <w:rFonts w:ascii="David" w:hAnsi="David" w:cs="David"/>
          <w:sz w:val="24"/>
          <w:szCs w:val="24"/>
          <w:rtl/>
        </w:rPr>
        <w:t xml:space="preserve">מבקשת </w:t>
      </w:r>
      <w:r w:rsidRPr="005E1C44">
        <w:rPr>
          <w:rFonts w:ascii="David" w:hAnsi="David" w:cs="David" w:hint="cs"/>
          <w:sz w:val="24"/>
          <w:szCs w:val="24"/>
          <w:rtl/>
        </w:rPr>
        <w:t xml:space="preserve">לתקן את חוק העונשין, </w:t>
      </w:r>
      <w:proofErr w:type="spellStart"/>
      <w:r w:rsidRPr="005E1C44">
        <w:rPr>
          <w:rFonts w:ascii="David" w:hAnsi="David" w:cs="David" w:hint="cs"/>
          <w:sz w:val="24"/>
          <w:szCs w:val="24"/>
          <w:rtl/>
        </w:rPr>
        <w:t>התשל"ז</w:t>
      </w:r>
      <w:proofErr w:type="spellEnd"/>
      <w:r w:rsidRPr="005E1C44">
        <w:rPr>
          <w:rFonts w:ascii="David" w:hAnsi="David" w:cs="David" w:hint="eastAsia"/>
          <w:sz w:val="24"/>
          <w:szCs w:val="24"/>
          <w:rtl/>
        </w:rPr>
        <w:t>–</w:t>
      </w:r>
      <w:r w:rsidRPr="005E1C44">
        <w:rPr>
          <w:rFonts w:ascii="David" w:hAnsi="David" w:cs="David" w:hint="cs"/>
          <w:sz w:val="24"/>
          <w:szCs w:val="24"/>
          <w:rtl/>
        </w:rPr>
        <w:t>1977, ו</w:t>
      </w:r>
      <w:r w:rsidRPr="005E1C44">
        <w:rPr>
          <w:rFonts w:ascii="David" w:hAnsi="David" w:cs="David"/>
          <w:sz w:val="24"/>
          <w:szCs w:val="24"/>
          <w:rtl/>
        </w:rPr>
        <w:t>לקבוע כי תוארך תקופת ההתיישנות של עבירת מין שבוצעה בקטין על ידי צאצאו של דוד/ה או גיס/ה</w:t>
      </w:r>
      <w:r w:rsidRPr="005E1C44">
        <w:rPr>
          <w:rFonts w:ascii="David" w:hAnsi="David" w:cs="David" w:hint="cs"/>
          <w:sz w:val="24"/>
          <w:szCs w:val="24"/>
          <w:rtl/>
        </w:rPr>
        <w:t>,</w:t>
      </w:r>
      <w:r w:rsidRPr="005E1C44">
        <w:rPr>
          <w:rFonts w:ascii="David" w:hAnsi="David" w:cs="David"/>
          <w:sz w:val="24"/>
          <w:szCs w:val="24"/>
          <w:rtl/>
        </w:rPr>
        <w:t xml:space="preserve"> בדומה להוראות </w:t>
      </w:r>
      <w:r w:rsidRPr="005E1C44">
        <w:rPr>
          <w:rFonts w:ascii="David" w:hAnsi="David" w:cs="David" w:hint="cs"/>
          <w:sz w:val="24"/>
          <w:szCs w:val="24"/>
          <w:rtl/>
        </w:rPr>
        <w:t xml:space="preserve">החוק </w:t>
      </w:r>
      <w:r w:rsidRPr="005E1C44">
        <w:rPr>
          <w:rFonts w:ascii="David" w:hAnsi="David" w:cs="David"/>
          <w:sz w:val="24"/>
          <w:szCs w:val="24"/>
          <w:rtl/>
        </w:rPr>
        <w:t>הק</w:t>
      </w:r>
      <w:r w:rsidRPr="005E1C44">
        <w:rPr>
          <w:rFonts w:ascii="David" w:hAnsi="David" w:cs="David" w:hint="cs"/>
          <w:sz w:val="24"/>
          <w:szCs w:val="24"/>
          <w:rtl/>
        </w:rPr>
        <w:t xml:space="preserve">יימות בדבר </w:t>
      </w:r>
      <w:r w:rsidRPr="005E1C44">
        <w:rPr>
          <w:rFonts w:ascii="David" w:hAnsi="David" w:cs="David"/>
          <w:sz w:val="24"/>
          <w:szCs w:val="24"/>
          <w:rtl/>
        </w:rPr>
        <w:t xml:space="preserve">התיישנות ארוכה במיוחד </w:t>
      </w:r>
      <w:r w:rsidRPr="005E1C44">
        <w:rPr>
          <w:rFonts w:ascii="David" w:hAnsi="David" w:cs="David" w:hint="cs"/>
          <w:sz w:val="24"/>
          <w:szCs w:val="24"/>
          <w:rtl/>
        </w:rPr>
        <w:t>ב</w:t>
      </w:r>
      <w:r w:rsidRPr="005E1C44">
        <w:rPr>
          <w:rFonts w:ascii="David" w:hAnsi="David" w:cs="David"/>
          <w:sz w:val="24"/>
          <w:szCs w:val="24"/>
          <w:rtl/>
        </w:rPr>
        <w:t>עביר</w:t>
      </w:r>
      <w:r w:rsidRPr="005E1C44">
        <w:rPr>
          <w:rFonts w:ascii="David" w:hAnsi="David" w:cs="David" w:hint="cs"/>
          <w:sz w:val="24"/>
          <w:szCs w:val="24"/>
          <w:rtl/>
        </w:rPr>
        <w:t>ו</w:t>
      </w:r>
      <w:r w:rsidRPr="005E1C44">
        <w:rPr>
          <w:rFonts w:ascii="David" w:hAnsi="David" w:cs="David"/>
          <w:sz w:val="24"/>
          <w:szCs w:val="24"/>
          <w:rtl/>
        </w:rPr>
        <w:t>ת מין שבוצע</w:t>
      </w:r>
      <w:r w:rsidRPr="005E1C44">
        <w:rPr>
          <w:rFonts w:ascii="David" w:hAnsi="David" w:cs="David" w:hint="cs"/>
          <w:sz w:val="24"/>
          <w:szCs w:val="24"/>
          <w:rtl/>
        </w:rPr>
        <w:t>ו</w:t>
      </w:r>
      <w:r w:rsidRPr="005E1C44">
        <w:rPr>
          <w:rFonts w:ascii="David" w:hAnsi="David" w:cs="David"/>
          <w:sz w:val="24"/>
          <w:szCs w:val="24"/>
          <w:rtl/>
        </w:rPr>
        <w:t xml:space="preserve"> </w:t>
      </w:r>
      <w:r w:rsidRPr="005E1C44">
        <w:rPr>
          <w:rFonts w:ascii="David" w:hAnsi="David" w:cs="David" w:hint="cs"/>
          <w:sz w:val="24"/>
          <w:szCs w:val="24"/>
          <w:rtl/>
        </w:rPr>
        <w:t>בקטין על ידי בן משפחתו. בהתאם לכך, מוצע כי תקופת ההתיישנות תוארך עד שלנפגע העבירה ימלאו 38 שנים, כפי שיפורט להלן</w:t>
      </w:r>
      <w:r w:rsidRPr="005E1C44">
        <w:rPr>
          <w:rFonts w:ascii="David" w:hAnsi="David" w:cs="David"/>
          <w:sz w:val="24"/>
          <w:szCs w:val="24"/>
          <w:rtl/>
        </w:rPr>
        <w:t>.</w:t>
      </w:r>
      <w:r w:rsidRPr="005E1C44">
        <w:rPr>
          <w:rFonts w:ascii="David" w:hAnsi="David" w:cs="David" w:hint="cs"/>
          <w:sz w:val="24"/>
          <w:szCs w:val="24"/>
          <w:rtl/>
        </w:rPr>
        <w:t xml:space="preserve"> </w:t>
      </w:r>
    </w:p>
    <w:p w:rsidR="003E4211" w:rsidRPr="005E1C44" w:rsidRDefault="003E4211" w:rsidP="003E4211">
      <w:pPr>
        <w:spacing w:before="120" w:after="0" w:line="360" w:lineRule="auto"/>
        <w:jc w:val="both"/>
        <w:rPr>
          <w:rFonts w:ascii="David" w:hAnsi="David" w:cs="David"/>
          <w:b/>
          <w:bCs/>
          <w:sz w:val="24"/>
          <w:szCs w:val="24"/>
          <w:rtl/>
        </w:rPr>
      </w:pPr>
      <w:r w:rsidRPr="005E1C44">
        <w:rPr>
          <w:rFonts w:ascii="David" w:hAnsi="David" w:cs="David"/>
          <w:b/>
          <w:bCs/>
          <w:sz w:val="24"/>
          <w:szCs w:val="24"/>
          <w:rtl/>
        </w:rPr>
        <w:t>רקע</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sz w:val="24"/>
          <w:szCs w:val="24"/>
          <w:rtl/>
        </w:rPr>
        <w:t xml:space="preserve">סעיף 9 לחוק סדר הדין הפלילי [נוסח משולב], התשל"ב-1982, קובע כי ככלל בעבירת פשע אין להעמיד אדם לדין אם עברו 10 שנים מיום ביצועה. </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 xml:space="preserve">ואולם, </w:t>
      </w:r>
      <w:r w:rsidRPr="005E1C44">
        <w:rPr>
          <w:rFonts w:ascii="David" w:hAnsi="David" w:cs="David"/>
          <w:sz w:val="24"/>
          <w:szCs w:val="24"/>
          <w:rtl/>
        </w:rPr>
        <w:t>מתוך הכרה בקושי הרב הטמון ב</w:t>
      </w:r>
      <w:r w:rsidRPr="005E1C44">
        <w:rPr>
          <w:rFonts w:ascii="David" w:hAnsi="David" w:cs="David" w:hint="cs"/>
          <w:sz w:val="24"/>
          <w:szCs w:val="24"/>
          <w:rtl/>
        </w:rPr>
        <w:t xml:space="preserve">חשיפת פגיעה מינית במיוחד כאשר מדובר בנפגע עבירה שהינו קטין, קבע המחוקק הוראות מיוחדות לעניין התיישנות עבירות מין שבוצעו בקטין. </w:t>
      </w:r>
      <w:r w:rsidRPr="005E1C44">
        <w:rPr>
          <w:rFonts w:ascii="David" w:hAnsi="David" w:cs="David"/>
          <w:sz w:val="24"/>
          <w:szCs w:val="24"/>
          <w:rtl/>
        </w:rPr>
        <w:t xml:space="preserve"> </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sz w:val="24"/>
          <w:szCs w:val="24"/>
          <w:rtl/>
        </w:rPr>
        <w:t xml:space="preserve">חוק העונשין, </w:t>
      </w:r>
      <w:proofErr w:type="spellStart"/>
      <w:r w:rsidRPr="005E1C44">
        <w:rPr>
          <w:rFonts w:ascii="David" w:hAnsi="David" w:cs="David"/>
          <w:sz w:val="24"/>
          <w:szCs w:val="24"/>
          <w:rtl/>
        </w:rPr>
        <w:t>התשל"ז</w:t>
      </w:r>
      <w:proofErr w:type="spellEnd"/>
      <w:r w:rsidRPr="005E1C44">
        <w:rPr>
          <w:rFonts w:ascii="David" w:hAnsi="David" w:cs="David"/>
          <w:sz w:val="24"/>
          <w:szCs w:val="24"/>
          <w:rtl/>
        </w:rPr>
        <w:t xml:space="preserve">–1977 (להלן – החוק), קובע בסעיף 354 הוראות מיוחדת לעניין התיישנות עבירות מין </w:t>
      </w:r>
      <w:r w:rsidRPr="005E1C44">
        <w:rPr>
          <w:rFonts w:ascii="David" w:hAnsi="David" w:cs="David" w:hint="cs"/>
          <w:sz w:val="24"/>
          <w:szCs w:val="24"/>
          <w:rtl/>
        </w:rPr>
        <w:t>כאמור</w:t>
      </w:r>
      <w:r w:rsidRPr="005E1C44">
        <w:rPr>
          <w:rFonts w:ascii="David" w:hAnsi="David" w:cs="David"/>
          <w:sz w:val="24"/>
          <w:szCs w:val="24"/>
          <w:rtl/>
        </w:rPr>
        <w:t xml:space="preserve">. </w:t>
      </w:r>
      <w:r w:rsidRPr="005E1C44">
        <w:rPr>
          <w:rFonts w:ascii="David" w:hAnsi="David" w:cs="David" w:hint="cs"/>
          <w:sz w:val="24"/>
          <w:szCs w:val="24"/>
          <w:rtl/>
        </w:rPr>
        <w:t>בשנת 1996 נקבע בסעיף זה כי תוארך תקופת ההתיישנות רק בעבירות מין שבוצעו על ידי בן משפחה או אחראי על הקטין, וזאת עד שלנפגע העבירה ימלאו 28 שנים. בשנת 2005 תוקן הסעיף בפעם האחרונה ונקבעה בו הארכת תקופת ההתיישנות לעניין עבירות מין בכלל, ובתקופה נוספת לעניין עבירות מין במשפחה, כדלקמן:</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 xml:space="preserve">בעבירות מין שבוצעו שלא על ידי בן משפחה או אחראי על הקטין - יחל מניין תקופת ההתיישנות מיום שמלאו לקטין 18 שנים, דהיינו עד הגיעו של נפגע העבירה לגיל 28. </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 xml:space="preserve">לעניין עבירות מין שבוצעו בקטין על ידי בן משפחה או אחראי על הקטין -  תדחה ההתיישנות בפרק זמן ארוך יותר, כך שמרוץ תקופת ההתיישנות יחל רק כשימלאו לנפגע 28 שנים, כך שהעבירות יתיישנו רק עם הגיעו של נפגע העבירה לגיל 38. </w:t>
      </w:r>
    </w:p>
    <w:p w:rsidR="003E4211" w:rsidRPr="005E1C44" w:rsidRDefault="003E4211" w:rsidP="003E4211">
      <w:pPr>
        <w:rPr>
          <w:rFonts w:ascii="David" w:hAnsi="David" w:cs="David"/>
          <w:sz w:val="24"/>
          <w:szCs w:val="24"/>
          <w:rtl/>
        </w:rPr>
      </w:pPr>
    </w:p>
    <w:tbl>
      <w:tblPr>
        <w:tblStyle w:val="a6"/>
        <w:bidiVisual/>
        <w:tblW w:w="0" w:type="auto"/>
        <w:tblLook w:val="04A0" w:firstRow="1" w:lastRow="0" w:firstColumn="1" w:lastColumn="0" w:noHBand="0" w:noVBand="1"/>
      </w:tblPr>
      <w:tblGrid>
        <w:gridCol w:w="9016"/>
      </w:tblGrid>
      <w:tr w:rsidR="003E4211" w:rsidRPr="005E1C44" w:rsidTr="00AB7AAB">
        <w:tc>
          <w:tcPr>
            <w:tcW w:w="9242" w:type="dxa"/>
          </w:tcPr>
          <w:p w:rsidR="003E4211" w:rsidRPr="005E1C44" w:rsidRDefault="003E4211" w:rsidP="00AB7AAB">
            <w:pPr>
              <w:pStyle w:val="P00"/>
              <w:spacing w:before="72"/>
              <w:ind w:left="0" w:right="1134"/>
              <w:rPr>
                <w:rStyle w:val="big-number"/>
                <w:rFonts w:ascii="David" w:hAnsi="David" w:cs="David"/>
                <w:b/>
                <w:bCs/>
                <w:sz w:val="24"/>
                <w:szCs w:val="24"/>
                <w:rtl/>
              </w:rPr>
            </w:pPr>
            <w:r w:rsidRPr="005E1C44">
              <w:rPr>
                <w:rStyle w:val="big-number"/>
                <w:rFonts w:ascii="David" w:hAnsi="David" w:cs="David"/>
                <w:b/>
                <w:bCs/>
                <w:sz w:val="24"/>
                <w:szCs w:val="24"/>
                <w:rtl/>
              </w:rPr>
              <w:t>354.</w:t>
            </w:r>
            <w:r w:rsidRPr="005E1C44">
              <w:rPr>
                <w:rStyle w:val="big-number"/>
                <w:rFonts w:ascii="David" w:hAnsi="David" w:cs="David"/>
                <w:b/>
                <w:bCs/>
                <w:sz w:val="24"/>
                <w:szCs w:val="24"/>
                <w:rtl/>
              </w:rPr>
              <w:tab/>
              <w:t>סייג להתיישנות עבירות מין בקטין</w:t>
            </w:r>
          </w:p>
          <w:p w:rsidR="003E4211" w:rsidRPr="005E1C44" w:rsidRDefault="003E4211" w:rsidP="00AB7AAB">
            <w:pPr>
              <w:pStyle w:val="P00"/>
              <w:spacing w:before="72"/>
              <w:ind w:left="0"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(א)</w:t>
            </w:r>
            <w:r w:rsidRPr="005E1C44">
              <w:rPr>
                <w:rStyle w:val="default"/>
                <w:rFonts w:ascii="David" w:eastAsia="Arial Unicode MS" w:hAnsi="David" w:cs="David"/>
                <w:sz w:val="24"/>
                <w:szCs w:val="24"/>
                <w:rtl/>
              </w:rPr>
              <w:tab/>
              <w:t>בעבירות המנויות בסעיף קטן זה, שנעברו בקטין, יחל מנין תקופת ההתיישנות ביום שמלאו לו עשרים ושמונה שנים; ואולם אם חלפו עשר שנים מיום ביצוע העבירה – לא יוגש כתב אישום אלא באישור היועץ המשפטי לממשלה –</w:t>
            </w:r>
          </w:p>
          <w:p w:rsidR="003E4211" w:rsidRPr="005E1C44" w:rsidRDefault="003E4211" w:rsidP="00AB7AAB">
            <w:pPr>
              <w:pStyle w:val="P22"/>
              <w:spacing w:before="72"/>
              <w:ind w:left="1021"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(1)</w:t>
            </w:r>
            <w:r w:rsidRPr="005E1C44">
              <w:rPr>
                <w:rStyle w:val="default"/>
                <w:rFonts w:ascii="David" w:eastAsia="Arial Unicode MS" w:hAnsi="David" w:cs="David"/>
                <w:sz w:val="24"/>
                <w:szCs w:val="24"/>
                <w:rtl/>
              </w:rPr>
              <w:tab/>
              <w:t>עבירה לפי סעיף 351;</w:t>
            </w:r>
          </w:p>
          <w:p w:rsidR="003E4211" w:rsidRPr="005E1C44" w:rsidRDefault="003E4211" w:rsidP="00AB7AAB">
            <w:pPr>
              <w:pStyle w:val="P22"/>
              <w:spacing w:before="72"/>
              <w:ind w:left="1021"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(2)</w:t>
            </w:r>
            <w:r w:rsidRPr="005E1C44">
              <w:rPr>
                <w:rStyle w:val="default"/>
                <w:rFonts w:ascii="David" w:eastAsia="Arial Unicode MS" w:hAnsi="David" w:cs="David"/>
                <w:sz w:val="24"/>
                <w:szCs w:val="24"/>
                <w:rtl/>
              </w:rPr>
              <w:tab/>
              <w:t>עבירה שעבר האחראי על הקטין כהגדרת "אחראי על קטין או חסר ישע" בסעיף 368א והוא אינו בן משפחה כהגדרת "בן משפחה" בסעיף 351(ה) והיא אחת מן העבירות הבאות:</w:t>
            </w:r>
          </w:p>
          <w:p w:rsidR="003E4211" w:rsidRPr="005E1C44" w:rsidRDefault="003E4211" w:rsidP="00AB7AAB">
            <w:pPr>
              <w:pStyle w:val="P33"/>
              <w:spacing w:before="72"/>
              <w:ind w:left="1474"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(א)</w:t>
            </w:r>
            <w:r w:rsidRPr="005E1C44">
              <w:rPr>
                <w:rStyle w:val="default"/>
                <w:rFonts w:ascii="David" w:eastAsia="Arial Unicode MS" w:hAnsi="David" w:cs="David"/>
                <w:sz w:val="24"/>
                <w:szCs w:val="24"/>
                <w:rtl/>
              </w:rPr>
              <w:tab/>
              <w:t>אינוס - לפי סעיף 345;</w:t>
            </w:r>
          </w:p>
          <w:p w:rsidR="003E4211" w:rsidRPr="005E1C44" w:rsidRDefault="003E4211" w:rsidP="00AB7AAB">
            <w:pPr>
              <w:pStyle w:val="P33"/>
              <w:spacing w:before="72"/>
              <w:ind w:left="1474"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(ב)</w:t>
            </w:r>
            <w:r w:rsidRPr="005E1C44">
              <w:rPr>
                <w:rStyle w:val="default"/>
                <w:rFonts w:ascii="David" w:eastAsia="Arial Unicode MS" w:hAnsi="David" w:cs="David"/>
                <w:sz w:val="24"/>
                <w:szCs w:val="24"/>
                <w:rtl/>
              </w:rPr>
              <w:tab/>
              <w:t>בעילה אסורה בהסכמה - לפי סעיף 346(א);</w:t>
            </w:r>
          </w:p>
          <w:p w:rsidR="003E4211" w:rsidRPr="005E1C44" w:rsidRDefault="003E4211" w:rsidP="00AB7AAB">
            <w:pPr>
              <w:pStyle w:val="P33"/>
              <w:spacing w:before="72"/>
              <w:ind w:left="1474"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(ג)</w:t>
            </w:r>
            <w:r w:rsidRPr="005E1C44">
              <w:rPr>
                <w:rStyle w:val="default"/>
                <w:rFonts w:ascii="David" w:eastAsia="Arial Unicode MS" w:hAnsi="David" w:cs="David"/>
                <w:sz w:val="24"/>
                <w:szCs w:val="24"/>
                <w:rtl/>
              </w:rPr>
              <w:tab/>
              <w:t>מעשה סדום - לפי סעיף 347(א) או (ב);</w:t>
            </w:r>
          </w:p>
          <w:p w:rsidR="003E4211" w:rsidRPr="005E1C44" w:rsidRDefault="003E4211" w:rsidP="00AB7AAB">
            <w:pPr>
              <w:pStyle w:val="P33"/>
              <w:spacing w:before="72"/>
              <w:ind w:left="1474"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lastRenderedPageBreak/>
              <w:t>ד)</w:t>
            </w:r>
            <w:r w:rsidRPr="005E1C44">
              <w:rPr>
                <w:rStyle w:val="default"/>
                <w:rFonts w:ascii="David" w:eastAsia="Arial Unicode MS" w:hAnsi="David" w:cs="David"/>
                <w:sz w:val="24"/>
                <w:szCs w:val="24"/>
                <w:rtl/>
              </w:rPr>
              <w:tab/>
              <w:t>מעשה מגונה - לפי סעיף 348(א), (ב), (ג1) או (ד).</w:t>
            </w:r>
          </w:p>
          <w:p w:rsidR="003E4211" w:rsidRPr="005E1C44" w:rsidRDefault="003E4211" w:rsidP="00AB7AAB">
            <w:pPr>
              <w:pStyle w:val="P00"/>
              <w:spacing w:before="72"/>
              <w:ind w:left="0" w:right="1134"/>
              <w:rPr>
                <w:rStyle w:val="default"/>
                <w:rFonts w:ascii="David" w:eastAsia="Arial Unicode MS" w:hAnsi="David" w:cs="David"/>
                <w:sz w:val="24"/>
                <w:szCs w:val="24"/>
                <w:rtl/>
              </w:rPr>
            </w:pPr>
            <w:r w:rsidRPr="005E1C44">
              <w:rPr>
                <w:rFonts w:ascii="David" w:hAnsi="David" w:cs="David"/>
                <w:sz w:val="24"/>
                <w:szCs w:val="24"/>
                <w:rtl/>
              </w:rPr>
              <w:t>(א1)</w:t>
            </w:r>
            <w:r w:rsidRPr="005E1C44">
              <w:rPr>
                <w:rStyle w:val="default"/>
                <w:rFonts w:ascii="David" w:eastAsia="Arial Unicode MS" w:hAnsi="David" w:cs="David"/>
                <w:sz w:val="24"/>
                <w:szCs w:val="24"/>
                <w:rtl/>
              </w:rPr>
              <w:tab/>
              <w:t>הוגש כתב אישום, לפי סעיף קטן (א), בעקבות תלונה שהוגשה למשטרה לאחר שמלאו לנפגע העבירה עשרים ושמונה שנים, לא יורשע אדם על סמך עדות יחידה של נפגע העבירה, אלא אם כן יש בחומר הראיות דבר לחיזוקה; כלל כתב האישום גם עבירה שלא כאמור בסעיף קטן (א), תחול הוראת סעיף קטן זה רק לענין עבירה כאמור בסעיף קטן (א).</w:t>
            </w:r>
          </w:p>
          <w:p w:rsidR="003E4211" w:rsidRPr="005E1C44" w:rsidRDefault="003E4211" w:rsidP="00AB7AAB">
            <w:pPr>
              <w:pStyle w:val="P00"/>
              <w:spacing w:before="72"/>
              <w:ind w:left="0"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(ב)</w:t>
            </w:r>
            <w:r w:rsidRPr="005E1C44">
              <w:rPr>
                <w:rStyle w:val="default"/>
                <w:rFonts w:ascii="David" w:eastAsia="Arial Unicode MS" w:hAnsi="David" w:cs="David"/>
                <w:sz w:val="24"/>
                <w:szCs w:val="24"/>
                <w:rtl/>
              </w:rPr>
              <w:tab/>
              <w:t>הוראות סעיף קטן (א) יחולו גם על מעשה שנעשה לפני יום י"ט באב תש"ן (10 באוגוסט 1990) ובלבד שנתקיימו כל אלה:</w:t>
            </w:r>
          </w:p>
          <w:p w:rsidR="003E4211" w:rsidRPr="005E1C44" w:rsidRDefault="003E4211" w:rsidP="00AB7AAB">
            <w:pPr>
              <w:pStyle w:val="P22"/>
              <w:spacing w:before="72"/>
              <w:ind w:left="1021"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(1)</w:t>
            </w:r>
            <w:r w:rsidRPr="005E1C44">
              <w:rPr>
                <w:rStyle w:val="default"/>
                <w:rFonts w:ascii="David" w:eastAsia="Arial Unicode MS" w:hAnsi="David" w:cs="David"/>
                <w:sz w:val="24"/>
                <w:szCs w:val="24"/>
                <w:rtl/>
              </w:rPr>
              <w:tab/>
              <w:t>המעשה היה עבירה לפי סימן זה כנוסחו בעת עשייתו;</w:t>
            </w:r>
          </w:p>
          <w:p w:rsidR="003E4211" w:rsidRPr="005E1C44" w:rsidRDefault="003E4211" w:rsidP="00AB7AAB">
            <w:pPr>
              <w:pStyle w:val="P22"/>
              <w:spacing w:before="72"/>
              <w:ind w:left="1021"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(2)</w:t>
            </w:r>
            <w:r w:rsidRPr="005E1C44">
              <w:rPr>
                <w:rStyle w:val="default"/>
                <w:rFonts w:ascii="David" w:eastAsia="Arial Unicode MS" w:hAnsi="David" w:cs="David"/>
                <w:sz w:val="24"/>
                <w:szCs w:val="24"/>
                <w:rtl/>
              </w:rPr>
              <w:tab/>
              <w:t xml:space="preserve">אילו נעשה המעשה לאחר היום האמור היה מהווה עבירה לפי סעיף 351; </w:t>
            </w:r>
          </w:p>
          <w:p w:rsidR="003E4211" w:rsidRPr="005E1C44" w:rsidRDefault="003E4211" w:rsidP="00AB7AAB">
            <w:pPr>
              <w:pStyle w:val="P22"/>
              <w:spacing w:before="72"/>
              <w:ind w:left="1021"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(3)</w:t>
            </w:r>
            <w:r w:rsidRPr="005E1C44">
              <w:rPr>
                <w:rStyle w:val="default"/>
                <w:rFonts w:ascii="David" w:eastAsia="Arial Unicode MS" w:hAnsi="David" w:cs="David"/>
                <w:sz w:val="24"/>
                <w:szCs w:val="24"/>
                <w:rtl/>
              </w:rPr>
              <w:tab/>
              <w:t>העבירה טרם התיישנה לפי סעיף 9 לחוק סדר הדין הפלילי [נוסח משולב], תשמ"ב-1982.</w:t>
            </w:r>
          </w:p>
          <w:p w:rsidR="003E4211" w:rsidRPr="005E1C44" w:rsidRDefault="003E4211" w:rsidP="00AB7AAB">
            <w:pPr>
              <w:pStyle w:val="P00"/>
              <w:spacing w:before="72"/>
              <w:ind w:left="1021" w:right="1134" w:hanging="1021"/>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ג)</w:t>
            </w:r>
            <w:r w:rsidRPr="005E1C44">
              <w:rPr>
                <w:rStyle w:val="default"/>
                <w:rFonts w:ascii="David" w:eastAsia="Arial Unicode MS" w:hAnsi="David" w:cs="David"/>
                <w:sz w:val="24"/>
                <w:szCs w:val="24"/>
                <w:rtl/>
              </w:rPr>
              <w:tab/>
              <w:t>(1)</w:t>
            </w:r>
            <w:r w:rsidRPr="005E1C44">
              <w:rPr>
                <w:rStyle w:val="default"/>
                <w:rFonts w:ascii="David" w:eastAsia="Arial Unicode MS" w:hAnsi="David" w:cs="David"/>
                <w:sz w:val="24"/>
                <w:szCs w:val="24"/>
                <w:rtl/>
              </w:rPr>
              <w:tab/>
              <w:t>בעבירות המנויות בסעיף קטן זה, שנעברו בקטין, בידי מי שמלאו לו חמש עשרה שנים, והוא אינו האחראי על הקטין כאמור בהגדרה "אחראי על קטין או חסר ישע" שבסעיף קטן (א)(2), או בן משפחה בהגדרתו באותו סעיף קטן, יחל מנין תקופת ההתיישנות ביום שמלאו לקטין שמונה עשרה שנים; ואולם אם חלפו עשר שנים מיום ביצוע העבירה – לא יוגש כתב אישום אלא באישור היועץ המשפטי לממשלה</w:t>
            </w:r>
            <w:r w:rsidRPr="005E1C44">
              <w:rPr>
                <w:rStyle w:val="a5"/>
                <w:rFonts w:ascii="David" w:hAnsi="David" w:cs="David"/>
                <w:sz w:val="24"/>
                <w:szCs w:val="24"/>
                <w:rtl/>
              </w:rPr>
              <w:footnoteReference w:id="1"/>
            </w:r>
            <w:r w:rsidRPr="005E1C44">
              <w:rPr>
                <w:rStyle w:val="default"/>
                <w:rFonts w:ascii="David" w:eastAsia="Arial Unicode MS" w:hAnsi="David" w:cs="David"/>
                <w:sz w:val="24"/>
                <w:szCs w:val="24"/>
                <w:rtl/>
              </w:rPr>
              <w:t>.</w:t>
            </w:r>
          </w:p>
          <w:p w:rsidR="003E4211" w:rsidRPr="005E1C44" w:rsidRDefault="003E4211" w:rsidP="00AB7AAB">
            <w:pPr>
              <w:pStyle w:val="P00"/>
              <w:spacing w:before="72"/>
              <w:ind w:left="1021"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(2)</w:t>
            </w:r>
            <w:r w:rsidRPr="005E1C44">
              <w:rPr>
                <w:rStyle w:val="default"/>
                <w:rFonts w:ascii="David" w:eastAsia="Arial Unicode MS" w:hAnsi="David" w:cs="David"/>
                <w:sz w:val="24"/>
                <w:szCs w:val="24"/>
                <w:rtl/>
              </w:rPr>
              <w:tab/>
              <w:t>ואלה העבירות:</w:t>
            </w:r>
          </w:p>
          <w:p w:rsidR="003E4211" w:rsidRPr="005E1C44" w:rsidRDefault="003E4211" w:rsidP="00AB7AAB">
            <w:pPr>
              <w:pStyle w:val="P00"/>
              <w:spacing w:before="72"/>
              <w:ind w:left="1474"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(א)</w:t>
            </w:r>
            <w:r w:rsidRPr="005E1C44">
              <w:rPr>
                <w:rStyle w:val="default"/>
                <w:rFonts w:ascii="David" w:eastAsia="Arial Unicode MS" w:hAnsi="David" w:cs="David"/>
                <w:sz w:val="24"/>
                <w:szCs w:val="24"/>
                <w:rtl/>
              </w:rPr>
              <w:tab/>
              <w:t>אינוס – לפי סעיף 345;</w:t>
            </w:r>
          </w:p>
          <w:p w:rsidR="003E4211" w:rsidRPr="005E1C44" w:rsidRDefault="003E4211" w:rsidP="00AB7AAB">
            <w:pPr>
              <w:pStyle w:val="P00"/>
              <w:spacing w:before="72"/>
              <w:ind w:left="1474"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(ב)</w:t>
            </w:r>
            <w:r w:rsidRPr="005E1C44">
              <w:rPr>
                <w:rStyle w:val="default"/>
                <w:rFonts w:ascii="David" w:eastAsia="Arial Unicode MS" w:hAnsi="David" w:cs="David"/>
                <w:sz w:val="24"/>
                <w:szCs w:val="24"/>
                <w:rtl/>
              </w:rPr>
              <w:tab/>
              <w:t>מעשה סדום – לפי סעיף 347(ב);</w:t>
            </w:r>
          </w:p>
          <w:p w:rsidR="003E4211" w:rsidRPr="005E1C44" w:rsidRDefault="003E4211" w:rsidP="00AB7AAB">
            <w:pPr>
              <w:pStyle w:val="P00"/>
              <w:spacing w:before="72"/>
              <w:ind w:left="1474"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(ג)</w:t>
            </w:r>
            <w:r w:rsidRPr="005E1C44">
              <w:rPr>
                <w:rStyle w:val="default"/>
                <w:rFonts w:ascii="David" w:eastAsia="Arial Unicode MS" w:hAnsi="David" w:cs="David"/>
                <w:sz w:val="24"/>
                <w:szCs w:val="24"/>
                <w:rtl/>
              </w:rPr>
              <w:tab/>
              <w:t>מעשה מגונה – לפי סעיף 348(א), (ב) או (ג1).</w:t>
            </w:r>
          </w:p>
          <w:p w:rsidR="003E4211" w:rsidRPr="005E1C44" w:rsidRDefault="003E4211" w:rsidP="00AB7AAB">
            <w:pPr>
              <w:pStyle w:val="P00"/>
              <w:spacing w:before="72"/>
              <w:ind w:left="0"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ד)</w:t>
            </w:r>
            <w:r w:rsidRPr="005E1C44">
              <w:rPr>
                <w:rStyle w:val="default"/>
                <w:rFonts w:ascii="David" w:eastAsia="Arial Unicode MS" w:hAnsi="David" w:cs="David"/>
                <w:sz w:val="24"/>
                <w:szCs w:val="24"/>
                <w:rtl/>
              </w:rPr>
              <w:tab/>
              <w:t>הוגש כתב אישום, לפי סעיף קטן (ג), בעקבות תלונה שהוגשה למשטרה לאחר שחלפו עשר שנים ממועד ביצוע העבירה או לאחר שמלאו לקטין 18 שנים, לפי המאוחר, לא יורשע אדם על סמך עדות יחידה של נפגע העבירה אלא אם כן יש בחומר הראיות דבר לחיזוקה; כלל כתב האישום גם עבירה שלא כאמור בסעיף קטן (ג), תחול הוראת סעיף קטן זה רק לענין העבירה כאמור באותו סעיף קטן.</w:t>
            </w:r>
          </w:p>
          <w:p w:rsidR="003E4211" w:rsidRPr="005E1C44" w:rsidRDefault="003E4211" w:rsidP="00AB7AAB">
            <w:pPr>
              <w:pStyle w:val="P00"/>
              <w:spacing w:before="72"/>
              <w:ind w:left="0"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ה)</w:t>
            </w:r>
            <w:r w:rsidRPr="005E1C44">
              <w:rPr>
                <w:rStyle w:val="default"/>
                <w:rFonts w:ascii="David" w:eastAsia="Arial Unicode MS" w:hAnsi="David" w:cs="David"/>
                <w:sz w:val="24"/>
                <w:szCs w:val="24"/>
                <w:rtl/>
              </w:rPr>
              <w:tab/>
              <w:t>הוראות סעיף קטן (ג) יחולו גם על עבירה שביום כניסתו לתוקף של חוק העונשין (תיקון מס' 84), התשס"ה-2005, טרם התיישנה לפי סעיף 9 לחוק סדר הדין הפלילי [נוסח משולב], התשמ"ב-1982, לפי הדין שחל עליה ערב המועד האמור.</w:t>
            </w:r>
          </w:p>
          <w:p w:rsidR="003E4211" w:rsidRPr="005E1C44" w:rsidRDefault="003E4211" w:rsidP="00AB7AAB">
            <w:pPr>
              <w:rPr>
                <w:rFonts w:ascii="David" w:hAnsi="David" w:cs="David"/>
                <w:sz w:val="24"/>
                <w:szCs w:val="24"/>
                <w:rtl/>
              </w:rPr>
            </w:pPr>
          </w:p>
        </w:tc>
      </w:tr>
    </w:tbl>
    <w:p w:rsidR="003E4211" w:rsidRPr="005E1C44" w:rsidRDefault="003E4211" w:rsidP="003E4211">
      <w:pPr>
        <w:spacing w:before="120" w:after="0" w:line="360" w:lineRule="auto"/>
        <w:jc w:val="both"/>
        <w:rPr>
          <w:rFonts w:ascii="David" w:hAnsi="David" w:cs="David"/>
          <w:sz w:val="24"/>
          <w:szCs w:val="24"/>
          <w:rtl/>
        </w:rPr>
      </w:pP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 xml:space="preserve">ככלל </w:t>
      </w:r>
      <w:proofErr w:type="spellStart"/>
      <w:r w:rsidRPr="005E1C44">
        <w:rPr>
          <w:rFonts w:ascii="David" w:hAnsi="David" w:cs="David"/>
          <w:sz w:val="24"/>
          <w:szCs w:val="24"/>
          <w:rtl/>
        </w:rPr>
        <w:t>הרציונאלים</w:t>
      </w:r>
      <w:proofErr w:type="spellEnd"/>
      <w:r w:rsidRPr="005E1C44">
        <w:rPr>
          <w:rFonts w:ascii="David" w:hAnsi="David" w:cs="David"/>
          <w:sz w:val="24"/>
          <w:szCs w:val="24"/>
          <w:rtl/>
        </w:rPr>
        <w:t xml:space="preserve"> העומדים בבסיס קביעת תקופת התיישנות נוגעים </w:t>
      </w:r>
      <w:r w:rsidRPr="005E1C44">
        <w:rPr>
          <w:rFonts w:ascii="David" w:hAnsi="David" w:cs="David" w:hint="cs"/>
          <w:sz w:val="24"/>
          <w:szCs w:val="24"/>
          <w:rtl/>
        </w:rPr>
        <w:t xml:space="preserve">גם </w:t>
      </w:r>
      <w:r w:rsidRPr="005E1C44">
        <w:rPr>
          <w:rFonts w:ascii="David" w:hAnsi="David" w:cs="David"/>
          <w:sz w:val="24"/>
          <w:szCs w:val="24"/>
          <w:rtl/>
        </w:rPr>
        <w:t xml:space="preserve">לקשיים ראייתיים </w:t>
      </w:r>
      <w:r w:rsidRPr="005E1C44">
        <w:rPr>
          <w:rFonts w:ascii="David" w:hAnsi="David" w:cs="David" w:hint="cs"/>
          <w:sz w:val="24"/>
          <w:szCs w:val="24"/>
          <w:rtl/>
        </w:rPr>
        <w:t>(</w:t>
      </w:r>
      <w:r w:rsidRPr="005E1C44">
        <w:rPr>
          <w:rFonts w:ascii="David" w:hAnsi="David" w:cs="David"/>
          <w:sz w:val="24"/>
          <w:szCs w:val="24"/>
          <w:rtl/>
        </w:rPr>
        <w:t>לאחר תקופה ממושכת עלולה להיפגע יכולתו של הנאשם להתגונן</w:t>
      </w:r>
      <w:r w:rsidRPr="005E1C44">
        <w:rPr>
          <w:rFonts w:ascii="David" w:hAnsi="David" w:cs="David" w:hint="cs"/>
          <w:sz w:val="24"/>
          <w:szCs w:val="24"/>
          <w:rtl/>
        </w:rPr>
        <w:t>), וכן ל</w:t>
      </w:r>
      <w:r w:rsidRPr="005E1C44">
        <w:rPr>
          <w:rFonts w:ascii="David" w:hAnsi="David" w:cs="David"/>
          <w:sz w:val="24"/>
          <w:szCs w:val="24"/>
          <w:rtl/>
        </w:rPr>
        <w:t xml:space="preserve">תפיסה כי האינטרס הציבורי בהעמדה לדין פוחת לאחר חלוף שנים רבות מביצוע עבירה. ואולם, כאשר מדובר בעבירות מין שבוצעו בקטין, המחוקק והפסיקה הכירו בכך שהאיזון הוא </w:t>
      </w:r>
      <w:r w:rsidRPr="005E1C44">
        <w:rPr>
          <w:rFonts w:ascii="David" w:hAnsi="David" w:cs="David" w:hint="cs"/>
          <w:sz w:val="24"/>
          <w:szCs w:val="24"/>
          <w:rtl/>
        </w:rPr>
        <w:t xml:space="preserve">אחר. </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כאשר מדובר בקטינים, מתווספים ל</w:t>
      </w:r>
      <w:r w:rsidRPr="005E1C44">
        <w:rPr>
          <w:rFonts w:ascii="David" w:hAnsi="David" w:cs="David"/>
          <w:sz w:val="24"/>
          <w:szCs w:val="24"/>
          <w:rtl/>
        </w:rPr>
        <w:t xml:space="preserve">קשיים הנוגעים </w:t>
      </w:r>
      <w:r w:rsidRPr="005E1C44">
        <w:rPr>
          <w:rFonts w:ascii="David" w:hAnsi="David" w:cs="David" w:hint="cs"/>
          <w:sz w:val="24"/>
          <w:szCs w:val="24"/>
          <w:rtl/>
        </w:rPr>
        <w:t>ל</w:t>
      </w:r>
      <w:r w:rsidRPr="005E1C44">
        <w:rPr>
          <w:rFonts w:ascii="David" w:hAnsi="David" w:cs="David"/>
          <w:sz w:val="24"/>
          <w:szCs w:val="24"/>
          <w:rtl/>
        </w:rPr>
        <w:t xml:space="preserve">חשיפת </w:t>
      </w:r>
      <w:r w:rsidRPr="005E1C44">
        <w:rPr>
          <w:rFonts w:ascii="David" w:hAnsi="David" w:cs="David" w:hint="cs"/>
          <w:sz w:val="24"/>
          <w:szCs w:val="24"/>
          <w:rtl/>
        </w:rPr>
        <w:t>פגיעה מינית</w:t>
      </w:r>
      <w:r w:rsidRPr="005E1C44">
        <w:rPr>
          <w:rFonts w:ascii="David" w:hAnsi="David" w:cs="David"/>
          <w:sz w:val="24"/>
          <w:szCs w:val="24"/>
          <w:rtl/>
        </w:rPr>
        <w:t xml:space="preserve"> בכלל, קשיים </w:t>
      </w:r>
      <w:r w:rsidRPr="005E1C44">
        <w:rPr>
          <w:rFonts w:ascii="David" w:hAnsi="David" w:cs="David" w:hint="cs"/>
          <w:sz w:val="24"/>
          <w:szCs w:val="24"/>
          <w:rtl/>
        </w:rPr>
        <w:t xml:space="preserve">הנובעים </w:t>
      </w:r>
      <w:proofErr w:type="spellStart"/>
      <w:r w:rsidRPr="005E1C44">
        <w:rPr>
          <w:rFonts w:ascii="David" w:hAnsi="David" w:cs="David" w:hint="cs"/>
          <w:sz w:val="24"/>
          <w:szCs w:val="24"/>
          <w:rtl/>
        </w:rPr>
        <w:t>מהיותו</w:t>
      </w:r>
      <w:proofErr w:type="spellEnd"/>
      <w:r w:rsidRPr="005E1C44">
        <w:rPr>
          <w:rFonts w:ascii="David" w:hAnsi="David" w:cs="David" w:hint="cs"/>
          <w:sz w:val="24"/>
          <w:szCs w:val="24"/>
          <w:rtl/>
        </w:rPr>
        <w:t xml:space="preserve"> של הנפגע קטין -</w:t>
      </w:r>
      <w:r w:rsidRPr="005E1C44">
        <w:rPr>
          <w:rFonts w:ascii="David" w:hAnsi="David" w:cs="David"/>
          <w:sz w:val="24"/>
          <w:szCs w:val="24"/>
          <w:rtl/>
        </w:rPr>
        <w:t xml:space="preserve"> פערי כוחות, קושי בהבנת עצם הפגיעה </w:t>
      </w:r>
      <w:proofErr w:type="spellStart"/>
      <w:r w:rsidRPr="005E1C44">
        <w:rPr>
          <w:rFonts w:ascii="David" w:hAnsi="David" w:cs="David"/>
          <w:sz w:val="24"/>
          <w:szCs w:val="24"/>
          <w:rtl/>
        </w:rPr>
        <w:t>וכיצו"ב</w:t>
      </w:r>
      <w:proofErr w:type="spellEnd"/>
      <w:r w:rsidRPr="005E1C44">
        <w:rPr>
          <w:rFonts w:ascii="David" w:hAnsi="David" w:cs="David" w:hint="cs"/>
          <w:sz w:val="24"/>
          <w:szCs w:val="24"/>
          <w:rtl/>
        </w:rPr>
        <w:t>.</w:t>
      </w:r>
      <w:r w:rsidRPr="005E1C44">
        <w:rPr>
          <w:rFonts w:ascii="David" w:hAnsi="David" w:cs="David"/>
          <w:sz w:val="24"/>
          <w:szCs w:val="24"/>
          <w:rtl/>
        </w:rPr>
        <w:t xml:space="preserve"> </w:t>
      </w:r>
      <w:r w:rsidRPr="005E1C44">
        <w:rPr>
          <w:rFonts w:ascii="David" w:hAnsi="David" w:cs="David" w:hint="cs"/>
          <w:sz w:val="24"/>
          <w:szCs w:val="24"/>
          <w:rtl/>
        </w:rPr>
        <w:t>בנוסף לכך, כאשר מדובר</w:t>
      </w:r>
      <w:r w:rsidRPr="005E1C44">
        <w:rPr>
          <w:rFonts w:ascii="David" w:hAnsi="David" w:cs="David"/>
          <w:sz w:val="24"/>
          <w:szCs w:val="24"/>
          <w:rtl/>
        </w:rPr>
        <w:t xml:space="preserve"> בפגיעה מינית על ידי הורה או בן משפחה, פעמים רבות נדרשת לנפגע העבירה תקופה ממושכת </w:t>
      </w:r>
      <w:r w:rsidRPr="005E1C44">
        <w:rPr>
          <w:rFonts w:ascii="David" w:hAnsi="David" w:cs="David" w:hint="cs"/>
          <w:sz w:val="24"/>
          <w:szCs w:val="24"/>
          <w:rtl/>
        </w:rPr>
        <w:t xml:space="preserve">עוד </w:t>
      </w:r>
      <w:r w:rsidRPr="005E1C44">
        <w:rPr>
          <w:rFonts w:ascii="David" w:hAnsi="David" w:cs="David"/>
          <w:sz w:val="24"/>
          <w:szCs w:val="24"/>
          <w:rtl/>
        </w:rPr>
        <w:t xml:space="preserve">יותר </w:t>
      </w:r>
      <w:r w:rsidRPr="005E1C44">
        <w:rPr>
          <w:rFonts w:ascii="David" w:hAnsi="David" w:cs="David" w:hint="cs"/>
          <w:sz w:val="24"/>
          <w:szCs w:val="24"/>
          <w:rtl/>
        </w:rPr>
        <w:t xml:space="preserve">כדי </w:t>
      </w:r>
      <w:r w:rsidRPr="005E1C44">
        <w:rPr>
          <w:rFonts w:ascii="David" w:hAnsi="David" w:cs="David"/>
          <w:sz w:val="24"/>
          <w:szCs w:val="24"/>
          <w:rtl/>
        </w:rPr>
        <w:t xml:space="preserve">לחשוף את הפגיעה בשל הצורך להתנתק תחילה מהתלות בהורה ובמשפחה </w:t>
      </w:r>
      <w:r w:rsidRPr="005E1C44">
        <w:rPr>
          <w:rFonts w:ascii="David" w:hAnsi="David" w:cs="David" w:hint="cs"/>
          <w:sz w:val="24"/>
          <w:szCs w:val="24"/>
          <w:rtl/>
        </w:rPr>
        <w:t xml:space="preserve">וכדי לעבד את הפגיעה וגם </w:t>
      </w:r>
      <w:r w:rsidRPr="005E1C44">
        <w:rPr>
          <w:rFonts w:ascii="David" w:hAnsi="David" w:cs="David"/>
          <w:sz w:val="24"/>
          <w:szCs w:val="24"/>
          <w:rtl/>
        </w:rPr>
        <w:t xml:space="preserve">לגייס כוחות </w:t>
      </w:r>
      <w:r w:rsidRPr="005E1C44">
        <w:rPr>
          <w:rFonts w:ascii="David" w:hAnsi="David" w:cs="David" w:hint="cs"/>
          <w:sz w:val="24"/>
          <w:szCs w:val="24"/>
          <w:rtl/>
        </w:rPr>
        <w:t xml:space="preserve">כדי </w:t>
      </w:r>
      <w:r w:rsidRPr="005E1C44">
        <w:rPr>
          <w:rFonts w:ascii="David" w:hAnsi="David" w:cs="David"/>
          <w:sz w:val="24"/>
          <w:szCs w:val="24"/>
          <w:rtl/>
        </w:rPr>
        <w:t>לחשוף ולהתלונן עליה.</w:t>
      </w:r>
    </w:p>
    <w:p w:rsidR="003E4211" w:rsidRPr="005E1C44" w:rsidRDefault="003E4211" w:rsidP="003E4211">
      <w:pPr>
        <w:spacing w:before="120" w:after="0" w:line="360" w:lineRule="auto"/>
        <w:jc w:val="both"/>
        <w:rPr>
          <w:rFonts w:ascii="David" w:hAnsi="David" w:cs="David"/>
          <w:sz w:val="24"/>
          <w:szCs w:val="24"/>
          <w:rtl/>
        </w:rPr>
      </w:pP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כך גם הפסיקה הכירה בקשיים אלו ובהצדקה להארכת תקופת ההתיישנות במיוחד כאשר יש בפגיעה המינית ניצול של גילו הצעיר של הקטין-</w:t>
      </w:r>
    </w:p>
    <w:p w:rsidR="003E4211" w:rsidRPr="005E1C44" w:rsidRDefault="003E4211" w:rsidP="003E4211">
      <w:pPr>
        <w:spacing w:line="360" w:lineRule="auto"/>
        <w:ind w:left="1110" w:right="1418"/>
        <w:jc w:val="both"/>
        <w:rPr>
          <w:rFonts w:ascii="David" w:hAnsi="David" w:cs="David"/>
          <w:b/>
          <w:bCs/>
          <w:sz w:val="24"/>
          <w:szCs w:val="24"/>
          <w:rtl/>
        </w:rPr>
      </w:pPr>
      <w:r w:rsidRPr="005E1C44">
        <w:rPr>
          <w:rFonts w:ascii="David" w:hAnsi="David" w:cs="David" w:hint="cs"/>
          <w:b/>
          <w:bCs/>
          <w:sz w:val="24"/>
          <w:szCs w:val="24"/>
          <w:rtl/>
        </w:rPr>
        <w:t xml:space="preserve">"בסוגיה בה אנו עוסקים, ביטאה הארכתה של תקופת </w:t>
      </w:r>
      <w:proofErr w:type="spellStart"/>
      <w:r w:rsidRPr="005E1C44">
        <w:rPr>
          <w:rFonts w:ascii="David" w:hAnsi="David" w:cs="David" w:hint="cs"/>
          <w:b/>
          <w:bCs/>
          <w:sz w:val="24"/>
          <w:szCs w:val="24"/>
          <w:rtl/>
        </w:rPr>
        <w:t>ההתישנות</w:t>
      </w:r>
      <w:proofErr w:type="spellEnd"/>
      <w:r w:rsidRPr="005E1C44">
        <w:rPr>
          <w:rFonts w:ascii="David" w:hAnsi="David" w:cs="David" w:hint="cs"/>
          <w:b/>
          <w:bCs/>
          <w:sz w:val="24"/>
          <w:szCs w:val="24"/>
          <w:rtl/>
        </w:rPr>
        <w:t xml:space="preserve"> את ההכרה בייחודן של עבירות המין בקטינים, ואת חוסר נכונותו של הדין להשלים עם כך שגילם הצעיר – והוא ששימש תמריץ עיקרי לפגיעה בהם – יעמוד למכשול בדרכן של רשויות האכיפה למיצוי הדין עם האחראים לפגיעה זו. בפרט אמורים הדברים בהכרה כי מתלוננים, שלא היו אלא ילדים רכים בעת שנפלו קורבן לעבירות המין, יידרשו לשנים ארוכות כדי לעמוד על דעתם, להבין לאשורו את שארע להם ולאזור אומץ לחשוף את סיפורם"</w:t>
      </w:r>
      <w:r w:rsidRPr="005E1C44">
        <w:rPr>
          <w:rStyle w:val="a5"/>
          <w:rFonts w:ascii="David" w:hAnsi="David" w:cs="David"/>
          <w:sz w:val="24"/>
          <w:szCs w:val="24"/>
          <w:rtl/>
        </w:rPr>
        <w:footnoteReference w:id="2"/>
      </w:r>
      <w:r w:rsidRPr="005E1C44">
        <w:rPr>
          <w:rFonts w:ascii="David" w:hAnsi="David" w:cs="David" w:hint="cs"/>
          <w:b/>
          <w:bCs/>
          <w:sz w:val="24"/>
          <w:szCs w:val="24"/>
          <w:rtl/>
        </w:rPr>
        <w:t>.</w:t>
      </w:r>
    </w:p>
    <w:p w:rsidR="003E4211" w:rsidRPr="005E1C44" w:rsidRDefault="003E4211" w:rsidP="003E4211">
      <w:pPr>
        <w:spacing w:line="360" w:lineRule="auto"/>
        <w:ind w:left="1110" w:right="1418"/>
        <w:jc w:val="both"/>
        <w:rPr>
          <w:rFonts w:ascii="David" w:hAnsi="David" w:cs="David"/>
          <w:b/>
          <w:bCs/>
          <w:sz w:val="24"/>
          <w:szCs w:val="24"/>
          <w:rtl/>
        </w:rPr>
      </w:pPr>
      <w:r w:rsidRPr="005E1C44">
        <w:rPr>
          <w:rFonts w:ascii="David" w:hAnsi="David" w:cs="David" w:hint="cs"/>
          <w:b/>
          <w:bCs/>
          <w:sz w:val="24"/>
          <w:szCs w:val="24"/>
          <w:rtl/>
        </w:rPr>
        <w:t xml:space="preserve"> </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 xml:space="preserve">יחד עם זאת, נוכח הקשיים הגלומים בהארכת תקופת ההתיישנות </w:t>
      </w:r>
      <w:r w:rsidRPr="005E1C44">
        <w:rPr>
          <w:rFonts w:ascii="David" w:hAnsi="David" w:cs="David"/>
          <w:sz w:val="24"/>
          <w:szCs w:val="24"/>
          <w:rtl/>
        </w:rPr>
        <w:t xml:space="preserve">נקבע </w:t>
      </w:r>
      <w:r w:rsidRPr="005E1C44">
        <w:rPr>
          <w:rFonts w:ascii="David" w:hAnsi="David" w:cs="David" w:hint="cs"/>
          <w:sz w:val="24"/>
          <w:szCs w:val="24"/>
          <w:rtl/>
        </w:rPr>
        <w:t xml:space="preserve">בסעיף 354 כי </w:t>
      </w:r>
      <w:r w:rsidRPr="005E1C44">
        <w:rPr>
          <w:rFonts w:ascii="David" w:hAnsi="David" w:cs="David"/>
          <w:sz w:val="24"/>
          <w:szCs w:val="24"/>
          <w:rtl/>
        </w:rPr>
        <w:t>לא יוגש כתב אישום לאחר שחלפו 10 שנים מיום ביצוע העבירה</w:t>
      </w:r>
      <w:r w:rsidRPr="005E1C44">
        <w:rPr>
          <w:rFonts w:ascii="David" w:hAnsi="David" w:cs="David" w:hint="cs"/>
          <w:sz w:val="24"/>
          <w:szCs w:val="24"/>
          <w:rtl/>
        </w:rPr>
        <w:t>,</w:t>
      </w:r>
      <w:r w:rsidRPr="005E1C44">
        <w:rPr>
          <w:rFonts w:ascii="David" w:hAnsi="David" w:cs="David"/>
          <w:sz w:val="24"/>
          <w:szCs w:val="24"/>
          <w:rtl/>
        </w:rPr>
        <w:t xml:space="preserve"> אלא באישור היועץ המשפטי לממשלה. עוד נקבע כי לאחר </w:t>
      </w:r>
      <w:r w:rsidRPr="005E1C44">
        <w:rPr>
          <w:rFonts w:ascii="David" w:hAnsi="David" w:cs="David" w:hint="cs"/>
          <w:sz w:val="24"/>
          <w:szCs w:val="24"/>
          <w:rtl/>
        </w:rPr>
        <w:t xml:space="preserve">שמלאו לנפגע העבירה 18 שנים ואם כבר </w:t>
      </w:r>
      <w:r w:rsidRPr="005E1C44">
        <w:rPr>
          <w:rFonts w:ascii="David" w:hAnsi="David" w:cs="David"/>
          <w:sz w:val="24"/>
          <w:szCs w:val="24"/>
          <w:rtl/>
        </w:rPr>
        <w:t xml:space="preserve">חלפו 10 שנים </w:t>
      </w:r>
      <w:r w:rsidRPr="005E1C44">
        <w:rPr>
          <w:rFonts w:ascii="David" w:hAnsi="David" w:cs="David" w:hint="cs"/>
          <w:sz w:val="24"/>
          <w:szCs w:val="24"/>
          <w:rtl/>
        </w:rPr>
        <w:t xml:space="preserve">מיום ביצוע העבירה, תידרש ראייה לחיזוק, דהיינו, כי </w:t>
      </w:r>
      <w:r w:rsidRPr="005E1C44">
        <w:rPr>
          <w:rFonts w:ascii="David" w:hAnsi="David" w:cs="David"/>
          <w:sz w:val="24"/>
          <w:szCs w:val="24"/>
          <w:rtl/>
        </w:rPr>
        <w:t>לא יורשע אדם על סמך עדות יחידה אלא אם יש ראייה לחיזוקה</w:t>
      </w:r>
      <w:r w:rsidRPr="005E1C44">
        <w:rPr>
          <w:rFonts w:ascii="David" w:hAnsi="David" w:cs="David" w:hint="cs"/>
          <w:sz w:val="24"/>
          <w:szCs w:val="24"/>
          <w:rtl/>
        </w:rPr>
        <w:t xml:space="preserve">. לעניין </w:t>
      </w:r>
      <w:r w:rsidRPr="005E1C44">
        <w:rPr>
          <w:rFonts w:ascii="David" w:hAnsi="David" w:cs="David"/>
          <w:sz w:val="24"/>
          <w:szCs w:val="24"/>
          <w:rtl/>
        </w:rPr>
        <w:t>עבירות מין במשפחה</w:t>
      </w:r>
      <w:r w:rsidRPr="005E1C44">
        <w:rPr>
          <w:rFonts w:ascii="David" w:hAnsi="David" w:cs="David" w:hint="cs"/>
          <w:sz w:val="24"/>
          <w:szCs w:val="24"/>
          <w:rtl/>
        </w:rPr>
        <w:t>,</w:t>
      </w:r>
      <w:r w:rsidRPr="005E1C44">
        <w:rPr>
          <w:rFonts w:ascii="David" w:hAnsi="David" w:cs="David"/>
          <w:sz w:val="24"/>
          <w:szCs w:val="24"/>
          <w:rtl/>
        </w:rPr>
        <w:t xml:space="preserve"> נדרשת ראייה לחיזוק כאמור אם מלאו לנפגע 28 שנים ומעלה בעת הגשת התלונה במשטרה.</w:t>
      </w:r>
    </w:p>
    <w:p w:rsidR="003E4211" w:rsidRPr="005E1C44" w:rsidRDefault="003E4211" w:rsidP="003E4211">
      <w:pPr>
        <w:rPr>
          <w:rFonts w:ascii="David" w:hAnsi="David" w:cs="David"/>
          <w:sz w:val="24"/>
          <w:szCs w:val="24"/>
          <w:rtl/>
        </w:rPr>
      </w:pPr>
    </w:p>
    <w:p w:rsidR="003E4211" w:rsidRPr="005E1C44" w:rsidRDefault="003E4211" w:rsidP="003E4211">
      <w:pPr>
        <w:pStyle w:val="P33"/>
        <w:spacing w:before="72"/>
        <w:ind w:left="0" w:right="1134"/>
        <w:rPr>
          <w:rStyle w:val="default"/>
          <w:rFonts w:ascii="David" w:eastAsia="Arial Unicode MS" w:hAnsi="David" w:cs="David"/>
          <w:b/>
          <w:bCs/>
          <w:sz w:val="24"/>
          <w:szCs w:val="24"/>
          <w:rtl/>
        </w:rPr>
      </w:pPr>
      <w:r w:rsidRPr="005E1C44">
        <w:rPr>
          <w:rStyle w:val="default"/>
          <w:rFonts w:ascii="David" w:eastAsia="Arial Unicode MS" w:hAnsi="David" w:cs="David"/>
          <w:b/>
          <w:bCs/>
          <w:sz w:val="24"/>
          <w:szCs w:val="24"/>
          <w:rtl/>
        </w:rPr>
        <w:t>הצעת החוק</w:t>
      </w:r>
    </w:p>
    <w:p w:rsidR="003E4211" w:rsidRPr="005E1C44" w:rsidRDefault="003E4211" w:rsidP="003E4211">
      <w:pPr>
        <w:pStyle w:val="P33"/>
        <w:spacing w:before="72"/>
        <w:ind w:left="0" w:right="1134"/>
        <w:rPr>
          <w:rStyle w:val="default"/>
          <w:rFonts w:ascii="David" w:eastAsia="Arial Unicode MS" w:hAnsi="David" w:cs="David"/>
          <w:sz w:val="24"/>
          <w:szCs w:val="24"/>
          <w:rtl/>
        </w:rPr>
      </w:pP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sz w:val="24"/>
          <w:szCs w:val="24"/>
          <w:rtl/>
        </w:rPr>
        <w:t>הצעת החוק מבקשת להוסיף להסדר ההתיישנות המיוחד הקיים לעניין עבירות מין שבוצעו על ידי בן משפחה</w:t>
      </w:r>
      <w:r w:rsidRPr="005E1C44">
        <w:rPr>
          <w:rFonts w:ascii="David" w:hAnsi="David" w:cs="David" w:hint="cs"/>
          <w:sz w:val="24"/>
          <w:szCs w:val="24"/>
          <w:rtl/>
        </w:rPr>
        <w:t>,</w:t>
      </w:r>
      <w:r w:rsidRPr="005E1C44">
        <w:rPr>
          <w:rFonts w:ascii="David" w:hAnsi="David" w:cs="David"/>
          <w:sz w:val="24"/>
          <w:szCs w:val="24"/>
          <w:rtl/>
        </w:rPr>
        <w:t xml:space="preserve"> גם פגיעה מינית על ידי </w:t>
      </w:r>
      <w:r w:rsidRPr="005E1C44">
        <w:rPr>
          <w:rFonts w:ascii="David" w:hAnsi="David" w:cs="David" w:hint="cs"/>
          <w:sz w:val="24"/>
          <w:szCs w:val="24"/>
          <w:rtl/>
        </w:rPr>
        <w:t xml:space="preserve">צאצאו של </w:t>
      </w:r>
      <w:r w:rsidRPr="005E1C44">
        <w:rPr>
          <w:rFonts w:ascii="David" w:hAnsi="David" w:cs="David"/>
          <w:sz w:val="24"/>
          <w:szCs w:val="24"/>
          <w:rtl/>
        </w:rPr>
        <w:t>דוד</w:t>
      </w:r>
      <w:r w:rsidRPr="005E1C44">
        <w:rPr>
          <w:rFonts w:ascii="David" w:hAnsi="David" w:cs="David" w:hint="cs"/>
          <w:sz w:val="24"/>
          <w:szCs w:val="24"/>
          <w:rtl/>
        </w:rPr>
        <w:t xml:space="preserve"> או של גיס</w:t>
      </w:r>
      <w:r w:rsidRPr="005E1C44">
        <w:rPr>
          <w:rFonts w:ascii="David" w:hAnsi="David" w:cs="David"/>
          <w:sz w:val="24"/>
          <w:szCs w:val="24"/>
          <w:rtl/>
        </w:rPr>
        <w:t>, אשר כיום לא נכלל</w:t>
      </w:r>
      <w:r w:rsidRPr="005E1C44">
        <w:rPr>
          <w:rFonts w:ascii="David" w:hAnsi="David" w:cs="David" w:hint="cs"/>
          <w:sz w:val="24"/>
          <w:szCs w:val="24"/>
          <w:rtl/>
        </w:rPr>
        <w:t>ים</w:t>
      </w:r>
      <w:r w:rsidRPr="005E1C44">
        <w:rPr>
          <w:rFonts w:ascii="David" w:hAnsi="David" w:cs="David"/>
          <w:sz w:val="24"/>
          <w:szCs w:val="24"/>
          <w:rtl/>
        </w:rPr>
        <w:t xml:space="preserve"> בהגדרת בן משפחה</w:t>
      </w:r>
      <w:r w:rsidRPr="005E1C44">
        <w:rPr>
          <w:rFonts w:ascii="David" w:hAnsi="David" w:cs="David" w:hint="cs"/>
          <w:sz w:val="24"/>
          <w:szCs w:val="24"/>
          <w:rtl/>
        </w:rPr>
        <w:t xml:space="preserve"> (כהגדרתם בסעיף 351 הרלוונטי לעניין זה)</w:t>
      </w:r>
      <w:r w:rsidRPr="005E1C44">
        <w:rPr>
          <w:rFonts w:ascii="David" w:hAnsi="David" w:cs="David"/>
          <w:sz w:val="24"/>
          <w:szCs w:val="24"/>
          <w:rtl/>
        </w:rPr>
        <w:t>.</w:t>
      </w:r>
      <w:r w:rsidRPr="005E1C44">
        <w:rPr>
          <w:rFonts w:ascii="David" w:hAnsi="David" w:cs="David" w:hint="cs"/>
          <w:sz w:val="24"/>
          <w:szCs w:val="24"/>
          <w:rtl/>
        </w:rPr>
        <w:t xml:space="preserve"> מוצע לקבוע </w:t>
      </w:r>
      <w:r w:rsidRPr="005E1C44">
        <w:rPr>
          <w:rFonts w:ascii="David" w:hAnsi="David" w:cs="David"/>
          <w:sz w:val="24"/>
          <w:szCs w:val="24"/>
          <w:rtl/>
        </w:rPr>
        <w:t>כי בעבירת מין שבוצעה בקטין על ידי צאצאו של דוד/ה או גיס/ה שמלאו להם 15 שנים תוארך תקופת ההתיישנות גם היא עד שימלאו לנפגע העבירה 38 שנים.</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sz w:val="24"/>
          <w:szCs w:val="24"/>
          <w:rtl/>
        </w:rPr>
        <w:t>עבירות המין ש</w:t>
      </w:r>
      <w:r w:rsidRPr="005E1C44">
        <w:rPr>
          <w:rFonts w:ascii="David" w:hAnsi="David" w:cs="David" w:hint="cs"/>
          <w:sz w:val="24"/>
          <w:szCs w:val="24"/>
          <w:rtl/>
        </w:rPr>
        <w:t>הצעת החוק מתייחסת אליהן הן</w:t>
      </w:r>
      <w:r w:rsidRPr="005E1C44">
        <w:rPr>
          <w:rFonts w:ascii="David" w:hAnsi="David" w:cs="David"/>
          <w:sz w:val="24"/>
          <w:szCs w:val="24"/>
          <w:rtl/>
        </w:rPr>
        <w:t xml:space="preserve"> העבירות המנויות בסעיף 354(א)(2), אותן עבירות שקבועות לעניין אחראי על הקטין שאינו בן משפחה, ואלו הן:</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sz w:val="24"/>
          <w:szCs w:val="24"/>
          <w:rtl/>
        </w:rPr>
        <w:t>אינוס (סעיף 345), בעילה אסורה בהסכמה (סעיף 346), מעשה סדום (סעיף 347) ומעשה מגונה (סעיף 348).</w:t>
      </w:r>
    </w:p>
    <w:p w:rsidR="003E4211" w:rsidRPr="005E1C44" w:rsidRDefault="003E4211" w:rsidP="003E4211">
      <w:pPr>
        <w:pStyle w:val="HeadDivreiHesber"/>
        <w:spacing w:before="120" w:after="0"/>
        <w:jc w:val="both"/>
        <w:rPr>
          <w:rFonts w:ascii="David" w:eastAsiaTheme="minorHAnsi" w:hAnsi="David"/>
          <w:b w:val="0"/>
          <w:color w:val="auto"/>
          <w:spacing w:val="0"/>
          <w:sz w:val="24"/>
          <w:szCs w:val="24"/>
          <w:rtl/>
          <w:lang w:eastAsia="en-US"/>
        </w:rPr>
      </w:pPr>
      <w:r w:rsidRPr="005E1C44">
        <w:rPr>
          <w:rFonts w:ascii="David" w:eastAsiaTheme="minorHAnsi" w:hAnsi="David" w:hint="cs"/>
          <w:b w:val="0"/>
          <w:color w:val="auto"/>
          <w:spacing w:val="0"/>
          <w:sz w:val="24"/>
          <w:szCs w:val="24"/>
          <w:rtl/>
          <w:lang w:eastAsia="en-US"/>
        </w:rPr>
        <w:t>יובהר כי לפי החוק הקיים, בחלק מעבירות המין שבוצעו על ידי בן דוד יש כיום הארכה עד גיל 28 בלבד- באינוס, מעשה סדום ומעשה מגונה (במצבים מסוימים). ואולם, ב</w:t>
      </w:r>
      <w:r w:rsidRPr="005E1C44">
        <w:rPr>
          <w:rFonts w:ascii="David" w:eastAsiaTheme="minorHAnsi" w:hAnsi="David"/>
          <w:b w:val="0"/>
          <w:color w:val="auto"/>
          <w:spacing w:val="0"/>
          <w:sz w:val="24"/>
          <w:szCs w:val="24"/>
          <w:rtl/>
          <w:lang w:eastAsia="en-US"/>
        </w:rPr>
        <w:t xml:space="preserve">עבירות של בעילה אסורה בהסכמה, מעשה סדום בהסכמה, וגם במעשה מגונה תוך ניצול יחסי תלות, מרות, חינוך </w:t>
      </w:r>
      <w:r w:rsidRPr="005E1C44">
        <w:rPr>
          <w:rFonts w:ascii="David" w:eastAsiaTheme="minorHAnsi" w:hAnsi="David" w:hint="cs"/>
          <w:b w:val="0"/>
          <w:color w:val="auto"/>
          <w:spacing w:val="0"/>
          <w:sz w:val="24"/>
          <w:szCs w:val="24"/>
          <w:rtl/>
          <w:lang w:eastAsia="en-US"/>
        </w:rPr>
        <w:t xml:space="preserve">או </w:t>
      </w:r>
      <w:r w:rsidRPr="005E1C44">
        <w:rPr>
          <w:rFonts w:ascii="David" w:eastAsiaTheme="minorHAnsi" w:hAnsi="David"/>
          <w:b w:val="0"/>
          <w:color w:val="auto"/>
          <w:spacing w:val="0"/>
          <w:sz w:val="24"/>
          <w:szCs w:val="24"/>
          <w:rtl/>
          <w:lang w:eastAsia="en-US"/>
        </w:rPr>
        <w:t>השגחה</w:t>
      </w:r>
      <w:r w:rsidRPr="005E1C44">
        <w:rPr>
          <w:rFonts w:ascii="David" w:eastAsiaTheme="minorHAnsi" w:hAnsi="David" w:hint="cs"/>
          <w:b w:val="0"/>
          <w:color w:val="auto"/>
          <w:spacing w:val="0"/>
          <w:sz w:val="24"/>
          <w:szCs w:val="24"/>
          <w:rtl/>
          <w:lang w:eastAsia="en-US"/>
        </w:rPr>
        <w:t xml:space="preserve">,  אין הארכה כלל של תקופת ההתיישנות, כלומר, בעבירות אלו אם הן בוצעו על ידי בן דוד אין הארכה כיום של תקופת ההתיישנות כלל, גם לא עד הגיעו של הנפגע לגיל 28. </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sz w:val="24"/>
          <w:szCs w:val="24"/>
          <w:rtl/>
        </w:rPr>
        <w:t xml:space="preserve">מוצע כאמור לקבוע כי הארכת תקופת ההתיישנות המיוחדת תחול </w:t>
      </w:r>
      <w:r w:rsidRPr="005E1C44">
        <w:rPr>
          <w:rFonts w:ascii="David" w:hAnsi="David" w:cs="David" w:hint="cs"/>
          <w:sz w:val="24"/>
          <w:szCs w:val="24"/>
          <w:rtl/>
        </w:rPr>
        <w:t>בפגיעה על ידי צאצאו של דוד או גיס כאשר מלאו לו</w:t>
      </w:r>
      <w:r w:rsidRPr="005E1C44">
        <w:rPr>
          <w:rFonts w:ascii="David" w:hAnsi="David" w:cs="David"/>
          <w:sz w:val="24"/>
          <w:szCs w:val="24"/>
          <w:rtl/>
        </w:rPr>
        <w:t xml:space="preserve"> 15 </w:t>
      </w:r>
      <w:r w:rsidRPr="005E1C44">
        <w:rPr>
          <w:rFonts w:ascii="David" w:hAnsi="David" w:cs="David" w:hint="cs"/>
          <w:sz w:val="24"/>
          <w:szCs w:val="24"/>
          <w:rtl/>
        </w:rPr>
        <w:t xml:space="preserve">שנים </w:t>
      </w:r>
      <w:r w:rsidRPr="005E1C44">
        <w:rPr>
          <w:rFonts w:ascii="David" w:hAnsi="David" w:cs="David"/>
          <w:sz w:val="24"/>
          <w:szCs w:val="24"/>
          <w:rtl/>
        </w:rPr>
        <w:t>ומעלה, זאת בדומה להגדרה הקיימת בסעיף 351 לעניין בן משפחה</w:t>
      </w:r>
      <w:r w:rsidRPr="005E1C44">
        <w:rPr>
          <w:rFonts w:ascii="David" w:hAnsi="David" w:cs="David" w:hint="cs"/>
          <w:sz w:val="24"/>
          <w:szCs w:val="24"/>
          <w:rtl/>
        </w:rPr>
        <w:t>, אשר גם היא מתייחסת למי</w:t>
      </w:r>
      <w:r w:rsidRPr="005E1C44">
        <w:rPr>
          <w:rFonts w:ascii="David" w:hAnsi="David" w:cs="David"/>
          <w:sz w:val="24"/>
          <w:szCs w:val="24"/>
          <w:rtl/>
        </w:rPr>
        <w:t xml:space="preserve"> שמלאו לו 15 שנים ומעלה.</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 xml:space="preserve">לפי דברי ההסבר להצעת החוק, אין הבדל מהותי בין מנגנון ההבשלה הנדרש להגשת תלונה במקרים של פגיעה מינית על ידי בן דוד לעומת פגיעה מינית על ידי בן משפחה אחר. עוד עולה מדברי ההסבר כי </w:t>
      </w:r>
      <w:r w:rsidRPr="005E1C44">
        <w:rPr>
          <w:rFonts w:ascii="David" w:hAnsi="David" w:cs="David"/>
          <w:sz w:val="24"/>
          <w:szCs w:val="24"/>
          <w:rtl/>
        </w:rPr>
        <w:t>נתונים של מרכ</w:t>
      </w:r>
      <w:r w:rsidRPr="005E1C44">
        <w:rPr>
          <w:rFonts w:ascii="David" w:hAnsi="David" w:cs="David" w:hint="cs"/>
          <w:sz w:val="24"/>
          <w:szCs w:val="24"/>
          <w:rtl/>
        </w:rPr>
        <w:t>ז</w:t>
      </w:r>
      <w:r w:rsidRPr="005E1C44">
        <w:rPr>
          <w:rFonts w:ascii="David" w:hAnsi="David" w:cs="David"/>
          <w:sz w:val="24"/>
          <w:szCs w:val="24"/>
          <w:rtl/>
        </w:rPr>
        <w:t xml:space="preserve">י הסיוע לנפגעי ונפגעות תקיפה מינית מצביעים על כך שמקרים רבים של פגיעות מיניות על ידי בני דודים אינם מדווחים לרשויות אכיפת החוק, בין היתר, בשל כך שהנפגע לא הבשיל בטרם חלפה תקופת ההתיישנות. </w:t>
      </w:r>
    </w:p>
    <w:p w:rsidR="003E4211" w:rsidRPr="005E1C44" w:rsidRDefault="003E4211" w:rsidP="003E4211">
      <w:pPr>
        <w:pStyle w:val="Hesber"/>
        <w:spacing w:line="276" w:lineRule="auto"/>
        <w:rPr>
          <w:rFonts w:ascii="David" w:hAnsi="David"/>
          <w:sz w:val="24"/>
          <w:szCs w:val="24"/>
          <w:rtl/>
        </w:rPr>
      </w:pPr>
    </w:p>
    <w:p w:rsidR="003E4211" w:rsidRPr="005E1C44" w:rsidRDefault="003E4211" w:rsidP="003E4211">
      <w:pPr>
        <w:pStyle w:val="Hesber"/>
        <w:spacing w:line="276" w:lineRule="auto"/>
        <w:rPr>
          <w:rFonts w:ascii="David" w:hAnsi="David"/>
          <w:sz w:val="24"/>
          <w:szCs w:val="24"/>
          <w:rtl/>
        </w:rPr>
      </w:pPr>
    </w:p>
    <w:p w:rsidR="003E4211" w:rsidRPr="005E1C44" w:rsidRDefault="003E4211" w:rsidP="003E4211">
      <w:pPr>
        <w:rPr>
          <w:rFonts w:ascii="David" w:hAnsi="David" w:cs="David"/>
          <w:b/>
          <w:bCs/>
          <w:sz w:val="24"/>
          <w:szCs w:val="24"/>
          <w:rtl/>
        </w:rPr>
      </w:pPr>
      <w:r w:rsidRPr="005E1C44">
        <w:rPr>
          <w:rFonts w:ascii="David" w:hAnsi="David" w:cs="David"/>
          <w:b/>
          <w:bCs/>
          <w:sz w:val="24"/>
          <w:szCs w:val="24"/>
          <w:rtl/>
        </w:rPr>
        <w:t>סוגיות לדיון</w:t>
      </w:r>
    </w:p>
    <w:p w:rsidR="003E4211" w:rsidRPr="005E1C44" w:rsidRDefault="003E4211" w:rsidP="003E4211">
      <w:pPr>
        <w:pStyle w:val="a7"/>
        <w:numPr>
          <w:ilvl w:val="0"/>
          <w:numId w:val="1"/>
        </w:numPr>
        <w:spacing w:before="120" w:after="120" w:line="360" w:lineRule="auto"/>
        <w:jc w:val="both"/>
        <w:rPr>
          <w:rFonts w:ascii="David" w:hAnsi="David" w:cs="David"/>
          <w:sz w:val="24"/>
          <w:szCs w:val="24"/>
        </w:rPr>
      </w:pPr>
      <w:r w:rsidRPr="005E1C44">
        <w:rPr>
          <w:rFonts w:ascii="David" w:hAnsi="David" w:cs="David"/>
          <w:sz w:val="24"/>
          <w:szCs w:val="24"/>
          <w:rtl/>
        </w:rPr>
        <w:t>מוצע ל</w:t>
      </w:r>
      <w:r w:rsidRPr="005E1C44">
        <w:rPr>
          <w:rFonts w:ascii="David" w:hAnsi="David" w:cs="David" w:hint="cs"/>
          <w:sz w:val="24"/>
          <w:szCs w:val="24"/>
          <w:rtl/>
        </w:rPr>
        <w:t xml:space="preserve">דון בצורך </w:t>
      </w:r>
      <w:r w:rsidRPr="005E1C44">
        <w:rPr>
          <w:rFonts w:ascii="David" w:hAnsi="David" w:cs="David"/>
          <w:sz w:val="24"/>
          <w:szCs w:val="24"/>
          <w:rtl/>
        </w:rPr>
        <w:t xml:space="preserve">להאריך את </w:t>
      </w:r>
      <w:r w:rsidRPr="005E1C44">
        <w:rPr>
          <w:rFonts w:ascii="David" w:hAnsi="David" w:cs="David" w:hint="cs"/>
          <w:sz w:val="24"/>
          <w:szCs w:val="24"/>
          <w:rtl/>
        </w:rPr>
        <w:t>תקופת ההתיישנות</w:t>
      </w:r>
      <w:r w:rsidRPr="005E1C44">
        <w:rPr>
          <w:rFonts w:ascii="David" w:hAnsi="David" w:cs="David"/>
          <w:sz w:val="24"/>
          <w:szCs w:val="24"/>
          <w:rtl/>
        </w:rPr>
        <w:t xml:space="preserve"> גם כאשר מדובר בצאצא של גיס</w:t>
      </w:r>
      <w:r w:rsidRPr="005E1C44">
        <w:rPr>
          <w:rFonts w:ascii="David" w:hAnsi="David" w:cs="David" w:hint="cs"/>
          <w:sz w:val="24"/>
          <w:szCs w:val="24"/>
          <w:rtl/>
        </w:rPr>
        <w:t>- האם כפי שעולה לעניין בן דוד, ביחס לצאצא של גיס/ה מתעוררים הקשיים הייחודיים לחשיפת פגיעה מינית בתוך המשפחה</w:t>
      </w:r>
      <w:r w:rsidRPr="005E1C44">
        <w:rPr>
          <w:rFonts w:ascii="David" w:hAnsi="David" w:cs="David"/>
          <w:sz w:val="24"/>
          <w:szCs w:val="24"/>
          <w:rtl/>
        </w:rPr>
        <w:t xml:space="preserve">. </w:t>
      </w:r>
    </w:p>
    <w:p w:rsidR="003E4211" w:rsidRPr="005E1C44" w:rsidRDefault="003E4211" w:rsidP="003E4211">
      <w:pPr>
        <w:pStyle w:val="a7"/>
        <w:spacing w:before="120" w:after="120" w:line="360" w:lineRule="auto"/>
        <w:jc w:val="both"/>
        <w:rPr>
          <w:rFonts w:ascii="David" w:hAnsi="David" w:cs="David"/>
          <w:sz w:val="24"/>
          <w:szCs w:val="24"/>
        </w:rPr>
      </w:pPr>
    </w:p>
    <w:p w:rsidR="003E4211" w:rsidRPr="005E1C44" w:rsidRDefault="003E4211" w:rsidP="003E4211">
      <w:pPr>
        <w:pStyle w:val="a7"/>
        <w:numPr>
          <w:ilvl w:val="0"/>
          <w:numId w:val="1"/>
        </w:numPr>
        <w:spacing w:before="120" w:after="120" w:line="360" w:lineRule="auto"/>
        <w:jc w:val="both"/>
        <w:rPr>
          <w:rFonts w:ascii="David" w:hAnsi="David" w:cs="David"/>
          <w:sz w:val="24"/>
          <w:szCs w:val="24"/>
        </w:rPr>
      </w:pPr>
      <w:r w:rsidRPr="005E1C44">
        <w:rPr>
          <w:rFonts w:ascii="David" w:hAnsi="David" w:cs="David" w:hint="cs"/>
          <w:sz w:val="24"/>
          <w:szCs w:val="24"/>
          <w:rtl/>
        </w:rPr>
        <w:t xml:space="preserve">מוצע לדון </w:t>
      </w:r>
      <w:r w:rsidRPr="005E1C44">
        <w:rPr>
          <w:rFonts w:ascii="David" w:hAnsi="David" w:cs="David" w:hint="cs"/>
          <w:b/>
          <w:bCs/>
          <w:sz w:val="24"/>
          <w:szCs w:val="24"/>
          <w:rtl/>
        </w:rPr>
        <w:t>בהוראות המעבר</w:t>
      </w:r>
      <w:r w:rsidRPr="005E1C44">
        <w:rPr>
          <w:rFonts w:ascii="David" w:hAnsi="David" w:cs="David" w:hint="cs"/>
          <w:sz w:val="24"/>
          <w:szCs w:val="24"/>
          <w:rtl/>
        </w:rPr>
        <w:t xml:space="preserve"> שיחולו בעניין זה. </w:t>
      </w:r>
      <w:r w:rsidRPr="005E1C44">
        <w:rPr>
          <w:rFonts w:ascii="David" w:hAnsi="David" w:cs="David"/>
          <w:sz w:val="24"/>
          <w:szCs w:val="24"/>
          <w:rtl/>
        </w:rPr>
        <w:t>מוצע להבהיר כי התיקון לא יחול על מי שתקופת ההתי</w:t>
      </w:r>
      <w:r w:rsidRPr="005E1C44">
        <w:rPr>
          <w:rFonts w:ascii="David" w:hAnsi="David" w:cs="David" w:hint="cs"/>
          <w:sz w:val="24"/>
          <w:szCs w:val="24"/>
          <w:rtl/>
        </w:rPr>
        <w:t>יש</w:t>
      </w:r>
      <w:r w:rsidRPr="005E1C44">
        <w:rPr>
          <w:rFonts w:ascii="David" w:hAnsi="David" w:cs="David"/>
          <w:sz w:val="24"/>
          <w:szCs w:val="24"/>
          <w:rtl/>
        </w:rPr>
        <w:t>נות כבר הסתיימה בעניינו</w:t>
      </w:r>
      <w:r w:rsidRPr="005E1C44">
        <w:rPr>
          <w:rFonts w:ascii="David" w:hAnsi="David" w:cs="David" w:hint="cs"/>
          <w:sz w:val="24"/>
          <w:szCs w:val="24"/>
          <w:rtl/>
        </w:rPr>
        <w:t>,</w:t>
      </w:r>
      <w:r w:rsidRPr="005E1C44">
        <w:rPr>
          <w:rFonts w:ascii="David" w:hAnsi="David" w:cs="David"/>
          <w:sz w:val="24"/>
          <w:szCs w:val="24"/>
          <w:rtl/>
        </w:rPr>
        <w:t xml:space="preserve"> אך כן יחול על עבירה שכבר בוצעה וטרם חלפה תקופת ההתיישנות</w:t>
      </w:r>
      <w:r w:rsidRPr="005E1C44">
        <w:rPr>
          <w:rFonts w:ascii="David" w:hAnsi="David" w:cs="David" w:hint="cs"/>
          <w:sz w:val="24"/>
          <w:szCs w:val="24"/>
          <w:rtl/>
        </w:rPr>
        <w:t xml:space="preserve"> בענייה</w:t>
      </w:r>
      <w:r w:rsidRPr="005E1C44">
        <w:rPr>
          <w:rFonts w:ascii="David" w:hAnsi="David" w:cs="David"/>
          <w:sz w:val="24"/>
          <w:szCs w:val="24"/>
          <w:rtl/>
        </w:rPr>
        <w:t xml:space="preserve">. </w:t>
      </w:r>
      <w:r w:rsidRPr="005E1C44">
        <w:rPr>
          <w:rFonts w:ascii="David" w:hAnsi="David" w:cs="David" w:hint="cs"/>
          <w:sz w:val="24"/>
          <w:szCs w:val="24"/>
          <w:rtl/>
        </w:rPr>
        <w:t>זאת, בדומה ל</w:t>
      </w:r>
      <w:r w:rsidRPr="005E1C44">
        <w:rPr>
          <w:rFonts w:ascii="David" w:hAnsi="David" w:cs="David"/>
          <w:sz w:val="24"/>
          <w:szCs w:val="24"/>
          <w:rtl/>
        </w:rPr>
        <w:t>סעיף 354 (ה)</w:t>
      </w:r>
      <w:r w:rsidRPr="005E1C44">
        <w:rPr>
          <w:rFonts w:ascii="David" w:hAnsi="David" w:cs="David" w:hint="cs"/>
          <w:sz w:val="24"/>
          <w:szCs w:val="24"/>
          <w:rtl/>
        </w:rPr>
        <w:t xml:space="preserve"> אשר קבע הוראות מעבר בתיקון קודם בסעיף 354</w:t>
      </w:r>
      <w:r w:rsidRPr="005E1C44">
        <w:rPr>
          <w:rFonts w:ascii="David" w:hAnsi="David" w:cs="David"/>
          <w:sz w:val="24"/>
          <w:szCs w:val="24"/>
          <w:rtl/>
        </w:rPr>
        <w:t xml:space="preserve"> </w:t>
      </w:r>
      <w:r w:rsidRPr="005E1C44">
        <w:rPr>
          <w:rFonts w:ascii="David" w:hAnsi="David" w:cs="David" w:hint="cs"/>
          <w:sz w:val="24"/>
          <w:szCs w:val="24"/>
          <w:rtl/>
        </w:rPr>
        <w:t>[</w:t>
      </w:r>
      <w:r w:rsidRPr="005E1C44">
        <w:rPr>
          <w:rStyle w:val="default"/>
          <w:rFonts w:ascii="David" w:hAnsi="David" w:cs="David" w:hint="cs"/>
          <w:sz w:val="24"/>
          <w:szCs w:val="24"/>
          <w:rtl/>
        </w:rPr>
        <w:t>באותו תיקון נקבע כי "</w:t>
      </w:r>
      <w:r w:rsidRPr="005E1C44">
        <w:rPr>
          <w:rStyle w:val="default"/>
          <w:rFonts w:ascii="David" w:hAnsi="David" w:cs="David"/>
          <w:sz w:val="24"/>
          <w:szCs w:val="24"/>
          <w:rtl/>
        </w:rPr>
        <w:t xml:space="preserve">הוראות אלה יחולו גם על עבירה שביום כניסתו לתוקף של </w:t>
      </w:r>
      <w:r w:rsidRPr="005E1C44">
        <w:rPr>
          <w:rStyle w:val="default"/>
          <w:rFonts w:ascii="David" w:hAnsi="David" w:cs="David" w:hint="cs"/>
          <w:sz w:val="24"/>
          <w:szCs w:val="24"/>
          <w:rtl/>
        </w:rPr>
        <w:t xml:space="preserve">התיקון </w:t>
      </w:r>
      <w:r w:rsidRPr="005E1C44">
        <w:rPr>
          <w:rStyle w:val="default"/>
          <w:rFonts w:ascii="David" w:hAnsi="David" w:cs="David"/>
          <w:sz w:val="24"/>
          <w:szCs w:val="24"/>
          <w:rtl/>
        </w:rPr>
        <w:t>טרם התיישנה לפי סעיף 9 לחוק סדר הדין הפלילי [נוסח משולב], התשמ"ב-1982, לפי הדין שחל עליה ערב המועד האמור</w:t>
      </w:r>
      <w:r w:rsidRPr="005E1C44">
        <w:rPr>
          <w:rStyle w:val="default"/>
          <w:rFonts w:ascii="David" w:hAnsi="David" w:cs="David" w:hint="cs"/>
          <w:sz w:val="24"/>
          <w:szCs w:val="24"/>
          <w:rtl/>
        </w:rPr>
        <w:t>"]</w:t>
      </w:r>
      <w:r w:rsidRPr="005E1C44">
        <w:rPr>
          <w:rStyle w:val="default"/>
          <w:rFonts w:ascii="David" w:hAnsi="David" w:cs="David"/>
          <w:sz w:val="24"/>
          <w:szCs w:val="24"/>
          <w:rtl/>
        </w:rPr>
        <w:t>.</w:t>
      </w:r>
    </w:p>
    <w:p w:rsidR="003E4211" w:rsidRPr="005E1C44" w:rsidRDefault="003E4211" w:rsidP="003E4211">
      <w:pPr>
        <w:pStyle w:val="a7"/>
        <w:spacing w:before="120" w:after="120" w:line="360" w:lineRule="auto"/>
        <w:jc w:val="both"/>
        <w:rPr>
          <w:rFonts w:ascii="David" w:hAnsi="David" w:cs="David"/>
          <w:sz w:val="24"/>
          <w:szCs w:val="24"/>
        </w:rPr>
      </w:pPr>
    </w:p>
    <w:p w:rsidR="003E4211" w:rsidRPr="005E1C44" w:rsidRDefault="003E4211" w:rsidP="003E4211">
      <w:pPr>
        <w:pStyle w:val="a7"/>
        <w:numPr>
          <w:ilvl w:val="0"/>
          <w:numId w:val="1"/>
        </w:numPr>
        <w:spacing w:before="120" w:after="120" w:line="360" w:lineRule="auto"/>
        <w:jc w:val="both"/>
        <w:rPr>
          <w:rFonts w:ascii="David" w:hAnsi="David" w:cs="David"/>
          <w:sz w:val="24"/>
          <w:szCs w:val="24"/>
        </w:rPr>
      </w:pPr>
      <w:r w:rsidRPr="005E1C44">
        <w:rPr>
          <w:rFonts w:ascii="David" w:hAnsi="David" w:cs="David"/>
          <w:sz w:val="24"/>
          <w:szCs w:val="24"/>
          <w:rtl/>
        </w:rPr>
        <w:t>מוצע ל</w:t>
      </w:r>
      <w:r w:rsidRPr="005E1C44">
        <w:rPr>
          <w:rFonts w:ascii="David" w:hAnsi="David" w:cs="David" w:hint="cs"/>
          <w:sz w:val="24"/>
          <w:szCs w:val="24"/>
          <w:rtl/>
        </w:rPr>
        <w:t>דון בהוראה ש</w:t>
      </w:r>
      <w:r w:rsidRPr="005E1C44">
        <w:rPr>
          <w:rFonts w:ascii="David" w:hAnsi="David" w:cs="David"/>
          <w:sz w:val="24"/>
          <w:szCs w:val="24"/>
          <w:rtl/>
        </w:rPr>
        <w:t xml:space="preserve">יש </w:t>
      </w:r>
      <w:r w:rsidRPr="005E1C44">
        <w:rPr>
          <w:rFonts w:ascii="David" w:hAnsi="David" w:cs="David" w:hint="cs"/>
          <w:sz w:val="24"/>
          <w:szCs w:val="24"/>
          <w:rtl/>
        </w:rPr>
        <w:t xml:space="preserve">להחיל לעניין הארכת תקופת ההתיישנות בעבירות של </w:t>
      </w:r>
      <w:r w:rsidRPr="005E1C44">
        <w:rPr>
          <w:rFonts w:ascii="David" w:hAnsi="David" w:cs="David"/>
          <w:sz w:val="24"/>
          <w:szCs w:val="24"/>
          <w:rtl/>
        </w:rPr>
        <w:t>בעילה אסורה בהסכמה, מעשה סדום בהסכמה ומעשה מגונה לפי סעיף 348(ד) לעניין בני דודים כאשר לנפגע מלאו 16 שנים</w:t>
      </w:r>
      <w:r w:rsidRPr="005E1C44">
        <w:rPr>
          <w:rFonts w:ascii="David" w:hAnsi="David" w:cs="David" w:hint="cs"/>
          <w:sz w:val="24"/>
          <w:szCs w:val="24"/>
          <w:rtl/>
        </w:rPr>
        <w:t xml:space="preserve"> בעת ביצוע העבירה</w:t>
      </w:r>
      <w:r w:rsidRPr="005E1C44">
        <w:rPr>
          <w:rFonts w:ascii="David" w:hAnsi="David" w:cs="David"/>
          <w:sz w:val="24"/>
          <w:szCs w:val="24"/>
          <w:rtl/>
        </w:rPr>
        <w:t xml:space="preserve">. </w:t>
      </w:r>
      <w:r w:rsidRPr="005E1C44">
        <w:rPr>
          <w:rFonts w:ascii="David" w:hAnsi="David" w:cs="David" w:hint="cs"/>
          <w:sz w:val="24"/>
          <w:szCs w:val="24"/>
          <w:rtl/>
        </w:rPr>
        <w:t xml:space="preserve">סעיף 351 לחוק, מוציא מתוך </w:t>
      </w:r>
      <w:r w:rsidRPr="005E1C44">
        <w:rPr>
          <w:rFonts w:ascii="David" w:hAnsi="David" w:cs="David"/>
          <w:sz w:val="24"/>
          <w:szCs w:val="24"/>
          <w:rtl/>
        </w:rPr>
        <w:t xml:space="preserve">הגדרת בן משפחה </w:t>
      </w:r>
      <w:r w:rsidRPr="005E1C44">
        <w:rPr>
          <w:rFonts w:ascii="David" w:hAnsi="David" w:cs="David" w:hint="cs"/>
          <w:sz w:val="24"/>
          <w:szCs w:val="24"/>
          <w:rtl/>
        </w:rPr>
        <w:t xml:space="preserve">לעניין </w:t>
      </w:r>
      <w:r w:rsidRPr="005E1C44">
        <w:rPr>
          <w:rFonts w:ascii="David" w:hAnsi="David" w:cs="David"/>
          <w:sz w:val="24"/>
          <w:szCs w:val="24"/>
          <w:rtl/>
        </w:rPr>
        <w:t>עבירות אל</w:t>
      </w:r>
      <w:r w:rsidRPr="005E1C44">
        <w:rPr>
          <w:rFonts w:ascii="David" w:hAnsi="David" w:cs="David" w:hint="cs"/>
          <w:sz w:val="24"/>
          <w:szCs w:val="24"/>
          <w:rtl/>
        </w:rPr>
        <w:t>ה</w:t>
      </w:r>
      <w:r w:rsidRPr="005E1C44">
        <w:rPr>
          <w:rFonts w:ascii="David" w:hAnsi="David" w:cs="David"/>
          <w:sz w:val="24"/>
          <w:szCs w:val="24"/>
          <w:rtl/>
        </w:rPr>
        <w:t xml:space="preserve"> </w:t>
      </w:r>
      <w:r w:rsidRPr="005E1C44">
        <w:rPr>
          <w:rFonts w:ascii="David" w:hAnsi="David" w:cs="David" w:hint="cs"/>
          <w:sz w:val="24"/>
          <w:szCs w:val="24"/>
          <w:rtl/>
        </w:rPr>
        <w:t xml:space="preserve">דודים, גיסים וכו' </w:t>
      </w:r>
      <w:r w:rsidRPr="005E1C44">
        <w:rPr>
          <w:rFonts w:ascii="David" w:hAnsi="David" w:cs="David"/>
          <w:sz w:val="24"/>
          <w:szCs w:val="24"/>
          <w:rtl/>
        </w:rPr>
        <w:t xml:space="preserve">כאשר לנפגע מלאו 16 שנים </w:t>
      </w:r>
      <w:r w:rsidRPr="005E1C44">
        <w:rPr>
          <w:rFonts w:ascii="David" w:hAnsi="David" w:cs="David" w:hint="cs"/>
          <w:sz w:val="24"/>
          <w:szCs w:val="24"/>
          <w:rtl/>
        </w:rPr>
        <w:t>והן נעשו בהסכמה.</w:t>
      </w:r>
      <w:r w:rsidRPr="005E1C44">
        <w:rPr>
          <w:rFonts w:ascii="David" w:hAnsi="David" w:cs="David"/>
          <w:sz w:val="24"/>
          <w:szCs w:val="24"/>
          <w:rtl/>
        </w:rPr>
        <w:t xml:space="preserve"> יחד עם זאת, הארכת תקופת ההתיישנות כן חלה ב</w:t>
      </w:r>
      <w:r w:rsidRPr="005E1C44">
        <w:rPr>
          <w:rFonts w:ascii="David" w:hAnsi="David" w:cs="David" w:hint="cs"/>
          <w:sz w:val="24"/>
          <w:szCs w:val="24"/>
          <w:rtl/>
        </w:rPr>
        <w:t xml:space="preserve">עבירות </w:t>
      </w:r>
      <w:r w:rsidRPr="005E1C44">
        <w:rPr>
          <w:rFonts w:ascii="David" w:hAnsi="David" w:cs="David"/>
          <w:sz w:val="24"/>
          <w:szCs w:val="24"/>
          <w:rtl/>
        </w:rPr>
        <w:t>אלה</w:t>
      </w:r>
      <w:r w:rsidRPr="005E1C44">
        <w:rPr>
          <w:rFonts w:ascii="David" w:hAnsi="David" w:cs="David" w:hint="cs"/>
          <w:sz w:val="24"/>
          <w:szCs w:val="24"/>
          <w:rtl/>
        </w:rPr>
        <w:t xml:space="preserve"> כאשר הפוגע הינו בגיר</w:t>
      </w:r>
      <w:r w:rsidRPr="005E1C44">
        <w:rPr>
          <w:rFonts w:ascii="David" w:hAnsi="David" w:cs="David"/>
          <w:sz w:val="24"/>
          <w:szCs w:val="24"/>
          <w:rtl/>
        </w:rPr>
        <w:t xml:space="preserve">. </w:t>
      </w:r>
      <w:r w:rsidRPr="005E1C44">
        <w:rPr>
          <w:rFonts w:ascii="David" w:hAnsi="David" w:cs="David" w:hint="cs"/>
          <w:sz w:val="24"/>
          <w:szCs w:val="24"/>
          <w:rtl/>
        </w:rPr>
        <w:t>מוצע לשקול אלו הוראות יש להחיל בהקשר זה לעניין צאצא של דוד/ה או גיס/ה.</w:t>
      </w:r>
    </w:p>
    <w:p w:rsidR="003E4211" w:rsidRPr="005E1C44" w:rsidRDefault="003E4211" w:rsidP="003E4211">
      <w:pPr>
        <w:pStyle w:val="a7"/>
        <w:spacing w:before="120" w:after="120" w:line="360" w:lineRule="auto"/>
        <w:jc w:val="both"/>
        <w:rPr>
          <w:rFonts w:ascii="David" w:hAnsi="David" w:cs="David"/>
          <w:sz w:val="24"/>
          <w:szCs w:val="24"/>
        </w:rPr>
      </w:pPr>
    </w:p>
    <w:p w:rsidR="003E4211" w:rsidRPr="005E1C44" w:rsidRDefault="003E4211" w:rsidP="003E4211">
      <w:pPr>
        <w:pStyle w:val="a7"/>
        <w:numPr>
          <w:ilvl w:val="0"/>
          <w:numId w:val="1"/>
        </w:numPr>
        <w:spacing w:before="120" w:after="120" w:line="360" w:lineRule="auto"/>
        <w:jc w:val="both"/>
        <w:rPr>
          <w:rFonts w:ascii="David" w:hAnsi="David" w:cs="David"/>
          <w:sz w:val="24"/>
          <w:szCs w:val="24"/>
        </w:rPr>
      </w:pPr>
      <w:r w:rsidRPr="005E1C44">
        <w:rPr>
          <w:rFonts w:ascii="David" w:hAnsi="David" w:cs="David" w:hint="cs"/>
          <w:sz w:val="24"/>
          <w:szCs w:val="24"/>
          <w:rtl/>
        </w:rPr>
        <w:t>בעקבות פניות שהגיעו לוועדה, מוצע לדון בשאלת</w:t>
      </w:r>
      <w:r w:rsidRPr="005E1C44">
        <w:rPr>
          <w:rFonts w:ascii="David" w:hAnsi="David" w:cs="David" w:hint="cs"/>
          <w:b/>
          <w:bCs/>
          <w:sz w:val="24"/>
          <w:szCs w:val="24"/>
          <w:rtl/>
        </w:rPr>
        <w:t xml:space="preserve"> הוספת צאצא של בן דוד גם להגדרת </w:t>
      </w:r>
      <w:r w:rsidRPr="005E1C44">
        <w:rPr>
          <w:rFonts w:ascii="David" w:hAnsi="David" w:cs="David"/>
          <w:b/>
          <w:bCs/>
          <w:sz w:val="24"/>
          <w:szCs w:val="24"/>
          <w:rtl/>
        </w:rPr>
        <w:t>בני המשפחה בחובת הדיווח</w:t>
      </w:r>
      <w:r w:rsidRPr="005E1C44">
        <w:rPr>
          <w:rFonts w:ascii="David" w:hAnsi="David" w:cs="David" w:hint="cs"/>
          <w:sz w:val="24"/>
          <w:szCs w:val="24"/>
          <w:rtl/>
        </w:rPr>
        <w:t xml:space="preserve">- סעיף 368ד לחוק העונשין קובע את המצבים בהם מתגבשת חובת דיווח לרשויות על כל אדם שהיה לו יסוד סביר לחשוב שנעברה בקטין עבירת מין או התעללות על ידי האחראי עליו. בעת חקיקת הסעיף נקבעה חובת דיווח רק לעניין פגיעה על ידי אחראי על הקטין, הכולל כמובן הורים, אך גם בני משפחה נוספים כגון סבים, דודים, גיסים ועוד, אך בגירים בלבד. ואולם, בשנת 2007 נוספה חובה לדווח גם אם היה יסוד סביר לחשוב שנעברה בקטין עבירת מין על ידי בן משפחה שהוא קטין. </w:t>
      </w:r>
    </w:p>
    <w:p w:rsidR="003E4211" w:rsidRPr="005E1C44" w:rsidRDefault="003E4211" w:rsidP="003E4211">
      <w:pPr>
        <w:pStyle w:val="a7"/>
        <w:spacing w:before="120" w:after="120" w:line="360" w:lineRule="auto"/>
        <w:jc w:val="both"/>
        <w:rPr>
          <w:rFonts w:ascii="David" w:hAnsi="David" w:cs="David"/>
          <w:sz w:val="24"/>
          <w:szCs w:val="24"/>
          <w:rtl/>
        </w:rPr>
      </w:pPr>
      <w:r w:rsidRPr="005E1C44">
        <w:rPr>
          <w:rFonts w:ascii="David" w:hAnsi="David" w:cs="David" w:hint="cs"/>
          <w:sz w:val="24"/>
          <w:szCs w:val="24"/>
          <w:rtl/>
        </w:rPr>
        <w:t>כאמור לעיל, דודים וגיסים נחשבים כבני משפחה ואחראים על הקטין לצורך הסעיף האמור. ואולם, בני דודים לא נכללים בו.</w:t>
      </w:r>
    </w:p>
    <w:p w:rsidR="003E4211" w:rsidRPr="005E1C44" w:rsidRDefault="003E4211" w:rsidP="003E4211">
      <w:pPr>
        <w:pStyle w:val="a7"/>
        <w:spacing w:before="120" w:after="120" w:line="360" w:lineRule="auto"/>
        <w:jc w:val="both"/>
        <w:rPr>
          <w:rFonts w:ascii="David" w:hAnsi="David" w:cs="David"/>
          <w:sz w:val="24"/>
          <w:szCs w:val="24"/>
          <w:rtl/>
        </w:rPr>
      </w:pPr>
      <w:r w:rsidRPr="005E1C44">
        <w:rPr>
          <w:rFonts w:ascii="David" w:hAnsi="David" w:cs="David" w:hint="cs"/>
          <w:sz w:val="24"/>
          <w:szCs w:val="24"/>
          <w:rtl/>
        </w:rPr>
        <w:t>אגב התיקון המוצע המוסיף את צאצאו של דוד/ה לעבירות המין בתוך המשפחה לעניין ההתיישנות, מתעוררת השאלה אם נכון לעשות כן גם לעניין חובת הדיווח.</w:t>
      </w:r>
    </w:p>
    <w:p w:rsidR="003E4211" w:rsidRPr="005E1C44" w:rsidRDefault="003E4211" w:rsidP="003E4211">
      <w:pPr>
        <w:pStyle w:val="a7"/>
        <w:spacing w:before="120" w:after="120" w:line="360" w:lineRule="auto"/>
        <w:jc w:val="both"/>
        <w:rPr>
          <w:rFonts w:ascii="David" w:hAnsi="David" w:cs="David"/>
          <w:sz w:val="24"/>
          <w:szCs w:val="24"/>
          <w:rtl/>
        </w:rPr>
      </w:pPr>
      <w:r w:rsidRPr="005E1C44">
        <w:rPr>
          <w:rFonts w:ascii="David" w:hAnsi="David" w:cs="David"/>
          <w:sz w:val="24"/>
          <w:szCs w:val="24"/>
          <w:rtl/>
        </w:rPr>
        <w:t xml:space="preserve">בעניין זה, </w:t>
      </w:r>
      <w:r w:rsidRPr="005E1C44">
        <w:rPr>
          <w:rFonts w:ascii="David" w:hAnsi="David" w:cs="David" w:hint="cs"/>
          <w:sz w:val="24"/>
          <w:szCs w:val="24"/>
          <w:rtl/>
        </w:rPr>
        <w:t xml:space="preserve">חשוב להידרש </w:t>
      </w:r>
      <w:r w:rsidRPr="005E1C44">
        <w:rPr>
          <w:rFonts w:ascii="David" w:hAnsi="David" w:cs="David"/>
          <w:sz w:val="24"/>
          <w:szCs w:val="24"/>
          <w:rtl/>
        </w:rPr>
        <w:t>מחד</w:t>
      </w:r>
      <w:r w:rsidRPr="005E1C44">
        <w:rPr>
          <w:rFonts w:ascii="David" w:hAnsi="David" w:cs="David" w:hint="cs"/>
          <w:sz w:val="24"/>
          <w:szCs w:val="24"/>
          <w:rtl/>
        </w:rPr>
        <w:t xml:space="preserve"> לרגישות ההסדר הקובע חובת דיווח- כדי להטיל חובת עשה על אדם בחוק העונשין נדרשת הצדקה משמעותית. כמו כן, יש לשים לב ל</w:t>
      </w:r>
      <w:r w:rsidRPr="005E1C44">
        <w:rPr>
          <w:rFonts w:ascii="David" w:hAnsi="David" w:cs="David"/>
          <w:sz w:val="24"/>
          <w:szCs w:val="24"/>
          <w:rtl/>
        </w:rPr>
        <w:t>קשיים בהטלת חובת דיווח על אדם ש</w:t>
      </w:r>
      <w:r w:rsidRPr="005E1C44">
        <w:rPr>
          <w:rFonts w:ascii="David" w:hAnsi="David" w:cs="David" w:hint="cs"/>
          <w:sz w:val="24"/>
          <w:szCs w:val="24"/>
          <w:rtl/>
        </w:rPr>
        <w:t>נדרש</w:t>
      </w:r>
      <w:r w:rsidRPr="005E1C44">
        <w:rPr>
          <w:rFonts w:ascii="David" w:hAnsi="David" w:cs="David"/>
          <w:sz w:val="24"/>
          <w:szCs w:val="24"/>
          <w:rtl/>
        </w:rPr>
        <w:t xml:space="preserve"> להגיש תלונה </w:t>
      </w:r>
      <w:r w:rsidRPr="005E1C44">
        <w:rPr>
          <w:rFonts w:ascii="David" w:hAnsi="David" w:cs="David" w:hint="cs"/>
          <w:sz w:val="24"/>
          <w:szCs w:val="24"/>
          <w:rtl/>
        </w:rPr>
        <w:t xml:space="preserve">על קרוב משפחתו. ומאידך, מתקיימים בנושא זה הקשיים </w:t>
      </w:r>
      <w:r w:rsidRPr="005E1C44">
        <w:rPr>
          <w:rFonts w:ascii="David" w:hAnsi="David" w:cs="David"/>
          <w:sz w:val="24"/>
          <w:szCs w:val="24"/>
          <w:rtl/>
        </w:rPr>
        <w:t>הנוגעים ל</w:t>
      </w:r>
      <w:r w:rsidRPr="005E1C44">
        <w:rPr>
          <w:rFonts w:ascii="David" w:hAnsi="David" w:cs="David" w:hint="cs"/>
          <w:sz w:val="24"/>
          <w:szCs w:val="24"/>
          <w:rtl/>
        </w:rPr>
        <w:t xml:space="preserve">חשיפת </w:t>
      </w:r>
      <w:r w:rsidRPr="005E1C44">
        <w:rPr>
          <w:rFonts w:ascii="David" w:hAnsi="David" w:cs="David"/>
          <w:sz w:val="24"/>
          <w:szCs w:val="24"/>
          <w:rtl/>
        </w:rPr>
        <w:t>פגיעות מיניות בתוך המשפחה</w:t>
      </w:r>
      <w:r w:rsidRPr="005E1C44">
        <w:rPr>
          <w:rFonts w:ascii="David" w:hAnsi="David" w:cs="David" w:hint="cs"/>
          <w:sz w:val="24"/>
          <w:szCs w:val="24"/>
          <w:rtl/>
        </w:rPr>
        <w:t xml:space="preserve">, הצורך בהבטחת הפסקת הפגיעה, ובעיקר כי לא נראה שיש </w:t>
      </w:r>
      <w:r w:rsidRPr="005E1C44">
        <w:rPr>
          <w:rFonts w:ascii="David" w:hAnsi="David" w:cs="David"/>
          <w:sz w:val="24"/>
          <w:szCs w:val="24"/>
          <w:rtl/>
        </w:rPr>
        <w:t xml:space="preserve">הבדל בין </w:t>
      </w:r>
      <w:r w:rsidRPr="005E1C44">
        <w:rPr>
          <w:rFonts w:ascii="David" w:hAnsi="David" w:cs="David" w:hint="cs"/>
          <w:sz w:val="24"/>
          <w:szCs w:val="24"/>
          <w:rtl/>
        </w:rPr>
        <w:t xml:space="preserve">ההצדקה שהביאה להכללת </w:t>
      </w:r>
      <w:r w:rsidRPr="005E1C44">
        <w:rPr>
          <w:rFonts w:ascii="David" w:hAnsi="David" w:cs="David"/>
          <w:sz w:val="24"/>
          <w:szCs w:val="24"/>
          <w:rtl/>
        </w:rPr>
        <w:t>דוד</w:t>
      </w:r>
      <w:r w:rsidRPr="005E1C44">
        <w:rPr>
          <w:rFonts w:ascii="David" w:hAnsi="David" w:cs="David" w:hint="cs"/>
          <w:sz w:val="24"/>
          <w:szCs w:val="24"/>
          <w:rtl/>
        </w:rPr>
        <w:t xml:space="preserve">, אשר לגביו יש חובת דיווח אם פגע מינית, לבין בן דוד לגביו היא לא חלה. </w:t>
      </w:r>
    </w:p>
    <w:p w:rsidR="003E4211" w:rsidRPr="002A273F" w:rsidRDefault="003E4211" w:rsidP="003E4211">
      <w:pPr>
        <w:pStyle w:val="a7"/>
        <w:spacing w:before="120" w:after="120" w:line="360" w:lineRule="auto"/>
        <w:jc w:val="both"/>
        <w:rPr>
          <w:rFonts w:ascii="David" w:hAnsi="David" w:cs="David"/>
          <w:sz w:val="24"/>
          <w:szCs w:val="24"/>
        </w:rPr>
      </w:pPr>
      <w:r w:rsidRPr="005E1C44">
        <w:rPr>
          <w:rFonts w:ascii="David" w:hAnsi="David" w:cs="David" w:hint="cs"/>
          <w:sz w:val="24"/>
          <w:szCs w:val="24"/>
          <w:rtl/>
        </w:rPr>
        <w:t>מוצע לקבל נתונים בדבר שכיחות פגיעות מיניות על ידי בני דודים וכן, נתונים בדבר ההשלכות שהיו להוספת חובת דיווח לעניין פגיעה מינית על ידי בני משפחה קטינים.</w:t>
      </w:r>
    </w:p>
    <w:p w:rsidR="00A06DE9" w:rsidRDefault="00A06DE9"/>
    <w:sectPr w:rsidR="00A06DE9" w:rsidSect="00572FFB">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1D6" w:rsidRDefault="00D111D6" w:rsidP="003E4211">
      <w:pPr>
        <w:spacing w:after="0" w:line="240" w:lineRule="auto"/>
      </w:pPr>
      <w:r>
        <w:separator/>
      </w:r>
    </w:p>
  </w:endnote>
  <w:endnote w:type="continuationSeparator" w:id="0">
    <w:p w:rsidR="00D111D6" w:rsidRDefault="00D111D6" w:rsidP="003E4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1D6" w:rsidRDefault="00D111D6" w:rsidP="003E4211">
      <w:pPr>
        <w:spacing w:after="0" w:line="240" w:lineRule="auto"/>
      </w:pPr>
      <w:r>
        <w:separator/>
      </w:r>
    </w:p>
  </w:footnote>
  <w:footnote w:type="continuationSeparator" w:id="0">
    <w:p w:rsidR="00D111D6" w:rsidRDefault="00D111D6" w:rsidP="003E4211">
      <w:pPr>
        <w:spacing w:after="0" w:line="240" w:lineRule="auto"/>
      </w:pPr>
      <w:r>
        <w:continuationSeparator/>
      </w:r>
    </w:p>
  </w:footnote>
  <w:footnote w:id="1">
    <w:p w:rsidR="003E4211" w:rsidRDefault="003E4211" w:rsidP="003E4211">
      <w:pPr>
        <w:pStyle w:val="a3"/>
        <w:spacing w:before="72"/>
        <w:ind w:right="1134"/>
      </w:pPr>
      <w:r>
        <w:rPr>
          <w:rStyle w:val="a5"/>
        </w:rPr>
        <w:footnoteRef/>
      </w:r>
      <w:r w:rsidRPr="00F3723A">
        <w:rPr>
          <w:rFonts w:cs="FrankRuehl"/>
          <w:sz w:val="22"/>
          <w:szCs w:val="22"/>
          <w:rtl/>
        </w:rPr>
        <w:t xml:space="preserve"> </w:t>
      </w:r>
      <w:r w:rsidRPr="00F3723A">
        <w:rPr>
          <w:rFonts w:cs="FrankRuehl" w:hint="cs"/>
          <w:sz w:val="22"/>
          <w:szCs w:val="22"/>
          <w:rtl/>
        </w:rPr>
        <w:t>סמכותו הואצלה לפרקליט המדינה ולמשנהו</w:t>
      </w:r>
      <w:r>
        <w:rPr>
          <w:rFonts w:cs="FrankRuehl" w:hint="cs"/>
          <w:sz w:val="22"/>
          <w:szCs w:val="22"/>
          <w:rtl/>
        </w:rPr>
        <w:t>.</w:t>
      </w:r>
    </w:p>
  </w:footnote>
  <w:footnote w:id="2">
    <w:p w:rsidR="003E4211" w:rsidRDefault="003E4211" w:rsidP="003E4211">
      <w:pPr>
        <w:pStyle w:val="a3"/>
        <w:rPr>
          <w:rtl/>
        </w:rPr>
      </w:pPr>
      <w:r w:rsidRPr="005E1C44">
        <w:rPr>
          <w:rStyle w:val="a5"/>
        </w:rPr>
        <w:footnoteRef/>
      </w:r>
      <w:r w:rsidRPr="005E1C44">
        <w:rPr>
          <w:rtl/>
        </w:rPr>
        <w:t xml:space="preserve"> </w:t>
      </w:r>
      <w:r w:rsidRPr="005E1C44">
        <w:rPr>
          <w:rFonts w:hint="cs"/>
          <w:rtl/>
        </w:rPr>
        <w:t xml:space="preserve">ע"פ 347/07 </w:t>
      </w:r>
      <w:r w:rsidRPr="005E1C44">
        <w:rPr>
          <w:rFonts w:hint="cs"/>
          <w:b/>
          <w:bCs/>
          <w:rtl/>
        </w:rPr>
        <w:t>פלוני נגד מדינת ישראל</w:t>
      </w:r>
      <w:r w:rsidRPr="005E1C44">
        <w:rPr>
          <w:rFonts w:hint="cs"/>
          <w:rtl/>
        </w:rPr>
        <w:t xml:space="preserve"> (ניתן ביום 25.6.07), ראו עמדתו של השופט לוי.</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AF33AE"/>
    <w:multiLevelType w:val="hybridMultilevel"/>
    <w:tmpl w:val="DB84D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211"/>
    <w:rsid w:val="001505A4"/>
    <w:rsid w:val="003A58F0"/>
    <w:rsid w:val="003E4211"/>
    <w:rsid w:val="00491932"/>
    <w:rsid w:val="009276E6"/>
    <w:rsid w:val="00A06DE9"/>
    <w:rsid w:val="00D111D6"/>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5F1A34-CF6D-4C5D-BDFB-0DD4216BF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21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3E4211"/>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styleId="a3">
    <w:name w:val="footnote text"/>
    <w:basedOn w:val="a"/>
    <w:link w:val="a4"/>
    <w:autoRedefine/>
    <w:uiPriority w:val="99"/>
    <w:unhideWhenUsed/>
    <w:rsid w:val="003E4211"/>
    <w:pPr>
      <w:widowControl w:val="0"/>
      <w:autoSpaceDE w:val="0"/>
      <w:autoSpaceDN w:val="0"/>
      <w:adjustRightInd w:val="0"/>
      <w:snapToGrid w:val="0"/>
      <w:spacing w:after="0" w:line="240" w:lineRule="auto"/>
      <w:ind w:left="227" w:hanging="227"/>
    </w:pPr>
    <w:rPr>
      <w:rFonts w:ascii="Arial" w:eastAsia="Arial Unicode MS" w:hAnsi="Arial" w:cs="David"/>
      <w:color w:val="000000"/>
      <w:sz w:val="14"/>
      <w:szCs w:val="20"/>
      <w:lang w:eastAsia="ja-JP"/>
    </w:rPr>
  </w:style>
  <w:style w:type="character" w:customStyle="1" w:styleId="a4">
    <w:name w:val="טקסט הערת שוליים תו"/>
    <w:basedOn w:val="a0"/>
    <w:link w:val="a3"/>
    <w:uiPriority w:val="99"/>
    <w:rsid w:val="003E4211"/>
    <w:rPr>
      <w:rFonts w:ascii="Arial" w:eastAsia="Arial Unicode MS" w:hAnsi="Arial" w:cs="David"/>
      <w:color w:val="000000"/>
      <w:sz w:val="14"/>
      <w:szCs w:val="20"/>
      <w:lang w:eastAsia="ja-JP"/>
    </w:rPr>
  </w:style>
  <w:style w:type="paragraph" w:customStyle="1" w:styleId="HeadDivreiHesber">
    <w:name w:val="Head DivreiHesber"/>
    <w:basedOn w:val="a"/>
    <w:rsid w:val="003E4211"/>
    <w:pPr>
      <w:widowControl w:val="0"/>
      <w:autoSpaceDE w:val="0"/>
      <w:autoSpaceDN w:val="0"/>
      <w:adjustRightInd w:val="0"/>
      <w:snapToGrid w:val="0"/>
      <w:spacing w:before="360" w:after="120" w:line="360" w:lineRule="auto"/>
      <w:jc w:val="center"/>
    </w:pPr>
    <w:rPr>
      <w:rFonts w:ascii="Arial" w:eastAsia="Arial Unicode MS" w:hAnsi="Arial" w:cs="David"/>
      <w:b/>
      <w:color w:val="000000"/>
      <w:spacing w:val="40"/>
      <w:sz w:val="20"/>
      <w:szCs w:val="26"/>
      <w:lang w:eastAsia="ja-JP"/>
    </w:rPr>
  </w:style>
  <w:style w:type="character" w:styleId="a5">
    <w:name w:val="footnote reference"/>
    <w:basedOn w:val="a0"/>
    <w:uiPriority w:val="99"/>
    <w:unhideWhenUsed/>
    <w:rsid w:val="003E4211"/>
    <w:rPr>
      <w:rFonts w:ascii="Times New Roman" w:hAnsi="Times New Roman" w:cs="Times New Roman" w:hint="default"/>
      <w:vertAlign w:val="superscript"/>
    </w:rPr>
  </w:style>
  <w:style w:type="character" w:customStyle="1" w:styleId="default">
    <w:name w:val="default"/>
    <w:basedOn w:val="a0"/>
    <w:rsid w:val="003E4211"/>
    <w:rPr>
      <w:rFonts w:ascii="Times New Roman" w:hAnsi="Times New Roman" w:cs="Times New Roman"/>
      <w:sz w:val="26"/>
      <w:szCs w:val="26"/>
    </w:rPr>
  </w:style>
  <w:style w:type="paragraph" w:customStyle="1" w:styleId="P00">
    <w:name w:val="P00"/>
    <w:rsid w:val="003E421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basedOn w:val="default"/>
    <w:rsid w:val="003E4211"/>
    <w:rPr>
      <w:rFonts w:ascii="Times New Roman" w:hAnsi="Times New Roman" w:cs="Times New Roman"/>
      <w:sz w:val="32"/>
      <w:szCs w:val="32"/>
    </w:rPr>
  </w:style>
  <w:style w:type="paragraph" w:customStyle="1" w:styleId="P22">
    <w:name w:val="P22"/>
    <w:basedOn w:val="P00"/>
    <w:rsid w:val="003E4211"/>
    <w:pPr>
      <w:tabs>
        <w:tab w:val="clear" w:pos="624"/>
        <w:tab w:val="clear" w:pos="1021"/>
      </w:tabs>
      <w:ind w:right="1021"/>
    </w:pPr>
  </w:style>
  <w:style w:type="paragraph" w:customStyle="1" w:styleId="P33">
    <w:name w:val="P33"/>
    <w:basedOn w:val="P00"/>
    <w:rsid w:val="003E4211"/>
    <w:pPr>
      <w:tabs>
        <w:tab w:val="clear" w:pos="624"/>
        <w:tab w:val="clear" w:pos="1021"/>
        <w:tab w:val="clear" w:pos="1474"/>
      </w:tabs>
      <w:ind w:right="1474"/>
    </w:pPr>
  </w:style>
  <w:style w:type="table" w:styleId="a6">
    <w:name w:val="Table Grid"/>
    <w:basedOn w:val="a1"/>
    <w:uiPriority w:val="59"/>
    <w:rsid w:val="003E4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3E4211"/>
    <w:pPr>
      <w:ind w:left="720"/>
      <w:contextualSpacing/>
    </w:pPr>
  </w:style>
  <w:style w:type="paragraph" w:customStyle="1" w:styleId="Hesber">
    <w:name w:val="Hesber"/>
    <w:basedOn w:val="a"/>
    <w:rsid w:val="003E4211"/>
    <w:pPr>
      <w:widowControl w:val="0"/>
      <w:autoSpaceDE w:val="0"/>
      <w:autoSpaceDN w:val="0"/>
      <w:adjustRightInd w:val="0"/>
      <w:snapToGrid w:val="0"/>
      <w:spacing w:after="0" w:line="360" w:lineRule="auto"/>
      <w:ind w:firstLine="340"/>
      <w:jc w:val="both"/>
    </w:pPr>
    <w:rPr>
      <w:rFonts w:ascii="Arial" w:eastAsia="Arial Unicode MS" w:hAnsi="Arial" w:cs="David"/>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9EB7F5-D362-4B51-A19E-1C4E6DF7DEDB}"/>
</file>

<file path=customXml/itemProps2.xml><?xml version="1.0" encoding="utf-8"?>
<ds:datastoreItem xmlns:ds="http://schemas.openxmlformats.org/officeDocument/2006/customXml" ds:itemID="{EC49B191-CEF4-4E5E-9D33-55958E3A882F}"/>
</file>

<file path=customXml/itemProps3.xml><?xml version="1.0" encoding="utf-8"?>
<ds:datastoreItem xmlns:ds="http://schemas.openxmlformats.org/officeDocument/2006/customXml" ds:itemID="{E23B5688-086B-410F-A672-631907413750}"/>
</file>

<file path=docProps/app.xml><?xml version="1.0" encoding="utf-8"?>
<Properties xmlns="http://schemas.openxmlformats.org/officeDocument/2006/extended-properties" xmlns:vt="http://schemas.openxmlformats.org/officeDocument/2006/docPropsVTypes">
  <Template>Normal</Template>
  <TotalTime>1</TotalTime>
  <Pages>5</Pages>
  <Words>1606</Words>
  <Characters>8031</Characters>
  <Application>Microsoft Office Word</Application>
  <DocSecurity>4</DocSecurity>
  <Lines>66</Lines>
  <Paragraphs>19</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9618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נטלי שלף</cp:lastModifiedBy>
  <cp:revision>2</cp:revision>
  <cp:lastPrinted>2017-02-27T20:48:00Z</cp:lastPrinted>
  <dcterms:created xsi:type="dcterms:W3CDTF">2017-02-27T20:50:00Z</dcterms:created>
  <dcterms:modified xsi:type="dcterms:W3CDTF">2017-02-27T20:50:00Z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2014736</vt:r8>
  </property>
</Properties>
</file>