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4F91" w:rsidRDefault="006B4F91" w:rsidP="00B5792B">
      <w:pPr>
        <w:pStyle w:val="Hesber"/>
        <w:tabs>
          <w:tab w:val="left" w:pos="-341"/>
        </w:tabs>
        <w:spacing w:line="276" w:lineRule="auto"/>
        <w:ind w:left="-341" w:right="-426" w:firstLine="0"/>
        <w:rPr>
          <w:rFonts w:ascii="Calibri" w:hAnsi="Calibri" w:cs="David"/>
          <w:b/>
          <w:bCs/>
          <w:color w:val="auto"/>
          <w:sz w:val="24"/>
          <w:szCs w:val="24"/>
          <w:rtl/>
          <w:lang w:eastAsia="en-US"/>
        </w:rPr>
      </w:pPr>
      <w:bookmarkStart w:id="0" w:name="_GoBack"/>
      <w:bookmarkEnd w:id="0"/>
      <w:r>
        <w:rPr>
          <w:rFonts w:ascii="Calibri" w:hAnsi="Calibri" w:cs="David" w:hint="cs"/>
          <w:b/>
          <w:bCs/>
          <w:color w:val="auto"/>
          <w:sz w:val="24"/>
          <w:szCs w:val="24"/>
          <w:rtl/>
          <w:lang w:eastAsia="en-US"/>
        </w:rPr>
        <w:t>לכבוד,</w:t>
      </w:r>
    </w:p>
    <w:p w:rsidR="006B4F91" w:rsidRDefault="006B4F91" w:rsidP="00B5792B">
      <w:pPr>
        <w:pStyle w:val="Hesber"/>
        <w:tabs>
          <w:tab w:val="left" w:pos="-341"/>
        </w:tabs>
        <w:spacing w:line="276" w:lineRule="auto"/>
        <w:ind w:left="-341" w:right="-426" w:firstLine="0"/>
        <w:rPr>
          <w:rFonts w:ascii="Calibri" w:hAnsi="Calibri" w:cs="David"/>
          <w:b/>
          <w:bCs/>
          <w:color w:val="auto"/>
          <w:sz w:val="24"/>
          <w:szCs w:val="24"/>
          <w:rtl/>
          <w:lang w:eastAsia="en-US"/>
        </w:rPr>
      </w:pPr>
      <w:r>
        <w:rPr>
          <w:rFonts w:ascii="Calibri" w:hAnsi="Calibri" w:cs="David" w:hint="cs"/>
          <w:b/>
          <w:bCs/>
          <w:color w:val="auto"/>
          <w:sz w:val="24"/>
          <w:szCs w:val="24"/>
          <w:rtl/>
          <w:lang w:eastAsia="en-US"/>
        </w:rPr>
        <w:t>הועדה לצדק חלוקתי ולשוויון חברתי</w:t>
      </w:r>
    </w:p>
    <w:p w:rsidR="006B4F91" w:rsidRDefault="006B4F91" w:rsidP="00B5792B">
      <w:pPr>
        <w:pStyle w:val="Hesber"/>
        <w:tabs>
          <w:tab w:val="left" w:pos="-341"/>
        </w:tabs>
        <w:spacing w:line="276" w:lineRule="auto"/>
        <w:ind w:left="-341" w:right="-426" w:firstLine="0"/>
        <w:rPr>
          <w:rFonts w:ascii="Calibri" w:hAnsi="Calibri" w:cs="David"/>
          <w:b/>
          <w:bCs/>
          <w:color w:val="auto"/>
          <w:sz w:val="24"/>
          <w:szCs w:val="24"/>
          <w:u w:val="single"/>
          <w:rtl/>
          <w:lang w:eastAsia="en-US"/>
        </w:rPr>
      </w:pPr>
      <w:r w:rsidRPr="006B4F91">
        <w:rPr>
          <w:rFonts w:ascii="Calibri" w:hAnsi="Calibri" w:cs="David" w:hint="cs"/>
          <w:b/>
          <w:bCs/>
          <w:color w:val="auto"/>
          <w:sz w:val="24"/>
          <w:szCs w:val="24"/>
          <w:u w:val="single"/>
          <w:rtl/>
          <w:lang w:eastAsia="en-US"/>
        </w:rPr>
        <w:t>הכנסת</w:t>
      </w:r>
      <w:r w:rsidR="00E81879" w:rsidRPr="006B4F91">
        <w:rPr>
          <w:rFonts w:ascii="Calibri" w:hAnsi="Calibri" w:cs="David" w:hint="cs"/>
          <w:b/>
          <w:bCs/>
          <w:color w:val="auto"/>
          <w:sz w:val="24"/>
          <w:szCs w:val="24"/>
          <w:rtl/>
          <w:lang w:eastAsia="en-US"/>
        </w:rPr>
        <w:tab/>
      </w:r>
      <w:r w:rsidR="00E81879" w:rsidRPr="006B4F91">
        <w:rPr>
          <w:rFonts w:ascii="Calibri" w:hAnsi="Calibri" w:cs="David" w:hint="cs"/>
          <w:b/>
          <w:bCs/>
          <w:color w:val="auto"/>
          <w:sz w:val="24"/>
          <w:szCs w:val="24"/>
          <w:rtl/>
          <w:lang w:eastAsia="en-US"/>
        </w:rPr>
        <w:tab/>
      </w:r>
      <w:r w:rsidR="00E81879" w:rsidRPr="006B4F91">
        <w:rPr>
          <w:rFonts w:ascii="Calibri" w:hAnsi="Calibri" w:cs="David" w:hint="cs"/>
          <w:b/>
          <w:bCs/>
          <w:color w:val="auto"/>
          <w:sz w:val="24"/>
          <w:szCs w:val="24"/>
          <w:rtl/>
          <w:lang w:eastAsia="en-US"/>
        </w:rPr>
        <w:tab/>
      </w:r>
      <w:r w:rsidR="00E81879" w:rsidRPr="006B4F91">
        <w:rPr>
          <w:rFonts w:ascii="Calibri" w:hAnsi="Calibri" w:cs="David" w:hint="cs"/>
          <w:b/>
          <w:bCs/>
          <w:color w:val="auto"/>
          <w:sz w:val="24"/>
          <w:szCs w:val="24"/>
          <w:u w:val="single"/>
          <w:rtl/>
          <w:lang w:eastAsia="en-US"/>
        </w:rPr>
        <w:t xml:space="preserve">       </w:t>
      </w:r>
    </w:p>
    <w:p w:rsidR="00E81879" w:rsidRPr="006B4F91" w:rsidRDefault="00E81879" w:rsidP="00B5792B">
      <w:pPr>
        <w:pStyle w:val="Hesber"/>
        <w:tabs>
          <w:tab w:val="left" w:pos="-341"/>
        </w:tabs>
        <w:spacing w:line="276" w:lineRule="auto"/>
        <w:ind w:left="-341" w:right="-426" w:firstLine="0"/>
        <w:rPr>
          <w:rFonts w:ascii="Calibri" w:hAnsi="Calibri" w:cs="David"/>
          <w:b/>
          <w:bCs/>
          <w:color w:val="auto"/>
          <w:sz w:val="24"/>
          <w:szCs w:val="24"/>
          <w:u w:val="single"/>
          <w:rtl/>
          <w:lang w:eastAsia="en-US"/>
        </w:rPr>
      </w:pPr>
      <w:r w:rsidRPr="006B4F91">
        <w:rPr>
          <w:rFonts w:ascii="Calibri" w:hAnsi="Calibri" w:cs="David" w:hint="cs"/>
          <w:b/>
          <w:bCs/>
          <w:color w:val="auto"/>
          <w:sz w:val="24"/>
          <w:szCs w:val="24"/>
          <w:u w:val="single"/>
          <w:rtl/>
          <w:lang w:eastAsia="en-US"/>
        </w:rPr>
        <w:t xml:space="preserve">                               </w:t>
      </w:r>
    </w:p>
    <w:p w:rsidR="00E81879" w:rsidRDefault="00B5792B" w:rsidP="00B5792B">
      <w:pPr>
        <w:pStyle w:val="Hesber"/>
        <w:tabs>
          <w:tab w:val="left" w:pos="-341"/>
        </w:tabs>
        <w:ind w:left="-341" w:right="-426" w:firstLine="0"/>
        <w:jc w:val="center"/>
        <w:rPr>
          <w:rFonts w:ascii="Calibri" w:hAnsi="Calibri" w:cs="David"/>
          <w:b/>
          <w:bCs/>
          <w:color w:val="auto"/>
          <w:sz w:val="24"/>
          <w:szCs w:val="24"/>
          <w:rtl/>
          <w:lang w:eastAsia="en-US"/>
        </w:rPr>
      </w:pPr>
      <w:r>
        <w:rPr>
          <w:rFonts w:cs="David" w:hint="cs"/>
          <w:b/>
          <w:bCs/>
          <w:sz w:val="24"/>
          <w:szCs w:val="24"/>
          <w:u w:val="single"/>
          <w:rtl/>
        </w:rPr>
        <w:t xml:space="preserve">עמדת הקואליציה לשבת: </w:t>
      </w:r>
      <w:r w:rsidR="006B4F91">
        <w:rPr>
          <w:rFonts w:cs="David" w:hint="cs"/>
          <w:b/>
          <w:bCs/>
          <w:sz w:val="24"/>
          <w:szCs w:val="24"/>
          <w:u w:val="single"/>
          <w:rtl/>
        </w:rPr>
        <w:t>שוויון</w:t>
      </w:r>
      <w:r>
        <w:rPr>
          <w:rFonts w:cs="David" w:hint="cs"/>
          <w:b/>
          <w:bCs/>
          <w:sz w:val="24"/>
          <w:szCs w:val="24"/>
          <w:u w:val="single"/>
          <w:rtl/>
        </w:rPr>
        <w:t xml:space="preserve"> בעניין השפעת אי אכיפת חוקי עבודה ומנוחה על העסקים הקטנים</w:t>
      </w:r>
      <w:r w:rsidR="00E81879">
        <w:rPr>
          <w:rFonts w:cs="David" w:hint="cs"/>
          <w:b/>
          <w:bCs/>
          <w:sz w:val="24"/>
          <w:szCs w:val="24"/>
          <w:u w:val="single"/>
          <w:rtl/>
        </w:rPr>
        <w:t xml:space="preserve"> </w:t>
      </w:r>
    </w:p>
    <w:p w:rsidR="00E81879" w:rsidRDefault="00E81879" w:rsidP="00B5792B">
      <w:pPr>
        <w:tabs>
          <w:tab w:val="left" w:pos="-341"/>
        </w:tabs>
        <w:spacing w:line="276" w:lineRule="auto"/>
        <w:ind w:left="-341" w:right="-426"/>
        <w:jc w:val="both"/>
        <w:rPr>
          <w:rFonts w:cs="David"/>
          <w:sz w:val="24"/>
          <w:szCs w:val="24"/>
          <w:rtl/>
        </w:rPr>
      </w:pPr>
      <w:r>
        <w:rPr>
          <w:rFonts w:cs="David" w:hint="cs"/>
          <w:sz w:val="24"/>
          <w:szCs w:val="24"/>
          <w:rtl/>
        </w:rPr>
        <w:t>שלום רב,</w:t>
      </w:r>
    </w:p>
    <w:p w:rsidR="001A4702" w:rsidRDefault="00B5792B" w:rsidP="00B5792B">
      <w:pPr>
        <w:tabs>
          <w:tab w:val="left" w:pos="-341"/>
        </w:tabs>
        <w:spacing w:line="276" w:lineRule="auto"/>
        <w:ind w:left="-341" w:right="-426"/>
        <w:jc w:val="both"/>
        <w:rPr>
          <w:rFonts w:cs="David"/>
          <w:sz w:val="24"/>
          <w:szCs w:val="24"/>
          <w:rtl/>
        </w:rPr>
      </w:pPr>
      <w:r>
        <w:rPr>
          <w:rFonts w:cs="David"/>
          <w:sz w:val="24"/>
          <w:szCs w:val="24"/>
          <w:rtl/>
        </w:rPr>
        <w:t>הקואליציה לשבת שוויון הוקמה בשנת 2015 והנה שיתוף פעולה של תעשיינים, סוחרים, פעילים חברתיים וארגוני סוחרים מכל הארץ, שהתאחדו לפעילות משפטית וציבורית משותפת למען יום מנוחה בשבת</w:t>
      </w:r>
    </w:p>
    <w:p w:rsidR="00E81879" w:rsidRDefault="00B5792B" w:rsidP="00B5792B">
      <w:pPr>
        <w:spacing w:line="276" w:lineRule="auto"/>
        <w:ind w:left="-341" w:right="-426"/>
        <w:jc w:val="both"/>
        <w:rPr>
          <w:rFonts w:cs="David"/>
          <w:sz w:val="24"/>
          <w:szCs w:val="24"/>
          <w:rtl/>
        </w:rPr>
      </w:pPr>
      <w:r>
        <w:rPr>
          <w:rFonts w:cs="David"/>
          <w:b/>
          <w:bCs/>
          <w:sz w:val="24"/>
          <w:szCs w:val="24"/>
          <w:rtl/>
        </w:rPr>
        <w:t xml:space="preserve">בשנים האחרונות מתגברת פעילות </w:t>
      </w:r>
      <w:r>
        <w:rPr>
          <w:rFonts w:cs="David"/>
          <w:b/>
          <w:bCs/>
          <w:sz w:val="24"/>
          <w:szCs w:val="24"/>
          <w:u w:val="single"/>
          <w:rtl/>
        </w:rPr>
        <w:t>המסחר הקמעונאי בשבת</w:t>
      </w:r>
      <w:r>
        <w:rPr>
          <w:rStyle w:val="ad"/>
          <w:rFonts w:cs="David"/>
          <w:sz w:val="24"/>
          <w:szCs w:val="24"/>
          <w:rtl/>
        </w:rPr>
        <w:footnoteReference w:id="1"/>
      </w:r>
      <w:r>
        <w:rPr>
          <w:rFonts w:cs="David"/>
          <w:sz w:val="24"/>
          <w:szCs w:val="24"/>
          <w:rtl/>
        </w:rPr>
        <w:t xml:space="preserve"> תוך התעלמות בוטה מהחקיקה הקיימת (חוק שעות עבודה ומנוחה וחוקי העזר העירוניים). המצב האבסורדי הקיים היום והשוני בציות לחוק ואכיפתו מובילים למצב אבסורדי שבו </w:t>
      </w:r>
      <w:r>
        <w:rPr>
          <w:rFonts w:cs="David"/>
          <w:b/>
          <w:bCs/>
          <w:sz w:val="24"/>
          <w:szCs w:val="24"/>
          <w:rtl/>
        </w:rPr>
        <w:t>דווקא מי שמפר את החוק ופותח את עסקיו בשבתות, יוצא נשכר כלכלית ורווחיו מתעצמים, בעוד העסקים המצייתים לחוק ,סגורים בשבת ומקיימים את החוק- מפסידים</w:t>
      </w:r>
      <w:r>
        <w:rPr>
          <w:rFonts w:cs="David"/>
          <w:sz w:val="24"/>
          <w:szCs w:val="24"/>
          <w:rtl/>
        </w:rPr>
        <w:t xml:space="preserve">. בעלי עסקים גדולים לא מהססים לפתוח את בית העסק שלהם ולסחור בשבת ומוכנים לספוג את הקנס המזערי המושת עליהם לעיתים נדירות, בעוד בעלי העסקים השומרים על החוק נפגעים כלכלית, לעיתים עד כדי חיסול עסקיהם. יוצא שכרם של בעלי העסקים הקמעונאים המצייתים לחוק ומקפידים לקיימו – בהפסדו, שכן הצרכנים, שערכו את קניותיהם ביום המנוחה בבתי העסק מפרי החוק, כבר לא יגיעו במהלך השבוע  לאותם העסקים שומרי החוק לרכישת סל מוצרים. </w:t>
      </w:r>
      <w:r>
        <w:rPr>
          <w:rFonts w:cs="David" w:hint="cs"/>
          <w:sz w:val="24"/>
          <w:szCs w:val="24"/>
          <w:rtl/>
        </w:rPr>
        <w:t xml:space="preserve">למעשה, </w:t>
      </w:r>
      <w:r w:rsidR="00E81879">
        <w:rPr>
          <w:rFonts w:cs="David" w:hint="cs"/>
          <w:sz w:val="24"/>
          <w:szCs w:val="24"/>
          <w:rtl/>
        </w:rPr>
        <w:t>בעלי העסקים שומרי החוק, נפגעים</w:t>
      </w:r>
      <w:r w:rsidR="001A4702">
        <w:rPr>
          <w:rFonts w:cs="David" w:hint="cs"/>
          <w:sz w:val="24"/>
          <w:szCs w:val="24"/>
          <w:rtl/>
        </w:rPr>
        <w:t xml:space="preserve"> מאותן הפרות חוק חוזרות ונשנות של בעלי עסקים שפותחים בשבת ויש ביכולתם לספוג את הקנסות המזעריים המושתים עליהם</w:t>
      </w:r>
      <w:r w:rsidR="00E81879">
        <w:rPr>
          <w:rFonts w:cs="David" w:hint="cs"/>
          <w:sz w:val="24"/>
          <w:szCs w:val="24"/>
          <w:rtl/>
        </w:rPr>
        <w:t>.</w:t>
      </w:r>
    </w:p>
    <w:p w:rsidR="00BE66C8" w:rsidRDefault="001A4702" w:rsidP="00B5792B">
      <w:pPr>
        <w:tabs>
          <w:tab w:val="left" w:pos="-341"/>
        </w:tabs>
        <w:spacing w:line="276" w:lineRule="auto"/>
        <w:ind w:left="-341" w:right="-426"/>
        <w:jc w:val="both"/>
        <w:rPr>
          <w:rFonts w:cs="David"/>
          <w:b/>
          <w:bCs/>
          <w:sz w:val="24"/>
          <w:szCs w:val="24"/>
          <w:rtl/>
        </w:rPr>
      </w:pPr>
      <w:r>
        <w:rPr>
          <w:rFonts w:cs="David" w:hint="cs"/>
          <w:sz w:val="24"/>
          <w:szCs w:val="24"/>
          <w:rtl/>
        </w:rPr>
        <w:t>כפי שנוכחנו לראות ב</w:t>
      </w:r>
      <w:r w:rsidR="00BE66C8" w:rsidRPr="00283AC3">
        <w:rPr>
          <w:rFonts w:cs="David" w:hint="cs"/>
          <w:sz w:val="24"/>
          <w:szCs w:val="24"/>
          <w:rtl/>
        </w:rPr>
        <w:t>מקרה</w:t>
      </w:r>
      <w:r w:rsidR="00BE66C8" w:rsidRPr="00283AC3">
        <w:rPr>
          <w:rFonts w:cs="David"/>
          <w:sz w:val="24"/>
          <w:szCs w:val="24"/>
          <w:rtl/>
        </w:rPr>
        <w:t xml:space="preserve"> </w:t>
      </w:r>
      <w:r>
        <w:rPr>
          <w:rFonts w:cs="David" w:hint="cs"/>
          <w:sz w:val="24"/>
          <w:szCs w:val="24"/>
          <w:rtl/>
        </w:rPr>
        <w:t>בית העסק "</w:t>
      </w:r>
      <w:proofErr w:type="spellStart"/>
      <w:r>
        <w:rPr>
          <w:rFonts w:cs="David" w:hint="cs"/>
          <w:sz w:val="24"/>
          <w:szCs w:val="24"/>
          <w:rtl/>
        </w:rPr>
        <w:t>הנריס</w:t>
      </w:r>
      <w:proofErr w:type="spellEnd"/>
      <w:r>
        <w:rPr>
          <w:rFonts w:cs="David" w:hint="cs"/>
          <w:sz w:val="24"/>
          <w:szCs w:val="24"/>
          <w:rtl/>
        </w:rPr>
        <w:t>" במתחם "שרונה מרקט" עליו איימו בתשלום קנס עקב חוסר רצונו לפתוח בשבת, המצב הולך ומידרדר עד כדי כך</w:t>
      </w:r>
      <w:r w:rsidR="00BE66C8" w:rsidRPr="00283AC3">
        <w:rPr>
          <w:rFonts w:cs="David" w:hint="cs"/>
          <w:sz w:val="24"/>
          <w:szCs w:val="24"/>
          <w:rtl/>
        </w:rPr>
        <w:t xml:space="preserve"> </w:t>
      </w:r>
      <w:r w:rsidRPr="00B5792B">
        <w:rPr>
          <w:rFonts w:cs="David" w:hint="cs"/>
          <w:sz w:val="24"/>
          <w:szCs w:val="24"/>
          <w:rtl/>
        </w:rPr>
        <w:t>ש</w:t>
      </w:r>
      <w:r w:rsidR="00BE66C8" w:rsidRPr="00B5792B">
        <w:rPr>
          <w:rFonts w:cs="David" w:hint="cs"/>
          <w:sz w:val="24"/>
          <w:szCs w:val="24"/>
          <w:rtl/>
        </w:rPr>
        <w:t>במדינת ישראל מחויבים בעלי עסקים</w:t>
      </w:r>
      <w:r w:rsidR="00BE66C8" w:rsidRPr="00B5792B">
        <w:rPr>
          <w:rFonts w:cs="David"/>
          <w:sz w:val="24"/>
          <w:szCs w:val="24"/>
          <w:rtl/>
        </w:rPr>
        <w:t xml:space="preserve"> </w:t>
      </w:r>
      <w:r w:rsidR="00BE66C8" w:rsidRPr="00B5792B">
        <w:rPr>
          <w:rFonts w:cs="David" w:hint="cs"/>
          <w:sz w:val="24"/>
          <w:szCs w:val="24"/>
          <w:rtl/>
        </w:rPr>
        <w:t>יהודים</w:t>
      </w:r>
      <w:r w:rsidR="00BE66C8" w:rsidRPr="00B5792B">
        <w:rPr>
          <w:rFonts w:cs="David"/>
          <w:sz w:val="24"/>
          <w:szCs w:val="24"/>
          <w:rtl/>
        </w:rPr>
        <w:t xml:space="preserve"> </w:t>
      </w:r>
      <w:r w:rsidR="00BE66C8" w:rsidRPr="00B5792B">
        <w:rPr>
          <w:rFonts w:cs="David" w:hint="cs"/>
          <w:sz w:val="24"/>
          <w:szCs w:val="24"/>
          <w:rtl/>
        </w:rPr>
        <w:t>לעבוד</w:t>
      </w:r>
      <w:r w:rsidR="00BE66C8" w:rsidRPr="00B5792B">
        <w:rPr>
          <w:rFonts w:cs="David"/>
          <w:sz w:val="24"/>
          <w:szCs w:val="24"/>
          <w:rtl/>
        </w:rPr>
        <w:t xml:space="preserve"> </w:t>
      </w:r>
      <w:r w:rsidR="00B5792B" w:rsidRPr="00B5792B">
        <w:rPr>
          <w:rFonts w:cs="David" w:hint="cs"/>
          <w:sz w:val="24"/>
          <w:szCs w:val="24"/>
          <w:rtl/>
        </w:rPr>
        <w:t xml:space="preserve">בשבת. הדבר אף הגיע לפתחה של הכנסת שתקנה מצב מעוות זאת בחקיקת חוק הגנה על בתי עסק (ימי מנוחה), </w:t>
      </w:r>
      <w:proofErr w:type="spellStart"/>
      <w:r w:rsidR="00B5792B" w:rsidRPr="00B5792B">
        <w:rPr>
          <w:rFonts w:cs="David" w:hint="cs"/>
          <w:sz w:val="24"/>
          <w:szCs w:val="24"/>
          <w:rtl/>
        </w:rPr>
        <w:t>התשע"ז</w:t>
      </w:r>
      <w:proofErr w:type="spellEnd"/>
      <w:r w:rsidR="00B5792B" w:rsidRPr="00B5792B">
        <w:rPr>
          <w:rFonts w:cs="David" w:hint="cs"/>
          <w:sz w:val="24"/>
          <w:szCs w:val="24"/>
          <w:rtl/>
        </w:rPr>
        <w:t>, 2017 של חה"כ יגאל גואטה ואחרים.</w:t>
      </w:r>
    </w:p>
    <w:p w:rsidR="00B5792B" w:rsidRDefault="00B5792B" w:rsidP="00B5792B">
      <w:pPr>
        <w:spacing w:line="276" w:lineRule="auto"/>
        <w:ind w:left="-341" w:right="-426"/>
        <w:jc w:val="both"/>
        <w:rPr>
          <w:rFonts w:cs="David"/>
          <w:sz w:val="24"/>
          <w:szCs w:val="24"/>
          <w:rtl/>
        </w:rPr>
      </w:pPr>
      <w:r>
        <w:rPr>
          <w:rFonts w:cs="David"/>
          <w:sz w:val="24"/>
          <w:szCs w:val="24"/>
          <w:rtl/>
        </w:rPr>
        <w:t xml:space="preserve">פתיחת המסחר הקמעונאי בשבת יוצרת </w:t>
      </w:r>
      <w:r>
        <w:rPr>
          <w:rFonts w:cs="David"/>
          <w:b/>
          <w:bCs/>
          <w:sz w:val="24"/>
          <w:szCs w:val="24"/>
          <w:rtl/>
        </w:rPr>
        <w:t>חוסר שוויון הזדמנויות מהותי</w:t>
      </w:r>
      <w:r>
        <w:rPr>
          <w:rFonts w:cs="David"/>
          <w:sz w:val="24"/>
          <w:szCs w:val="24"/>
          <w:rtl/>
        </w:rPr>
        <w:t xml:space="preserve"> ומובילה תחרות בלתי הוגנת, שהאחריות הבלעדית למחדל זה מוטלת על הרשות המוניציפלית שאיננה אוכפת את החוק "ובקריצת עין" מובילה למחדל חמור הפוגע בסוחרים הקמעונאים שומרי החוק. בולטת בכך העיר תל-אביב, כפי שבא לידי ביטוי בפסק הדין של בית המשפט העליון ב-</w:t>
      </w:r>
      <w:proofErr w:type="spellStart"/>
      <w:r>
        <w:rPr>
          <w:rFonts w:cs="David"/>
          <w:sz w:val="24"/>
          <w:szCs w:val="24"/>
          <w:rtl/>
        </w:rPr>
        <w:t>עע"מ</w:t>
      </w:r>
      <w:proofErr w:type="spellEnd"/>
      <w:r>
        <w:rPr>
          <w:rFonts w:cs="David"/>
          <w:sz w:val="24"/>
          <w:szCs w:val="24"/>
          <w:rtl/>
        </w:rPr>
        <w:t xml:space="preserve"> 2469/12 </w:t>
      </w:r>
      <w:proofErr w:type="spellStart"/>
      <w:r>
        <w:rPr>
          <w:rFonts w:cs="David"/>
          <w:b/>
          <w:bCs/>
          <w:sz w:val="24"/>
          <w:szCs w:val="24"/>
          <w:rtl/>
        </w:rPr>
        <w:t>ברמר</w:t>
      </w:r>
      <w:proofErr w:type="spellEnd"/>
      <w:r>
        <w:rPr>
          <w:rFonts w:cs="David"/>
          <w:b/>
          <w:bCs/>
          <w:sz w:val="24"/>
          <w:szCs w:val="24"/>
          <w:rtl/>
        </w:rPr>
        <w:t xml:space="preserve"> ואח' נ' עיריית תל-אביב יפו ואח'</w:t>
      </w:r>
      <w:r>
        <w:rPr>
          <w:rFonts w:cs="David"/>
          <w:sz w:val="24"/>
          <w:szCs w:val="24"/>
          <w:rtl/>
        </w:rPr>
        <w:t xml:space="preserve"> מיום 25.6.2013. הפרת השוויון שיסודו בחוק, ועיקרו דפוס התנהגות חברתית ותרבותית השומר על לכידותה של  החברה בישראל, הוא מאבני היסוד של החברה בישראל תרבותה וערכיה.</w:t>
      </w:r>
      <w:r>
        <w:rPr>
          <w:rFonts w:cs="David"/>
          <w:b/>
          <w:bCs/>
          <w:sz w:val="24"/>
          <w:szCs w:val="24"/>
          <w:rtl/>
        </w:rPr>
        <w:t xml:space="preserve"> </w:t>
      </w:r>
      <w:r>
        <w:rPr>
          <w:rFonts w:ascii="David" w:hAnsi="David" w:cs="David"/>
          <w:sz w:val="24"/>
          <w:szCs w:val="24"/>
          <w:rtl/>
        </w:rPr>
        <w:t>מהאמור לעיל עולה כי</w:t>
      </w:r>
      <w:r>
        <w:rPr>
          <w:rFonts w:ascii="David" w:hAnsi="David" w:cs="David"/>
          <w:b/>
          <w:bCs/>
          <w:sz w:val="24"/>
          <w:szCs w:val="24"/>
          <w:rtl/>
        </w:rPr>
        <w:t xml:space="preserve"> </w:t>
      </w:r>
      <w:r>
        <w:rPr>
          <w:rFonts w:cs="David"/>
          <w:sz w:val="24"/>
          <w:szCs w:val="24"/>
          <w:rtl/>
        </w:rPr>
        <w:t>חייבים להציב גבולות לפעילות המסחרית-צרכנית, ולבלום את זליגתה מימי החול אל ימי המנוחה</w:t>
      </w:r>
      <w:r>
        <w:rPr>
          <w:rFonts w:ascii="David" w:hAnsi="David" w:cs="David"/>
          <w:sz w:val="24"/>
          <w:szCs w:val="24"/>
          <w:rtl/>
        </w:rPr>
        <w:t xml:space="preserve"> תוך הפרת החוק והזכות לתחרות הוגנת כפי שנעשה במדינות רבות בעולם</w:t>
      </w:r>
      <w:r>
        <w:rPr>
          <w:rStyle w:val="ad"/>
          <w:rFonts w:cs="David"/>
          <w:sz w:val="24"/>
          <w:szCs w:val="24"/>
          <w:rtl/>
        </w:rPr>
        <w:footnoteReference w:id="2"/>
      </w:r>
      <w:r>
        <w:rPr>
          <w:rStyle w:val="ad"/>
          <w:rFonts w:cs="David"/>
          <w:rtl/>
        </w:rPr>
        <w:t xml:space="preserve"> </w:t>
      </w:r>
      <w:r>
        <w:rPr>
          <w:rFonts w:ascii="David" w:hAnsi="David" w:cs="David"/>
          <w:sz w:val="24"/>
          <w:szCs w:val="24"/>
          <w:rtl/>
        </w:rPr>
        <w:t>.</w:t>
      </w:r>
      <w:r>
        <w:rPr>
          <w:rFonts w:ascii="David" w:hAnsi="David" w:cs="David"/>
          <w:b/>
          <w:bCs/>
          <w:sz w:val="24"/>
          <w:szCs w:val="24"/>
          <w:u w:val="single"/>
          <w:rtl/>
        </w:rPr>
        <w:t xml:space="preserve"> </w:t>
      </w:r>
    </w:p>
    <w:p w:rsidR="00E81879" w:rsidRPr="00B5792B" w:rsidRDefault="001A4702" w:rsidP="00B5792B">
      <w:pPr>
        <w:tabs>
          <w:tab w:val="left" w:pos="-341"/>
        </w:tabs>
        <w:spacing w:line="276" w:lineRule="auto"/>
        <w:ind w:left="-341" w:right="-426"/>
        <w:jc w:val="both"/>
        <w:rPr>
          <w:rFonts w:cs="David"/>
          <w:b/>
          <w:bCs/>
          <w:sz w:val="24"/>
          <w:szCs w:val="24"/>
          <w:rtl/>
        </w:rPr>
      </w:pPr>
      <w:r>
        <w:rPr>
          <w:rFonts w:cs="David" w:hint="cs"/>
          <w:sz w:val="24"/>
          <w:szCs w:val="24"/>
          <w:rtl/>
        </w:rPr>
        <w:t>אנו קוראים להחזיר</w:t>
      </w:r>
      <w:r w:rsidR="00E81879" w:rsidRPr="00E81879">
        <w:rPr>
          <w:rFonts w:cs="David" w:hint="cs"/>
          <w:sz w:val="24"/>
          <w:szCs w:val="24"/>
          <w:rtl/>
        </w:rPr>
        <w:t xml:space="preserve"> את המצב לקדמותו טרם הפרות החוק</w:t>
      </w:r>
      <w:r w:rsidR="00E81879">
        <w:rPr>
          <w:rFonts w:cs="David" w:hint="cs"/>
          <w:sz w:val="24"/>
          <w:szCs w:val="24"/>
          <w:rtl/>
        </w:rPr>
        <w:t xml:space="preserve"> </w:t>
      </w:r>
      <w:r w:rsidR="00E81879" w:rsidRPr="00E81879">
        <w:rPr>
          <w:rFonts w:cs="David" w:hint="cs"/>
          <w:sz w:val="24"/>
          <w:szCs w:val="24"/>
          <w:rtl/>
        </w:rPr>
        <w:t>והסטאטוס קוו</w:t>
      </w:r>
      <w:r w:rsidR="00E81879">
        <w:rPr>
          <w:rFonts w:cs="David" w:hint="cs"/>
          <w:sz w:val="24"/>
          <w:szCs w:val="24"/>
          <w:rtl/>
        </w:rPr>
        <w:t xml:space="preserve"> שנעשו על ידי בעלי עסקים שונים שהחליטו לפתוח את העסק בשבת ובניגוד לחוק.</w:t>
      </w:r>
      <w:r>
        <w:rPr>
          <w:rFonts w:cs="David" w:hint="cs"/>
          <w:sz w:val="24"/>
          <w:szCs w:val="24"/>
          <w:rtl/>
        </w:rPr>
        <w:t xml:space="preserve"> </w:t>
      </w:r>
      <w:r w:rsidRPr="00B5792B">
        <w:rPr>
          <w:rFonts w:cs="David" w:hint="cs"/>
          <w:b/>
          <w:bCs/>
          <w:sz w:val="24"/>
          <w:szCs w:val="24"/>
          <w:rtl/>
        </w:rPr>
        <w:t xml:space="preserve">יש לעשות זאת באמצעות </w:t>
      </w:r>
      <w:r w:rsidR="00E81879" w:rsidRPr="00B5792B">
        <w:rPr>
          <w:rFonts w:cs="David" w:hint="cs"/>
          <w:b/>
          <w:bCs/>
          <w:sz w:val="24"/>
          <w:szCs w:val="24"/>
          <w:rtl/>
        </w:rPr>
        <w:t>סנקציות יעילות ומנגנונים אפקטיביים לאכיפת עיקרון יום המנוחה, זאת בניגוד למנגנון הקנסות ש</w:t>
      </w:r>
      <w:r w:rsidRPr="00B5792B">
        <w:rPr>
          <w:rFonts w:cs="David" w:hint="cs"/>
          <w:b/>
          <w:bCs/>
          <w:sz w:val="24"/>
          <w:szCs w:val="24"/>
          <w:rtl/>
        </w:rPr>
        <w:t xml:space="preserve">ל הרשות המקומית שכשל הלכה למעשה. בכך יעוגנו </w:t>
      </w:r>
      <w:r w:rsidR="00E81879" w:rsidRPr="00B5792B">
        <w:rPr>
          <w:rFonts w:cs="David" w:hint="cs"/>
          <w:b/>
          <w:bCs/>
          <w:sz w:val="24"/>
          <w:szCs w:val="24"/>
          <w:rtl/>
        </w:rPr>
        <w:t>הערכים הסוציאליים- חברתיים שביסוד יום המנוחה השבועי</w:t>
      </w:r>
      <w:r w:rsidRPr="00B5792B">
        <w:rPr>
          <w:rFonts w:cs="David" w:hint="cs"/>
          <w:b/>
          <w:bCs/>
          <w:sz w:val="24"/>
          <w:szCs w:val="24"/>
          <w:rtl/>
        </w:rPr>
        <w:t xml:space="preserve"> כך שהוא יהיה יום שיוקדש למנוחה ולמשפחה ולא לצרכנות ולקניות.</w:t>
      </w:r>
    </w:p>
    <w:p w:rsidR="001A4702" w:rsidRDefault="00BE66C8" w:rsidP="00B5792B">
      <w:pPr>
        <w:pStyle w:val="a9"/>
        <w:spacing w:after="0" w:line="276" w:lineRule="auto"/>
        <w:ind w:left="-341" w:right="-426"/>
        <w:contextualSpacing w:val="0"/>
        <w:jc w:val="both"/>
        <w:rPr>
          <w:rFonts w:ascii="David" w:cs="David"/>
          <w:b/>
          <w:bCs/>
          <w:sz w:val="24"/>
          <w:szCs w:val="24"/>
          <w:rtl/>
        </w:rPr>
      </w:pPr>
      <w:r w:rsidRPr="00B5792B">
        <w:rPr>
          <w:rFonts w:cs="David" w:hint="cs"/>
          <w:b/>
          <w:bCs/>
          <w:sz w:val="24"/>
          <w:szCs w:val="24"/>
          <w:rtl/>
        </w:rPr>
        <w:t>אין</w:t>
      </w:r>
      <w:r w:rsidRPr="00B5792B">
        <w:rPr>
          <w:rFonts w:cs="David"/>
          <w:b/>
          <w:bCs/>
          <w:sz w:val="24"/>
          <w:szCs w:val="24"/>
          <w:rtl/>
        </w:rPr>
        <w:t xml:space="preserve"> </w:t>
      </w:r>
      <w:r w:rsidRPr="00B5792B">
        <w:rPr>
          <w:rFonts w:cs="David" w:hint="cs"/>
          <w:b/>
          <w:bCs/>
          <w:sz w:val="24"/>
          <w:szCs w:val="24"/>
          <w:rtl/>
        </w:rPr>
        <w:t>זה</w:t>
      </w:r>
      <w:r w:rsidRPr="00B5792B">
        <w:rPr>
          <w:rFonts w:cs="David"/>
          <w:b/>
          <w:bCs/>
          <w:sz w:val="24"/>
          <w:szCs w:val="24"/>
          <w:rtl/>
        </w:rPr>
        <w:t xml:space="preserve"> </w:t>
      </w:r>
      <w:r w:rsidRPr="00B5792B">
        <w:rPr>
          <w:rFonts w:cs="David" w:hint="cs"/>
          <w:b/>
          <w:bCs/>
          <w:sz w:val="24"/>
          <w:szCs w:val="24"/>
          <w:rtl/>
        </w:rPr>
        <w:t>עניין</w:t>
      </w:r>
      <w:r w:rsidRPr="00B5792B">
        <w:rPr>
          <w:rFonts w:cs="David"/>
          <w:b/>
          <w:bCs/>
          <w:sz w:val="24"/>
          <w:szCs w:val="24"/>
          <w:rtl/>
        </w:rPr>
        <w:t xml:space="preserve"> </w:t>
      </w:r>
      <w:r w:rsidRPr="00B5792B">
        <w:rPr>
          <w:rFonts w:cs="David" w:hint="cs"/>
          <w:b/>
          <w:bCs/>
          <w:sz w:val="24"/>
          <w:szCs w:val="24"/>
          <w:rtl/>
        </w:rPr>
        <w:t>של</w:t>
      </w:r>
      <w:r w:rsidRPr="00B5792B">
        <w:rPr>
          <w:rFonts w:cs="David"/>
          <w:b/>
          <w:bCs/>
          <w:sz w:val="24"/>
          <w:szCs w:val="24"/>
          <w:rtl/>
        </w:rPr>
        <w:t xml:space="preserve"> </w:t>
      </w:r>
      <w:r w:rsidRPr="00B5792B">
        <w:rPr>
          <w:rFonts w:cs="David" w:hint="cs"/>
          <w:b/>
          <w:bCs/>
          <w:sz w:val="24"/>
          <w:szCs w:val="24"/>
          <w:rtl/>
        </w:rPr>
        <w:t>חרדים</w:t>
      </w:r>
      <w:r w:rsidRPr="00B5792B">
        <w:rPr>
          <w:rFonts w:cs="David"/>
          <w:b/>
          <w:bCs/>
          <w:sz w:val="24"/>
          <w:szCs w:val="24"/>
          <w:rtl/>
        </w:rPr>
        <w:t xml:space="preserve"> </w:t>
      </w:r>
      <w:r w:rsidRPr="00B5792B">
        <w:rPr>
          <w:rFonts w:cs="David" w:hint="cs"/>
          <w:b/>
          <w:bCs/>
          <w:sz w:val="24"/>
          <w:szCs w:val="24"/>
          <w:rtl/>
        </w:rPr>
        <w:t>מול</w:t>
      </w:r>
      <w:r w:rsidRPr="00B5792B">
        <w:rPr>
          <w:rFonts w:cs="David"/>
          <w:b/>
          <w:bCs/>
          <w:sz w:val="24"/>
          <w:szCs w:val="24"/>
          <w:rtl/>
        </w:rPr>
        <w:t xml:space="preserve"> </w:t>
      </w:r>
      <w:r w:rsidRPr="00B5792B">
        <w:rPr>
          <w:rFonts w:cs="David" w:hint="cs"/>
          <w:b/>
          <w:bCs/>
          <w:sz w:val="24"/>
          <w:szCs w:val="24"/>
          <w:rtl/>
        </w:rPr>
        <w:t>חילונים</w:t>
      </w:r>
      <w:r w:rsidRPr="00B5792B">
        <w:rPr>
          <w:rFonts w:cs="David"/>
          <w:b/>
          <w:bCs/>
          <w:sz w:val="24"/>
          <w:szCs w:val="24"/>
          <w:rtl/>
        </w:rPr>
        <w:t xml:space="preserve">, </w:t>
      </w:r>
      <w:r w:rsidRPr="00B5792B">
        <w:rPr>
          <w:rFonts w:cs="David" w:hint="cs"/>
          <w:b/>
          <w:bCs/>
          <w:sz w:val="24"/>
          <w:szCs w:val="24"/>
          <w:rtl/>
        </w:rPr>
        <w:t>אלא</w:t>
      </w:r>
      <w:r w:rsidRPr="00B5792B">
        <w:rPr>
          <w:rFonts w:cs="David"/>
          <w:b/>
          <w:bCs/>
          <w:sz w:val="24"/>
          <w:szCs w:val="24"/>
          <w:rtl/>
        </w:rPr>
        <w:t xml:space="preserve"> </w:t>
      </w:r>
      <w:r w:rsidRPr="00B5792B">
        <w:rPr>
          <w:rFonts w:cs="David" w:hint="cs"/>
          <w:b/>
          <w:bCs/>
          <w:sz w:val="24"/>
          <w:szCs w:val="24"/>
          <w:rtl/>
        </w:rPr>
        <w:t>של</w:t>
      </w:r>
      <w:r w:rsidRPr="00B5792B">
        <w:rPr>
          <w:rFonts w:cs="David"/>
          <w:b/>
          <w:bCs/>
          <w:sz w:val="24"/>
          <w:szCs w:val="24"/>
          <w:rtl/>
        </w:rPr>
        <w:t xml:space="preserve"> </w:t>
      </w:r>
      <w:r w:rsidRPr="00B5792B">
        <w:rPr>
          <w:rFonts w:cs="David" w:hint="cs"/>
          <w:b/>
          <w:bCs/>
          <w:sz w:val="24"/>
          <w:szCs w:val="24"/>
          <w:rtl/>
        </w:rPr>
        <w:t>דורשי צדק חברתי מול דורסנות חברתית, של דורשי התחרות החופשית אל מול אלה המבקשים להפוך אותה לג'ונגל שאין בו חוקים ואין בו זכויות.</w:t>
      </w:r>
      <w:r w:rsidR="00E81879" w:rsidRPr="00B5792B">
        <w:rPr>
          <w:rFonts w:ascii="David" w:cs="David"/>
          <w:b/>
          <w:bCs/>
          <w:sz w:val="24"/>
          <w:szCs w:val="24"/>
          <w:rtl/>
        </w:rPr>
        <w:t xml:space="preserve"> </w:t>
      </w:r>
    </w:p>
    <w:p w:rsidR="006B4F91" w:rsidRPr="00B5792B" w:rsidRDefault="007528AC" w:rsidP="00B5792B">
      <w:pPr>
        <w:pStyle w:val="a9"/>
        <w:spacing w:after="0" w:line="276" w:lineRule="auto"/>
        <w:ind w:left="-341" w:right="-426"/>
        <w:contextualSpacing w:val="0"/>
        <w:jc w:val="both"/>
        <w:rPr>
          <w:rFonts w:ascii="David" w:cs="David"/>
          <w:b/>
          <w:bCs/>
          <w:sz w:val="24"/>
          <w:szCs w:val="24"/>
          <w:rtl/>
        </w:rPr>
      </w:pPr>
      <w:r w:rsidRPr="007528AC">
        <w:rPr>
          <w:rFonts w:ascii="Calibri" w:eastAsia="Calibri" w:hAnsi="Calibri" w:cs="Arial"/>
          <w:noProof/>
          <w:rtl/>
        </w:rPr>
        <w:drawing>
          <wp:anchor distT="0" distB="0" distL="114300" distR="114300" simplePos="0" relativeHeight="251659264" behindDoc="1" locked="0" layoutInCell="1" allowOverlap="1" wp14:anchorId="0B4E4B43" wp14:editId="55A9F40C">
            <wp:simplePos x="0" y="0"/>
            <wp:positionH relativeFrom="column">
              <wp:posOffset>11430</wp:posOffset>
            </wp:positionH>
            <wp:positionV relativeFrom="paragraph">
              <wp:posOffset>60960</wp:posOffset>
            </wp:positionV>
            <wp:extent cx="1271905" cy="842645"/>
            <wp:effectExtent l="0" t="0" r="4445" b="0"/>
            <wp:wrapNone/>
            <wp:docPr id="2" name="תמונה 3" descr="חתימה של רוע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חתימה של רועי"/>
                    <pic:cNvPicPr>
                      <a:picLocks noChangeAspect="1" noChangeArrowheads="1"/>
                    </pic:cNvPicPr>
                  </pic:nvPicPr>
                  <pic:blipFill>
                    <a:blip r:embed="rId7" cstate="print">
                      <a:clrChange>
                        <a:clrFrom>
                          <a:srgbClr val="A4A2A3"/>
                        </a:clrFrom>
                        <a:clrTo>
                          <a:srgbClr val="A4A2A3">
                            <a:alpha val="0"/>
                          </a:srgbClr>
                        </a:clrTo>
                      </a:clrChange>
                      <a:lum bright="40000" contrast="40000"/>
                      <a:extLst>
                        <a:ext uri="{28A0092B-C50C-407E-A947-70E740481C1C}">
                          <a14:useLocalDpi xmlns:a14="http://schemas.microsoft.com/office/drawing/2010/main" val="0"/>
                        </a:ext>
                      </a:extLst>
                    </a:blip>
                    <a:srcRect l="23465" t="33911" r="35512" b="18173"/>
                    <a:stretch>
                      <a:fillRect/>
                    </a:stretch>
                  </pic:blipFill>
                  <pic:spPr bwMode="auto">
                    <a:xfrm>
                      <a:off x="0" y="0"/>
                      <a:ext cx="1271905" cy="842645"/>
                    </a:xfrm>
                    <a:prstGeom prst="rect">
                      <a:avLst/>
                    </a:prstGeom>
                    <a:noFill/>
                  </pic:spPr>
                </pic:pic>
              </a:graphicData>
            </a:graphic>
            <wp14:sizeRelH relativeFrom="page">
              <wp14:pctWidth>0</wp14:pctWidth>
            </wp14:sizeRelH>
            <wp14:sizeRelV relativeFrom="page">
              <wp14:pctHeight>0</wp14:pctHeight>
            </wp14:sizeRelV>
          </wp:anchor>
        </w:drawing>
      </w:r>
    </w:p>
    <w:p w:rsidR="00BE66C8" w:rsidRDefault="00BE66C8" w:rsidP="006B4F91">
      <w:pPr>
        <w:tabs>
          <w:tab w:val="left" w:pos="-341"/>
        </w:tabs>
        <w:spacing w:after="0" w:line="240" w:lineRule="auto"/>
        <w:ind w:left="6480" w:right="-426"/>
        <w:jc w:val="both"/>
        <w:rPr>
          <w:rFonts w:cs="David"/>
          <w:sz w:val="24"/>
          <w:szCs w:val="24"/>
          <w:rtl/>
        </w:rPr>
      </w:pPr>
      <w:r>
        <w:rPr>
          <w:rFonts w:cs="David" w:hint="cs"/>
          <w:sz w:val="24"/>
          <w:szCs w:val="24"/>
          <w:rtl/>
        </w:rPr>
        <w:t>בברכה,</w:t>
      </w:r>
    </w:p>
    <w:p w:rsidR="00BE66C8" w:rsidRDefault="00B5792B" w:rsidP="006B4F91">
      <w:pPr>
        <w:tabs>
          <w:tab w:val="left" w:pos="-341"/>
        </w:tabs>
        <w:spacing w:after="0" w:line="240" w:lineRule="auto"/>
        <w:ind w:left="6480" w:right="-426"/>
        <w:jc w:val="both"/>
        <w:rPr>
          <w:rFonts w:cs="David"/>
          <w:sz w:val="24"/>
          <w:szCs w:val="24"/>
          <w:rtl/>
        </w:rPr>
      </w:pPr>
      <w:r>
        <w:rPr>
          <w:rFonts w:cs="David" w:hint="cs"/>
          <w:sz w:val="24"/>
          <w:szCs w:val="24"/>
          <w:rtl/>
        </w:rPr>
        <w:t xml:space="preserve">רועי </w:t>
      </w:r>
      <w:proofErr w:type="spellStart"/>
      <w:r>
        <w:rPr>
          <w:rFonts w:cs="David" w:hint="cs"/>
          <w:sz w:val="24"/>
          <w:szCs w:val="24"/>
          <w:rtl/>
        </w:rPr>
        <w:t>לחמנוביץ</w:t>
      </w:r>
      <w:proofErr w:type="spellEnd"/>
      <w:r w:rsidR="007528AC">
        <w:rPr>
          <w:rFonts w:cs="David" w:hint="cs"/>
          <w:sz w:val="24"/>
          <w:szCs w:val="24"/>
          <w:rtl/>
        </w:rPr>
        <w:t xml:space="preserve"> </w:t>
      </w:r>
      <w:r w:rsidR="007528AC">
        <w:rPr>
          <w:rFonts w:cs="David"/>
          <w:sz w:val="24"/>
          <w:szCs w:val="24"/>
          <w:rtl/>
        </w:rPr>
        <w:t>–</w:t>
      </w:r>
      <w:r w:rsidR="007528AC">
        <w:rPr>
          <w:rFonts w:cs="David" w:hint="cs"/>
          <w:sz w:val="24"/>
          <w:szCs w:val="24"/>
          <w:rtl/>
        </w:rPr>
        <w:t xml:space="preserve"> מנכ"ל</w:t>
      </w:r>
    </w:p>
    <w:p w:rsidR="00BE66C8" w:rsidRPr="009B4024" w:rsidRDefault="00B5792B" w:rsidP="006B4F91">
      <w:pPr>
        <w:tabs>
          <w:tab w:val="left" w:pos="-341"/>
        </w:tabs>
        <w:spacing w:after="0" w:line="240" w:lineRule="auto"/>
        <w:ind w:left="6480" w:right="-426"/>
        <w:jc w:val="both"/>
        <w:rPr>
          <w:rFonts w:cs="David"/>
          <w:sz w:val="24"/>
          <w:szCs w:val="24"/>
        </w:rPr>
      </w:pPr>
      <w:r>
        <w:rPr>
          <w:rFonts w:cs="David" w:hint="cs"/>
          <w:sz w:val="24"/>
          <w:szCs w:val="24"/>
          <w:rtl/>
        </w:rPr>
        <w:t>הקואליציה לשבת שוויון</w:t>
      </w:r>
    </w:p>
    <w:sectPr w:rsidR="00BE66C8" w:rsidRPr="009B4024" w:rsidSect="00B5792B">
      <w:headerReference w:type="default" r:id="rId8"/>
      <w:pgSz w:w="11906" w:h="16838"/>
      <w:pgMar w:top="1440" w:right="1800" w:bottom="1440" w:left="1800" w:header="57" w:footer="737"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4E20" w:rsidRDefault="002A4E20" w:rsidP="00BE66C8">
      <w:pPr>
        <w:spacing w:after="0" w:line="240" w:lineRule="auto"/>
      </w:pPr>
      <w:r>
        <w:separator/>
      </w:r>
    </w:p>
  </w:endnote>
  <w:endnote w:type="continuationSeparator" w:id="0">
    <w:p w:rsidR="002A4E20" w:rsidRDefault="002A4E20" w:rsidP="00BE6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4E20" w:rsidRDefault="002A4E20" w:rsidP="00BE66C8">
      <w:pPr>
        <w:spacing w:after="0" w:line="240" w:lineRule="auto"/>
      </w:pPr>
      <w:r>
        <w:separator/>
      </w:r>
    </w:p>
  </w:footnote>
  <w:footnote w:type="continuationSeparator" w:id="0">
    <w:p w:rsidR="002A4E20" w:rsidRDefault="002A4E20" w:rsidP="00BE66C8">
      <w:pPr>
        <w:spacing w:after="0" w:line="240" w:lineRule="auto"/>
      </w:pPr>
      <w:r>
        <w:continuationSeparator/>
      </w:r>
    </w:p>
  </w:footnote>
  <w:footnote w:id="1">
    <w:p w:rsidR="00B5792B" w:rsidRDefault="00B5792B" w:rsidP="00B5792B">
      <w:pPr>
        <w:pStyle w:val="ab"/>
        <w:ind w:left="-483"/>
        <w:rPr>
          <w:sz w:val="18"/>
          <w:szCs w:val="18"/>
        </w:rPr>
      </w:pPr>
      <w:r>
        <w:rPr>
          <w:rStyle w:val="ad"/>
          <w:rFonts w:ascii="David" w:hAnsi="David" w:cs="David"/>
        </w:rPr>
        <w:footnoteRef/>
      </w:r>
      <w:r>
        <w:rPr>
          <w:rFonts w:cs="David"/>
          <w:sz w:val="18"/>
          <w:szCs w:val="18"/>
          <w:rtl/>
        </w:rPr>
        <w:t xml:space="preserve"> "</w:t>
      </w:r>
      <w:r>
        <w:rPr>
          <w:rFonts w:cs="David"/>
          <w:b/>
          <w:bCs/>
          <w:sz w:val="18"/>
          <w:szCs w:val="18"/>
          <w:rtl/>
        </w:rPr>
        <w:t>אכיפת ההוראות בדבר פתיחת עסקים וסגירתם בימי המנוחה על ידי הרשויות המקומיות</w:t>
      </w:r>
      <w:r>
        <w:rPr>
          <w:rFonts w:cs="David"/>
          <w:sz w:val="18"/>
          <w:szCs w:val="18"/>
          <w:rtl/>
        </w:rPr>
        <w:t>". נייר עמדה של מרכז המחקר והמידע של הכנסת מיום 6.2.14:</w:t>
      </w:r>
      <w:r>
        <w:rPr>
          <w:sz w:val="18"/>
          <w:szCs w:val="18"/>
          <w:rtl/>
        </w:rPr>
        <w:t xml:space="preserve"> </w:t>
      </w:r>
      <w:hyperlink r:id="rId1" w:history="1">
        <w:r>
          <w:rPr>
            <w:rStyle w:val="Hyperlink"/>
            <w:sz w:val="18"/>
            <w:szCs w:val="18"/>
          </w:rPr>
          <w:t>http://www.knesset.gov.il/mmm/data/pdf/m03360.pdf</w:t>
        </w:r>
      </w:hyperlink>
      <w:r>
        <w:rPr>
          <w:sz w:val="18"/>
          <w:szCs w:val="18"/>
          <w:rtl/>
        </w:rPr>
        <w:t xml:space="preserve"> </w:t>
      </w:r>
    </w:p>
  </w:footnote>
  <w:footnote w:id="2">
    <w:p w:rsidR="00B5792B" w:rsidRDefault="00B5792B" w:rsidP="00B5792B">
      <w:pPr>
        <w:pStyle w:val="ab"/>
        <w:ind w:left="-483"/>
        <w:rPr>
          <w:sz w:val="28"/>
          <w:szCs w:val="28"/>
        </w:rPr>
      </w:pPr>
      <w:r>
        <w:rPr>
          <w:rStyle w:val="ad"/>
          <w:rFonts w:ascii="David" w:hAnsi="David" w:cs="David"/>
          <w:sz w:val="28"/>
          <w:szCs w:val="28"/>
        </w:rPr>
        <w:footnoteRef/>
      </w:r>
      <w:r>
        <w:rPr>
          <w:rStyle w:val="ad"/>
          <w:rFonts w:ascii="David" w:hAnsi="David" w:cs="David"/>
          <w:sz w:val="28"/>
          <w:szCs w:val="28"/>
          <w:rtl/>
        </w:rPr>
        <w:t xml:space="preserve"> </w:t>
      </w:r>
      <w:r>
        <w:rPr>
          <w:rStyle w:val="ad"/>
          <w:rFonts w:ascii="David" w:hAnsi="David" w:cs="David" w:hint="cs"/>
          <w:b/>
          <w:bCs/>
          <w:sz w:val="28"/>
          <w:szCs w:val="28"/>
          <w:rtl/>
        </w:rPr>
        <w:t>הסדרים להנהגת יום המנוחה השבועי</w:t>
      </w:r>
      <w:r>
        <w:rPr>
          <w:rStyle w:val="ad"/>
          <w:rFonts w:ascii="David" w:hAnsi="David" w:cs="David" w:hint="cs"/>
          <w:sz w:val="28"/>
          <w:szCs w:val="28"/>
          <w:rtl/>
        </w:rPr>
        <w:t xml:space="preserve">, מסמך של מרכז המחקר והמידע של הכנסת מיום 29.6.10: </w:t>
      </w:r>
      <w:hyperlink r:id="rId2" w:history="1">
        <w:r>
          <w:rPr>
            <w:rStyle w:val="Hyperlink"/>
            <w:rFonts w:ascii="David" w:hAnsi="David" w:cs="David"/>
            <w:sz w:val="28"/>
            <w:szCs w:val="28"/>
            <w:vertAlign w:val="superscript"/>
          </w:rPr>
          <w:t>https://www.knesset.gov.il/mmm/data/pdf/m02603.pdf</w:t>
        </w:r>
      </w:hyperlink>
      <w:r>
        <w:rPr>
          <w:rFonts w:ascii="David" w:hAnsi="David" w:cs="David"/>
          <w:sz w:val="28"/>
          <w:szCs w:val="28"/>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4702" w:rsidRDefault="00B5792B" w:rsidP="00B5792B">
    <w:pPr>
      <w:pStyle w:val="a3"/>
      <w:tabs>
        <w:tab w:val="clear" w:pos="8306"/>
        <w:tab w:val="right" w:pos="9015"/>
      </w:tabs>
      <w:ind w:left="-483" w:right="-567"/>
      <w:jc w:val="right"/>
      <w:rPr>
        <w:rtl/>
      </w:rPr>
    </w:pPr>
    <w:r>
      <w:rPr>
        <w:rFonts w:hint="cs"/>
        <w:rtl/>
      </w:rPr>
      <w:t xml:space="preserve"> </w:t>
    </w:r>
    <w:r w:rsidRPr="003B1527">
      <w:rPr>
        <w:noProof/>
        <w:rtl/>
      </w:rPr>
      <w:drawing>
        <wp:inline distT="0" distB="0" distL="0" distR="0" wp14:anchorId="78830488" wp14:editId="5551C978">
          <wp:extent cx="715617" cy="911938"/>
          <wp:effectExtent l="19050" t="0" r="8283" b="0"/>
          <wp:docPr id="1" name="תמונה 1" descr="https://docs.google.com/uc?export=download&amp;id=0B-a4D6gWvcDyRnJheG5MQTFmM2c&amp;revid=0B-a4D6gWvcDyYUVZUm5jamdYRTRJSG1xSzhva1dhY25weTNz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ocs.google.com/uc?export=download&amp;id=0B-a4D6gWvcDyRnJheG5MQTFmM2c&amp;revid=0B-a4D6gWvcDyYUVZUm5jamdYRTRJSG1xSzhva1dhY25weTNzPQ"/>
                  <pic:cNvPicPr>
                    <a:picLocks noChangeAspect="1" noChangeArrowheads="1"/>
                  </pic:cNvPicPr>
                </pic:nvPicPr>
                <pic:blipFill>
                  <a:blip r:embed="rId1"/>
                  <a:srcRect l="67017"/>
                  <a:stretch>
                    <a:fillRect/>
                  </a:stretch>
                </pic:blipFill>
                <pic:spPr bwMode="auto">
                  <a:xfrm>
                    <a:off x="0" y="0"/>
                    <a:ext cx="718132" cy="915143"/>
                  </a:xfrm>
                  <a:prstGeom prst="rect">
                    <a:avLst/>
                  </a:prstGeom>
                  <a:noFill/>
                  <a:ln w="9525">
                    <a:noFill/>
                    <a:miter lim="800000"/>
                    <a:headEnd/>
                    <a:tailEnd/>
                  </a:ln>
                </pic:spPr>
              </pic:pic>
            </a:graphicData>
          </a:graphic>
        </wp:inline>
      </w:drawing>
    </w:r>
    <w:r>
      <w:rPr>
        <w:rFonts w:hint="cs"/>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EC5F5E"/>
    <w:multiLevelType w:val="hybridMultilevel"/>
    <w:tmpl w:val="CB88D910"/>
    <w:lvl w:ilvl="0" w:tplc="04090001">
      <w:start w:val="1"/>
      <w:numFmt w:val="bullet"/>
      <w:lvlText w:val=""/>
      <w:lvlJc w:val="left"/>
      <w:pPr>
        <w:ind w:left="719" w:hanging="360"/>
      </w:pPr>
      <w:rPr>
        <w:rFonts w:ascii="Symbol" w:hAnsi="Symbol" w:hint="default"/>
      </w:rPr>
    </w:lvl>
    <w:lvl w:ilvl="1" w:tplc="04090003">
      <w:start w:val="1"/>
      <w:numFmt w:val="bullet"/>
      <w:lvlText w:val="o"/>
      <w:lvlJc w:val="left"/>
      <w:pPr>
        <w:ind w:left="1439" w:hanging="360"/>
      </w:pPr>
      <w:rPr>
        <w:rFonts w:ascii="Courier New" w:hAnsi="Courier New" w:cs="Courier New" w:hint="default"/>
      </w:rPr>
    </w:lvl>
    <w:lvl w:ilvl="2" w:tplc="04090005">
      <w:start w:val="1"/>
      <w:numFmt w:val="bullet"/>
      <w:lvlText w:val=""/>
      <w:lvlJc w:val="left"/>
      <w:pPr>
        <w:ind w:left="2159" w:hanging="360"/>
      </w:pPr>
      <w:rPr>
        <w:rFonts w:ascii="Wingdings" w:hAnsi="Wingdings" w:hint="default"/>
      </w:rPr>
    </w:lvl>
    <w:lvl w:ilvl="3" w:tplc="04090001">
      <w:start w:val="1"/>
      <w:numFmt w:val="bullet"/>
      <w:lvlText w:val=""/>
      <w:lvlJc w:val="left"/>
      <w:pPr>
        <w:ind w:left="2879" w:hanging="360"/>
      </w:pPr>
      <w:rPr>
        <w:rFonts w:ascii="Symbol" w:hAnsi="Symbol" w:hint="default"/>
      </w:rPr>
    </w:lvl>
    <w:lvl w:ilvl="4" w:tplc="04090003">
      <w:start w:val="1"/>
      <w:numFmt w:val="bullet"/>
      <w:lvlText w:val="o"/>
      <w:lvlJc w:val="left"/>
      <w:pPr>
        <w:ind w:left="3599" w:hanging="360"/>
      </w:pPr>
      <w:rPr>
        <w:rFonts w:ascii="Courier New" w:hAnsi="Courier New" w:cs="Courier New" w:hint="default"/>
      </w:rPr>
    </w:lvl>
    <w:lvl w:ilvl="5" w:tplc="04090005">
      <w:start w:val="1"/>
      <w:numFmt w:val="bullet"/>
      <w:lvlText w:val=""/>
      <w:lvlJc w:val="left"/>
      <w:pPr>
        <w:ind w:left="4319" w:hanging="360"/>
      </w:pPr>
      <w:rPr>
        <w:rFonts w:ascii="Wingdings" w:hAnsi="Wingdings" w:hint="default"/>
      </w:rPr>
    </w:lvl>
    <w:lvl w:ilvl="6" w:tplc="04090001">
      <w:start w:val="1"/>
      <w:numFmt w:val="bullet"/>
      <w:lvlText w:val=""/>
      <w:lvlJc w:val="left"/>
      <w:pPr>
        <w:ind w:left="5039" w:hanging="360"/>
      </w:pPr>
      <w:rPr>
        <w:rFonts w:ascii="Symbol" w:hAnsi="Symbol" w:hint="default"/>
      </w:rPr>
    </w:lvl>
    <w:lvl w:ilvl="7" w:tplc="04090003">
      <w:start w:val="1"/>
      <w:numFmt w:val="bullet"/>
      <w:lvlText w:val="o"/>
      <w:lvlJc w:val="left"/>
      <w:pPr>
        <w:ind w:left="5759" w:hanging="360"/>
      </w:pPr>
      <w:rPr>
        <w:rFonts w:ascii="Courier New" w:hAnsi="Courier New" w:cs="Courier New" w:hint="default"/>
      </w:rPr>
    </w:lvl>
    <w:lvl w:ilvl="8" w:tplc="04090005">
      <w:start w:val="1"/>
      <w:numFmt w:val="bullet"/>
      <w:lvlText w:val=""/>
      <w:lvlJc w:val="left"/>
      <w:pPr>
        <w:ind w:left="6479" w:hanging="360"/>
      </w:pPr>
      <w:rPr>
        <w:rFonts w:ascii="Wingdings" w:hAnsi="Wingdings" w:hint="default"/>
      </w:rPr>
    </w:lvl>
  </w:abstractNum>
  <w:abstractNum w:abstractNumId="1" w15:restartNumberingAfterBreak="0">
    <w:nsid w:val="7ACA6FC5"/>
    <w:multiLevelType w:val="hybridMultilevel"/>
    <w:tmpl w:val="33C43452"/>
    <w:lvl w:ilvl="0" w:tplc="04090013">
      <w:start w:val="1"/>
      <w:numFmt w:val="hebrew1"/>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6C8"/>
    <w:rsid w:val="00177B65"/>
    <w:rsid w:val="001A4702"/>
    <w:rsid w:val="002A4E20"/>
    <w:rsid w:val="005904AE"/>
    <w:rsid w:val="006B4F91"/>
    <w:rsid w:val="007528AC"/>
    <w:rsid w:val="00785742"/>
    <w:rsid w:val="008B3E57"/>
    <w:rsid w:val="009436C0"/>
    <w:rsid w:val="00B5792B"/>
    <w:rsid w:val="00B87B26"/>
    <w:rsid w:val="00BE66C8"/>
    <w:rsid w:val="00DA1481"/>
    <w:rsid w:val="00DA5721"/>
    <w:rsid w:val="00E8187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4EC7296-2BDC-4A27-9C57-473987380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66C8"/>
    <w:pPr>
      <w:bidi/>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E66C8"/>
    <w:pPr>
      <w:tabs>
        <w:tab w:val="center" w:pos="4153"/>
        <w:tab w:val="right" w:pos="8306"/>
      </w:tabs>
      <w:spacing w:after="0" w:line="240" w:lineRule="auto"/>
    </w:pPr>
  </w:style>
  <w:style w:type="character" w:customStyle="1" w:styleId="a4">
    <w:name w:val="כותרת עליונה תו"/>
    <w:basedOn w:val="a0"/>
    <w:link w:val="a3"/>
    <w:uiPriority w:val="99"/>
    <w:rsid w:val="00BE66C8"/>
  </w:style>
  <w:style w:type="paragraph" w:styleId="a5">
    <w:name w:val="footer"/>
    <w:basedOn w:val="a"/>
    <w:link w:val="a6"/>
    <w:uiPriority w:val="99"/>
    <w:unhideWhenUsed/>
    <w:rsid w:val="00BE66C8"/>
    <w:pPr>
      <w:tabs>
        <w:tab w:val="center" w:pos="4153"/>
        <w:tab w:val="right" w:pos="8306"/>
      </w:tabs>
      <w:spacing w:after="0" w:line="240" w:lineRule="auto"/>
    </w:pPr>
  </w:style>
  <w:style w:type="character" w:customStyle="1" w:styleId="a6">
    <w:name w:val="כותרת תחתונה תו"/>
    <w:basedOn w:val="a0"/>
    <w:link w:val="a5"/>
    <w:uiPriority w:val="99"/>
    <w:rsid w:val="00BE66C8"/>
  </w:style>
  <w:style w:type="paragraph" w:styleId="a7">
    <w:name w:val="Balloon Text"/>
    <w:basedOn w:val="a"/>
    <w:link w:val="a8"/>
    <w:uiPriority w:val="99"/>
    <w:semiHidden/>
    <w:unhideWhenUsed/>
    <w:rsid w:val="00BE66C8"/>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BE66C8"/>
    <w:rPr>
      <w:rFonts w:ascii="Tahoma" w:hAnsi="Tahoma" w:cs="Tahoma"/>
      <w:sz w:val="16"/>
      <w:szCs w:val="16"/>
    </w:rPr>
  </w:style>
  <w:style w:type="paragraph" w:styleId="a9">
    <w:name w:val="List Paragraph"/>
    <w:basedOn w:val="a"/>
    <w:uiPriority w:val="99"/>
    <w:qFormat/>
    <w:rsid w:val="00BE66C8"/>
    <w:pPr>
      <w:ind w:left="720"/>
      <w:contextualSpacing/>
    </w:pPr>
  </w:style>
  <w:style w:type="paragraph" w:styleId="aa">
    <w:name w:val="Block Text"/>
    <w:basedOn w:val="a"/>
    <w:rsid w:val="00E81879"/>
    <w:pPr>
      <w:tabs>
        <w:tab w:val="left" w:pos="43"/>
      </w:tabs>
      <w:spacing w:after="0" w:line="240" w:lineRule="auto"/>
      <w:ind w:left="851" w:right="2880"/>
    </w:pPr>
    <w:rPr>
      <w:rFonts w:ascii="Times New Roman" w:eastAsia="Times New Roman" w:hAnsi="Times New Roman" w:cs="Arial"/>
      <w:b/>
      <w:bCs/>
      <w:sz w:val="20"/>
      <w:lang w:eastAsia="he-IL"/>
    </w:rPr>
  </w:style>
  <w:style w:type="paragraph" w:customStyle="1" w:styleId="Hesber">
    <w:name w:val="Hesber"/>
    <w:basedOn w:val="a"/>
    <w:uiPriority w:val="99"/>
    <w:rsid w:val="00E81879"/>
    <w:pPr>
      <w:widowControl w:val="0"/>
      <w:autoSpaceDE w:val="0"/>
      <w:autoSpaceDN w:val="0"/>
      <w:adjustRightInd w:val="0"/>
      <w:snapToGrid w:val="0"/>
      <w:spacing w:after="0" w:line="360" w:lineRule="auto"/>
      <w:ind w:firstLine="340"/>
      <w:jc w:val="both"/>
    </w:pPr>
    <w:rPr>
      <w:rFonts w:ascii="Arial" w:eastAsia="Arial Unicode MS" w:hAnsi="Arial" w:cs="Arial Unicode MS"/>
      <w:color w:val="000000"/>
      <w:sz w:val="20"/>
      <w:szCs w:val="26"/>
      <w:lang w:eastAsia="ja-JP"/>
    </w:rPr>
  </w:style>
  <w:style w:type="paragraph" w:styleId="ab">
    <w:name w:val="footnote text"/>
    <w:basedOn w:val="a"/>
    <w:link w:val="ac"/>
    <w:uiPriority w:val="99"/>
    <w:unhideWhenUsed/>
    <w:rsid w:val="00E81879"/>
    <w:pPr>
      <w:spacing w:after="0" w:line="240" w:lineRule="auto"/>
    </w:pPr>
    <w:rPr>
      <w:sz w:val="20"/>
      <w:szCs w:val="20"/>
    </w:rPr>
  </w:style>
  <w:style w:type="character" w:customStyle="1" w:styleId="ac">
    <w:name w:val="טקסט הערת שוליים תו"/>
    <w:basedOn w:val="a0"/>
    <w:link w:val="ab"/>
    <w:uiPriority w:val="99"/>
    <w:rsid w:val="00E81879"/>
    <w:rPr>
      <w:sz w:val="20"/>
      <w:szCs w:val="20"/>
    </w:rPr>
  </w:style>
  <w:style w:type="character" w:styleId="ad">
    <w:name w:val="footnote reference"/>
    <w:basedOn w:val="a0"/>
    <w:uiPriority w:val="99"/>
    <w:unhideWhenUsed/>
    <w:rsid w:val="00E81879"/>
    <w:rPr>
      <w:vertAlign w:val="superscript"/>
    </w:rPr>
  </w:style>
  <w:style w:type="character" w:styleId="Hyperlink">
    <w:name w:val="Hyperlink"/>
    <w:basedOn w:val="a0"/>
    <w:uiPriority w:val="99"/>
    <w:unhideWhenUsed/>
    <w:rsid w:val="00E8187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203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knesset.gov.il/mmm/data/pdf/m02603.pdf" TargetMode="External"/><Relationship Id="rId1" Type="http://schemas.openxmlformats.org/officeDocument/2006/relationships/hyperlink" Target="http://www.knesset.gov.il/mmm/data/pdf/m0336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C0E13C-8D57-406F-89EA-3D02AFE38934}"/>
</file>

<file path=customXml/itemProps2.xml><?xml version="1.0" encoding="utf-8"?>
<ds:datastoreItem xmlns:ds="http://schemas.openxmlformats.org/officeDocument/2006/customXml" ds:itemID="{EC7B9D2D-179C-459E-8C82-851F7752BC15}"/>
</file>

<file path=customXml/itemProps3.xml><?xml version="1.0" encoding="utf-8"?>
<ds:datastoreItem xmlns:ds="http://schemas.openxmlformats.org/officeDocument/2006/customXml" ds:itemID="{B59BCC34-5105-49CD-B4E1-9487893A9C24}"/>
</file>

<file path=docProps/app.xml><?xml version="1.0" encoding="utf-8"?>
<Properties xmlns="http://schemas.openxmlformats.org/officeDocument/2006/extended-properties" xmlns:vt="http://schemas.openxmlformats.org/officeDocument/2006/docPropsVTypes">
  <Template>Normal</Template>
  <TotalTime>1</TotalTime>
  <Pages>1</Pages>
  <Words>480</Words>
  <Characters>2400</Characters>
  <Application>Microsoft Office Word</Application>
  <DocSecurity>0</DocSecurity>
  <Lines>20</Lines>
  <Paragraphs>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eitana</dc:creator>
  <cp:keywords/>
  <dc:description/>
  <cp:lastModifiedBy>חדוה בודה נבון</cp:lastModifiedBy>
  <cp:revision>2</cp:revision>
  <cp:lastPrinted>2017-02-27T14:50:00Z</cp:lastPrinted>
  <dcterms:created xsi:type="dcterms:W3CDTF">2017-02-28T07:30:00Z</dcterms:created>
  <dcterms:modified xsi:type="dcterms:W3CDTF">2017-02-28T07:30:00Z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2014701</vt:r8>
  </property>
</Properties>
</file>