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484E" w:rsidRPr="00AC34EC" w:rsidRDefault="009E484E" w:rsidP="009E484E">
      <w:pPr>
        <w:tabs>
          <w:tab w:val="left" w:pos="0"/>
          <w:tab w:val="left" w:pos="226"/>
        </w:tabs>
        <w:jc w:val="center"/>
        <w:rPr>
          <w:rFonts w:ascii="David" w:hAnsi="David" w:cs="David"/>
          <w:rtl/>
        </w:rPr>
      </w:pPr>
      <w:r w:rsidRPr="00AC34EC">
        <w:rPr>
          <w:rFonts w:ascii="David" w:hAnsi="David" w:cs="David"/>
          <w:noProof/>
        </w:rPr>
        <w:drawing>
          <wp:inline distT="0" distB="0" distL="0" distR="0" wp14:anchorId="15DB6D22" wp14:editId="1DF66594">
            <wp:extent cx="2596039" cy="657225"/>
            <wp:effectExtent l="0" t="0" r="0" b="0"/>
            <wp:docPr id="1" name="Picture 1" descr="cwj w hebr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wj w hebrew"/>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96039" cy="657225"/>
                    </a:xfrm>
                    <a:prstGeom prst="rect">
                      <a:avLst/>
                    </a:prstGeom>
                    <a:noFill/>
                    <a:ln>
                      <a:noFill/>
                    </a:ln>
                  </pic:spPr>
                </pic:pic>
              </a:graphicData>
            </a:graphic>
          </wp:inline>
        </w:drawing>
      </w:r>
      <w:r w:rsidRPr="00AC34EC">
        <w:rPr>
          <w:rFonts w:ascii="David" w:hAnsi="David" w:cs="David"/>
          <w:rtl/>
        </w:rPr>
        <w:t>____________________________________________________________________</w:t>
      </w:r>
    </w:p>
    <w:p w:rsidR="009E484E" w:rsidRPr="00AC34EC" w:rsidRDefault="009E484E" w:rsidP="009E484E">
      <w:pPr>
        <w:tabs>
          <w:tab w:val="left" w:pos="0"/>
          <w:tab w:val="left" w:pos="226"/>
        </w:tabs>
        <w:rPr>
          <w:rFonts w:ascii="David" w:hAnsi="David" w:cs="David"/>
        </w:rPr>
      </w:pPr>
    </w:p>
    <w:p w:rsidR="009E484E" w:rsidRPr="00AC34EC" w:rsidRDefault="009E484E" w:rsidP="00925D8E">
      <w:pPr>
        <w:tabs>
          <w:tab w:val="left" w:pos="0"/>
          <w:tab w:val="left" w:pos="226"/>
        </w:tabs>
        <w:rPr>
          <w:rFonts w:ascii="David" w:hAnsi="David" w:cs="David"/>
          <w:rtl/>
        </w:rPr>
      </w:pPr>
      <w:r w:rsidRPr="00AC34EC">
        <w:rPr>
          <w:rFonts w:ascii="David" w:hAnsi="David" w:cs="David"/>
          <w:rtl/>
        </w:rPr>
        <w:tab/>
      </w:r>
      <w:r w:rsidRPr="00AC34EC">
        <w:rPr>
          <w:rFonts w:ascii="David" w:hAnsi="David" w:cs="David"/>
          <w:rtl/>
        </w:rPr>
        <w:tab/>
      </w:r>
      <w:r w:rsidRPr="00AC34EC">
        <w:rPr>
          <w:rFonts w:ascii="David" w:hAnsi="David" w:cs="David"/>
          <w:rtl/>
        </w:rPr>
        <w:tab/>
      </w:r>
      <w:r w:rsidRPr="00AC34EC">
        <w:rPr>
          <w:rFonts w:ascii="David" w:hAnsi="David" w:cs="David"/>
          <w:rtl/>
        </w:rPr>
        <w:tab/>
      </w:r>
      <w:r w:rsidRPr="00AC34EC">
        <w:rPr>
          <w:rFonts w:ascii="David" w:hAnsi="David" w:cs="David"/>
          <w:rtl/>
        </w:rPr>
        <w:tab/>
      </w:r>
      <w:r w:rsidRPr="00AC34EC">
        <w:rPr>
          <w:rFonts w:ascii="David" w:hAnsi="David" w:cs="David"/>
          <w:rtl/>
        </w:rPr>
        <w:tab/>
      </w:r>
      <w:r w:rsidRPr="00AC34EC">
        <w:rPr>
          <w:rFonts w:ascii="David" w:hAnsi="David" w:cs="David"/>
          <w:rtl/>
        </w:rPr>
        <w:tab/>
      </w:r>
      <w:r w:rsidRPr="00AC34EC">
        <w:rPr>
          <w:rFonts w:ascii="David" w:hAnsi="David" w:cs="David"/>
          <w:rtl/>
        </w:rPr>
        <w:tab/>
        <w:t xml:space="preserve">          </w:t>
      </w:r>
      <w:r w:rsidRPr="00AC34EC">
        <w:rPr>
          <w:rFonts w:ascii="David" w:hAnsi="David" w:cs="David"/>
          <w:rtl/>
        </w:rPr>
        <w:tab/>
        <w:t xml:space="preserve">           </w:t>
      </w:r>
      <w:r w:rsidRPr="00AC34EC">
        <w:rPr>
          <w:rFonts w:ascii="David" w:hAnsi="David" w:cs="David"/>
          <w:rtl/>
        </w:rPr>
        <w:tab/>
        <w:t xml:space="preserve">      </w:t>
      </w:r>
      <w:r w:rsidR="00925D8E">
        <w:rPr>
          <w:rFonts w:ascii="David" w:hAnsi="David" w:cs="David" w:hint="cs"/>
          <w:rtl/>
        </w:rPr>
        <w:t>ח'</w:t>
      </w:r>
      <w:r w:rsidRPr="00AC34EC">
        <w:rPr>
          <w:rFonts w:ascii="David" w:hAnsi="David" w:cs="David"/>
          <w:rtl/>
        </w:rPr>
        <w:t xml:space="preserve"> באדר </w:t>
      </w:r>
      <w:proofErr w:type="spellStart"/>
      <w:r w:rsidRPr="00AC34EC">
        <w:rPr>
          <w:rFonts w:ascii="David" w:hAnsi="David" w:cs="David"/>
          <w:rtl/>
        </w:rPr>
        <w:t>התשע"ז</w:t>
      </w:r>
      <w:proofErr w:type="spellEnd"/>
    </w:p>
    <w:p w:rsidR="009E484E" w:rsidRPr="00AC34EC" w:rsidRDefault="009E484E" w:rsidP="009E484E">
      <w:pPr>
        <w:tabs>
          <w:tab w:val="left" w:pos="0"/>
          <w:tab w:val="left" w:pos="226"/>
        </w:tabs>
        <w:spacing w:line="360" w:lineRule="auto"/>
        <w:jc w:val="right"/>
        <w:rPr>
          <w:rFonts w:ascii="David" w:hAnsi="David" w:cs="David"/>
          <w:rtl/>
        </w:rPr>
      </w:pPr>
      <w:r w:rsidRPr="00AC34EC">
        <w:rPr>
          <w:rFonts w:ascii="David" w:hAnsi="David" w:cs="David"/>
          <w:rtl/>
        </w:rPr>
        <w:fldChar w:fldCharType="begin"/>
      </w:r>
      <w:r w:rsidRPr="00AC34EC">
        <w:rPr>
          <w:rFonts w:ascii="David" w:hAnsi="David" w:cs="David"/>
          <w:rtl/>
        </w:rPr>
        <w:instrText xml:space="preserve"> </w:instrText>
      </w:r>
      <w:r w:rsidRPr="00AC34EC">
        <w:rPr>
          <w:rFonts w:ascii="David" w:hAnsi="David" w:cs="David"/>
        </w:rPr>
        <w:instrText>DATE  \@ "d MMMM, yyyy"  \* MERGEFORMAT</w:instrText>
      </w:r>
      <w:r w:rsidRPr="00AC34EC">
        <w:rPr>
          <w:rFonts w:ascii="David" w:hAnsi="David" w:cs="David"/>
          <w:rtl/>
        </w:rPr>
        <w:instrText xml:space="preserve"> </w:instrText>
      </w:r>
      <w:r w:rsidRPr="00AC34EC">
        <w:rPr>
          <w:rFonts w:ascii="David" w:hAnsi="David" w:cs="David"/>
          <w:rtl/>
        </w:rPr>
        <w:fldChar w:fldCharType="separate"/>
      </w:r>
      <w:r w:rsidR="00FD1F47" w:rsidRPr="00AC34EC">
        <w:rPr>
          <w:rFonts w:ascii="David" w:hAnsi="David" w:cs="David"/>
          <w:noProof/>
          <w:rtl/>
        </w:rPr>
        <w:t>‏7 מרץ, 2017</w:t>
      </w:r>
      <w:r w:rsidRPr="00AC34EC">
        <w:rPr>
          <w:rFonts w:ascii="David" w:hAnsi="David" w:cs="David"/>
          <w:rtl/>
        </w:rPr>
        <w:fldChar w:fldCharType="end"/>
      </w:r>
    </w:p>
    <w:p w:rsidR="009E484E" w:rsidRPr="00AC34EC" w:rsidRDefault="009E484E" w:rsidP="009E484E">
      <w:pPr>
        <w:tabs>
          <w:tab w:val="left" w:pos="0"/>
          <w:tab w:val="left" w:pos="226"/>
        </w:tabs>
        <w:spacing w:line="360" w:lineRule="auto"/>
        <w:jc w:val="center"/>
        <w:rPr>
          <w:rFonts w:ascii="David" w:hAnsi="David" w:cs="David"/>
          <w:rtl/>
        </w:rPr>
      </w:pPr>
    </w:p>
    <w:p w:rsidR="009E484E" w:rsidRPr="00AC34EC" w:rsidRDefault="009E484E" w:rsidP="009E484E">
      <w:pPr>
        <w:spacing w:line="360" w:lineRule="auto"/>
        <w:jc w:val="center"/>
        <w:rPr>
          <w:rFonts w:ascii="David" w:hAnsi="David" w:cs="David"/>
          <w:b/>
          <w:bCs/>
          <w:u w:val="single"/>
          <w:rtl/>
        </w:rPr>
      </w:pPr>
    </w:p>
    <w:p w:rsidR="009E484E" w:rsidRPr="00AC34EC" w:rsidRDefault="009E484E" w:rsidP="009E484E">
      <w:pPr>
        <w:spacing w:line="360" w:lineRule="auto"/>
        <w:jc w:val="center"/>
        <w:rPr>
          <w:rFonts w:ascii="David" w:hAnsi="David" w:cs="David"/>
          <w:b/>
          <w:bCs/>
          <w:u w:val="single"/>
          <w:rtl/>
        </w:rPr>
      </w:pPr>
      <w:r w:rsidRPr="00AC34EC">
        <w:rPr>
          <w:rFonts w:ascii="David" w:hAnsi="David" w:cs="David"/>
          <w:b/>
          <w:bCs/>
          <w:u w:val="single"/>
          <w:rtl/>
        </w:rPr>
        <w:t>נייר עמדה</w:t>
      </w:r>
    </w:p>
    <w:p w:rsidR="009E484E" w:rsidRPr="00AC34EC" w:rsidRDefault="009E484E" w:rsidP="00D0023D">
      <w:pPr>
        <w:spacing w:line="360" w:lineRule="auto"/>
        <w:jc w:val="center"/>
        <w:rPr>
          <w:rFonts w:ascii="David" w:hAnsi="David" w:cs="David"/>
          <w:b/>
          <w:bCs/>
          <w:u w:val="single"/>
          <w:rtl/>
        </w:rPr>
      </w:pPr>
      <w:r w:rsidRPr="00AC34EC">
        <w:rPr>
          <w:rFonts w:ascii="David" w:hAnsi="David" w:cs="David"/>
          <w:b/>
          <w:bCs/>
          <w:u w:val="single"/>
          <w:rtl/>
        </w:rPr>
        <w:t>עמדת מרכז צדק לנשים בעניין</w:t>
      </w:r>
      <w:r w:rsidR="00F17297" w:rsidRPr="00AC34EC">
        <w:rPr>
          <w:rFonts w:ascii="David" w:hAnsi="David" w:cs="David"/>
          <w:b/>
          <w:bCs/>
          <w:u w:val="single"/>
          <w:rtl/>
        </w:rPr>
        <w:t xml:space="preserve"> </w:t>
      </w:r>
      <w:r w:rsidRPr="00AC34EC">
        <w:rPr>
          <w:rFonts w:ascii="David" w:hAnsi="David" w:cs="David"/>
          <w:b/>
          <w:bCs/>
          <w:u w:val="single"/>
          <w:rtl/>
        </w:rPr>
        <w:t xml:space="preserve">פסולי חיתון במדינת ישראל </w:t>
      </w:r>
    </w:p>
    <w:p w:rsidR="009E484E" w:rsidRPr="00AC34EC" w:rsidRDefault="009E484E" w:rsidP="009E484E">
      <w:pPr>
        <w:spacing w:line="360" w:lineRule="auto"/>
        <w:jc w:val="both"/>
        <w:rPr>
          <w:rFonts w:ascii="David" w:hAnsi="David" w:cs="David"/>
          <w:rtl/>
        </w:rPr>
      </w:pPr>
    </w:p>
    <w:p w:rsidR="001F5AC1" w:rsidRPr="00AC34EC" w:rsidRDefault="004E078F" w:rsidP="001F5AC1">
      <w:pPr>
        <w:spacing w:line="360" w:lineRule="auto"/>
        <w:ind w:left="186"/>
        <w:jc w:val="both"/>
        <w:rPr>
          <w:rFonts w:ascii="David" w:hAnsi="David" w:cs="David"/>
          <w:rtl/>
        </w:rPr>
      </w:pPr>
      <w:r w:rsidRPr="00AC34EC">
        <w:rPr>
          <w:rFonts w:ascii="David" w:hAnsi="David" w:cs="David"/>
          <w:rtl/>
        </w:rPr>
        <w:t xml:space="preserve">לרגל יום העגונה </w:t>
      </w:r>
      <w:proofErr w:type="spellStart"/>
      <w:r w:rsidRPr="00AC34EC">
        <w:rPr>
          <w:rFonts w:ascii="David" w:hAnsi="David" w:cs="David"/>
          <w:rtl/>
        </w:rPr>
        <w:t>התשע"ז</w:t>
      </w:r>
      <w:proofErr w:type="spellEnd"/>
      <w:r w:rsidRPr="00AC34EC">
        <w:rPr>
          <w:rFonts w:ascii="David" w:hAnsi="David" w:cs="David"/>
          <w:rtl/>
        </w:rPr>
        <w:t xml:space="preserve"> מקיימת הכנסת דיון מיוחד בנושא ממזרות. עמדת מרכז צדק לנשים היא כי </w:t>
      </w:r>
      <w:proofErr w:type="spellStart"/>
      <w:r w:rsidRPr="00AC34EC">
        <w:rPr>
          <w:rFonts w:ascii="David" w:hAnsi="David" w:cs="David"/>
          <w:rtl/>
        </w:rPr>
        <w:t>פיתרון</w:t>
      </w:r>
      <w:proofErr w:type="spellEnd"/>
      <w:r w:rsidRPr="00AC34EC">
        <w:rPr>
          <w:rFonts w:ascii="David" w:hAnsi="David" w:cs="David"/>
          <w:rtl/>
        </w:rPr>
        <w:t xml:space="preserve"> בעיית הממזרות ת</w:t>
      </w:r>
      <w:r w:rsidR="00610570" w:rsidRPr="00AC34EC">
        <w:rPr>
          <w:rFonts w:ascii="David" w:hAnsi="David" w:cs="David"/>
          <w:rtl/>
        </w:rPr>
        <w:t>מגר במידה רבה את בעיית העגונות. נוסף על כך עמדתנו היא כי</w:t>
      </w:r>
      <w:r w:rsidR="001F5AC1" w:rsidRPr="00AC34EC">
        <w:rPr>
          <w:rFonts w:ascii="David" w:hAnsi="David" w:cs="David"/>
          <w:rtl/>
        </w:rPr>
        <w:t xml:space="preserve"> מדיניותה של מדינת ישראל ביחס לפסולי חיתון אינה הולמת מדינה יהודית ודמוקרטית במספר צמתים:</w:t>
      </w:r>
    </w:p>
    <w:p w:rsidR="00E557FA" w:rsidRPr="00AC34EC" w:rsidRDefault="001F5AC1" w:rsidP="00B65EA8">
      <w:pPr>
        <w:pStyle w:val="ListParagraph"/>
        <w:numPr>
          <w:ilvl w:val="0"/>
          <w:numId w:val="3"/>
        </w:numPr>
        <w:spacing w:line="360" w:lineRule="auto"/>
        <w:jc w:val="both"/>
        <w:rPr>
          <w:rFonts w:ascii="David" w:hAnsi="David" w:cs="David"/>
        </w:rPr>
      </w:pPr>
      <w:r w:rsidRPr="00AC34EC">
        <w:rPr>
          <w:rFonts w:ascii="David" w:hAnsi="David" w:cs="David"/>
          <w:rtl/>
        </w:rPr>
        <w:t xml:space="preserve">איסוף פרטים אינטימיים על אנשים פסולי חיתון </w:t>
      </w:r>
      <w:r w:rsidR="00B65EA8" w:rsidRPr="00AC34EC">
        <w:rPr>
          <w:rFonts w:ascii="David" w:hAnsi="David" w:cs="David"/>
          <w:rtl/>
        </w:rPr>
        <w:t>במסגרת</w:t>
      </w:r>
      <w:r w:rsidRPr="00AC34EC">
        <w:rPr>
          <w:rFonts w:ascii="David" w:hAnsi="David" w:cs="David"/>
          <w:rtl/>
        </w:rPr>
        <w:t xml:space="preserve"> "רשימת </w:t>
      </w:r>
      <w:proofErr w:type="spellStart"/>
      <w:r w:rsidRPr="00AC34EC">
        <w:rPr>
          <w:rFonts w:ascii="David" w:hAnsi="David" w:cs="David"/>
          <w:rtl/>
        </w:rPr>
        <w:t>מעוכבי</w:t>
      </w:r>
      <w:proofErr w:type="spellEnd"/>
      <w:r w:rsidRPr="00AC34EC">
        <w:rPr>
          <w:rFonts w:ascii="David" w:hAnsi="David" w:cs="David"/>
          <w:rtl/>
        </w:rPr>
        <w:t xml:space="preserve"> נישואין"</w:t>
      </w:r>
      <w:r w:rsidR="00E557FA" w:rsidRPr="00AC34EC">
        <w:rPr>
          <w:rFonts w:ascii="David" w:hAnsi="David" w:cs="David"/>
          <w:rtl/>
        </w:rPr>
        <w:t xml:space="preserve"> (להלן: הרשימה) והחזקת הרשימה על ידי הנהלת בתי הדין הרבניים.</w:t>
      </w:r>
    </w:p>
    <w:p w:rsidR="001F5AC1" w:rsidRPr="00AC34EC" w:rsidRDefault="00E557FA" w:rsidP="00B65EA8">
      <w:pPr>
        <w:pStyle w:val="ListParagraph"/>
        <w:numPr>
          <w:ilvl w:val="0"/>
          <w:numId w:val="3"/>
        </w:numPr>
        <w:spacing w:line="360" w:lineRule="auto"/>
        <w:jc w:val="both"/>
        <w:rPr>
          <w:rFonts w:ascii="David" w:hAnsi="David" w:cs="David"/>
        </w:rPr>
      </w:pPr>
      <w:r w:rsidRPr="00AC34EC">
        <w:rPr>
          <w:rFonts w:ascii="David" w:hAnsi="David" w:cs="David"/>
          <w:rtl/>
        </w:rPr>
        <w:t>חקירה יזומה של בתי הדין הרבני והרבנות הראשית לישראל על מנת לאתר ממזרים.</w:t>
      </w:r>
    </w:p>
    <w:p w:rsidR="00E557FA" w:rsidRPr="00AC34EC" w:rsidRDefault="00E557FA" w:rsidP="00B65EA8">
      <w:pPr>
        <w:pStyle w:val="ListParagraph"/>
        <w:numPr>
          <w:ilvl w:val="0"/>
          <w:numId w:val="3"/>
        </w:numPr>
        <w:spacing w:line="360" w:lineRule="auto"/>
        <w:jc w:val="both"/>
        <w:rPr>
          <w:rFonts w:ascii="David" w:hAnsi="David" w:cs="David"/>
        </w:rPr>
      </w:pPr>
      <w:r w:rsidRPr="00AC34EC">
        <w:rPr>
          <w:rFonts w:ascii="David" w:hAnsi="David" w:cs="David"/>
          <w:rtl/>
        </w:rPr>
        <w:t>מניעה כמעט הרמטית של ביצוע בדיקות אבהות לקטינים ובוגרים כאשר יש חשש לממזרות.</w:t>
      </w:r>
    </w:p>
    <w:p w:rsidR="006B527F" w:rsidRDefault="006B527F" w:rsidP="00E557FA">
      <w:pPr>
        <w:pStyle w:val="ListParagraph"/>
        <w:spacing w:line="360" w:lineRule="auto"/>
        <w:ind w:left="546"/>
        <w:jc w:val="both"/>
        <w:rPr>
          <w:rFonts w:ascii="David" w:hAnsi="David" w:cs="David"/>
          <w:rtl/>
        </w:rPr>
      </w:pPr>
    </w:p>
    <w:p w:rsidR="00E557FA" w:rsidRPr="00AC34EC" w:rsidRDefault="00E557FA" w:rsidP="00E557FA">
      <w:pPr>
        <w:pStyle w:val="ListParagraph"/>
        <w:spacing w:line="360" w:lineRule="auto"/>
        <w:ind w:left="546"/>
        <w:jc w:val="both"/>
        <w:rPr>
          <w:rFonts w:ascii="David" w:hAnsi="David" w:cs="David"/>
          <w:rtl/>
        </w:rPr>
      </w:pPr>
      <w:r w:rsidRPr="00AC34EC">
        <w:rPr>
          <w:rFonts w:ascii="David" w:hAnsi="David" w:cs="David"/>
          <w:rtl/>
        </w:rPr>
        <w:t>ולהלן נרחיב.</w:t>
      </w:r>
    </w:p>
    <w:p w:rsidR="00E557FA" w:rsidRPr="00AC34EC" w:rsidRDefault="00E557FA" w:rsidP="00E557FA">
      <w:pPr>
        <w:pStyle w:val="ListParagraph"/>
        <w:spacing w:line="360" w:lineRule="auto"/>
        <w:ind w:left="546"/>
        <w:jc w:val="both"/>
        <w:rPr>
          <w:rFonts w:ascii="David" w:hAnsi="David" w:cs="David"/>
          <w:rtl/>
        </w:rPr>
      </w:pPr>
    </w:p>
    <w:p w:rsidR="00E557FA" w:rsidRPr="00AC34EC" w:rsidRDefault="00E557FA" w:rsidP="00FD1F47">
      <w:pPr>
        <w:pStyle w:val="ListParagraph"/>
        <w:numPr>
          <w:ilvl w:val="0"/>
          <w:numId w:val="4"/>
        </w:numPr>
        <w:spacing w:line="360" w:lineRule="auto"/>
        <w:jc w:val="both"/>
        <w:rPr>
          <w:rFonts w:ascii="David" w:hAnsi="David" w:cs="David"/>
          <w:b/>
          <w:bCs/>
          <w:u w:val="single"/>
        </w:rPr>
      </w:pPr>
      <w:r w:rsidRPr="00AC34EC">
        <w:rPr>
          <w:rFonts w:ascii="David" w:hAnsi="David" w:cs="David"/>
          <w:b/>
          <w:bCs/>
          <w:u w:val="single"/>
          <w:rtl/>
        </w:rPr>
        <w:t xml:space="preserve">רשימת </w:t>
      </w:r>
      <w:proofErr w:type="spellStart"/>
      <w:r w:rsidRPr="00AC34EC">
        <w:rPr>
          <w:rFonts w:ascii="David" w:hAnsi="David" w:cs="David"/>
          <w:b/>
          <w:bCs/>
          <w:u w:val="single"/>
          <w:rtl/>
        </w:rPr>
        <w:t>מעוכבי</w:t>
      </w:r>
      <w:proofErr w:type="spellEnd"/>
      <w:r w:rsidRPr="00AC34EC">
        <w:rPr>
          <w:rFonts w:ascii="David" w:hAnsi="David" w:cs="David"/>
          <w:b/>
          <w:bCs/>
          <w:u w:val="single"/>
          <w:rtl/>
        </w:rPr>
        <w:t xml:space="preserve"> הנישואין</w:t>
      </w:r>
    </w:p>
    <w:p w:rsidR="00D0023D" w:rsidRPr="00AC34EC" w:rsidRDefault="00D0023D" w:rsidP="00E557FA">
      <w:pPr>
        <w:spacing w:line="360" w:lineRule="auto"/>
        <w:jc w:val="both"/>
        <w:rPr>
          <w:rFonts w:ascii="David" w:hAnsi="David" w:cs="David"/>
          <w:rtl/>
        </w:rPr>
      </w:pPr>
    </w:p>
    <w:p w:rsidR="00F17297" w:rsidRPr="00AC34EC" w:rsidRDefault="00F17297" w:rsidP="002C44BF">
      <w:pPr>
        <w:spacing w:line="360" w:lineRule="auto"/>
        <w:ind w:left="186"/>
        <w:jc w:val="both"/>
        <w:rPr>
          <w:rFonts w:ascii="David" w:hAnsi="David" w:cs="David"/>
          <w:rtl/>
        </w:rPr>
      </w:pPr>
      <w:r w:rsidRPr="00AC34EC">
        <w:rPr>
          <w:rFonts w:ascii="David" w:hAnsi="David" w:cs="David"/>
          <w:rtl/>
        </w:rPr>
        <w:t xml:space="preserve">הנהלת בתי הדין הרבניים מחזיקה החל משנת 1979 במאגר מידע ממוחשב של פסולי חיתון, המכונה "רשימת </w:t>
      </w:r>
      <w:proofErr w:type="spellStart"/>
      <w:r w:rsidRPr="00AC34EC">
        <w:rPr>
          <w:rFonts w:ascii="David" w:hAnsi="David" w:cs="David"/>
          <w:rtl/>
        </w:rPr>
        <w:t>מעוכבי</w:t>
      </w:r>
      <w:proofErr w:type="spellEnd"/>
      <w:r w:rsidRPr="00AC34EC">
        <w:rPr>
          <w:rFonts w:ascii="David" w:hAnsi="David" w:cs="David"/>
          <w:rtl/>
        </w:rPr>
        <w:t xml:space="preserve"> הנישואין</w:t>
      </w:r>
      <w:r w:rsidR="00E557FA" w:rsidRPr="00AC34EC">
        <w:rPr>
          <w:rFonts w:ascii="David" w:hAnsi="David" w:cs="David"/>
          <w:rtl/>
        </w:rPr>
        <w:t>"</w:t>
      </w:r>
      <w:r w:rsidRPr="00AC34EC">
        <w:rPr>
          <w:rFonts w:ascii="David" w:hAnsi="David" w:cs="David"/>
          <w:rtl/>
        </w:rPr>
        <w:t>.</w:t>
      </w:r>
      <w:r w:rsidR="002C44BF">
        <w:rPr>
          <w:rFonts w:ascii="David" w:hAnsi="David" w:cs="David" w:hint="cs"/>
          <w:rtl/>
        </w:rPr>
        <w:t xml:space="preserve"> עד שנה זו והחל מקום המדינה התקיימו מספר רשימות שנאספו על ידי רושמי נישואין במוקדים שונים.</w:t>
      </w:r>
      <w:r w:rsidRPr="00AC34EC">
        <w:rPr>
          <w:rFonts w:ascii="David" w:hAnsi="David" w:cs="David"/>
          <w:rtl/>
        </w:rPr>
        <w:t xml:space="preserve"> ברשימה מרוכזים שמותיהם של אנשים שבית הדין הרבני קבע כי מעמדם ההלכתי פוגם בכשירות שלהם להינשא, כאשר הקטגוריה החמורה והקשה מכולם היא של ה"ממזר".</w:t>
      </w:r>
      <w:r w:rsidR="00E557FA" w:rsidRPr="00AC34EC">
        <w:rPr>
          <w:rFonts w:ascii="David" w:hAnsi="David" w:cs="David"/>
          <w:rtl/>
        </w:rPr>
        <w:t xml:space="preserve"> </w:t>
      </w:r>
      <w:r w:rsidR="00E557FA" w:rsidRPr="00AC34EC">
        <w:rPr>
          <w:rFonts w:ascii="David" w:hAnsi="David" w:cs="David"/>
          <w:rtl/>
        </w:rPr>
        <w:t xml:space="preserve">יצוין כי לפני </w:t>
      </w:r>
      <w:r w:rsidR="002C44BF">
        <w:rPr>
          <w:rFonts w:ascii="David" w:hAnsi="David" w:cs="David" w:hint="cs"/>
          <w:rtl/>
        </w:rPr>
        <w:t>קום המדינה</w:t>
      </w:r>
      <w:r w:rsidR="00E557FA" w:rsidRPr="00AC34EC">
        <w:rPr>
          <w:rFonts w:ascii="David" w:hAnsi="David" w:cs="David"/>
          <w:rtl/>
        </w:rPr>
        <w:t xml:space="preserve"> העם היהודי מעולם לא החזיק ברשימה ריכוזית של פסולי חיתון.</w:t>
      </w:r>
      <w:r w:rsidR="00FD1F47" w:rsidRPr="00AC34EC">
        <w:rPr>
          <w:rFonts w:ascii="David" w:hAnsi="David" w:cs="David"/>
          <w:rtl/>
        </w:rPr>
        <w:t xml:space="preserve"> על פי נתונים שהגיעו למרכז צדק לנשים באמצעות חוק חופש המידע, נכון לחודש אוגוסט 2016 הרשימה כללה 6,356 פסולי חיתון בקטגוריות שונות.</w:t>
      </w:r>
    </w:p>
    <w:p w:rsidR="00E557FA" w:rsidRPr="00AC34EC" w:rsidRDefault="00F17297" w:rsidP="00FD1F47">
      <w:pPr>
        <w:spacing w:line="360" w:lineRule="auto"/>
        <w:ind w:left="186"/>
        <w:jc w:val="both"/>
        <w:rPr>
          <w:rFonts w:ascii="David" w:hAnsi="David" w:cs="David"/>
          <w:rtl/>
        </w:rPr>
      </w:pPr>
      <w:r w:rsidRPr="00AC34EC">
        <w:rPr>
          <w:rFonts w:ascii="David" w:hAnsi="David" w:cs="David"/>
          <w:rtl/>
        </w:rPr>
        <w:t>עמדת מרכז צדק לנשים היא כי מדינת ישראל, בהיותה מדינה דמוקרטית ויהודית פוגעת באופן אנוש בזכויות של אזרחיה כאש</w:t>
      </w:r>
      <w:r w:rsidR="00FD1F47" w:rsidRPr="00AC34EC">
        <w:rPr>
          <w:rFonts w:ascii="David" w:hAnsi="David" w:cs="David"/>
          <w:rtl/>
        </w:rPr>
        <w:t>ר היא מאפשרת את קיומה של הרשימה: הזכות לשם טוב, הזכות לפרטיות, הזכות להינשא והזכות לכבוד.</w:t>
      </w:r>
    </w:p>
    <w:p w:rsidR="00FD1F47" w:rsidRPr="00AC34EC" w:rsidRDefault="00FD1F47" w:rsidP="00FD1F47">
      <w:pPr>
        <w:spacing w:line="360" w:lineRule="auto"/>
        <w:ind w:left="186"/>
        <w:jc w:val="both"/>
        <w:rPr>
          <w:rFonts w:ascii="David" w:hAnsi="David" w:cs="David"/>
          <w:rtl/>
        </w:rPr>
      </w:pPr>
    </w:p>
    <w:p w:rsidR="00FD1F47" w:rsidRPr="00AC34EC" w:rsidRDefault="00FD1F47" w:rsidP="00FD1F47">
      <w:pPr>
        <w:pStyle w:val="ListParagraph"/>
        <w:numPr>
          <w:ilvl w:val="0"/>
          <w:numId w:val="4"/>
        </w:numPr>
        <w:spacing w:line="360" w:lineRule="auto"/>
        <w:jc w:val="both"/>
        <w:rPr>
          <w:rFonts w:ascii="David" w:hAnsi="David" w:cs="David"/>
          <w:b/>
          <w:bCs/>
          <w:u w:val="single"/>
          <w:rtl/>
        </w:rPr>
      </w:pPr>
      <w:r w:rsidRPr="00AC34EC">
        <w:rPr>
          <w:rFonts w:ascii="David" w:hAnsi="David" w:cs="David"/>
          <w:b/>
          <w:bCs/>
          <w:u w:val="single"/>
          <w:rtl/>
        </w:rPr>
        <w:t xml:space="preserve">המדיניות הפרו-אקטיבית של </w:t>
      </w:r>
      <w:proofErr w:type="spellStart"/>
      <w:r w:rsidRPr="00AC34EC">
        <w:rPr>
          <w:rFonts w:ascii="David" w:hAnsi="David" w:cs="David"/>
          <w:b/>
          <w:bCs/>
          <w:u w:val="single"/>
          <w:rtl/>
        </w:rPr>
        <w:t>התי</w:t>
      </w:r>
      <w:proofErr w:type="spellEnd"/>
      <w:r w:rsidRPr="00AC34EC">
        <w:rPr>
          <w:rFonts w:ascii="David" w:hAnsi="David" w:cs="David"/>
          <w:b/>
          <w:bCs/>
          <w:u w:val="single"/>
          <w:rtl/>
        </w:rPr>
        <w:t xml:space="preserve"> הדין הרבניים והרבנות הראשית</w:t>
      </w:r>
    </w:p>
    <w:p w:rsidR="009E484E" w:rsidRPr="00AC34EC" w:rsidRDefault="00F17297" w:rsidP="00F17297">
      <w:pPr>
        <w:spacing w:line="360" w:lineRule="auto"/>
        <w:ind w:left="186"/>
        <w:jc w:val="both"/>
        <w:rPr>
          <w:rFonts w:ascii="David" w:hAnsi="David" w:cs="David"/>
          <w:rtl/>
        </w:rPr>
      </w:pPr>
      <w:r w:rsidRPr="00AC34EC">
        <w:rPr>
          <w:rFonts w:ascii="David" w:hAnsi="David" w:cs="David"/>
          <w:rtl/>
        </w:rPr>
        <w:t xml:space="preserve">מדיניות </w:t>
      </w:r>
      <w:r w:rsidR="009E484E" w:rsidRPr="00AC34EC">
        <w:rPr>
          <w:rFonts w:ascii="David" w:hAnsi="David" w:cs="David"/>
          <w:rtl/>
        </w:rPr>
        <w:t xml:space="preserve">מערכת בתי הדין הרבניים, הרבנות הראשית ורושמי הנישואין (להלן: </w:t>
      </w:r>
      <w:r w:rsidR="009E484E" w:rsidRPr="00AC34EC">
        <w:rPr>
          <w:rFonts w:ascii="David" w:hAnsi="David" w:cs="David"/>
          <w:b/>
          <w:bCs/>
          <w:rtl/>
        </w:rPr>
        <w:t>המערכת הדתית</w:t>
      </w:r>
      <w:r w:rsidR="009E484E" w:rsidRPr="00AC34EC">
        <w:rPr>
          <w:rFonts w:ascii="David" w:hAnsi="David" w:cs="David"/>
          <w:rtl/>
        </w:rPr>
        <w:t>) לנהוג באופן פרו-אקטיבי בכל הנוגע לרישום פסולי חיתון, ובעיקר ממזרים, וכן במגמה לנסות ולאתר כאלה באופן פעיל</w:t>
      </w:r>
      <w:r w:rsidRPr="00AC34EC">
        <w:rPr>
          <w:rFonts w:ascii="David" w:hAnsi="David" w:cs="David"/>
          <w:rtl/>
        </w:rPr>
        <w:t>, היא נעדרת סמכות ופוגעת בזכויות אדם ביתר שאת</w:t>
      </w:r>
      <w:r w:rsidR="009E484E" w:rsidRPr="00AC34EC">
        <w:rPr>
          <w:rFonts w:ascii="David" w:hAnsi="David" w:cs="David"/>
          <w:rtl/>
        </w:rPr>
        <w:t>. מדיניות זו שזורה הן בנהלים הפנימיים של גורמי המערכת הדתית, והן בהתנהלותה בפועל, כפי שפעילותה של מרכז צדק לנשים בייצוג פסולי חיתון מגלה. להלן נבהיר את מאפייניה של "המדיניות הפעילה" של המערכת הדתית, באמצעות התייחסות לנהלים הרשמיים של המערכת, כמו גם באמצעות מתן דוגמאות מהשטח. לאחר מכן נבהיר את הקשיים המשפטיים, החוקתיים והערכיים שמדיניות זו מייצרת.</w:t>
      </w:r>
    </w:p>
    <w:p w:rsidR="009E484E" w:rsidRPr="00AC34EC" w:rsidRDefault="009E484E" w:rsidP="009E484E">
      <w:pPr>
        <w:spacing w:line="360" w:lineRule="auto"/>
        <w:ind w:left="186"/>
        <w:jc w:val="both"/>
        <w:rPr>
          <w:rFonts w:ascii="David" w:hAnsi="David" w:cs="David"/>
          <w:rtl/>
        </w:rPr>
      </w:pPr>
    </w:p>
    <w:p w:rsidR="009E484E" w:rsidRPr="00AC34EC" w:rsidRDefault="00FD1F47" w:rsidP="007743BC">
      <w:pPr>
        <w:pStyle w:val="ListParagraph"/>
        <w:spacing w:line="360" w:lineRule="auto"/>
        <w:ind w:left="-483" w:firstLine="141"/>
        <w:jc w:val="both"/>
        <w:rPr>
          <w:rFonts w:ascii="David" w:hAnsi="David" w:cs="David"/>
          <w:b/>
          <w:bCs/>
          <w:u w:val="single"/>
        </w:rPr>
      </w:pPr>
      <w:r w:rsidRPr="00AC34EC">
        <w:rPr>
          <w:rFonts w:ascii="David" w:hAnsi="David" w:cs="David"/>
          <w:b/>
          <w:bCs/>
          <w:u w:val="single"/>
          <w:rtl/>
        </w:rPr>
        <w:lastRenderedPageBreak/>
        <w:t>2.1</w:t>
      </w:r>
      <w:r w:rsidR="009E484E" w:rsidRPr="007743BC">
        <w:rPr>
          <w:rFonts w:ascii="David" w:hAnsi="David" w:cs="David"/>
          <w:b/>
          <w:bCs/>
          <w:rtl/>
        </w:rPr>
        <w:t xml:space="preserve">. </w:t>
      </w:r>
      <w:r w:rsidR="007743BC" w:rsidRPr="007743BC">
        <w:rPr>
          <w:rFonts w:ascii="David" w:hAnsi="David" w:cs="David" w:hint="cs"/>
          <w:b/>
          <w:bCs/>
          <w:rtl/>
        </w:rPr>
        <w:t xml:space="preserve"> </w:t>
      </w:r>
      <w:r w:rsidR="009E484E" w:rsidRPr="00AC34EC">
        <w:rPr>
          <w:rFonts w:ascii="David" w:hAnsi="David" w:cs="David"/>
          <w:b/>
          <w:bCs/>
          <w:u w:val="single"/>
          <w:rtl/>
        </w:rPr>
        <w:t>פתיחת תיקי בירור ממזרות ביוזמת בית הדין הרבני</w:t>
      </w:r>
    </w:p>
    <w:p w:rsidR="009E484E" w:rsidRPr="00AC34EC" w:rsidRDefault="009E484E" w:rsidP="009E484E">
      <w:pPr>
        <w:pStyle w:val="ListParagraph"/>
        <w:spacing w:line="360" w:lineRule="auto"/>
        <w:ind w:left="546"/>
        <w:jc w:val="both"/>
        <w:rPr>
          <w:rFonts w:ascii="David" w:hAnsi="David" w:cs="David"/>
          <w:b/>
          <w:bCs/>
          <w:u w:val="single"/>
        </w:rPr>
      </w:pPr>
    </w:p>
    <w:p w:rsidR="009E484E" w:rsidRPr="00AC34EC" w:rsidRDefault="009E484E" w:rsidP="00AC34EC">
      <w:pPr>
        <w:pStyle w:val="ListParagraph"/>
        <w:spacing w:line="360" w:lineRule="auto"/>
        <w:ind w:left="-58"/>
        <w:jc w:val="both"/>
        <w:rPr>
          <w:rFonts w:ascii="David" w:hAnsi="David" w:cs="David"/>
          <w:rtl/>
        </w:rPr>
      </w:pPr>
      <w:r w:rsidRPr="00AC34EC">
        <w:rPr>
          <w:rFonts w:ascii="David" w:hAnsi="David" w:cs="David"/>
          <w:rtl/>
        </w:rPr>
        <w:t>"</w:t>
      </w:r>
      <w:r w:rsidRPr="00AC34EC">
        <w:rPr>
          <w:rFonts w:ascii="David" w:hAnsi="David" w:cs="David"/>
          <w:b/>
          <w:bCs/>
          <w:rtl/>
        </w:rPr>
        <w:t>הנחיות סדר דין בענייני כשרות יוחסין</w:t>
      </w:r>
      <w:r w:rsidRPr="00AC34EC">
        <w:rPr>
          <w:rFonts w:ascii="David" w:hAnsi="David" w:cs="David"/>
          <w:rtl/>
        </w:rPr>
        <w:t xml:space="preserve">" מטעם היועץ המשפטי לממשלה ונשיא בית הדין הגדול מיום 11.4.04 מורות כי כאשר בית הדין הרבני עוסק בעניין מסוים, ותוך כדי הדיון עולות בפניו עובדות בעניין ייחוסו של אדם, "יורה בית הדין על פתיחת תיק נפרד לבירור העניין". במקרה זה ההנחיות מחייבות את בית הדין, להקים הרכב מיוחד, ליזום ולפתוח תיק לבירור עניין יוחסיו של אדם, גם אם אותו אדם הוא לא אחד מבעלי הדין הנידונים בפניו וגם אם אינו מעוניין ששאלת יוחסיו תידון. ההנחיות לא קובעות גבולות גזרה ולכאורה בכל מקרה שבו תועלה טענה על ידי אחד הצדדים לדיון, גם אם מדובר בבעל אינטרס, על בית הדין לברר את הנושא ולהציף את שאלת הממזרות. ההנחיות עוד קובעות שיש לנהוג כך גם כשמדובר בעניינו של קטין, ואף עולה כי הנוהל </w:t>
      </w:r>
      <w:proofErr w:type="spellStart"/>
      <w:r w:rsidRPr="00AC34EC">
        <w:rPr>
          <w:rFonts w:ascii="David" w:hAnsi="David" w:cs="David"/>
          <w:rtl/>
        </w:rPr>
        <w:t>יוםעל</w:t>
      </w:r>
      <w:proofErr w:type="spellEnd"/>
      <w:r w:rsidRPr="00AC34EC">
        <w:rPr>
          <w:rFonts w:ascii="David" w:hAnsi="David" w:cs="David"/>
          <w:rtl/>
        </w:rPr>
        <w:t xml:space="preserve"> גם במקרה שהאפוטרופוסים של הקטין אינם מעוניינים בבירור הנושא. </w:t>
      </w:r>
    </w:p>
    <w:p w:rsidR="009E484E" w:rsidRPr="00AC34EC" w:rsidRDefault="009E484E" w:rsidP="00AC34EC">
      <w:pPr>
        <w:pStyle w:val="ListParagraph"/>
        <w:spacing w:line="360" w:lineRule="auto"/>
        <w:ind w:left="-58"/>
        <w:jc w:val="both"/>
        <w:rPr>
          <w:rFonts w:ascii="David" w:hAnsi="David" w:cs="David"/>
          <w:rtl/>
        </w:rPr>
      </w:pPr>
    </w:p>
    <w:p w:rsidR="009E484E" w:rsidRPr="00AC34EC" w:rsidRDefault="009E484E" w:rsidP="00AC34EC">
      <w:pPr>
        <w:pStyle w:val="ListParagraph"/>
        <w:numPr>
          <w:ilvl w:val="1"/>
          <w:numId w:val="4"/>
        </w:numPr>
        <w:autoSpaceDE w:val="0"/>
        <w:autoSpaceDN w:val="0"/>
        <w:adjustRightInd w:val="0"/>
        <w:spacing w:line="360" w:lineRule="auto"/>
        <w:ind w:left="-58" w:right="340"/>
        <w:jc w:val="both"/>
        <w:rPr>
          <w:rFonts w:ascii="David" w:hAnsi="David" w:cs="David"/>
          <w:b/>
          <w:bCs/>
          <w:u w:val="single"/>
        </w:rPr>
      </w:pPr>
      <w:r w:rsidRPr="00AC34EC">
        <w:rPr>
          <w:rFonts w:ascii="David" w:hAnsi="David" w:cs="David"/>
          <w:b/>
          <w:bCs/>
          <w:u w:val="single"/>
          <w:rtl/>
        </w:rPr>
        <w:t>פתיחת תיקי בירור יוחסין ביוזמת רושמי נישואין</w:t>
      </w:r>
    </w:p>
    <w:p w:rsidR="009E484E" w:rsidRPr="00AC34EC" w:rsidRDefault="009E484E" w:rsidP="00AC34EC">
      <w:pPr>
        <w:pStyle w:val="ListParagraph"/>
        <w:autoSpaceDE w:val="0"/>
        <w:autoSpaceDN w:val="0"/>
        <w:adjustRightInd w:val="0"/>
        <w:spacing w:line="360" w:lineRule="auto"/>
        <w:ind w:left="-58" w:right="340"/>
        <w:jc w:val="both"/>
        <w:rPr>
          <w:rFonts w:ascii="David" w:hAnsi="David" w:cs="David"/>
          <w:b/>
          <w:bCs/>
          <w:rtl/>
        </w:rPr>
      </w:pPr>
    </w:p>
    <w:p w:rsidR="009E484E" w:rsidRPr="00AC34EC" w:rsidRDefault="009E484E" w:rsidP="00AC34EC">
      <w:pPr>
        <w:pStyle w:val="ListParagraph"/>
        <w:spacing w:line="360" w:lineRule="auto"/>
        <w:ind w:left="-58"/>
        <w:jc w:val="both"/>
        <w:rPr>
          <w:rFonts w:ascii="David" w:hAnsi="David" w:cs="David"/>
          <w:rtl/>
        </w:rPr>
      </w:pPr>
      <w:r w:rsidRPr="00AC34EC">
        <w:rPr>
          <w:rFonts w:ascii="David" w:hAnsi="David" w:cs="David"/>
          <w:b/>
          <w:bCs/>
          <w:rtl/>
        </w:rPr>
        <w:t xml:space="preserve">תקנות והוראות לרישום נישואין, </w:t>
      </w:r>
      <w:proofErr w:type="spellStart"/>
      <w:r w:rsidRPr="00AC34EC">
        <w:rPr>
          <w:rFonts w:ascii="David" w:hAnsi="David" w:cs="David"/>
          <w:b/>
          <w:bCs/>
          <w:rtl/>
        </w:rPr>
        <w:t>התשע"ג</w:t>
      </w:r>
      <w:proofErr w:type="spellEnd"/>
      <w:r w:rsidRPr="00AC34EC">
        <w:rPr>
          <w:rFonts w:ascii="David" w:hAnsi="David" w:cs="David"/>
          <w:b/>
          <w:bCs/>
          <w:rtl/>
        </w:rPr>
        <w:t xml:space="preserve"> </w:t>
      </w:r>
      <w:r w:rsidRPr="00AC34EC">
        <w:rPr>
          <w:rFonts w:ascii="David" w:hAnsi="David" w:cs="David"/>
          <w:rtl/>
        </w:rPr>
        <w:t>שנוסחו על ידי הרבנות הראשית לישראל, מרכזות את נהלי העבודה של רושמי הנישואין. סעיף י"ט לתקנות מורה כי כל אדם המבקש להירשם לנישואין ולא נרשם אב בתעודת הזהות שלו, לא יוכל להירשם ללא היתר מטעם בית הדין הרבני. וזוהי לשון התקנה: "</w:t>
      </w:r>
      <w:r w:rsidRPr="00AC34EC">
        <w:rPr>
          <w:rFonts w:ascii="David" w:hAnsi="David" w:cs="David"/>
          <w:b/>
          <w:bCs/>
          <w:rtl/>
        </w:rPr>
        <w:t>איש או אישה המבקשים להינשא, אך שם האב אינו מופיע בתעודת הזהות, יש להפנותו/ה לבית הדין האזורי לקבלת היתר נישואין</w:t>
      </w:r>
      <w:r w:rsidRPr="00AC34EC">
        <w:rPr>
          <w:rFonts w:ascii="David" w:hAnsi="David" w:cs="David"/>
          <w:rtl/>
        </w:rPr>
        <w:t xml:space="preserve">".   </w:t>
      </w:r>
    </w:p>
    <w:p w:rsidR="009E484E" w:rsidRPr="00AC34EC" w:rsidRDefault="009E484E" w:rsidP="00AC34EC">
      <w:pPr>
        <w:pStyle w:val="ListParagraph"/>
        <w:spacing w:line="360" w:lineRule="auto"/>
        <w:ind w:left="-58"/>
        <w:jc w:val="both"/>
        <w:rPr>
          <w:rFonts w:ascii="David" w:hAnsi="David" w:cs="David"/>
          <w:rtl/>
        </w:rPr>
      </w:pPr>
    </w:p>
    <w:p w:rsidR="009E484E" w:rsidRPr="00AC34EC" w:rsidRDefault="009E484E" w:rsidP="00AC34EC">
      <w:pPr>
        <w:pStyle w:val="ListParagraph"/>
        <w:spacing w:line="360" w:lineRule="auto"/>
        <w:ind w:left="-58"/>
        <w:jc w:val="both"/>
        <w:rPr>
          <w:rFonts w:ascii="David" w:hAnsi="David" w:cs="David"/>
          <w:b/>
          <w:bCs/>
          <w:u w:val="single"/>
        </w:rPr>
      </w:pPr>
      <w:r w:rsidRPr="00AC34EC">
        <w:rPr>
          <w:rFonts w:ascii="David" w:hAnsi="David" w:cs="David"/>
          <w:b/>
          <w:bCs/>
          <w:u w:val="single"/>
          <w:rtl/>
        </w:rPr>
        <w:t>המצב בשטח</w:t>
      </w:r>
    </w:p>
    <w:p w:rsidR="009E484E" w:rsidRPr="00AC34EC" w:rsidRDefault="009E484E" w:rsidP="00AC34EC">
      <w:pPr>
        <w:pStyle w:val="ListParagraph"/>
        <w:spacing w:line="360" w:lineRule="auto"/>
        <w:ind w:left="-58"/>
        <w:jc w:val="both"/>
        <w:rPr>
          <w:rFonts w:ascii="David" w:hAnsi="David" w:cs="David"/>
          <w:rtl/>
        </w:rPr>
      </w:pPr>
      <w:r w:rsidRPr="00AC34EC">
        <w:rPr>
          <w:rFonts w:ascii="David" w:hAnsi="David" w:cs="David"/>
          <w:rtl/>
        </w:rPr>
        <w:t xml:space="preserve">מרכז צדק לנשים מטפל וטיפל בעבר במספר מקרים שבהם אדם מצא עצמו "נאשם" בממזרות, על אף שמעולם לא פנה מיוזמתו לבית הדין הרבני. להלן מתוארים מספר מקרים: א. בית הדין הרבני הכניס קטין לרשימת </w:t>
      </w:r>
      <w:proofErr w:type="spellStart"/>
      <w:r w:rsidRPr="00AC34EC">
        <w:rPr>
          <w:rFonts w:ascii="David" w:hAnsi="David" w:cs="David"/>
          <w:rtl/>
        </w:rPr>
        <w:t>מעוכבי</w:t>
      </w:r>
      <w:proofErr w:type="spellEnd"/>
      <w:r w:rsidRPr="00AC34EC">
        <w:rPr>
          <w:rFonts w:ascii="David" w:hAnsi="David" w:cs="David"/>
          <w:rtl/>
        </w:rPr>
        <w:t xml:space="preserve"> הנישואין ופתח לו תיק בירור יוחסין מיוזמתו, אף שהקטין והוריו לא ביקשו זאת. התיק נפתח על רקע בקשה של אם הקטין שנידונה בבית הדין. במהלך הדיון נשאלה אם הקטין שאלות באשר לייחוסו, אף שנושא הדיון היה שונה. בשלב מאוחר יותר ביקש בית הדין מיוזמתו לקבל חומר רפואי של הקטין על מנת להגיע לקביעות עובדתיות באשר לנסיבות הולדתו. יוזמה זו של בית הדין מנוגדת למדיניות שאימצה המדינה במסגרת </w:t>
      </w:r>
      <w:r w:rsidRPr="00AC34EC">
        <w:rPr>
          <w:rFonts w:ascii="David" w:hAnsi="David" w:cs="David"/>
          <w:b/>
          <w:bCs/>
          <w:rtl/>
        </w:rPr>
        <w:t>חוק מידע גנטי, תשס"א – 2000</w:t>
      </w:r>
      <w:r w:rsidRPr="00AC34EC">
        <w:rPr>
          <w:rFonts w:ascii="David" w:hAnsi="David" w:cs="David"/>
          <w:rtl/>
        </w:rPr>
        <w:t xml:space="preserve"> האוסרת על קיום בדיקת אבהות במקרים של חשש ממזרות. בעקבות מקרה זה עתר מרכז צדק לנשים לבג"ץ (בג"ץ 3691/14 </w:t>
      </w:r>
      <w:r w:rsidRPr="00AC34EC">
        <w:rPr>
          <w:rFonts w:ascii="David" w:hAnsi="David" w:cs="David"/>
          <w:b/>
          <w:bCs/>
          <w:rtl/>
        </w:rPr>
        <w:t>פלונית נ' בית הדין הרבני הגדול</w:t>
      </w:r>
      <w:r w:rsidRPr="00AC34EC">
        <w:rPr>
          <w:rFonts w:ascii="David" w:hAnsi="David" w:cs="David"/>
          <w:rtl/>
        </w:rPr>
        <w:t xml:space="preserve"> (פורסם </w:t>
      </w:r>
      <w:proofErr w:type="spellStart"/>
      <w:r w:rsidRPr="00AC34EC">
        <w:rPr>
          <w:rFonts w:ascii="David" w:hAnsi="David" w:cs="David"/>
          <w:rtl/>
        </w:rPr>
        <w:t>באר"ש</w:t>
      </w:r>
      <w:proofErr w:type="spellEnd"/>
      <w:r w:rsidRPr="00AC34EC">
        <w:rPr>
          <w:rFonts w:ascii="David" w:hAnsi="David" w:cs="David"/>
          <w:rtl/>
        </w:rPr>
        <w:t xml:space="preserve">, 9.9.15). זמן קצר לאחר הגשת העתירה, וכפועל יוצא של העתירה, נתן בית הדין הרבני פסק דין הקובע כי הקטין כשר לבוא בקהל, ועל כן העתירה </w:t>
      </w:r>
      <w:proofErr w:type="spellStart"/>
      <w:r w:rsidRPr="00AC34EC">
        <w:rPr>
          <w:rFonts w:ascii="David" w:hAnsi="David" w:cs="David"/>
          <w:rtl/>
        </w:rPr>
        <w:t>נתייתרה</w:t>
      </w:r>
      <w:proofErr w:type="spellEnd"/>
      <w:r w:rsidRPr="00AC34EC">
        <w:rPr>
          <w:rFonts w:ascii="David" w:hAnsi="David" w:cs="David"/>
          <w:rtl/>
        </w:rPr>
        <w:t>.</w:t>
      </w:r>
    </w:p>
    <w:p w:rsidR="009E484E" w:rsidRPr="00AC34EC" w:rsidRDefault="009E484E" w:rsidP="00AC34EC">
      <w:pPr>
        <w:pStyle w:val="ListParagraph"/>
        <w:spacing w:line="360" w:lineRule="auto"/>
        <w:ind w:left="-58"/>
        <w:jc w:val="both"/>
        <w:rPr>
          <w:rFonts w:ascii="David" w:hAnsi="David" w:cs="David"/>
          <w:rtl/>
        </w:rPr>
      </w:pPr>
      <w:r w:rsidRPr="00AC34EC">
        <w:rPr>
          <w:rFonts w:ascii="David" w:hAnsi="David" w:cs="David"/>
          <w:rtl/>
        </w:rPr>
        <w:t xml:space="preserve">ב.  מרכז צדק לנשים ייצג אדם שביקש להירשם לנישואין עם בת זוגו בחלקת רישום הנישואין. מאחר שבתעודת הזהות שלו לא רשום אב, הופנה אותו אדם להליך "בירור יוחסין" בבית הדין הרבני ורישום הנישואין עוכב. בבית הדין הרבני פשפשו הדיינים בתיק הגירושין של הוריו שהתקיים כשלושים שנה קודם לכן ומכאן ביקשו ללמוד כי בעל הדין ממזר והכניסו את שמו לרשימת </w:t>
      </w:r>
      <w:proofErr w:type="spellStart"/>
      <w:r w:rsidRPr="00AC34EC">
        <w:rPr>
          <w:rFonts w:ascii="David" w:hAnsi="David" w:cs="David"/>
          <w:rtl/>
        </w:rPr>
        <w:t>מעוכבי</w:t>
      </w:r>
      <w:proofErr w:type="spellEnd"/>
      <w:r w:rsidRPr="00AC34EC">
        <w:rPr>
          <w:rFonts w:ascii="David" w:hAnsi="David" w:cs="David"/>
          <w:rtl/>
        </w:rPr>
        <w:t xml:space="preserve"> הנישואין.</w:t>
      </w:r>
    </w:p>
    <w:p w:rsidR="009E484E" w:rsidRPr="00AC34EC" w:rsidRDefault="009E484E" w:rsidP="00AC34EC">
      <w:pPr>
        <w:pStyle w:val="ListParagraph"/>
        <w:spacing w:line="360" w:lineRule="auto"/>
        <w:ind w:left="-58"/>
        <w:jc w:val="both"/>
        <w:rPr>
          <w:rFonts w:ascii="David" w:hAnsi="David" w:cs="David"/>
          <w:rtl/>
        </w:rPr>
      </w:pPr>
      <w:r w:rsidRPr="00AC34EC">
        <w:rPr>
          <w:rFonts w:ascii="David" w:hAnsi="David" w:cs="David"/>
          <w:rtl/>
        </w:rPr>
        <w:t xml:space="preserve">ג. במקרה אחר שבא לפנינו ביקשה אישה להירשם לנישואין ונשלחה לבית הדין הרבני לבירור יוחסין של בנה, אף שהוא עצמו לא פנה כלל למערכת הדתית. עד מועד הבירור – הרישום לנישואין של האישה עוכב, ונכון להיום בנה של האישה כלול ברשימת </w:t>
      </w:r>
      <w:proofErr w:type="spellStart"/>
      <w:r w:rsidRPr="00AC34EC">
        <w:rPr>
          <w:rFonts w:ascii="David" w:hAnsi="David" w:cs="David"/>
          <w:rtl/>
        </w:rPr>
        <w:t>מעוכבי</w:t>
      </w:r>
      <w:proofErr w:type="spellEnd"/>
      <w:r w:rsidRPr="00AC34EC">
        <w:rPr>
          <w:rFonts w:ascii="David" w:hAnsi="David" w:cs="David"/>
          <w:rtl/>
        </w:rPr>
        <w:t xml:space="preserve"> הנישואין.</w:t>
      </w:r>
    </w:p>
    <w:p w:rsidR="009E484E" w:rsidRPr="00AC34EC" w:rsidRDefault="009E484E" w:rsidP="00AC34EC">
      <w:pPr>
        <w:pStyle w:val="ListParagraph"/>
        <w:spacing w:line="360" w:lineRule="auto"/>
        <w:ind w:left="-58"/>
        <w:jc w:val="both"/>
        <w:rPr>
          <w:rFonts w:ascii="David" w:hAnsi="David" w:cs="David"/>
          <w:rtl/>
        </w:rPr>
      </w:pPr>
    </w:p>
    <w:p w:rsidR="009E484E" w:rsidRPr="00AC34EC" w:rsidRDefault="009E484E" w:rsidP="00AC34EC">
      <w:pPr>
        <w:pStyle w:val="ListParagraph"/>
        <w:spacing w:line="360" w:lineRule="auto"/>
        <w:ind w:left="-58"/>
        <w:jc w:val="both"/>
        <w:rPr>
          <w:rFonts w:ascii="David" w:hAnsi="David" w:cs="David"/>
          <w:b/>
          <w:bCs/>
          <w:u w:val="single"/>
          <w:rtl/>
        </w:rPr>
      </w:pPr>
      <w:r w:rsidRPr="00AC34EC">
        <w:rPr>
          <w:rFonts w:ascii="David" w:hAnsi="David" w:cs="David"/>
          <w:b/>
          <w:bCs/>
          <w:u w:val="single"/>
          <w:rtl/>
        </w:rPr>
        <w:t>הקשיים המשפטיים והערכיים שהמדיניות הפרו אקטיבית יוצרת</w:t>
      </w:r>
    </w:p>
    <w:p w:rsidR="009E484E" w:rsidRPr="00AC34EC" w:rsidRDefault="009E484E" w:rsidP="00AC34EC">
      <w:pPr>
        <w:pStyle w:val="ListParagraph"/>
        <w:spacing w:line="360" w:lineRule="auto"/>
        <w:ind w:left="-58"/>
        <w:jc w:val="both"/>
        <w:rPr>
          <w:rFonts w:ascii="David" w:hAnsi="David" w:cs="David"/>
          <w:rtl/>
        </w:rPr>
      </w:pPr>
    </w:p>
    <w:p w:rsidR="009E484E" w:rsidRPr="00AC34EC" w:rsidRDefault="009E484E" w:rsidP="00AC34EC">
      <w:pPr>
        <w:pStyle w:val="ListParagraph"/>
        <w:numPr>
          <w:ilvl w:val="0"/>
          <w:numId w:val="5"/>
        </w:numPr>
        <w:spacing w:line="360" w:lineRule="auto"/>
        <w:ind w:left="-58"/>
        <w:jc w:val="both"/>
        <w:rPr>
          <w:rFonts w:ascii="David" w:hAnsi="David" w:cs="David"/>
          <w:b/>
          <w:bCs/>
          <w:rtl/>
        </w:rPr>
      </w:pPr>
      <w:r w:rsidRPr="00AC34EC">
        <w:rPr>
          <w:rFonts w:ascii="David" w:hAnsi="David" w:cs="David"/>
          <w:b/>
          <w:bCs/>
          <w:rtl/>
        </w:rPr>
        <w:t xml:space="preserve">העדר סמכות פרסונאלית – </w:t>
      </w:r>
    </w:p>
    <w:p w:rsidR="009E484E" w:rsidRPr="00AC34EC" w:rsidRDefault="009E484E" w:rsidP="00AC34EC">
      <w:pPr>
        <w:pStyle w:val="ListParagraph"/>
        <w:spacing w:line="360" w:lineRule="auto"/>
        <w:ind w:left="-58"/>
        <w:jc w:val="both"/>
        <w:rPr>
          <w:rFonts w:ascii="David" w:hAnsi="David" w:cs="David"/>
          <w:rtl/>
        </w:rPr>
      </w:pPr>
      <w:r w:rsidRPr="00AC34EC">
        <w:rPr>
          <w:rFonts w:ascii="David" w:hAnsi="David" w:cs="David"/>
          <w:rtl/>
        </w:rPr>
        <w:t>בית הדין הרבני יונק את סמכותו מ</w:t>
      </w:r>
      <w:r w:rsidRPr="00AC34EC">
        <w:rPr>
          <w:rFonts w:ascii="David" w:hAnsi="David" w:cs="David"/>
          <w:b/>
          <w:bCs/>
          <w:rtl/>
        </w:rPr>
        <w:t>חוק שיפוט בתי דין רבניים (נישואין וגירושין), תשי"ג – 1953</w:t>
      </w:r>
      <w:r w:rsidRPr="00AC34EC">
        <w:rPr>
          <w:rFonts w:ascii="David" w:hAnsi="David" w:cs="David"/>
          <w:rtl/>
        </w:rPr>
        <w:t xml:space="preserve">. בהתאם לחוק, גבולות הסמכות של בית הדין משתרעות על בעלי דין הבאים להתחתן ולהתגרש בפניו (ראו למשל: בג"ץ 2601/00 </w:t>
      </w:r>
      <w:r w:rsidRPr="00AC34EC">
        <w:rPr>
          <w:rFonts w:ascii="David" w:hAnsi="David" w:cs="David"/>
          <w:b/>
          <w:bCs/>
          <w:rtl/>
        </w:rPr>
        <w:t>לוי נ' לוי</w:t>
      </w:r>
      <w:r w:rsidRPr="00AC34EC">
        <w:rPr>
          <w:rFonts w:ascii="David" w:hAnsi="David" w:cs="David"/>
          <w:rtl/>
        </w:rPr>
        <w:t xml:space="preserve">, פ"ד נד(3), 1 (2000)). מכאן עולה כי בית הדין נעדר סמכות שיפוט על מי שלא פנה אליו מיוזמתו, וביתר שאת על קטינים. סוגיה זו הועלתה במסגרת "רשימות </w:t>
      </w:r>
      <w:proofErr w:type="spellStart"/>
      <w:r w:rsidRPr="00AC34EC">
        <w:rPr>
          <w:rFonts w:ascii="David" w:hAnsi="David" w:cs="David"/>
          <w:rtl/>
        </w:rPr>
        <w:t>מעוכבי</w:t>
      </w:r>
      <w:proofErr w:type="spellEnd"/>
      <w:r w:rsidRPr="00AC34EC">
        <w:rPr>
          <w:rFonts w:ascii="David" w:hAnsi="David" w:cs="David"/>
          <w:rtl/>
        </w:rPr>
        <w:t xml:space="preserve"> נישואין" </w:t>
      </w:r>
      <w:r w:rsidRPr="00AC34EC">
        <w:rPr>
          <w:rFonts w:ascii="David" w:hAnsi="David" w:cs="David"/>
          <w:b/>
          <w:bCs/>
          <w:rtl/>
        </w:rPr>
        <w:t>הנחיות היועץ המשפטי לממשלה</w:t>
      </w:r>
      <w:r w:rsidRPr="00AC34EC">
        <w:rPr>
          <w:rFonts w:ascii="David" w:hAnsi="David" w:cs="David"/>
          <w:rtl/>
        </w:rPr>
        <w:t xml:space="preserve">  6.4501 (21.632) (</w:t>
      </w:r>
      <w:proofErr w:type="spellStart"/>
      <w:r w:rsidRPr="00AC34EC">
        <w:rPr>
          <w:rFonts w:ascii="David" w:hAnsi="David" w:cs="David"/>
          <w:rtl/>
        </w:rPr>
        <w:t>התשל"ו</w:t>
      </w:r>
      <w:proofErr w:type="spellEnd"/>
      <w:r w:rsidRPr="00AC34EC">
        <w:rPr>
          <w:rFonts w:ascii="David" w:hAnsi="David" w:cs="David"/>
          <w:rtl/>
        </w:rPr>
        <w:t xml:space="preserve">; עדכון: </w:t>
      </w:r>
      <w:proofErr w:type="spellStart"/>
      <w:r w:rsidRPr="00AC34EC">
        <w:rPr>
          <w:rFonts w:ascii="David" w:hAnsi="David" w:cs="David"/>
          <w:rtl/>
        </w:rPr>
        <w:t>התשס"ג</w:t>
      </w:r>
      <w:proofErr w:type="spellEnd"/>
      <w:r w:rsidRPr="00AC34EC">
        <w:rPr>
          <w:rFonts w:ascii="David" w:hAnsi="David" w:cs="David"/>
          <w:rtl/>
        </w:rPr>
        <w:t xml:space="preserve">) (להלן: </w:t>
      </w:r>
      <w:r w:rsidRPr="00AC34EC">
        <w:rPr>
          <w:rFonts w:ascii="David" w:hAnsi="David" w:cs="David"/>
          <w:b/>
          <w:bCs/>
          <w:rtl/>
        </w:rPr>
        <w:t>הנחיות היועמ"ש</w:t>
      </w:r>
      <w:r w:rsidRPr="00AC34EC">
        <w:rPr>
          <w:rFonts w:ascii="David" w:hAnsi="David" w:cs="David"/>
          <w:rtl/>
        </w:rPr>
        <w:t xml:space="preserve">), ושם קבע היועץ המשפטי לממשלה דאז, אהרון ברק, כי לבית הדין הרבני </w:t>
      </w:r>
      <w:r w:rsidRPr="00AC34EC">
        <w:rPr>
          <w:rFonts w:ascii="David" w:hAnsi="David" w:cs="David"/>
          <w:u w:val="single"/>
          <w:rtl/>
        </w:rPr>
        <w:t>אין סמכות</w:t>
      </w:r>
      <w:r w:rsidRPr="00AC34EC">
        <w:rPr>
          <w:rFonts w:ascii="David" w:hAnsi="David" w:cs="David"/>
          <w:rtl/>
        </w:rPr>
        <w:t xml:space="preserve"> לדון בעניינו של אדם שלא פנה אליו מיוזמתו. וזוהי לשונו של פרופ' ברק בהנחיות:</w:t>
      </w:r>
      <w:r w:rsidRPr="00AC34EC">
        <w:rPr>
          <w:rFonts w:ascii="David" w:hAnsi="David" w:cs="David"/>
          <w:b/>
          <w:bCs/>
          <w:rtl/>
        </w:rPr>
        <w:t xml:space="preserve"> "סמכותו של רושם הנישואין קמה רק כאשר אדם פונה אליו בבקשה להירשם לנישואין. באין פניה אין סמכות".</w:t>
      </w:r>
      <w:r w:rsidRPr="00AC34EC">
        <w:rPr>
          <w:rFonts w:ascii="David" w:hAnsi="David" w:cs="David"/>
          <w:rtl/>
        </w:rPr>
        <w:t xml:space="preserve"> מכאן עולה כי דיון בעניינם של קטינים שלא הגיעו לבית הדין ביוזמתם או ביוזמת האפוטרופוס שלהם, אינה בסמכות בית הדין.</w:t>
      </w:r>
    </w:p>
    <w:p w:rsidR="009E484E" w:rsidRPr="00AC34EC" w:rsidRDefault="009E484E" w:rsidP="00AC34EC">
      <w:pPr>
        <w:pStyle w:val="ListParagraph"/>
        <w:spacing w:line="360" w:lineRule="auto"/>
        <w:ind w:left="-58"/>
        <w:jc w:val="both"/>
        <w:rPr>
          <w:rFonts w:ascii="David" w:hAnsi="David" w:cs="David"/>
          <w:rtl/>
        </w:rPr>
      </w:pPr>
      <w:r w:rsidRPr="00AC34EC">
        <w:rPr>
          <w:rFonts w:ascii="David" w:hAnsi="David" w:cs="David"/>
          <w:rtl/>
        </w:rPr>
        <w:t xml:space="preserve"> </w:t>
      </w:r>
    </w:p>
    <w:p w:rsidR="009E484E" w:rsidRPr="00AC34EC" w:rsidRDefault="009E484E" w:rsidP="00AC34EC">
      <w:pPr>
        <w:pStyle w:val="ListParagraph"/>
        <w:numPr>
          <w:ilvl w:val="0"/>
          <w:numId w:val="5"/>
        </w:numPr>
        <w:spacing w:line="360" w:lineRule="auto"/>
        <w:ind w:left="-58"/>
        <w:jc w:val="both"/>
        <w:rPr>
          <w:rFonts w:ascii="David" w:hAnsi="David" w:cs="David"/>
          <w:rtl/>
        </w:rPr>
      </w:pPr>
      <w:r w:rsidRPr="00AC34EC">
        <w:rPr>
          <w:rFonts w:ascii="David" w:hAnsi="David" w:cs="David"/>
          <w:b/>
          <w:bCs/>
          <w:rtl/>
        </w:rPr>
        <w:t>העדר סמכות מוסדית</w:t>
      </w:r>
      <w:r w:rsidRPr="00AC34EC">
        <w:rPr>
          <w:rFonts w:ascii="David" w:hAnsi="David" w:cs="David"/>
          <w:rtl/>
        </w:rPr>
        <w:t xml:space="preserve"> </w:t>
      </w:r>
      <w:r w:rsidRPr="00AC34EC">
        <w:rPr>
          <w:rFonts w:ascii="David" w:hAnsi="David" w:cs="David"/>
          <w:b/>
          <w:bCs/>
          <w:rtl/>
        </w:rPr>
        <w:t>לנהוג כרשות חוקרת</w:t>
      </w:r>
      <w:r w:rsidRPr="00AC34EC">
        <w:rPr>
          <w:rFonts w:ascii="David" w:hAnsi="David" w:cs="David"/>
          <w:rtl/>
        </w:rPr>
        <w:t>–</w:t>
      </w:r>
    </w:p>
    <w:p w:rsidR="009E484E" w:rsidRPr="00AC34EC" w:rsidRDefault="009E484E" w:rsidP="00AC34EC">
      <w:pPr>
        <w:pStyle w:val="ListParagraph"/>
        <w:autoSpaceDE w:val="0"/>
        <w:autoSpaceDN w:val="0"/>
        <w:adjustRightInd w:val="0"/>
        <w:spacing w:line="360" w:lineRule="auto"/>
        <w:ind w:left="-58" w:right="340"/>
        <w:jc w:val="both"/>
        <w:rPr>
          <w:rFonts w:ascii="David" w:hAnsi="David" w:cs="David"/>
          <w:b/>
          <w:bCs/>
          <w:rtl/>
        </w:rPr>
      </w:pPr>
    </w:p>
    <w:p w:rsidR="009E484E" w:rsidRDefault="009E484E" w:rsidP="00AC34EC">
      <w:pPr>
        <w:pStyle w:val="ListParagraph"/>
        <w:autoSpaceDE w:val="0"/>
        <w:autoSpaceDN w:val="0"/>
        <w:adjustRightInd w:val="0"/>
        <w:spacing w:line="360" w:lineRule="auto"/>
        <w:ind w:left="-58" w:right="340"/>
        <w:jc w:val="both"/>
        <w:rPr>
          <w:rFonts w:ascii="David" w:hAnsi="David" w:cs="David"/>
          <w:b/>
          <w:bCs/>
          <w:rtl/>
        </w:rPr>
      </w:pPr>
      <w:r w:rsidRPr="00AC34EC">
        <w:rPr>
          <w:rFonts w:ascii="David" w:hAnsi="David" w:cs="David"/>
          <w:b/>
          <w:bCs/>
          <w:rtl/>
        </w:rPr>
        <w:t xml:space="preserve">חוק יסוד: השפיטה </w:t>
      </w:r>
      <w:r w:rsidRPr="00AC34EC">
        <w:rPr>
          <w:rFonts w:ascii="David" w:hAnsi="David" w:cs="David"/>
          <w:rtl/>
        </w:rPr>
        <w:t xml:space="preserve">תוחם את מהותם וסמכותם של בתי הדין הרבניים לענייני שפיטה בלבד. יוזמה של פתיחת תיקים על ידי בית הדין וניהול חקירה מטעמו על יוחסיו של בעל הדין אינם מאפיינים דפוס פעולה של רשות שיפוטית, אלא רשות אכיפה כמו משטרה או פרקליטות. בעניין זה התבטא פרופ' ברק במסגרת הנחיות היועמ"ש וקבל על התנהלות המערכת הדתית (בדגש על רושמי הנישואין) היוזמים דיונים ומנהלים חקירות: </w:t>
      </w:r>
      <w:r w:rsidRPr="00AC34EC">
        <w:rPr>
          <w:rFonts w:ascii="David" w:hAnsi="David" w:cs="David"/>
          <w:b/>
          <w:bCs/>
          <w:rtl/>
        </w:rPr>
        <w:t>"לא הרי מעמדו של רושם הנישואין כהרי מעמדה של המשטרה, האוספת בכל העת מידע על עבריינים בכוח. פקודת המשטרה קובעת כי אחד מתפקידיה של המשטרה הוא "במניעת עבירות ובגילוין" (סעיף 3 לפקודת המשטרה [נוסח חדש], התשל"א-1971). לשם ביצוע תפקיד זה ראוי לה למשטרה שתנהל רישומים של עבריינים בכוח. לעומת זאת, תפקידו של רושם הנישואין הוא לרשום לנישואין את הפונים אליו, ואין זה מתפקידו לאסוף מידע על מי שלא פנה אליו כלל"</w:t>
      </w:r>
      <w:r w:rsidRPr="00AC34EC">
        <w:rPr>
          <w:rFonts w:ascii="David" w:hAnsi="David" w:cs="David"/>
          <w:rtl/>
        </w:rPr>
        <w:t>.</w:t>
      </w:r>
    </w:p>
    <w:p w:rsidR="00AC34EC" w:rsidRDefault="00AC34EC" w:rsidP="00AC34EC">
      <w:pPr>
        <w:pStyle w:val="ListParagraph"/>
        <w:autoSpaceDE w:val="0"/>
        <w:autoSpaceDN w:val="0"/>
        <w:adjustRightInd w:val="0"/>
        <w:spacing w:line="360" w:lineRule="auto"/>
        <w:ind w:left="-58" w:right="340"/>
        <w:jc w:val="both"/>
        <w:rPr>
          <w:rFonts w:ascii="David" w:hAnsi="David" w:cs="David"/>
          <w:b/>
          <w:bCs/>
          <w:rtl/>
        </w:rPr>
      </w:pPr>
    </w:p>
    <w:p w:rsidR="002C44BF" w:rsidRDefault="002C44BF" w:rsidP="00AC34EC">
      <w:pPr>
        <w:pStyle w:val="ListParagraph"/>
        <w:autoSpaceDE w:val="0"/>
        <w:autoSpaceDN w:val="0"/>
        <w:adjustRightInd w:val="0"/>
        <w:spacing w:line="360" w:lineRule="auto"/>
        <w:ind w:left="-58" w:right="340"/>
        <w:jc w:val="both"/>
        <w:rPr>
          <w:rFonts w:ascii="David" w:hAnsi="David" w:cs="David"/>
          <w:b/>
          <w:bCs/>
          <w:rtl/>
        </w:rPr>
      </w:pPr>
    </w:p>
    <w:p w:rsidR="002C44BF" w:rsidRPr="00AC34EC" w:rsidRDefault="002C44BF" w:rsidP="00AC34EC">
      <w:pPr>
        <w:pStyle w:val="ListParagraph"/>
        <w:autoSpaceDE w:val="0"/>
        <w:autoSpaceDN w:val="0"/>
        <w:adjustRightInd w:val="0"/>
        <w:spacing w:line="360" w:lineRule="auto"/>
        <w:ind w:left="-58" w:right="340"/>
        <w:jc w:val="both"/>
        <w:rPr>
          <w:rFonts w:ascii="David" w:hAnsi="David" w:cs="David"/>
          <w:b/>
          <w:bCs/>
          <w:rtl/>
        </w:rPr>
      </w:pPr>
      <w:bookmarkStart w:id="0" w:name="_GoBack"/>
      <w:bookmarkEnd w:id="0"/>
    </w:p>
    <w:p w:rsidR="009E484E" w:rsidRPr="00AC34EC" w:rsidRDefault="009E484E" w:rsidP="00AC34EC">
      <w:pPr>
        <w:pStyle w:val="ListParagraph"/>
        <w:autoSpaceDE w:val="0"/>
        <w:autoSpaceDN w:val="0"/>
        <w:adjustRightInd w:val="0"/>
        <w:spacing w:line="360" w:lineRule="auto"/>
        <w:ind w:left="-58" w:right="340"/>
        <w:jc w:val="both"/>
        <w:rPr>
          <w:rFonts w:ascii="David" w:hAnsi="David" w:cs="David"/>
          <w:b/>
          <w:bCs/>
          <w:rtl/>
        </w:rPr>
      </w:pPr>
    </w:p>
    <w:p w:rsidR="009E484E" w:rsidRPr="00AC34EC" w:rsidRDefault="009E484E" w:rsidP="00AC34EC">
      <w:pPr>
        <w:pStyle w:val="ListParagraph"/>
        <w:numPr>
          <w:ilvl w:val="0"/>
          <w:numId w:val="5"/>
        </w:numPr>
        <w:autoSpaceDE w:val="0"/>
        <w:autoSpaceDN w:val="0"/>
        <w:adjustRightInd w:val="0"/>
        <w:spacing w:line="360" w:lineRule="auto"/>
        <w:ind w:left="-58" w:right="340"/>
        <w:jc w:val="both"/>
        <w:rPr>
          <w:rFonts w:ascii="David" w:hAnsi="David" w:cs="David"/>
          <w:b/>
          <w:bCs/>
          <w:rtl/>
        </w:rPr>
      </w:pPr>
      <w:r w:rsidRPr="00AC34EC">
        <w:rPr>
          <w:rFonts w:ascii="David" w:hAnsi="David" w:cs="David"/>
          <w:b/>
          <w:bCs/>
          <w:rtl/>
        </w:rPr>
        <w:t xml:space="preserve">פגיעה בזכויות אדם – </w:t>
      </w:r>
    </w:p>
    <w:p w:rsidR="009E484E" w:rsidRPr="00AC34EC" w:rsidRDefault="009E484E" w:rsidP="00AC34EC">
      <w:pPr>
        <w:pStyle w:val="ListParagraph"/>
        <w:autoSpaceDE w:val="0"/>
        <w:autoSpaceDN w:val="0"/>
        <w:adjustRightInd w:val="0"/>
        <w:spacing w:line="360" w:lineRule="auto"/>
        <w:ind w:left="-58"/>
        <w:jc w:val="both"/>
        <w:rPr>
          <w:rFonts w:ascii="David" w:hAnsi="David" w:cs="David"/>
          <w:rtl/>
        </w:rPr>
      </w:pPr>
      <w:r w:rsidRPr="00AC34EC">
        <w:rPr>
          <w:rFonts w:ascii="David" w:hAnsi="David" w:cs="David"/>
          <w:rtl/>
        </w:rPr>
        <w:t xml:space="preserve">פעולותיה של המערכת הדתית בייזום תיקי יוחסין, לא זו בלבד שמתבצעת בהעדר סמכות, אלא תוצאותיה פוגעות בזכויות האדם היסודיות ביותר: הזכות לפרטיות, הזכות לכבוד והזכות לשם טוב. כל הזכויות הנ"ל נפגעות במקרים שבהם בוחרת המערכת הדתית להפעיל חקירות ובדיקות כלפי אנשים ביוזמתה. </w:t>
      </w:r>
    </w:p>
    <w:p w:rsidR="009E484E" w:rsidRPr="00AC34EC" w:rsidRDefault="009E484E" w:rsidP="00AC34EC">
      <w:pPr>
        <w:pStyle w:val="ListParagraph"/>
        <w:autoSpaceDE w:val="0"/>
        <w:autoSpaceDN w:val="0"/>
        <w:adjustRightInd w:val="0"/>
        <w:spacing w:line="360" w:lineRule="auto"/>
        <w:ind w:left="-58" w:right="340"/>
        <w:jc w:val="both"/>
        <w:rPr>
          <w:rFonts w:ascii="David" w:hAnsi="David" w:cs="David"/>
          <w:rtl/>
        </w:rPr>
      </w:pPr>
    </w:p>
    <w:p w:rsidR="009E484E" w:rsidRPr="00AC34EC" w:rsidRDefault="009E484E" w:rsidP="00FD1F47">
      <w:pPr>
        <w:pStyle w:val="ListParagraph"/>
        <w:numPr>
          <w:ilvl w:val="0"/>
          <w:numId w:val="5"/>
        </w:numPr>
        <w:spacing w:line="360" w:lineRule="auto"/>
        <w:jc w:val="both"/>
        <w:rPr>
          <w:rFonts w:ascii="David" w:hAnsi="David" w:cs="David"/>
          <w:rtl/>
        </w:rPr>
      </w:pPr>
      <w:r w:rsidRPr="00AC34EC">
        <w:rPr>
          <w:rFonts w:ascii="David" w:hAnsi="David" w:cs="David"/>
          <w:b/>
          <w:bCs/>
          <w:rtl/>
        </w:rPr>
        <w:t>שינוי ממסורת הפסיקה שלא לחקור אחר ממזרים</w:t>
      </w:r>
      <w:r w:rsidRPr="00AC34EC">
        <w:rPr>
          <w:rFonts w:ascii="David" w:hAnsi="David" w:cs="David"/>
          <w:rtl/>
        </w:rPr>
        <w:t xml:space="preserve"> –</w:t>
      </w:r>
    </w:p>
    <w:p w:rsidR="009E484E" w:rsidRPr="00AC34EC" w:rsidRDefault="009E484E" w:rsidP="009E484E">
      <w:pPr>
        <w:pStyle w:val="ListParagraph"/>
        <w:spacing w:line="360" w:lineRule="auto"/>
        <w:ind w:left="546"/>
        <w:jc w:val="both"/>
        <w:rPr>
          <w:rFonts w:ascii="David" w:hAnsi="David" w:cs="David"/>
          <w:rtl/>
        </w:rPr>
      </w:pPr>
    </w:p>
    <w:p w:rsidR="009E484E" w:rsidRPr="00AC34EC" w:rsidRDefault="009E484E" w:rsidP="00FD1F47">
      <w:pPr>
        <w:suppressAutoHyphens/>
        <w:spacing w:line="360" w:lineRule="auto"/>
        <w:jc w:val="both"/>
        <w:rPr>
          <w:rFonts w:ascii="David" w:hAnsi="David" w:cs="David"/>
          <w:rtl/>
        </w:rPr>
      </w:pPr>
      <w:r w:rsidRPr="00AC34EC">
        <w:rPr>
          <w:rFonts w:ascii="David" w:hAnsi="David" w:cs="David"/>
          <w:rtl/>
        </w:rPr>
        <w:t xml:space="preserve">להכרזה על פסולי חיתון יש חומרה רבה והשלכות הקשות של הכרזה על פסולי חיתון, שכן הכתם חל לעולם, על כל הצאצאים של הממזר: </w:t>
      </w:r>
      <w:proofErr w:type="spellStart"/>
      <w:r w:rsidRPr="00AC34EC">
        <w:rPr>
          <w:rFonts w:ascii="David" w:hAnsi="David" w:cs="David"/>
          <w:b/>
          <w:bCs/>
          <w:rtl/>
        </w:rPr>
        <w:t>ממזרין</w:t>
      </w:r>
      <w:proofErr w:type="spellEnd"/>
      <w:r w:rsidRPr="00AC34EC">
        <w:rPr>
          <w:rFonts w:ascii="David" w:hAnsi="David" w:cs="David"/>
          <w:b/>
          <w:bCs/>
          <w:rtl/>
        </w:rPr>
        <w:t>..איסורן איסור עולם, אחד זכרים ואחד נקבות</w:t>
      </w:r>
      <w:r w:rsidRPr="00AC34EC">
        <w:rPr>
          <w:rFonts w:ascii="David" w:hAnsi="David" w:cs="David"/>
          <w:rtl/>
        </w:rPr>
        <w:t xml:space="preserve">" (בבלי, יבמות </w:t>
      </w:r>
      <w:proofErr w:type="spellStart"/>
      <w:r w:rsidRPr="00AC34EC">
        <w:rPr>
          <w:rFonts w:ascii="David" w:hAnsi="David" w:cs="David"/>
          <w:rtl/>
        </w:rPr>
        <w:t>עח</w:t>
      </w:r>
      <w:proofErr w:type="spellEnd"/>
      <w:r w:rsidRPr="00AC34EC">
        <w:rPr>
          <w:rFonts w:ascii="David" w:hAnsi="David" w:cs="David"/>
          <w:rtl/>
        </w:rPr>
        <w:t xml:space="preserve">, ב). לנוכח זאת, ההלכה לאורך הדורות ביקשה למנוע ככל הניתן ריבוי של ממזרים. עיקרון הלכתי חשוב אשר ממתן את קושי הפגיעה בממזרים הינה הלכת "משפחה שנטמעה – נטמעה" – העיקרון שלפיו אסור לגלות את </w:t>
      </w:r>
      <w:proofErr w:type="spellStart"/>
      <w:r w:rsidRPr="00AC34EC">
        <w:rPr>
          <w:rFonts w:ascii="David" w:hAnsi="David" w:cs="David"/>
          <w:rtl/>
        </w:rPr>
        <w:t>פסלותה</w:t>
      </w:r>
      <w:proofErr w:type="spellEnd"/>
      <w:r w:rsidRPr="00AC34EC">
        <w:rPr>
          <w:rFonts w:ascii="David" w:hAnsi="David" w:cs="David"/>
          <w:rtl/>
        </w:rPr>
        <w:t xml:space="preserve"> של משפחה אשר נטמע בה ממזר בעבר: "</w:t>
      </w:r>
      <w:r w:rsidRPr="00AC34EC">
        <w:rPr>
          <w:rFonts w:ascii="David" w:hAnsi="David" w:cs="David"/>
          <w:b/>
          <w:bCs/>
          <w:rtl/>
        </w:rPr>
        <w:t>אמר  רבי יצחק: צדקה עשה הקב"ה עם ישראל, שמשפחה שנטמעה – נטמעה</w:t>
      </w:r>
      <w:r w:rsidRPr="00AC34EC">
        <w:rPr>
          <w:rFonts w:ascii="David" w:hAnsi="David" w:cs="David"/>
          <w:rtl/>
        </w:rPr>
        <w:t xml:space="preserve">" (בבלי </w:t>
      </w:r>
      <w:r w:rsidRPr="00AC34EC">
        <w:rPr>
          <w:rFonts w:ascii="David" w:hAnsi="David" w:cs="David"/>
          <w:b/>
          <w:bCs/>
          <w:rtl/>
        </w:rPr>
        <w:t>קידושין</w:t>
      </w:r>
      <w:r w:rsidRPr="00AC34EC">
        <w:rPr>
          <w:rFonts w:ascii="David" w:hAnsi="David" w:cs="David"/>
          <w:rtl/>
        </w:rPr>
        <w:t xml:space="preserve"> דף סט עמוד א). בנוסף לכך, התפתחה שדרה משמעותית של פוסקים הסוברים כי במקרה של שמועות או חשד לממזרות – אל לבית הדין לברר ולבקש לחקור את העדויות (</w:t>
      </w:r>
      <w:r w:rsidRPr="00AC34EC">
        <w:rPr>
          <w:rFonts w:ascii="David" w:hAnsi="David" w:cs="David"/>
          <w:color w:val="000000"/>
          <w:shd w:val="clear" w:color="auto" w:fill="FFFFFF"/>
          <w:rtl/>
        </w:rPr>
        <w:t xml:space="preserve">שו"ת </w:t>
      </w:r>
      <w:proofErr w:type="spellStart"/>
      <w:r w:rsidRPr="00AC34EC">
        <w:rPr>
          <w:rFonts w:ascii="David" w:hAnsi="David" w:cs="David"/>
          <w:color w:val="000000"/>
          <w:shd w:val="clear" w:color="auto" w:fill="FFFFFF"/>
          <w:rtl/>
        </w:rPr>
        <w:t>הב"ח</w:t>
      </w:r>
      <w:proofErr w:type="spellEnd"/>
      <w:r w:rsidRPr="00AC34EC">
        <w:rPr>
          <w:rFonts w:ascii="David" w:hAnsi="David" w:cs="David"/>
          <w:color w:val="000000"/>
          <w:shd w:val="clear" w:color="auto" w:fill="FFFFFF"/>
          <w:rtl/>
        </w:rPr>
        <w:t xml:space="preserve"> החדשות, סימן נו</w:t>
      </w:r>
      <w:r w:rsidRPr="00AC34EC">
        <w:rPr>
          <w:rFonts w:ascii="David" w:hAnsi="David" w:cs="David"/>
          <w:rtl/>
        </w:rPr>
        <w:t xml:space="preserve">). עמדה זו השמיע ד"ר מיכאל </w:t>
      </w:r>
      <w:proofErr w:type="spellStart"/>
      <w:r w:rsidRPr="00AC34EC">
        <w:rPr>
          <w:rFonts w:ascii="David" w:hAnsi="David" w:cs="David"/>
          <w:rtl/>
        </w:rPr>
        <w:t>ויגודה</w:t>
      </w:r>
      <w:proofErr w:type="spellEnd"/>
      <w:r w:rsidRPr="00AC34EC">
        <w:rPr>
          <w:rFonts w:ascii="David" w:hAnsi="David" w:cs="David"/>
          <w:rtl/>
        </w:rPr>
        <w:t xml:space="preserve"> מהמחלקה למשפט עברי במשרד המשפטים במסגרת  חוות דעת שהוגשה לבית הדין הרבני:</w:t>
      </w:r>
    </w:p>
    <w:p w:rsidR="009E484E" w:rsidRPr="00AC34EC" w:rsidRDefault="009E484E" w:rsidP="00FD1F47">
      <w:pPr>
        <w:suppressAutoHyphens/>
        <w:spacing w:line="360" w:lineRule="auto"/>
        <w:jc w:val="both"/>
        <w:rPr>
          <w:rFonts w:ascii="David" w:hAnsi="David" w:cs="David"/>
          <w:rtl/>
        </w:rPr>
      </w:pPr>
      <w:r w:rsidRPr="00AC34EC">
        <w:rPr>
          <w:rFonts w:ascii="David" w:hAnsi="David" w:cs="David"/>
          <w:b/>
          <w:bCs/>
          <w:rtl/>
        </w:rPr>
        <w:t>"העולה מן האמור עד כאן הוא, שעל פי ההלכה לא זו בלבד שבית הדין אינו צריך להעלות מיזמתו חשדות ולחטט בעניין כשרות היוחסין של אדם, אלא אפילו אם חשדות כאלו מועלים בפניו, בית הדין אינו חייב לברר ולחפש אחר ראיות העשויות לאשש חשדות אלו</w:t>
      </w:r>
      <w:r w:rsidRPr="00AC34EC">
        <w:rPr>
          <w:rFonts w:ascii="David" w:hAnsi="David" w:cs="David"/>
        </w:rPr>
        <w:t xml:space="preserve"> "</w:t>
      </w:r>
      <w:r w:rsidRPr="00AC34EC">
        <w:rPr>
          <w:rFonts w:ascii="David" w:hAnsi="David" w:cs="David"/>
          <w:rtl/>
        </w:rPr>
        <w:t xml:space="preserve">(ד"ר מיכאל </w:t>
      </w:r>
      <w:proofErr w:type="spellStart"/>
      <w:r w:rsidRPr="00AC34EC">
        <w:rPr>
          <w:rFonts w:ascii="David" w:hAnsi="David" w:cs="David"/>
          <w:rtl/>
        </w:rPr>
        <w:t>ויגודה</w:t>
      </w:r>
      <w:proofErr w:type="spellEnd"/>
      <w:r w:rsidRPr="00AC34EC">
        <w:rPr>
          <w:rFonts w:ascii="David" w:hAnsi="David" w:cs="David"/>
          <w:rtl/>
        </w:rPr>
        <w:t xml:space="preserve"> </w:t>
      </w:r>
      <w:r w:rsidRPr="00AC34EC">
        <w:rPr>
          <w:rFonts w:ascii="David" w:hAnsi="David" w:cs="David"/>
        </w:rPr>
        <w:t>”</w:t>
      </w:r>
      <w:r w:rsidRPr="00AC34EC">
        <w:rPr>
          <w:rFonts w:ascii="David" w:hAnsi="David" w:cs="David"/>
          <w:rtl/>
        </w:rPr>
        <w:t xml:space="preserve">בירור חשדות לכשרות יוחסין בבתי הדין, חוות הדעת הוגשה לבית הרבני הגדול במסגרת ערעור מס' 621/תש"ס שהוגש בפניו בתיק 99009/01). הנה כי כן, עולה כי מדיניות המערכת הדתית שמגמתה איתור ממזרים עומדת בניגוד למסורת הפסיקה, או לכל הפחות אינה מוכרחת ממנה. מכל מקום, ראוי שבמדינה יהודית </w:t>
      </w:r>
      <w:r w:rsidRPr="00AC34EC">
        <w:rPr>
          <w:rFonts w:ascii="David" w:hAnsi="David" w:cs="David"/>
          <w:rtl/>
        </w:rPr>
        <w:lastRenderedPageBreak/>
        <w:t>ודמוקרטית המערכת הדתית תבכר את הפרשנות שמצמצמת עד כמה שניתן את הפגיעה בזכויות יסוד.</w:t>
      </w:r>
    </w:p>
    <w:p w:rsidR="00FD1F47" w:rsidRPr="00AC34EC" w:rsidRDefault="00FD1F47" w:rsidP="00FD1F47">
      <w:pPr>
        <w:suppressAutoHyphens/>
        <w:spacing w:line="360" w:lineRule="auto"/>
        <w:jc w:val="both"/>
        <w:rPr>
          <w:rFonts w:ascii="David" w:hAnsi="David" w:cs="David"/>
          <w:rtl/>
        </w:rPr>
      </w:pPr>
    </w:p>
    <w:p w:rsidR="00FD1F47" w:rsidRPr="00AC34EC" w:rsidRDefault="00FD1F47" w:rsidP="00FD1F47">
      <w:pPr>
        <w:pStyle w:val="ListParagraph"/>
        <w:numPr>
          <w:ilvl w:val="0"/>
          <w:numId w:val="4"/>
        </w:numPr>
        <w:suppressAutoHyphens/>
        <w:spacing w:line="360" w:lineRule="auto"/>
        <w:jc w:val="both"/>
        <w:rPr>
          <w:rFonts w:ascii="David" w:hAnsi="David" w:cs="David"/>
          <w:b/>
          <w:bCs/>
          <w:rtl/>
        </w:rPr>
      </w:pPr>
      <w:r w:rsidRPr="00AC34EC">
        <w:rPr>
          <w:rFonts w:ascii="David" w:hAnsi="David" w:cs="David"/>
          <w:b/>
          <w:bCs/>
          <w:rtl/>
        </w:rPr>
        <w:t>בדיקות אבהות</w:t>
      </w:r>
    </w:p>
    <w:p w:rsidR="009E484E" w:rsidRPr="00AC34EC" w:rsidRDefault="009E484E" w:rsidP="00FD1F47">
      <w:pPr>
        <w:suppressAutoHyphens/>
        <w:spacing w:line="360" w:lineRule="auto"/>
        <w:jc w:val="both"/>
        <w:rPr>
          <w:rFonts w:ascii="David" w:hAnsi="David" w:cs="David"/>
          <w:rtl/>
        </w:rPr>
      </w:pPr>
    </w:p>
    <w:p w:rsidR="00FD1F47" w:rsidRPr="00AC34EC" w:rsidRDefault="00FD1F47" w:rsidP="00AC34EC">
      <w:pPr>
        <w:suppressAutoHyphens/>
        <w:spacing w:line="360" w:lineRule="auto"/>
        <w:jc w:val="both"/>
        <w:rPr>
          <w:rFonts w:ascii="David" w:hAnsi="David" w:cs="David"/>
        </w:rPr>
      </w:pPr>
      <w:r w:rsidRPr="00AC34EC">
        <w:rPr>
          <w:rFonts w:ascii="David" w:hAnsi="David" w:cs="David"/>
          <w:rtl/>
        </w:rPr>
        <w:t>בהתאם ל</w:t>
      </w:r>
      <w:r w:rsidRPr="00AC34EC">
        <w:rPr>
          <w:rFonts w:ascii="David" w:hAnsi="David" w:cs="David"/>
          <w:b/>
          <w:bCs/>
          <w:rtl/>
        </w:rPr>
        <w:t xml:space="preserve">חוק מידע גנטי, </w:t>
      </w:r>
      <w:proofErr w:type="spellStart"/>
      <w:r w:rsidRPr="00AC34EC">
        <w:rPr>
          <w:rFonts w:ascii="David" w:hAnsi="David" w:cs="David"/>
          <w:b/>
          <w:bCs/>
          <w:rtl/>
        </w:rPr>
        <w:t>התשס"א</w:t>
      </w:r>
      <w:proofErr w:type="spellEnd"/>
      <w:r w:rsidRPr="00AC34EC">
        <w:rPr>
          <w:rFonts w:ascii="David" w:hAnsi="David" w:cs="David"/>
          <w:b/>
          <w:bCs/>
          <w:rtl/>
        </w:rPr>
        <w:t xml:space="preserve"> – 2001 </w:t>
      </w:r>
      <w:r w:rsidRPr="00AC34EC">
        <w:rPr>
          <w:rFonts w:ascii="David" w:hAnsi="David" w:cs="David"/>
          <w:rtl/>
        </w:rPr>
        <w:t xml:space="preserve">כמעט ולא ניתן לבצע בדיקות גנטיות לקביעת אבהות כאשר תוצאות הבדיקה עלולות לעורר חשד לממזרות. המשמעות של הימנעות מבדיקות אלה היא פגיעה בזכותו של קטין לדעת מיהו אביו, וכן שלילת זכותו למזונות מאביו. במקרים רבים אמו של הילד היא נפגעת משנית, שכן היא נאלצת לגדל את הילד ללא תמיכה כלכלית מהאב הביולוגי. </w:t>
      </w:r>
      <w:r w:rsidR="007B5D6B" w:rsidRPr="00AC34EC">
        <w:rPr>
          <w:rFonts w:ascii="David" w:hAnsi="David" w:cs="David"/>
          <w:rtl/>
        </w:rPr>
        <w:t>הדרך הנכונה לעמדת מרכז צדק לנשים לאזן בין האינטר</w:t>
      </w:r>
      <w:r w:rsidR="00AC34EC" w:rsidRPr="00AC34EC">
        <w:rPr>
          <w:rFonts w:ascii="David" w:hAnsi="David" w:cs="David"/>
          <w:rtl/>
        </w:rPr>
        <w:t xml:space="preserve">ס של הקטין לדעת מיהו אביו לבין ההימנעות מפגם בכשרות היוחסין </w:t>
      </w:r>
      <w:r w:rsidR="007B5D6B" w:rsidRPr="00AC34EC">
        <w:rPr>
          <w:rFonts w:ascii="David" w:hAnsi="David" w:cs="David"/>
          <w:rtl/>
        </w:rPr>
        <w:t xml:space="preserve">היא דוקטרינה משפטית </w:t>
      </w:r>
      <w:r w:rsidR="00AC34EC" w:rsidRPr="00AC34EC">
        <w:rPr>
          <w:rFonts w:ascii="David" w:hAnsi="David" w:cs="David"/>
          <w:rtl/>
        </w:rPr>
        <w:t xml:space="preserve">שמפצלת בין הסטטוס האזרחי לסטטוס ההלכתי. לצרכים אזרחיים (כמו מזונות וירושה) יהיה רשום אב אזרחי, ואילו לצרכים הלכתיים כמו יוחסין יוכר "אב הלכתי" (ראו והשוו: </w:t>
      </w:r>
      <w:bookmarkStart w:id="1" w:name="casename_body"/>
      <w:r w:rsidR="00AC34EC" w:rsidRPr="00AC34EC">
        <w:rPr>
          <w:rFonts w:ascii="David" w:hAnsi="David" w:cs="David"/>
          <w:b/>
          <w:color w:val="000000"/>
          <w:rtl/>
        </w:rPr>
        <w:t>בגץ  10533/04</w:t>
      </w:r>
      <w:r w:rsidR="00AC34EC" w:rsidRPr="00AC34EC">
        <w:rPr>
          <w:rFonts w:ascii="David" w:hAnsi="David" w:cs="David"/>
          <w:bCs/>
          <w:color w:val="000000"/>
          <w:rtl/>
        </w:rPr>
        <w:t>‏ איל ויס נ' שר הפנים</w:t>
      </w:r>
      <w:r w:rsidR="00AC34EC" w:rsidRPr="00AC34EC">
        <w:rPr>
          <w:rFonts w:ascii="David" w:hAnsi="David" w:cs="David"/>
          <w:bCs/>
          <w:rtl/>
        </w:rPr>
        <w:t xml:space="preserve">, </w:t>
      </w:r>
      <w:proofErr w:type="spellStart"/>
      <w:r w:rsidR="00AC34EC" w:rsidRPr="00AC34EC">
        <w:rPr>
          <w:rFonts w:ascii="David" w:hAnsi="David" w:cs="David"/>
          <w:b/>
          <w:rtl/>
        </w:rPr>
        <w:t>פ''ד</w:t>
      </w:r>
      <w:proofErr w:type="spellEnd"/>
      <w:r w:rsidR="00AC34EC" w:rsidRPr="00AC34EC">
        <w:rPr>
          <w:rFonts w:ascii="David" w:hAnsi="David" w:cs="David"/>
          <w:b/>
          <w:rtl/>
        </w:rPr>
        <w:t xml:space="preserve"> סד(3) 807</w:t>
      </w:r>
      <w:bookmarkEnd w:id="1"/>
      <w:r w:rsidR="00AC34EC">
        <w:rPr>
          <w:rFonts w:ascii="David" w:hAnsi="David" w:cs="David" w:hint="cs"/>
          <w:b/>
          <w:rtl/>
        </w:rPr>
        <w:t xml:space="preserve"> (פורסם בנבו, 28.6.11).</w:t>
      </w:r>
    </w:p>
    <w:p w:rsidR="00FD1F47" w:rsidRPr="00AC34EC" w:rsidRDefault="00FD1F47" w:rsidP="00FD1F47">
      <w:pPr>
        <w:suppressAutoHyphens/>
        <w:spacing w:line="360" w:lineRule="auto"/>
        <w:jc w:val="both"/>
        <w:rPr>
          <w:rFonts w:ascii="David" w:hAnsi="David" w:cs="David"/>
          <w:b/>
          <w:bCs/>
          <w:rtl/>
        </w:rPr>
      </w:pPr>
    </w:p>
    <w:p w:rsidR="00FD1F47" w:rsidRPr="00AC34EC" w:rsidRDefault="00FD1F47" w:rsidP="00FD1F47">
      <w:pPr>
        <w:suppressAutoHyphens/>
        <w:spacing w:line="360" w:lineRule="auto"/>
        <w:jc w:val="both"/>
        <w:rPr>
          <w:rFonts w:ascii="David" w:hAnsi="David" w:cs="David"/>
          <w:b/>
          <w:bCs/>
          <w:rtl/>
        </w:rPr>
      </w:pPr>
    </w:p>
    <w:p w:rsidR="009E484E" w:rsidRPr="00AC34EC" w:rsidRDefault="009E484E" w:rsidP="009E484E">
      <w:pPr>
        <w:pStyle w:val="ListParagraph"/>
        <w:suppressAutoHyphens/>
        <w:spacing w:line="360" w:lineRule="auto"/>
        <w:ind w:left="935"/>
        <w:jc w:val="both"/>
        <w:rPr>
          <w:rFonts w:ascii="David" w:hAnsi="David" w:cs="David"/>
          <w:b/>
          <w:bCs/>
          <w:u w:val="single"/>
          <w:rtl/>
        </w:rPr>
      </w:pPr>
      <w:r w:rsidRPr="00AC34EC">
        <w:rPr>
          <w:rFonts w:ascii="David" w:hAnsi="David" w:cs="David"/>
          <w:b/>
          <w:bCs/>
          <w:u w:val="single"/>
          <w:rtl/>
        </w:rPr>
        <w:t>סיכום</w:t>
      </w:r>
    </w:p>
    <w:p w:rsidR="009E484E" w:rsidRPr="00AC34EC" w:rsidRDefault="009E484E" w:rsidP="009E484E">
      <w:pPr>
        <w:suppressAutoHyphens/>
        <w:spacing w:line="360" w:lineRule="auto"/>
        <w:jc w:val="both"/>
        <w:rPr>
          <w:rFonts w:ascii="David" w:hAnsi="David" w:cs="David"/>
          <w:u w:val="single"/>
          <w:rtl/>
        </w:rPr>
      </w:pPr>
    </w:p>
    <w:p w:rsidR="006B527F" w:rsidRDefault="00AC34EC" w:rsidP="006B527F">
      <w:pPr>
        <w:suppressAutoHyphens/>
        <w:spacing w:line="360" w:lineRule="auto"/>
        <w:jc w:val="both"/>
        <w:rPr>
          <w:rFonts w:ascii="David" w:hAnsi="David" w:cs="David"/>
          <w:rtl/>
        </w:rPr>
      </w:pPr>
      <w:r>
        <w:rPr>
          <w:rFonts w:ascii="David" w:hAnsi="David" w:cs="David" w:hint="cs"/>
          <w:rtl/>
        </w:rPr>
        <w:t>לעמדת מרכז צדק לנשים על רשויות המדינה לגבש התנהלות שמצמצמת עד כמה שניתן את הפגיעה בזכויות אדם כתוצאה מעירוב הדין האישי והאזרחי, ובפרט כשמדובר בהטלת אות קין על אנשים שלא פשעו. מכאן ש</w:t>
      </w:r>
      <w:r w:rsidR="006B527F">
        <w:rPr>
          <w:rFonts w:ascii="David" w:hAnsi="David" w:cs="David" w:hint="cs"/>
          <w:rtl/>
        </w:rPr>
        <w:t>לעמדת מרכז צדק לנשים על רשויות המדינה לנהוג כדלקמן:</w:t>
      </w:r>
    </w:p>
    <w:p w:rsidR="00AB705C" w:rsidRDefault="00AB705C" w:rsidP="00AB705C">
      <w:pPr>
        <w:pStyle w:val="ListParagraph"/>
        <w:numPr>
          <w:ilvl w:val="0"/>
          <w:numId w:val="6"/>
        </w:numPr>
        <w:suppressAutoHyphens/>
        <w:spacing w:line="360" w:lineRule="auto"/>
        <w:jc w:val="both"/>
        <w:rPr>
          <w:rFonts w:ascii="David" w:hAnsi="David" w:cs="David"/>
        </w:rPr>
      </w:pPr>
      <w:r>
        <w:rPr>
          <w:rFonts w:ascii="David" w:hAnsi="David" w:cs="David" w:hint="cs"/>
          <w:rtl/>
        </w:rPr>
        <w:t>יש</w:t>
      </w:r>
      <w:r w:rsidR="00AC34EC" w:rsidRPr="00AB705C">
        <w:rPr>
          <w:rFonts w:ascii="David" w:hAnsi="David" w:cs="David" w:hint="cs"/>
          <w:rtl/>
        </w:rPr>
        <w:t xml:space="preserve"> לנק</w:t>
      </w:r>
      <w:r w:rsidR="007743BC" w:rsidRPr="00AB705C">
        <w:rPr>
          <w:rFonts w:ascii="David" w:hAnsi="David" w:cs="David" w:hint="cs"/>
          <w:rtl/>
        </w:rPr>
        <w:t>וט בשלילה מוחלטת של "רשימה שחורה",</w:t>
      </w:r>
      <w:r>
        <w:rPr>
          <w:rFonts w:ascii="David" w:hAnsi="David" w:cs="David" w:hint="cs"/>
          <w:rtl/>
        </w:rPr>
        <w:t xml:space="preserve"> ולכל הפחות למחוק מהרשימה קטינים ואנשים שלא באו מיוזמתם להתחתן או להתגרש.</w:t>
      </w:r>
    </w:p>
    <w:p w:rsidR="00AB705C" w:rsidRDefault="007743BC" w:rsidP="00AB705C">
      <w:pPr>
        <w:pStyle w:val="ListParagraph"/>
        <w:numPr>
          <w:ilvl w:val="0"/>
          <w:numId w:val="6"/>
        </w:numPr>
        <w:suppressAutoHyphens/>
        <w:spacing w:line="360" w:lineRule="auto"/>
        <w:jc w:val="both"/>
        <w:rPr>
          <w:rFonts w:ascii="David" w:hAnsi="David" w:cs="David" w:hint="cs"/>
        </w:rPr>
      </w:pPr>
      <w:r w:rsidRPr="00AB705C">
        <w:rPr>
          <w:rFonts w:ascii="David" w:hAnsi="David" w:cs="David" w:hint="cs"/>
          <w:rtl/>
        </w:rPr>
        <w:t xml:space="preserve"> לא לאפשר את המדיניות הפרואקטיבית של ה</w:t>
      </w:r>
      <w:r w:rsidR="00AB705C">
        <w:rPr>
          <w:rFonts w:ascii="David" w:hAnsi="David" w:cs="David" w:hint="cs"/>
          <w:rtl/>
        </w:rPr>
        <w:t>מערכת הדתית, לרבות ביטול הנהלים הנזכרים.</w:t>
      </w:r>
    </w:p>
    <w:p w:rsidR="00F17297" w:rsidRPr="00AB705C" w:rsidRDefault="00AB705C" w:rsidP="00AB705C">
      <w:pPr>
        <w:pStyle w:val="ListParagraph"/>
        <w:numPr>
          <w:ilvl w:val="0"/>
          <w:numId w:val="6"/>
        </w:numPr>
        <w:suppressAutoHyphens/>
        <w:spacing w:line="360" w:lineRule="auto"/>
        <w:jc w:val="both"/>
        <w:rPr>
          <w:rFonts w:ascii="David" w:hAnsi="David" w:cs="David"/>
          <w:rtl/>
        </w:rPr>
      </w:pPr>
      <w:r>
        <w:rPr>
          <w:rFonts w:ascii="David" w:hAnsi="David" w:cs="David" w:hint="cs"/>
          <w:rtl/>
        </w:rPr>
        <w:t xml:space="preserve">לא להפלות </w:t>
      </w:r>
      <w:r w:rsidR="007743BC" w:rsidRPr="00AB705C">
        <w:rPr>
          <w:rFonts w:ascii="David" w:hAnsi="David" w:cs="David" w:hint="cs"/>
          <w:rtl/>
        </w:rPr>
        <w:t xml:space="preserve">קטינים בקביעות </w:t>
      </w:r>
      <w:r>
        <w:rPr>
          <w:rFonts w:ascii="David" w:hAnsi="David" w:cs="David" w:hint="cs"/>
          <w:rtl/>
        </w:rPr>
        <w:t xml:space="preserve">ערכאות </w:t>
      </w:r>
      <w:r w:rsidR="007743BC" w:rsidRPr="00AB705C">
        <w:rPr>
          <w:rFonts w:ascii="David" w:hAnsi="David" w:cs="David" w:hint="cs"/>
          <w:rtl/>
        </w:rPr>
        <w:t>אזרחיות בנוגע לאבהות רק לנוכח החשש הדתי מפני כשרות היוחסין.</w:t>
      </w:r>
    </w:p>
    <w:p w:rsidR="009E484E" w:rsidRPr="00AC34EC" w:rsidRDefault="009E484E" w:rsidP="009E484E">
      <w:pPr>
        <w:pStyle w:val="ListParagraph"/>
        <w:spacing w:line="360" w:lineRule="auto"/>
        <w:ind w:left="546"/>
        <w:jc w:val="both"/>
        <w:rPr>
          <w:rFonts w:ascii="David" w:hAnsi="David" w:cs="David"/>
          <w:rtl/>
        </w:rPr>
      </w:pPr>
    </w:p>
    <w:p w:rsidR="009E484E" w:rsidRPr="00AC34EC" w:rsidRDefault="009E484E" w:rsidP="009E484E">
      <w:pPr>
        <w:pStyle w:val="ListParagraph"/>
        <w:autoSpaceDE w:val="0"/>
        <w:autoSpaceDN w:val="0"/>
        <w:adjustRightInd w:val="0"/>
        <w:spacing w:line="360" w:lineRule="auto"/>
        <w:ind w:left="546"/>
        <w:jc w:val="both"/>
        <w:rPr>
          <w:rFonts w:ascii="David" w:hAnsi="David" w:cs="David"/>
        </w:rPr>
      </w:pPr>
    </w:p>
    <w:p w:rsidR="009E484E" w:rsidRPr="00AC34EC" w:rsidRDefault="009E484E" w:rsidP="009E484E">
      <w:pPr>
        <w:spacing w:line="360" w:lineRule="auto"/>
        <w:ind w:left="186"/>
        <w:jc w:val="both"/>
        <w:rPr>
          <w:rFonts w:ascii="David" w:hAnsi="David" w:cs="David"/>
          <w:rtl/>
        </w:rPr>
      </w:pPr>
    </w:p>
    <w:p w:rsidR="009E484E" w:rsidRPr="00AC34EC" w:rsidRDefault="009E484E" w:rsidP="009E484E">
      <w:pPr>
        <w:spacing w:line="360" w:lineRule="auto"/>
        <w:jc w:val="both"/>
        <w:rPr>
          <w:rFonts w:ascii="David" w:hAnsi="David" w:cs="David"/>
          <w:b/>
          <w:bCs/>
          <w:rtl/>
        </w:rPr>
      </w:pPr>
    </w:p>
    <w:p w:rsidR="009E484E" w:rsidRPr="00AC34EC" w:rsidRDefault="009E484E" w:rsidP="009E484E">
      <w:pPr>
        <w:spacing w:line="360" w:lineRule="auto"/>
        <w:ind w:left="186"/>
        <w:jc w:val="both"/>
        <w:rPr>
          <w:rFonts w:ascii="David" w:hAnsi="David" w:cs="David"/>
          <w:rtl/>
        </w:rPr>
      </w:pPr>
      <w:r w:rsidRPr="00AC34EC">
        <w:rPr>
          <w:rFonts w:ascii="David" w:hAnsi="David" w:cs="David"/>
          <w:b/>
          <w:bCs/>
          <w:rtl/>
        </w:rPr>
        <w:lastRenderedPageBreak/>
        <w:t xml:space="preserve">_________________                  </w:t>
      </w:r>
      <w:r w:rsidRPr="00AC34EC">
        <w:rPr>
          <w:rFonts w:ascii="David" w:hAnsi="David" w:cs="David"/>
          <w:b/>
          <w:bCs/>
          <w:rtl/>
        </w:rPr>
        <w:tab/>
      </w:r>
      <w:r w:rsidRPr="00AC34EC">
        <w:rPr>
          <w:rFonts w:ascii="David" w:hAnsi="David" w:cs="David"/>
          <w:b/>
          <w:bCs/>
          <w:rtl/>
        </w:rPr>
        <w:tab/>
      </w:r>
      <w:r w:rsidRPr="00AC34EC">
        <w:rPr>
          <w:rFonts w:ascii="David" w:hAnsi="David" w:cs="David"/>
          <w:b/>
          <w:bCs/>
          <w:rtl/>
        </w:rPr>
        <w:tab/>
      </w:r>
      <w:r w:rsidRPr="00AC34EC">
        <w:rPr>
          <w:rFonts w:ascii="David" w:hAnsi="David" w:cs="David"/>
          <w:b/>
          <w:bCs/>
          <w:rtl/>
        </w:rPr>
        <w:tab/>
      </w:r>
      <w:r w:rsidRPr="00AC34EC">
        <w:rPr>
          <w:rFonts w:ascii="David" w:hAnsi="David" w:cs="David"/>
          <w:rtl/>
        </w:rPr>
        <w:t xml:space="preserve">____________________     </w:t>
      </w:r>
    </w:p>
    <w:p w:rsidR="009E484E" w:rsidRPr="00AC34EC" w:rsidRDefault="009E484E" w:rsidP="009E484E">
      <w:pPr>
        <w:spacing w:line="360" w:lineRule="auto"/>
        <w:ind w:left="186"/>
        <w:jc w:val="both"/>
        <w:rPr>
          <w:rFonts w:ascii="David" w:hAnsi="David" w:cs="David"/>
          <w:rtl/>
        </w:rPr>
      </w:pPr>
      <w:r w:rsidRPr="00AC34EC">
        <w:rPr>
          <w:rFonts w:ascii="David" w:hAnsi="David" w:cs="David"/>
          <w:rtl/>
        </w:rPr>
        <w:t>ד"ר סוזן ווייס, עו"ד</w:t>
      </w:r>
      <w:r w:rsidRPr="00AC34EC">
        <w:rPr>
          <w:rFonts w:ascii="David" w:hAnsi="David" w:cs="David"/>
          <w:rtl/>
        </w:rPr>
        <w:tab/>
      </w:r>
      <w:r w:rsidRPr="00AC34EC">
        <w:rPr>
          <w:rFonts w:ascii="David" w:hAnsi="David" w:cs="David"/>
          <w:rtl/>
        </w:rPr>
        <w:tab/>
      </w:r>
      <w:r w:rsidRPr="00AC34EC">
        <w:rPr>
          <w:rFonts w:ascii="David" w:hAnsi="David" w:cs="David"/>
          <w:rtl/>
        </w:rPr>
        <w:tab/>
      </w:r>
      <w:r w:rsidRPr="00AC34EC">
        <w:rPr>
          <w:rFonts w:ascii="David" w:hAnsi="David" w:cs="David"/>
          <w:rtl/>
        </w:rPr>
        <w:tab/>
      </w:r>
      <w:r w:rsidRPr="00AC34EC">
        <w:rPr>
          <w:rFonts w:ascii="David" w:hAnsi="David" w:cs="David"/>
          <w:rtl/>
        </w:rPr>
        <w:tab/>
      </w:r>
      <w:r w:rsidRPr="00AC34EC">
        <w:rPr>
          <w:rFonts w:ascii="David" w:hAnsi="David" w:cs="David"/>
          <w:rtl/>
        </w:rPr>
        <w:tab/>
        <w:t xml:space="preserve"> ניצן כספי </w:t>
      </w:r>
      <w:proofErr w:type="spellStart"/>
      <w:r w:rsidRPr="00AC34EC">
        <w:rPr>
          <w:rFonts w:ascii="David" w:hAnsi="David" w:cs="David"/>
          <w:rtl/>
        </w:rPr>
        <w:t>שילוני</w:t>
      </w:r>
      <w:proofErr w:type="spellEnd"/>
      <w:r w:rsidRPr="00AC34EC">
        <w:rPr>
          <w:rFonts w:ascii="David" w:hAnsi="David" w:cs="David"/>
          <w:rtl/>
        </w:rPr>
        <w:t xml:space="preserve"> , עו"ד</w:t>
      </w:r>
    </w:p>
    <w:p w:rsidR="009E484E" w:rsidRPr="00AC34EC" w:rsidRDefault="009E484E" w:rsidP="009E484E">
      <w:pPr>
        <w:tabs>
          <w:tab w:val="left" w:pos="0"/>
          <w:tab w:val="left" w:pos="226"/>
        </w:tabs>
        <w:spacing w:line="360" w:lineRule="auto"/>
        <w:jc w:val="both"/>
        <w:rPr>
          <w:rFonts w:ascii="David" w:hAnsi="David" w:cs="David"/>
        </w:rPr>
      </w:pPr>
    </w:p>
    <w:p w:rsidR="009E484E" w:rsidRPr="00AC34EC" w:rsidRDefault="009E484E" w:rsidP="009E484E">
      <w:pPr>
        <w:rPr>
          <w:rFonts w:ascii="David" w:hAnsi="David" w:cs="David"/>
        </w:rPr>
      </w:pPr>
    </w:p>
    <w:p w:rsidR="009E484E" w:rsidRPr="00AC34EC" w:rsidRDefault="009E484E" w:rsidP="009E484E">
      <w:pPr>
        <w:rPr>
          <w:rFonts w:ascii="David" w:hAnsi="David" w:cs="David"/>
        </w:rPr>
      </w:pPr>
    </w:p>
    <w:p w:rsidR="009E484E" w:rsidRPr="00AC34EC" w:rsidRDefault="009E484E" w:rsidP="009E484E">
      <w:pPr>
        <w:rPr>
          <w:rFonts w:ascii="David" w:hAnsi="David" w:cs="David"/>
        </w:rPr>
      </w:pPr>
    </w:p>
    <w:p w:rsidR="00751D17" w:rsidRPr="00AC34EC" w:rsidRDefault="00751D17">
      <w:pPr>
        <w:rPr>
          <w:rFonts w:ascii="David" w:hAnsi="David" w:cs="David"/>
        </w:rPr>
      </w:pPr>
    </w:p>
    <w:sectPr w:rsidR="00751D17" w:rsidRPr="00AC34EC">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3D70" w:rsidRDefault="00012AE5">
      <w:r>
        <w:separator/>
      </w:r>
    </w:p>
  </w:endnote>
  <w:endnote w:type="continuationSeparator" w:id="0">
    <w:p w:rsidR="00F33D70" w:rsidRDefault="00012A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00"/>
    <w:family w:val="swiss"/>
    <w:pitch w:val="variable"/>
    <w:sig w:usb0="00000803" w:usb1="00000000" w:usb2="00000000" w:usb3="00000000" w:csb0="00000021" w:csb1="00000000"/>
  </w:font>
  <w:font w:name="Guttman Keren">
    <w:altName w:val="Segoe UI Semibold"/>
    <w:charset w:val="B1"/>
    <w:family w:val="auto"/>
    <w:pitch w:val="variable"/>
    <w:sig w:usb0="00000801" w:usb1="4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0B1F" w:rsidRPr="00EB4772" w:rsidRDefault="009E484E" w:rsidP="00C40B1F">
    <w:pPr>
      <w:jc w:val="center"/>
      <w:rPr>
        <w:rFonts w:cs="Guttman Keren"/>
        <w:b/>
        <w:bCs/>
        <w:rtl/>
      </w:rPr>
    </w:pPr>
    <w:r w:rsidRPr="00EB4772">
      <w:rPr>
        <w:rFonts w:cs="Guttman Keren" w:hint="cs"/>
        <w:b/>
        <w:bCs/>
        <w:rtl/>
      </w:rPr>
      <w:t xml:space="preserve">מרכז צדק לנשים, </w:t>
    </w:r>
    <w:proofErr w:type="spellStart"/>
    <w:r w:rsidRPr="00EB4772">
      <w:rPr>
        <w:rFonts w:cs="Guttman Keren" w:hint="cs"/>
        <w:b/>
        <w:bCs/>
        <w:rtl/>
      </w:rPr>
      <w:t>ע"ר</w:t>
    </w:r>
    <w:proofErr w:type="spellEnd"/>
    <w:r w:rsidRPr="00EB4772">
      <w:rPr>
        <w:rFonts w:cs="Guttman Keren" w:hint="cs"/>
        <w:b/>
        <w:bCs/>
        <w:rtl/>
      </w:rPr>
      <w:t xml:space="preserve"> 580430973</w:t>
    </w:r>
  </w:p>
  <w:p w:rsidR="00C40B1F" w:rsidRPr="00EB4772" w:rsidRDefault="009E484E" w:rsidP="00E2404A">
    <w:pPr>
      <w:jc w:val="center"/>
      <w:rPr>
        <w:rFonts w:cs="Guttman Keren"/>
        <w:rtl/>
      </w:rPr>
    </w:pPr>
    <w:r w:rsidRPr="00EB4772">
      <w:rPr>
        <w:rFonts w:cs="Guttman Keren" w:hint="cs"/>
        <w:rtl/>
      </w:rPr>
      <w:t xml:space="preserve">רח' עמק רפאים </w:t>
    </w:r>
    <w:r>
      <w:rPr>
        <w:rFonts w:cs="Guttman Keren" w:hint="cs"/>
        <w:rtl/>
      </w:rPr>
      <w:t>43</w:t>
    </w:r>
    <w:r w:rsidRPr="00EB4772">
      <w:rPr>
        <w:rFonts w:cs="Guttman Keren" w:hint="cs"/>
        <w:rtl/>
      </w:rPr>
      <w:t xml:space="preserve"> ירושלים</w:t>
    </w:r>
  </w:p>
  <w:p w:rsidR="00C40B1F" w:rsidRPr="00EB4772" w:rsidRDefault="009E484E" w:rsidP="00C40B1F">
    <w:pPr>
      <w:pStyle w:val="Footer"/>
      <w:jc w:val="center"/>
      <w:rPr>
        <w:rtl/>
      </w:rPr>
    </w:pPr>
    <w:r w:rsidRPr="00EB4772">
      <w:rPr>
        <w:rFonts w:cs="Guttman Keren" w:hint="cs"/>
        <w:rtl/>
      </w:rPr>
      <w:t>טל. 02-5664390  פקס 02-5663317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3D70" w:rsidRDefault="00012AE5">
      <w:r>
        <w:separator/>
      </w:r>
    </w:p>
  </w:footnote>
  <w:footnote w:type="continuationSeparator" w:id="0">
    <w:p w:rsidR="00F33D70" w:rsidRDefault="00012AE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3B3FC2"/>
    <w:multiLevelType w:val="multilevel"/>
    <w:tmpl w:val="86828F44"/>
    <w:lvl w:ilvl="0">
      <w:start w:val="1"/>
      <w:numFmt w:val="decimal"/>
      <w:lvlText w:val="%1."/>
      <w:lvlJc w:val="left"/>
      <w:pPr>
        <w:ind w:left="906" w:hanging="360"/>
      </w:pPr>
      <w:rPr>
        <w:rFonts w:hint="default"/>
      </w:rPr>
    </w:lvl>
    <w:lvl w:ilvl="1">
      <w:start w:val="2"/>
      <w:numFmt w:val="decimal"/>
      <w:isLgl/>
      <w:lvlText w:val="%1.%2"/>
      <w:lvlJc w:val="left"/>
      <w:pPr>
        <w:ind w:left="906" w:hanging="360"/>
      </w:pPr>
      <w:rPr>
        <w:rFonts w:hint="default"/>
      </w:rPr>
    </w:lvl>
    <w:lvl w:ilvl="2">
      <w:start w:val="1"/>
      <w:numFmt w:val="decimal"/>
      <w:isLgl/>
      <w:lvlText w:val="%1.%2.%3"/>
      <w:lvlJc w:val="left"/>
      <w:pPr>
        <w:ind w:left="1266" w:hanging="720"/>
      </w:pPr>
      <w:rPr>
        <w:rFonts w:hint="default"/>
      </w:rPr>
    </w:lvl>
    <w:lvl w:ilvl="3">
      <w:start w:val="1"/>
      <w:numFmt w:val="decimal"/>
      <w:isLgl/>
      <w:lvlText w:val="%1.%2.%3.%4"/>
      <w:lvlJc w:val="left"/>
      <w:pPr>
        <w:ind w:left="1266" w:hanging="720"/>
      </w:pPr>
      <w:rPr>
        <w:rFonts w:hint="default"/>
      </w:rPr>
    </w:lvl>
    <w:lvl w:ilvl="4">
      <w:start w:val="1"/>
      <w:numFmt w:val="decimal"/>
      <w:isLgl/>
      <w:lvlText w:val="%1.%2.%3.%4.%5"/>
      <w:lvlJc w:val="left"/>
      <w:pPr>
        <w:ind w:left="1626" w:hanging="1080"/>
      </w:pPr>
      <w:rPr>
        <w:rFonts w:hint="default"/>
      </w:rPr>
    </w:lvl>
    <w:lvl w:ilvl="5">
      <w:start w:val="1"/>
      <w:numFmt w:val="decimal"/>
      <w:isLgl/>
      <w:lvlText w:val="%1.%2.%3.%4.%5.%6"/>
      <w:lvlJc w:val="left"/>
      <w:pPr>
        <w:ind w:left="1626" w:hanging="1080"/>
      </w:pPr>
      <w:rPr>
        <w:rFonts w:hint="default"/>
      </w:rPr>
    </w:lvl>
    <w:lvl w:ilvl="6">
      <w:start w:val="1"/>
      <w:numFmt w:val="decimal"/>
      <w:isLgl/>
      <w:lvlText w:val="%1.%2.%3.%4.%5.%6.%7"/>
      <w:lvlJc w:val="left"/>
      <w:pPr>
        <w:ind w:left="1986" w:hanging="1440"/>
      </w:pPr>
      <w:rPr>
        <w:rFonts w:hint="default"/>
      </w:rPr>
    </w:lvl>
    <w:lvl w:ilvl="7">
      <w:start w:val="1"/>
      <w:numFmt w:val="decimal"/>
      <w:isLgl/>
      <w:lvlText w:val="%1.%2.%3.%4.%5.%6.%7.%8"/>
      <w:lvlJc w:val="left"/>
      <w:pPr>
        <w:ind w:left="1986" w:hanging="1440"/>
      </w:pPr>
      <w:rPr>
        <w:rFonts w:hint="default"/>
      </w:rPr>
    </w:lvl>
    <w:lvl w:ilvl="8">
      <w:start w:val="1"/>
      <w:numFmt w:val="decimal"/>
      <w:isLgl/>
      <w:lvlText w:val="%1.%2.%3.%4.%5.%6.%7.%8.%9"/>
      <w:lvlJc w:val="left"/>
      <w:pPr>
        <w:ind w:left="2346" w:hanging="1800"/>
      </w:pPr>
      <w:rPr>
        <w:rFonts w:hint="default"/>
      </w:rPr>
    </w:lvl>
  </w:abstractNum>
  <w:abstractNum w:abstractNumId="1" w15:restartNumberingAfterBreak="0">
    <w:nsid w:val="4AF26B4E"/>
    <w:multiLevelType w:val="multilevel"/>
    <w:tmpl w:val="C5503DF0"/>
    <w:lvl w:ilvl="0">
      <w:start w:val="1"/>
      <w:numFmt w:val="decimal"/>
      <w:lvlText w:val="%1."/>
      <w:lvlJc w:val="left"/>
      <w:pPr>
        <w:ind w:left="546" w:hanging="360"/>
      </w:pPr>
      <w:rPr>
        <w:rFonts w:hint="default"/>
      </w:rPr>
    </w:lvl>
    <w:lvl w:ilvl="1">
      <w:start w:val="2"/>
      <w:numFmt w:val="decimal"/>
      <w:isLgl/>
      <w:lvlText w:val="%1.%2"/>
      <w:lvlJc w:val="left"/>
      <w:pPr>
        <w:ind w:left="546" w:hanging="360"/>
      </w:pPr>
      <w:rPr>
        <w:rFonts w:hint="default"/>
      </w:rPr>
    </w:lvl>
    <w:lvl w:ilvl="2">
      <w:start w:val="1"/>
      <w:numFmt w:val="decimal"/>
      <w:isLgl/>
      <w:lvlText w:val="%1.%2.%3"/>
      <w:lvlJc w:val="left"/>
      <w:pPr>
        <w:ind w:left="906" w:hanging="720"/>
      </w:pPr>
      <w:rPr>
        <w:rFonts w:hint="default"/>
      </w:rPr>
    </w:lvl>
    <w:lvl w:ilvl="3">
      <w:start w:val="1"/>
      <w:numFmt w:val="decimal"/>
      <w:isLgl/>
      <w:lvlText w:val="%1.%2.%3.%4"/>
      <w:lvlJc w:val="left"/>
      <w:pPr>
        <w:ind w:left="906" w:hanging="720"/>
      </w:pPr>
      <w:rPr>
        <w:rFonts w:hint="default"/>
      </w:rPr>
    </w:lvl>
    <w:lvl w:ilvl="4">
      <w:start w:val="1"/>
      <w:numFmt w:val="decimal"/>
      <w:isLgl/>
      <w:lvlText w:val="%1.%2.%3.%4.%5"/>
      <w:lvlJc w:val="left"/>
      <w:pPr>
        <w:ind w:left="1266" w:hanging="1080"/>
      </w:pPr>
      <w:rPr>
        <w:rFonts w:hint="default"/>
      </w:rPr>
    </w:lvl>
    <w:lvl w:ilvl="5">
      <w:start w:val="1"/>
      <w:numFmt w:val="decimal"/>
      <w:isLgl/>
      <w:lvlText w:val="%1.%2.%3.%4.%5.%6"/>
      <w:lvlJc w:val="left"/>
      <w:pPr>
        <w:ind w:left="1266" w:hanging="1080"/>
      </w:pPr>
      <w:rPr>
        <w:rFonts w:hint="default"/>
      </w:rPr>
    </w:lvl>
    <w:lvl w:ilvl="6">
      <w:start w:val="1"/>
      <w:numFmt w:val="decimal"/>
      <w:isLgl/>
      <w:lvlText w:val="%1.%2.%3.%4.%5.%6.%7"/>
      <w:lvlJc w:val="left"/>
      <w:pPr>
        <w:ind w:left="1626" w:hanging="1440"/>
      </w:pPr>
      <w:rPr>
        <w:rFonts w:hint="default"/>
      </w:rPr>
    </w:lvl>
    <w:lvl w:ilvl="7">
      <w:start w:val="1"/>
      <w:numFmt w:val="decimal"/>
      <w:isLgl/>
      <w:lvlText w:val="%1.%2.%3.%4.%5.%6.%7.%8"/>
      <w:lvlJc w:val="left"/>
      <w:pPr>
        <w:ind w:left="1626" w:hanging="1440"/>
      </w:pPr>
      <w:rPr>
        <w:rFonts w:hint="default"/>
      </w:rPr>
    </w:lvl>
    <w:lvl w:ilvl="8">
      <w:start w:val="1"/>
      <w:numFmt w:val="decimal"/>
      <w:isLgl/>
      <w:lvlText w:val="%1.%2.%3.%4.%5.%6.%7.%8.%9"/>
      <w:lvlJc w:val="left"/>
      <w:pPr>
        <w:ind w:left="1986" w:hanging="1800"/>
      </w:pPr>
      <w:rPr>
        <w:rFonts w:hint="default"/>
      </w:rPr>
    </w:lvl>
  </w:abstractNum>
  <w:abstractNum w:abstractNumId="2" w15:restartNumberingAfterBreak="0">
    <w:nsid w:val="5F114B5D"/>
    <w:multiLevelType w:val="multilevel"/>
    <w:tmpl w:val="0409001F"/>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rPr>
    </w:lvl>
    <w:lvl w:ilvl="2">
      <w:start w:val="1"/>
      <w:numFmt w:val="decimal"/>
      <w:lvlText w:val="%1.%2.%3."/>
      <w:lvlJc w:val="left"/>
      <w:pPr>
        <w:ind w:left="163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15:restartNumberingAfterBreak="0">
    <w:nsid w:val="612A5EEC"/>
    <w:multiLevelType w:val="hybridMultilevel"/>
    <w:tmpl w:val="3D48863A"/>
    <w:lvl w:ilvl="0" w:tplc="7B029944">
      <w:start w:val="1"/>
      <w:numFmt w:val="hebrew1"/>
      <w:lvlText w:val="%1."/>
      <w:lvlJc w:val="left"/>
      <w:pPr>
        <w:ind w:left="906" w:hanging="360"/>
      </w:pPr>
      <w:rPr>
        <w:rFonts w:hint="default"/>
      </w:rPr>
    </w:lvl>
    <w:lvl w:ilvl="1" w:tplc="04090019" w:tentative="1">
      <w:start w:val="1"/>
      <w:numFmt w:val="lowerLetter"/>
      <w:lvlText w:val="%2."/>
      <w:lvlJc w:val="left"/>
      <w:pPr>
        <w:ind w:left="1626" w:hanging="360"/>
      </w:pPr>
    </w:lvl>
    <w:lvl w:ilvl="2" w:tplc="0409001B" w:tentative="1">
      <w:start w:val="1"/>
      <w:numFmt w:val="lowerRoman"/>
      <w:lvlText w:val="%3."/>
      <w:lvlJc w:val="right"/>
      <w:pPr>
        <w:ind w:left="2346" w:hanging="180"/>
      </w:pPr>
    </w:lvl>
    <w:lvl w:ilvl="3" w:tplc="0409000F" w:tentative="1">
      <w:start w:val="1"/>
      <w:numFmt w:val="decimal"/>
      <w:lvlText w:val="%4."/>
      <w:lvlJc w:val="left"/>
      <w:pPr>
        <w:ind w:left="3066" w:hanging="360"/>
      </w:pPr>
    </w:lvl>
    <w:lvl w:ilvl="4" w:tplc="04090019" w:tentative="1">
      <w:start w:val="1"/>
      <w:numFmt w:val="lowerLetter"/>
      <w:lvlText w:val="%5."/>
      <w:lvlJc w:val="left"/>
      <w:pPr>
        <w:ind w:left="3786" w:hanging="360"/>
      </w:pPr>
    </w:lvl>
    <w:lvl w:ilvl="5" w:tplc="0409001B" w:tentative="1">
      <w:start w:val="1"/>
      <w:numFmt w:val="lowerRoman"/>
      <w:lvlText w:val="%6."/>
      <w:lvlJc w:val="right"/>
      <w:pPr>
        <w:ind w:left="4506" w:hanging="180"/>
      </w:pPr>
    </w:lvl>
    <w:lvl w:ilvl="6" w:tplc="0409000F" w:tentative="1">
      <w:start w:val="1"/>
      <w:numFmt w:val="decimal"/>
      <w:lvlText w:val="%7."/>
      <w:lvlJc w:val="left"/>
      <w:pPr>
        <w:ind w:left="5226" w:hanging="360"/>
      </w:pPr>
    </w:lvl>
    <w:lvl w:ilvl="7" w:tplc="04090019" w:tentative="1">
      <w:start w:val="1"/>
      <w:numFmt w:val="lowerLetter"/>
      <w:lvlText w:val="%8."/>
      <w:lvlJc w:val="left"/>
      <w:pPr>
        <w:ind w:left="5946" w:hanging="360"/>
      </w:pPr>
    </w:lvl>
    <w:lvl w:ilvl="8" w:tplc="0409001B" w:tentative="1">
      <w:start w:val="1"/>
      <w:numFmt w:val="lowerRoman"/>
      <w:lvlText w:val="%9."/>
      <w:lvlJc w:val="right"/>
      <w:pPr>
        <w:ind w:left="6666" w:hanging="180"/>
      </w:pPr>
    </w:lvl>
  </w:abstractNum>
  <w:abstractNum w:abstractNumId="4" w15:restartNumberingAfterBreak="0">
    <w:nsid w:val="61C051A4"/>
    <w:multiLevelType w:val="hybridMultilevel"/>
    <w:tmpl w:val="EF9CB832"/>
    <w:lvl w:ilvl="0" w:tplc="46E422EA">
      <w:start w:val="1"/>
      <w:numFmt w:val="decimal"/>
      <w:lvlText w:val="%1."/>
      <w:lvlJc w:val="left"/>
      <w:pPr>
        <w:ind w:left="546" w:hanging="360"/>
      </w:pPr>
      <w:rPr>
        <w:rFonts w:hint="default"/>
      </w:rPr>
    </w:lvl>
    <w:lvl w:ilvl="1" w:tplc="04090019" w:tentative="1">
      <w:start w:val="1"/>
      <w:numFmt w:val="lowerLetter"/>
      <w:lvlText w:val="%2."/>
      <w:lvlJc w:val="left"/>
      <w:pPr>
        <w:ind w:left="1266" w:hanging="360"/>
      </w:pPr>
    </w:lvl>
    <w:lvl w:ilvl="2" w:tplc="0409001B" w:tentative="1">
      <w:start w:val="1"/>
      <w:numFmt w:val="lowerRoman"/>
      <w:lvlText w:val="%3."/>
      <w:lvlJc w:val="right"/>
      <w:pPr>
        <w:ind w:left="1986" w:hanging="180"/>
      </w:pPr>
    </w:lvl>
    <w:lvl w:ilvl="3" w:tplc="0409000F" w:tentative="1">
      <w:start w:val="1"/>
      <w:numFmt w:val="decimal"/>
      <w:lvlText w:val="%4."/>
      <w:lvlJc w:val="left"/>
      <w:pPr>
        <w:ind w:left="2706" w:hanging="360"/>
      </w:pPr>
    </w:lvl>
    <w:lvl w:ilvl="4" w:tplc="04090019" w:tentative="1">
      <w:start w:val="1"/>
      <w:numFmt w:val="lowerLetter"/>
      <w:lvlText w:val="%5."/>
      <w:lvlJc w:val="left"/>
      <w:pPr>
        <w:ind w:left="3426" w:hanging="360"/>
      </w:pPr>
    </w:lvl>
    <w:lvl w:ilvl="5" w:tplc="0409001B" w:tentative="1">
      <w:start w:val="1"/>
      <w:numFmt w:val="lowerRoman"/>
      <w:lvlText w:val="%6."/>
      <w:lvlJc w:val="right"/>
      <w:pPr>
        <w:ind w:left="4146" w:hanging="180"/>
      </w:pPr>
    </w:lvl>
    <w:lvl w:ilvl="6" w:tplc="0409000F" w:tentative="1">
      <w:start w:val="1"/>
      <w:numFmt w:val="decimal"/>
      <w:lvlText w:val="%7."/>
      <w:lvlJc w:val="left"/>
      <w:pPr>
        <w:ind w:left="4866" w:hanging="360"/>
      </w:pPr>
    </w:lvl>
    <w:lvl w:ilvl="7" w:tplc="04090019" w:tentative="1">
      <w:start w:val="1"/>
      <w:numFmt w:val="lowerLetter"/>
      <w:lvlText w:val="%8."/>
      <w:lvlJc w:val="left"/>
      <w:pPr>
        <w:ind w:left="5586" w:hanging="360"/>
      </w:pPr>
    </w:lvl>
    <w:lvl w:ilvl="8" w:tplc="0409001B" w:tentative="1">
      <w:start w:val="1"/>
      <w:numFmt w:val="lowerRoman"/>
      <w:lvlText w:val="%9."/>
      <w:lvlJc w:val="right"/>
      <w:pPr>
        <w:ind w:left="6306" w:hanging="180"/>
      </w:pPr>
    </w:lvl>
  </w:abstractNum>
  <w:abstractNum w:abstractNumId="5" w15:restartNumberingAfterBreak="0">
    <w:nsid w:val="6AC31BB0"/>
    <w:multiLevelType w:val="hybridMultilevel"/>
    <w:tmpl w:val="BBBC8BA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1"/>
  </w:num>
  <w:num w:numId="2">
    <w:abstractNumId w:val="2"/>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84E"/>
    <w:rsid w:val="00012AE5"/>
    <w:rsid w:val="001F5AC1"/>
    <w:rsid w:val="002C44BF"/>
    <w:rsid w:val="004E078F"/>
    <w:rsid w:val="00610570"/>
    <w:rsid w:val="006B4CCB"/>
    <w:rsid w:val="006B527F"/>
    <w:rsid w:val="00751D17"/>
    <w:rsid w:val="007743BC"/>
    <w:rsid w:val="007771BE"/>
    <w:rsid w:val="007B5D6B"/>
    <w:rsid w:val="00925D8E"/>
    <w:rsid w:val="009E484E"/>
    <w:rsid w:val="00AB705C"/>
    <w:rsid w:val="00AC34EC"/>
    <w:rsid w:val="00B65EA8"/>
    <w:rsid w:val="00CE4E5A"/>
    <w:rsid w:val="00D0023D"/>
    <w:rsid w:val="00E557FA"/>
    <w:rsid w:val="00F17297"/>
    <w:rsid w:val="00F33D70"/>
    <w:rsid w:val="00FD1F4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85C51A-DC39-4B98-ACC5-5F4D27836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484E"/>
    <w:pPr>
      <w:bidi/>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E484E"/>
    <w:pPr>
      <w:tabs>
        <w:tab w:val="center" w:pos="4153"/>
        <w:tab w:val="right" w:pos="8306"/>
      </w:tabs>
    </w:pPr>
  </w:style>
  <w:style w:type="character" w:customStyle="1" w:styleId="FooterChar">
    <w:name w:val="Footer Char"/>
    <w:basedOn w:val="DefaultParagraphFont"/>
    <w:link w:val="Footer"/>
    <w:rsid w:val="009E484E"/>
    <w:rPr>
      <w:rFonts w:ascii="Times New Roman" w:eastAsia="Times New Roman" w:hAnsi="Times New Roman" w:cs="Times New Roman"/>
      <w:sz w:val="24"/>
      <w:szCs w:val="24"/>
    </w:rPr>
  </w:style>
  <w:style w:type="paragraph" w:styleId="ListParagraph">
    <w:name w:val="List Paragraph"/>
    <w:basedOn w:val="Normal"/>
    <w:uiPriority w:val="34"/>
    <w:qFormat/>
    <w:rsid w:val="009E484E"/>
    <w:pPr>
      <w:ind w:left="720"/>
      <w:contextualSpacing/>
    </w:pPr>
  </w:style>
  <w:style w:type="character" w:customStyle="1" w:styleId="apple-converted-space">
    <w:name w:val="apple-converted-space"/>
    <w:basedOn w:val="DefaultParagraphFont"/>
    <w:rsid w:val="009E48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84B5F5-A55F-467F-A908-8CD92B6E70FE}"/>
</file>

<file path=customXml/itemProps2.xml><?xml version="1.0" encoding="utf-8"?>
<ds:datastoreItem xmlns:ds="http://schemas.openxmlformats.org/officeDocument/2006/customXml" ds:itemID="{4254895C-76D2-48A7-9045-DE7CE90B9F75}"/>
</file>

<file path=customXml/itemProps3.xml><?xml version="1.0" encoding="utf-8"?>
<ds:datastoreItem xmlns:ds="http://schemas.openxmlformats.org/officeDocument/2006/customXml" ds:itemID="{2B6FF9F5-55F2-4196-B729-7E0DF53D45EF}"/>
</file>

<file path=docProps/app.xml><?xml version="1.0" encoding="utf-8"?>
<Properties xmlns="http://schemas.openxmlformats.org/officeDocument/2006/extended-properties" xmlns:vt="http://schemas.openxmlformats.org/officeDocument/2006/docPropsVTypes">
  <Template>Normal</Template>
  <TotalTime>66</TotalTime>
  <Pages>5</Pages>
  <Words>1613</Words>
  <Characters>8068</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Nitzan Caspi Shiloni</dc:creator>
  <cp:keywords/>
  <dc:description/>
  <cp:lastModifiedBy>Nitzan Caspi Shiloni</cp:lastModifiedBy>
  <cp:revision>8</cp:revision>
  <dcterms:created xsi:type="dcterms:W3CDTF">2017-03-07T12:52:00Z</dcterms:created>
  <dcterms:modified xsi:type="dcterms:W3CDTF">2017-03-07T13:58:00Z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2012191</vt:r8>
  </property>
</Properties>
</file>