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10A7CF" w14:textId="77777777" w:rsidR="00F83479" w:rsidRPr="0000131B" w:rsidRDefault="00F83479" w:rsidP="00F83479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2012033</w:t>
      </w:r>
      <w:bookmarkEnd w:id="1"/>
    </w:p>
    <w:p w14:paraId="0F029A60" w14:textId="77777777" w:rsidR="00F83479" w:rsidRPr="00DB7060" w:rsidRDefault="00F83479" w:rsidP="00F83479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1E9172F" w14:textId="77777777" w:rsidR="00F83479" w:rsidRPr="00F67051" w:rsidRDefault="00F83479" w:rsidP="00F83479">
      <w:pPr>
        <w:rPr>
          <w:rFonts w:cs="David"/>
          <w:b/>
          <w:bCs/>
          <w:sz w:val="26"/>
          <w:szCs w:val="26"/>
          <w:rtl/>
        </w:rPr>
      </w:pPr>
    </w:p>
    <w:p w14:paraId="162B5CC3" w14:textId="77777777" w:rsidR="00F83479" w:rsidRDefault="00F83479" w:rsidP="00F83479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bookmarkEnd w:id="4"/>
    </w:p>
    <w:p w14:paraId="189273E4" w14:textId="77777777" w:rsidR="00F83479" w:rsidRPr="00CF1AA2" w:rsidRDefault="00F83479" w:rsidP="00F83479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4574BD81" w14:textId="6CB849EA" w:rsidR="00F83479" w:rsidRPr="003A0D44" w:rsidRDefault="00F83479" w:rsidP="00F83479">
      <w:pPr>
        <w:pStyle w:val="David"/>
        <w:spacing w:before="0" w:line="360" w:lineRule="auto"/>
        <w:ind w:left="3544"/>
        <w:rPr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  <w:r w:rsidR="003A0D44">
        <w:rPr>
          <w:rFonts w:hint="cs"/>
          <w:rtl/>
        </w:rPr>
        <w:t>פ/3778/20</w:t>
      </w:r>
    </w:p>
    <w:p w14:paraId="7A7E87CC" w14:textId="709F2550" w:rsidR="00F83479" w:rsidRDefault="00F83479" w:rsidP="00B77CFF">
      <w:pPr>
        <w:pStyle w:val="David"/>
        <w:spacing w:before="0" w:line="240" w:lineRule="auto"/>
        <w:ind w:left="3544"/>
        <w:rPr>
          <w:rtl/>
        </w:rPr>
      </w:pPr>
      <w:r>
        <w:t xml:space="preserve">             </w:t>
      </w:r>
      <w:r w:rsidR="00B77CFF">
        <w:t xml:space="preserve">                             </w:t>
      </w:r>
    </w:p>
    <w:p w14:paraId="40C161A3" w14:textId="7E9E5822" w:rsidR="00F83479" w:rsidRDefault="00B77CFF" w:rsidP="00CC1C0F">
      <w:pPr>
        <w:pStyle w:val="HeadHatzaotHok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התגמולים לנפגעי פעולות איבה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נפגע איבה ממעשה טרור של ארגון טרור </w:t>
      </w:r>
      <w:r w:rsidR="00CC1C0F">
        <w:rPr>
          <w:rFonts w:hint="cs"/>
          <w:rtl/>
        </w:rPr>
        <w:t>בחוץ לארץ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r>
        <w:rPr>
          <w:rFonts w:hint="cs"/>
          <w:rtl/>
        </w:rPr>
        <w:br/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7"/>
      </w:tblGrid>
      <w:tr w:rsidR="00B77CFF" w14:paraId="6C01A8B7" w14:textId="77777777" w:rsidTr="00891C1A">
        <w:trPr>
          <w:cantSplit/>
        </w:trPr>
        <w:tc>
          <w:tcPr>
            <w:tcW w:w="1871" w:type="dxa"/>
          </w:tcPr>
          <w:p w14:paraId="65C7B92F" w14:textId="77777777" w:rsidR="00B77CFF" w:rsidRDefault="00B77CFF" w:rsidP="006316E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18ב</w:t>
            </w:r>
          </w:p>
        </w:tc>
        <w:tc>
          <w:tcPr>
            <w:tcW w:w="624" w:type="dxa"/>
          </w:tcPr>
          <w:p w14:paraId="3A18283A" w14:textId="77777777" w:rsidR="00B77CFF" w:rsidRDefault="00B77CFF" w:rsidP="006316E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5"/>
          </w:tcPr>
          <w:p w14:paraId="4BCBFEFA" w14:textId="5B648904" w:rsidR="00B77CFF" w:rsidRPr="00C31AF6" w:rsidRDefault="00B77CFF" w:rsidP="00891C1A">
            <w:pPr>
              <w:pStyle w:val="TableBlock"/>
              <w:rPr>
                <w:sz w:val="26"/>
                <w:rtl/>
              </w:rPr>
            </w:pPr>
            <w:r w:rsidRPr="00C31AF6"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  <w:t xml:space="preserve">בחוק התגמולים לנפגעי פעולות איבה, </w:t>
            </w:r>
            <w:proofErr w:type="spellStart"/>
            <w:r w:rsidRPr="00C31AF6"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  <w:t>התש"ל</w:t>
            </w:r>
            <w:proofErr w:type="spellEnd"/>
            <w:r w:rsidRPr="00C31AF6">
              <w:rPr>
                <w:rFonts w:ascii="Times New Roman" w:eastAsia="Times New Roman" w:hAnsi="Times New Roman" w:hint="cs"/>
                <w:snapToGrid/>
                <w:color w:val="auto"/>
                <w:sz w:val="26"/>
                <w:rtl/>
                <w:lang w:eastAsia="en-US"/>
              </w:rPr>
              <w:t>–</w:t>
            </w:r>
            <w:r w:rsidRPr="00C31AF6"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  <w:t>1970</w:t>
            </w:r>
            <w:r w:rsidRPr="00240C1F">
              <w:rPr>
                <w:rStyle w:val="a6"/>
              </w:rPr>
              <w:footnoteReference w:id="2"/>
            </w:r>
            <w:r w:rsidRPr="00C31AF6"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  <w:t xml:space="preserve"> (להלן – החוק העיקרי),</w:t>
            </w:r>
            <w:r w:rsidRPr="00C31AF6">
              <w:rPr>
                <w:rFonts w:ascii="Times New Roman" w:eastAsia="Times New Roman" w:hAnsi="Times New Roman" w:hint="cs"/>
                <w:snapToGrid/>
                <w:color w:val="auto"/>
                <w:sz w:val="26"/>
                <w:rtl/>
                <w:lang w:eastAsia="en-US"/>
              </w:rPr>
              <w:t xml:space="preserve"> אחרי סעיף 18א יבוא:</w:t>
            </w:r>
          </w:p>
        </w:tc>
      </w:tr>
      <w:tr w:rsidR="00B77CFF" w14:paraId="595ACB57" w14:textId="77777777" w:rsidTr="00891C1A">
        <w:trPr>
          <w:cantSplit/>
        </w:trPr>
        <w:tc>
          <w:tcPr>
            <w:tcW w:w="1871" w:type="dxa"/>
          </w:tcPr>
          <w:p w14:paraId="16B263E7" w14:textId="77777777" w:rsidR="00B77CFF" w:rsidRDefault="00B77CFF" w:rsidP="006316E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54AF4C4A" w14:textId="77777777" w:rsidR="00B77CFF" w:rsidRDefault="00B77CFF" w:rsidP="006316E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640E95A3" w14:textId="77777777" w:rsidR="00B77CFF" w:rsidRPr="00C31AF6" w:rsidRDefault="00B77CFF" w:rsidP="006316E1">
            <w:pPr>
              <w:pStyle w:val="TableInnerSideHeading"/>
              <w:rPr>
                <w:sz w:val="26"/>
              </w:rPr>
            </w:pPr>
            <w:r w:rsidRPr="00C31AF6">
              <w:rPr>
                <w:rFonts w:ascii="Times New Roman" w:eastAsia="Times New Roman" w:hAnsi="Times New Roman" w:hint="cs"/>
                <w:snapToGrid/>
                <w:color w:val="auto"/>
                <w:sz w:val="26"/>
                <w:rtl/>
                <w:lang w:eastAsia="en-US"/>
              </w:rPr>
              <w:t xml:space="preserve">"נפגע ממעשה טרור של ארגון טרור מחוץ לישראל ולאזור </w:t>
            </w:r>
            <w:r w:rsidRPr="00C31AF6"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  <w:t>–</w:t>
            </w:r>
            <w:r w:rsidRPr="00C31AF6">
              <w:rPr>
                <w:rFonts w:ascii="Times New Roman" w:eastAsia="Times New Roman" w:hAnsi="Times New Roman" w:hint="cs"/>
                <w:snapToGrid/>
                <w:color w:val="auto"/>
                <w:sz w:val="26"/>
                <w:rtl/>
                <w:lang w:eastAsia="en-US"/>
              </w:rPr>
              <w:t xml:space="preserve"> החלת החוק</w:t>
            </w:r>
          </w:p>
        </w:tc>
        <w:tc>
          <w:tcPr>
            <w:tcW w:w="624" w:type="dxa"/>
          </w:tcPr>
          <w:p w14:paraId="1E8F777E" w14:textId="77777777" w:rsidR="00B77CFF" w:rsidRPr="00C31AF6" w:rsidRDefault="00B77CFF" w:rsidP="006316E1">
            <w:pPr>
              <w:pStyle w:val="TableText"/>
              <w:rPr>
                <w:sz w:val="26"/>
              </w:rPr>
            </w:pPr>
            <w:r w:rsidRPr="00C31AF6">
              <w:rPr>
                <w:rFonts w:hint="cs"/>
                <w:sz w:val="26"/>
                <w:rtl/>
              </w:rPr>
              <w:t>18ב.</w:t>
            </w:r>
          </w:p>
        </w:tc>
        <w:tc>
          <w:tcPr>
            <w:tcW w:w="4647" w:type="dxa"/>
          </w:tcPr>
          <w:p w14:paraId="00E7D81F" w14:textId="63DC6C8F" w:rsidR="00B77CFF" w:rsidRPr="00C31AF6" w:rsidRDefault="00B77CFF" w:rsidP="00CC1C0F">
            <w:pPr>
              <w:pStyle w:val="TableBlock"/>
              <w:rPr>
                <w:sz w:val="26"/>
              </w:rPr>
            </w:pPr>
            <w:r w:rsidRPr="00C31AF6">
              <w:rPr>
                <w:rFonts w:hint="cs"/>
                <w:sz w:val="26"/>
                <w:rtl/>
              </w:rPr>
              <w:t>(א)</w:t>
            </w:r>
            <w:r w:rsidRPr="00C31AF6">
              <w:rPr>
                <w:sz w:val="26"/>
                <w:rtl/>
              </w:rPr>
              <w:tab/>
            </w:r>
            <w:r w:rsidRPr="00C31AF6">
              <w:rPr>
                <w:rFonts w:hint="cs"/>
                <w:sz w:val="26"/>
                <w:rtl/>
              </w:rPr>
              <w:t>הוראות חוק זה , יחולו</w:t>
            </w:r>
            <w:r w:rsidR="00CC1C0F">
              <w:rPr>
                <w:rFonts w:hint="cs"/>
                <w:sz w:val="26"/>
                <w:rtl/>
              </w:rPr>
              <w:t>,</w:t>
            </w:r>
            <w:r w:rsidR="00CC1C0F" w:rsidRPr="00C31AF6">
              <w:rPr>
                <w:rFonts w:hint="cs"/>
                <w:sz w:val="26"/>
                <w:rtl/>
              </w:rPr>
              <w:t xml:space="preserve"> בשינויים </w:t>
            </w:r>
            <w:proofErr w:type="spellStart"/>
            <w:r w:rsidR="00CC1C0F">
              <w:rPr>
                <w:rFonts w:hint="cs"/>
                <w:sz w:val="26"/>
                <w:rtl/>
              </w:rPr>
              <w:t>המחוייבים</w:t>
            </w:r>
            <w:proofErr w:type="spellEnd"/>
            <w:r w:rsidR="00CC1C0F">
              <w:rPr>
                <w:rFonts w:hint="cs"/>
                <w:sz w:val="26"/>
                <w:rtl/>
              </w:rPr>
              <w:t>,</w:t>
            </w:r>
            <w:r w:rsidRPr="00C31AF6">
              <w:rPr>
                <w:rFonts w:hint="cs"/>
                <w:sz w:val="26"/>
                <w:rtl/>
              </w:rPr>
              <w:t xml:space="preserve"> גם לגבי אזרח ישראלי שנפגע מחוץ לישראל ולאזור</w:t>
            </w:r>
            <w:r w:rsidRPr="00C31AF6" w:rsidDel="006D3289">
              <w:rPr>
                <w:rFonts w:hint="cs"/>
                <w:sz w:val="26"/>
                <w:rtl/>
              </w:rPr>
              <w:t xml:space="preserve"> </w:t>
            </w:r>
            <w:r w:rsidRPr="00C31AF6">
              <w:rPr>
                <w:rFonts w:hint="cs"/>
                <w:sz w:val="26"/>
                <w:rtl/>
              </w:rPr>
              <w:t xml:space="preserve">ממעשה טרור של ארגון טרור כהגדרתם בחוק המאבק בטרור, </w:t>
            </w:r>
            <w:proofErr w:type="spellStart"/>
            <w:r w:rsidRPr="00C31AF6">
              <w:rPr>
                <w:rFonts w:hint="cs"/>
                <w:sz w:val="26"/>
                <w:rtl/>
              </w:rPr>
              <w:t>התשע"ו</w:t>
            </w:r>
            <w:proofErr w:type="spellEnd"/>
            <w:r w:rsidR="00891C1A" w:rsidRPr="00C31AF6">
              <w:rPr>
                <w:rFonts w:hint="eastAsia"/>
                <w:sz w:val="26"/>
                <w:rtl/>
              </w:rPr>
              <w:t>–</w:t>
            </w:r>
            <w:r w:rsidRPr="00C31AF6">
              <w:rPr>
                <w:rFonts w:hint="cs"/>
                <w:sz w:val="26"/>
                <w:rtl/>
              </w:rPr>
              <w:t>2016</w:t>
            </w:r>
            <w:r w:rsidR="00891C1A" w:rsidRPr="00C31AF6">
              <w:rPr>
                <w:rStyle w:val="a6"/>
                <w:sz w:val="26"/>
                <w:rtl/>
              </w:rPr>
              <w:footnoteReference w:id="3"/>
            </w:r>
            <w:r w:rsidRPr="00C31AF6">
              <w:rPr>
                <w:rFonts w:hint="cs"/>
                <w:sz w:val="26"/>
                <w:rtl/>
              </w:rPr>
              <w:t>.</w:t>
            </w:r>
          </w:p>
        </w:tc>
      </w:tr>
      <w:tr w:rsidR="00B77CFF" w14:paraId="040D10EF" w14:textId="77777777" w:rsidTr="00891C1A">
        <w:trPr>
          <w:cantSplit/>
        </w:trPr>
        <w:tc>
          <w:tcPr>
            <w:tcW w:w="1871" w:type="dxa"/>
          </w:tcPr>
          <w:p w14:paraId="0B37BDA6" w14:textId="77777777" w:rsidR="00B77CFF" w:rsidRDefault="00B77CFF" w:rsidP="006316E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4733D9A" w14:textId="77777777" w:rsidR="00B77CFF" w:rsidRDefault="00B77CFF" w:rsidP="006316E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040F34E9" w14:textId="77777777" w:rsidR="00B77CFF" w:rsidRPr="00C31AF6" w:rsidRDefault="00B77CFF" w:rsidP="006316E1">
            <w:pPr>
              <w:pStyle w:val="TableInnerSideHeading"/>
              <w:rPr>
                <w:rFonts w:ascii="Times New Roman" w:eastAsia="Times New Roman" w:hAnsi="Times New Roman"/>
                <w:snapToGrid/>
                <w:color w:val="auto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566D7AC7" w14:textId="77777777" w:rsidR="00B77CFF" w:rsidRPr="00C31AF6" w:rsidRDefault="00B77CFF" w:rsidP="006316E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</w:tcPr>
          <w:p w14:paraId="410BFD9C" w14:textId="77777777" w:rsidR="00B77CFF" w:rsidRPr="00C31AF6" w:rsidRDefault="00B77CFF" w:rsidP="00891C1A">
            <w:pPr>
              <w:pStyle w:val="TableBlock"/>
              <w:rPr>
                <w:sz w:val="26"/>
                <w:rtl/>
              </w:rPr>
            </w:pPr>
            <w:r w:rsidRPr="00C31AF6">
              <w:rPr>
                <w:rFonts w:hint="cs"/>
                <w:sz w:val="26"/>
                <w:rtl/>
              </w:rPr>
              <w:t>(ב)</w:t>
            </w:r>
            <w:r w:rsidRPr="00C31AF6">
              <w:rPr>
                <w:sz w:val="26"/>
                <w:rtl/>
              </w:rPr>
              <w:tab/>
            </w:r>
            <w:r w:rsidRPr="00C31AF6">
              <w:rPr>
                <w:rFonts w:hint="cs"/>
                <w:sz w:val="26"/>
                <w:rtl/>
              </w:rPr>
              <w:t xml:space="preserve">הוראת סעיף קטן (א) לא תחול אם הפגיעה </w:t>
            </w:r>
            <w:proofErr w:type="spellStart"/>
            <w:r w:rsidRPr="00C31AF6">
              <w:rPr>
                <w:rFonts w:hint="cs"/>
                <w:sz w:val="26"/>
                <w:rtl/>
              </w:rPr>
              <w:t>היתה</w:t>
            </w:r>
            <w:proofErr w:type="spellEnd"/>
            <w:r w:rsidRPr="00C31AF6">
              <w:rPr>
                <w:rFonts w:hint="cs"/>
                <w:sz w:val="26"/>
                <w:rtl/>
              </w:rPr>
              <w:t xml:space="preserve"> בעת שהאזרח הישראלי שהה בארץ אויב או בעת ששהה במדינה שיצא אליה חרף אזהרת מסע חמורה שפורסמה לציבור מטעם המטה לביטחון לאומי.</w:t>
            </w:r>
          </w:p>
        </w:tc>
      </w:tr>
      <w:tr w:rsidR="00B77CFF" w14:paraId="2BD103F3" w14:textId="77777777" w:rsidTr="00891C1A">
        <w:trPr>
          <w:cantSplit/>
        </w:trPr>
        <w:tc>
          <w:tcPr>
            <w:tcW w:w="1871" w:type="dxa"/>
          </w:tcPr>
          <w:p w14:paraId="044F4A57" w14:textId="77777777" w:rsidR="00B77CFF" w:rsidRDefault="00B77CFF" w:rsidP="006316E1">
            <w:pPr>
              <w:pStyle w:val="TableSideHeading"/>
            </w:pPr>
          </w:p>
        </w:tc>
        <w:tc>
          <w:tcPr>
            <w:tcW w:w="624" w:type="dxa"/>
          </w:tcPr>
          <w:p w14:paraId="70E390D8" w14:textId="77777777" w:rsidR="00B77CFF" w:rsidRDefault="00B77CFF" w:rsidP="006316E1">
            <w:pPr>
              <w:pStyle w:val="TableText"/>
            </w:pPr>
          </w:p>
        </w:tc>
        <w:tc>
          <w:tcPr>
            <w:tcW w:w="624" w:type="dxa"/>
          </w:tcPr>
          <w:p w14:paraId="653892DF" w14:textId="77777777" w:rsidR="00B77CFF" w:rsidRPr="00C31AF6" w:rsidRDefault="00B77CFF" w:rsidP="006316E1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6675E23" w14:textId="77777777" w:rsidR="00B77CFF" w:rsidRPr="00C31AF6" w:rsidRDefault="00B77CFF" w:rsidP="006316E1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693387D" w14:textId="77777777" w:rsidR="00B77CFF" w:rsidRPr="00C31AF6" w:rsidRDefault="00B77CFF" w:rsidP="006316E1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8EAC9BB" w14:textId="77777777" w:rsidR="00B77CFF" w:rsidRPr="00C31AF6" w:rsidRDefault="00B77CFF" w:rsidP="006316E1">
            <w:pPr>
              <w:pStyle w:val="TableText"/>
              <w:rPr>
                <w:sz w:val="26"/>
              </w:rPr>
            </w:pPr>
          </w:p>
        </w:tc>
        <w:tc>
          <w:tcPr>
            <w:tcW w:w="4647" w:type="dxa"/>
          </w:tcPr>
          <w:p w14:paraId="4249FF39" w14:textId="33FCEFCE" w:rsidR="00B77CFF" w:rsidRPr="00C31AF6" w:rsidRDefault="00B77CFF" w:rsidP="00891C1A">
            <w:pPr>
              <w:pStyle w:val="TableBlock"/>
              <w:rPr>
                <w:sz w:val="26"/>
              </w:rPr>
            </w:pPr>
            <w:r w:rsidRPr="00C31AF6">
              <w:rPr>
                <w:rFonts w:hint="cs"/>
                <w:sz w:val="26"/>
                <w:rtl/>
              </w:rPr>
              <w:t>(ג)</w:t>
            </w:r>
            <w:r w:rsidRPr="00C31AF6">
              <w:rPr>
                <w:sz w:val="26"/>
                <w:rtl/>
              </w:rPr>
              <w:tab/>
            </w:r>
            <w:r w:rsidRPr="00C31AF6">
              <w:rPr>
                <w:rFonts w:hint="cs"/>
                <w:sz w:val="26"/>
                <w:rtl/>
              </w:rPr>
              <w:t>הוראות סעיף 18א(ב) יחולו</w:t>
            </w:r>
            <w:r w:rsidR="00CC1C0F">
              <w:rPr>
                <w:rFonts w:hint="cs"/>
                <w:sz w:val="26"/>
                <w:rtl/>
              </w:rPr>
              <w:t>,</w:t>
            </w:r>
            <w:r w:rsidRPr="00C31AF6">
              <w:rPr>
                <w:rFonts w:hint="cs"/>
                <w:sz w:val="26"/>
                <w:rtl/>
              </w:rPr>
              <w:t xml:space="preserve"> בשינויים </w:t>
            </w:r>
            <w:proofErr w:type="spellStart"/>
            <w:r w:rsidRPr="00C31AF6">
              <w:rPr>
                <w:rFonts w:hint="cs"/>
                <w:sz w:val="26"/>
                <w:rtl/>
              </w:rPr>
              <w:t>המחוייבים</w:t>
            </w:r>
            <w:proofErr w:type="spellEnd"/>
            <w:r w:rsidR="00CC1C0F">
              <w:rPr>
                <w:rFonts w:hint="cs"/>
                <w:sz w:val="26"/>
                <w:rtl/>
              </w:rPr>
              <w:t>,</w:t>
            </w:r>
            <w:r w:rsidRPr="00C31AF6">
              <w:rPr>
                <w:rFonts w:hint="cs"/>
                <w:sz w:val="26"/>
                <w:rtl/>
              </w:rPr>
              <w:t xml:space="preserve"> על מי שנפגע ממעשה טרור לפי  סעיף זה.</w:t>
            </w:r>
            <w:r w:rsidR="00CC1C0F">
              <w:rPr>
                <w:rFonts w:hint="cs"/>
                <w:sz w:val="26"/>
                <w:rtl/>
              </w:rPr>
              <w:t>"</w:t>
            </w:r>
          </w:p>
        </w:tc>
      </w:tr>
      <w:tr w:rsidR="00B77CFF" w14:paraId="195C6A49" w14:textId="77777777" w:rsidTr="00891C1A">
        <w:trPr>
          <w:cantSplit/>
        </w:trPr>
        <w:tc>
          <w:tcPr>
            <w:tcW w:w="1871" w:type="dxa"/>
          </w:tcPr>
          <w:p w14:paraId="0C915DBE" w14:textId="77777777" w:rsidR="00B77CFF" w:rsidRDefault="00B77CFF" w:rsidP="006316E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 ותחולה</w:t>
            </w:r>
          </w:p>
        </w:tc>
        <w:tc>
          <w:tcPr>
            <w:tcW w:w="624" w:type="dxa"/>
          </w:tcPr>
          <w:p w14:paraId="3FC5FB0B" w14:textId="77777777" w:rsidR="00B77CFF" w:rsidRDefault="00B77CFF" w:rsidP="006316E1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5"/>
          </w:tcPr>
          <w:p w14:paraId="293CB79A" w14:textId="05AE721F" w:rsidR="00B77CFF" w:rsidRPr="00C31AF6" w:rsidRDefault="00B77CFF" w:rsidP="00CC1C0F">
            <w:pPr>
              <w:pStyle w:val="TableBlock"/>
              <w:rPr>
                <w:sz w:val="26"/>
              </w:rPr>
            </w:pPr>
            <w:r w:rsidRPr="00C31AF6">
              <w:rPr>
                <w:sz w:val="26"/>
                <w:rtl/>
              </w:rPr>
              <w:t>תחילתו של סעיף 18</w:t>
            </w:r>
            <w:r w:rsidRPr="00C31AF6">
              <w:rPr>
                <w:rFonts w:hint="cs"/>
                <w:sz w:val="26"/>
                <w:rtl/>
              </w:rPr>
              <w:t>ב</w:t>
            </w:r>
            <w:r w:rsidRPr="00C31AF6">
              <w:rPr>
                <w:sz w:val="26"/>
                <w:rtl/>
              </w:rPr>
              <w:t xml:space="preserve"> לחוק העיקרי</w:t>
            </w:r>
            <w:r w:rsidR="00CC1C0F">
              <w:rPr>
                <w:rFonts w:hint="cs"/>
                <w:sz w:val="26"/>
                <w:rtl/>
              </w:rPr>
              <w:t>,</w:t>
            </w:r>
            <w:r w:rsidRPr="00C31AF6">
              <w:rPr>
                <w:sz w:val="26"/>
                <w:rtl/>
              </w:rPr>
              <w:t xml:space="preserve"> כנוסחו בסעיף </w:t>
            </w:r>
            <w:r w:rsidRPr="00C31AF6">
              <w:rPr>
                <w:rFonts w:hint="cs"/>
                <w:sz w:val="26"/>
                <w:rtl/>
              </w:rPr>
              <w:t>1</w:t>
            </w:r>
            <w:r w:rsidRPr="00C31AF6">
              <w:rPr>
                <w:sz w:val="26"/>
                <w:rtl/>
              </w:rPr>
              <w:t xml:space="preserve"> לחוק זה, ב-1 לחודש שלאחר פרסומו של חוק זה (</w:t>
            </w:r>
            <w:r w:rsidRPr="00C31AF6">
              <w:rPr>
                <w:rFonts w:hint="cs"/>
                <w:sz w:val="26"/>
                <w:rtl/>
              </w:rPr>
              <w:t>בסעיף זה</w:t>
            </w:r>
            <w:r w:rsidRPr="00C31AF6">
              <w:rPr>
                <w:sz w:val="26"/>
                <w:rtl/>
              </w:rPr>
              <w:t xml:space="preserve"> – יום התחילה) והוא יחול</w:t>
            </w:r>
            <w:r w:rsidR="00CC1C0F">
              <w:rPr>
                <w:rFonts w:hint="cs"/>
                <w:sz w:val="26"/>
                <w:rtl/>
              </w:rPr>
              <w:t xml:space="preserve"> גם</w:t>
            </w:r>
            <w:r w:rsidRPr="00C31AF6">
              <w:rPr>
                <w:sz w:val="26"/>
                <w:rtl/>
              </w:rPr>
              <w:t xml:space="preserve"> על </w:t>
            </w:r>
            <w:r w:rsidRPr="00C31AF6">
              <w:rPr>
                <w:rFonts w:hint="cs"/>
                <w:sz w:val="26"/>
                <w:rtl/>
              </w:rPr>
              <w:t>מעשה טרור</w:t>
            </w:r>
            <w:r w:rsidRPr="00C31AF6">
              <w:rPr>
                <w:sz w:val="26"/>
                <w:rtl/>
              </w:rPr>
              <w:t xml:space="preserve"> כמשמעות</w:t>
            </w:r>
            <w:r w:rsidRPr="00C31AF6">
              <w:rPr>
                <w:rFonts w:hint="cs"/>
                <w:sz w:val="26"/>
                <w:rtl/>
              </w:rPr>
              <w:t>ו</w:t>
            </w:r>
            <w:r w:rsidRPr="00C31AF6">
              <w:rPr>
                <w:sz w:val="26"/>
                <w:rtl/>
              </w:rPr>
              <w:t xml:space="preserve"> בסעיף 18</w:t>
            </w:r>
            <w:r w:rsidRPr="00C31AF6">
              <w:rPr>
                <w:rFonts w:hint="cs"/>
                <w:sz w:val="26"/>
                <w:rtl/>
              </w:rPr>
              <w:t>ב</w:t>
            </w:r>
            <w:r w:rsidRPr="00C31AF6">
              <w:rPr>
                <w:sz w:val="26"/>
                <w:rtl/>
              </w:rPr>
              <w:t xml:space="preserve"> האמור שאירע</w:t>
            </w:r>
            <w:r w:rsidRPr="00C31AF6">
              <w:rPr>
                <w:rFonts w:hint="cs"/>
                <w:sz w:val="26"/>
                <w:rtl/>
              </w:rPr>
              <w:t xml:space="preserve"> מיום </w:t>
            </w:r>
            <w:r w:rsidR="00891C1A" w:rsidRPr="00C31AF6">
              <w:rPr>
                <w:rFonts w:hint="cs"/>
                <w:sz w:val="26"/>
                <w:rtl/>
              </w:rPr>
              <w:t>_______</w:t>
            </w:r>
            <w:r w:rsidR="00891C1A" w:rsidRPr="00C31AF6">
              <w:rPr>
                <w:rStyle w:val="a6"/>
                <w:rFonts w:hint="cs"/>
                <w:sz w:val="26"/>
                <w:rtl/>
              </w:rPr>
              <w:t>*</w:t>
            </w:r>
            <w:r w:rsidRPr="00C31AF6">
              <w:rPr>
                <w:rFonts w:hint="cs"/>
                <w:sz w:val="26"/>
                <w:rtl/>
              </w:rPr>
              <w:t xml:space="preserve"> ואילך</w:t>
            </w:r>
            <w:r w:rsidRPr="00C31AF6">
              <w:rPr>
                <w:sz w:val="26"/>
                <w:rtl/>
              </w:rPr>
              <w:t xml:space="preserve">, </w:t>
            </w:r>
            <w:r w:rsidR="00CC1C0F">
              <w:rPr>
                <w:rFonts w:hint="cs"/>
                <w:sz w:val="26"/>
                <w:rtl/>
              </w:rPr>
              <w:t>ובלבד ש</w:t>
            </w:r>
            <w:r w:rsidRPr="00C31AF6">
              <w:rPr>
                <w:sz w:val="26"/>
                <w:rtl/>
              </w:rPr>
              <w:t xml:space="preserve">לא ישולם תגמול לפי </w:t>
            </w:r>
            <w:r w:rsidRPr="00C31AF6">
              <w:rPr>
                <w:rFonts w:hint="cs"/>
                <w:sz w:val="26"/>
                <w:rtl/>
              </w:rPr>
              <w:t>ה</w:t>
            </w:r>
            <w:r w:rsidR="00704BD0" w:rsidRPr="00C31AF6">
              <w:rPr>
                <w:sz w:val="26"/>
                <w:rtl/>
              </w:rPr>
              <w:t>סעיף</w:t>
            </w:r>
            <w:r w:rsidRPr="00C31AF6">
              <w:rPr>
                <w:sz w:val="26"/>
                <w:rtl/>
              </w:rPr>
              <w:t xml:space="preserve"> האמור בעד התקופה שקדמה ליום התחילה.</w:t>
            </w:r>
          </w:p>
        </w:tc>
      </w:tr>
    </w:tbl>
    <w:p w14:paraId="31367D81" w14:textId="1B5CB8F0" w:rsidR="00B77CFF" w:rsidRDefault="00B77CFF" w:rsidP="00C31AF6">
      <w:pPr>
        <w:pStyle w:val="HeadDivreiHesber"/>
        <w:rPr>
          <w:rtl/>
        </w:rPr>
      </w:pPr>
      <w:r>
        <w:rPr>
          <w:rFonts w:hint="cs"/>
          <w:rtl/>
        </w:rPr>
        <w:lastRenderedPageBreak/>
        <w:t>דברי הסבר</w:t>
      </w:r>
    </w:p>
    <w:p w14:paraId="0345FF7F" w14:textId="0061AE96" w:rsidR="00B842E0" w:rsidRDefault="00B842E0" w:rsidP="003A0D44">
      <w:pPr>
        <w:pStyle w:val="Hesber"/>
        <w:rPr>
          <w:rtl/>
        </w:rPr>
      </w:pPr>
      <w:r>
        <w:rPr>
          <w:rtl/>
        </w:rPr>
        <w:t>עם התגברות תופעת הטרור העולמי בשנים האחרונות וההתפת</w:t>
      </w:r>
      <w:r>
        <w:rPr>
          <w:rFonts w:hint="cs"/>
          <w:rtl/>
        </w:rPr>
        <w:t>ח</w:t>
      </w:r>
      <w:r>
        <w:rPr>
          <w:rtl/>
        </w:rPr>
        <w:t>ויות הטכנ</w:t>
      </w:r>
      <w:r>
        <w:rPr>
          <w:rFonts w:hint="cs"/>
          <w:rtl/>
        </w:rPr>
        <w:t>ו</w:t>
      </w:r>
      <w:r>
        <w:rPr>
          <w:rtl/>
        </w:rPr>
        <w:t xml:space="preserve">לוגיות שמאפשרות </w:t>
      </w:r>
      <w:proofErr w:type="spellStart"/>
      <w:r>
        <w:rPr>
          <w:rtl/>
        </w:rPr>
        <w:t>התני</w:t>
      </w:r>
      <w:r w:rsidR="00FA20AE">
        <w:rPr>
          <w:rFonts w:hint="cs"/>
          <w:rtl/>
        </w:rPr>
        <w:t>י</w:t>
      </w:r>
      <w:r>
        <w:rPr>
          <w:rtl/>
        </w:rPr>
        <w:t>דות</w:t>
      </w:r>
      <w:proofErr w:type="spellEnd"/>
      <w:r>
        <w:rPr>
          <w:rtl/>
        </w:rPr>
        <w:t xml:space="preserve"> </w:t>
      </w:r>
      <w:r w:rsidR="00CC1C0F">
        <w:rPr>
          <w:rtl/>
        </w:rPr>
        <w:t xml:space="preserve">בצורה קלה </w:t>
      </w:r>
      <w:r>
        <w:rPr>
          <w:rtl/>
        </w:rPr>
        <w:t xml:space="preserve">בעולם, אזרחי ישראל </w:t>
      </w:r>
      <w:r w:rsidR="0074153B">
        <w:rPr>
          <w:rtl/>
        </w:rPr>
        <w:t xml:space="preserve">חשופים </w:t>
      </w:r>
      <w:r w:rsidR="0074153B">
        <w:rPr>
          <w:rFonts w:hint="cs"/>
          <w:rtl/>
        </w:rPr>
        <w:t xml:space="preserve">יותר </w:t>
      </w:r>
      <w:r>
        <w:rPr>
          <w:rtl/>
        </w:rPr>
        <w:t xml:space="preserve">לפעולות טרור המתבצעות מחוץ לגבולות מדינת ישראל. </w:t>
      </w:r>
      <w:r>
        <w:rPr>
          <w:rFonts w:hint="cs"/>
          <w:rtl/>
        </w:rPr>
        <w:t xml:space="preserve">רק בחודש האחרון נהרגו </w:t>
      </w:r>
      <w:proofErr w:type="spellStart"/>
      <w:r>
        <w:rPr>
          <w:rFonts w:hint="cs"/>
          <w:rtl/>
        </w:rPr>
        <w:t>ליאן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זאהר</w:t>
      </w:r>
      <w:proofErr w:type="spellEnd"/>
      <w:r>
        <w:rPr>
          <w:rFonts w:hint="cs"/>
          <w:rtl/>
        </w:rPr>
        <w:t xml:space="preserve"> נאסר ז"ל בפיגוע הירי במועדון באיסטנבול ודליה אליקים ז"ל בפיגוע הדריסה בברלין. </w:t>
      </w:r>
      <w:r>
        <w:rPr>
          <w:rtl/>
        </w:rPr>
        <w:t xml:space="preserve">חוק התגמולים לנפגעי פעולות איבה בנוסחו כיום אינו נותן מענה לאזרח ישראלי שנפצע בפעולת טרור </w:t>
      </w:r>
      <w:r w:rsidR="00CC1C0F">
        <w:rPr>
          <w:rFonts w:hint="cs"/>
          <w:rtl/>
        </w:rPr>
        <w:t>בחוץ לארץ</w:t>
      </w:r>
      <w:r>
        <w:rPr>
          <w:rtl/>
        </w:rPr>
        <w:t xml:space="preserve"> או למשפחת אזרח ישראלי שנהרג בפעולת טרור </w:t>
      </w:r>
      <w:r w:rsidR="00CC1C0F">
        <w:rPr>
          <w:rFonts w:hint="cs"/>
          <w:rtl/>
        </w:rPr>
        <w:t>בחוץ לארץ</w:t>
      </w:r>
      <w:r>
        <w:rPr>
          <w:rtl/>
        </w:rPr>
        <w:t>.</w:t>
      </w:r>
    </w:p>
    <w:p w14:paraId="2F676D60" w14:textId="31D4B056" w:rsidR="00B842E0" w:rsidRDefault="00B842E0" w:rsidP="003A0D44">
      <w:pPr>
        <w:pStyle w:val="Hesber"/>
        <w:rPr>
          <w:rtl/>
        </w:rPr>
      </w:pPr>
      <w:r>
        <w:rPr>
          <w:rtl/>
        </w:rPr>
        <w:t xml:space="preserve">דיני הפיצויים במדינות שונות בעולם </w:t>
      </w:r>
      <w:r>
        <w:rPr>
          <w:rFonts w:hint="cs"/>
          <w:rtl/>
        </w:rPr>
        <w:t xml:space="preserve">לרוב </w:t>
      </w:r>
      <w:r>
        <w:rPr>
          <w:rtl/>
        </w:rPr>
        <w:t>אינם נותנים מענה למי שנפגע בפעולת טרור ואינו אזרח המדינה בה בוצעה הפעולה</w:t>
      </w:r>
      <w:r>
        <w:rPr>
          <w:rFonts w:hint="cs"/>
          <w:rtl/>
        </w:rPr>
        <w:t>, וכך ייתכן שמי שנפגע בפעולה כזו לא יהיה זכאי לפיצוי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לאור זאת מוצע לתקן את החוק הנדון כך שיחול גם על אזרח ישראל</w:t>
      </w:r>
      <w:r w:rsidR="007A0EDD">
        <w:rPr>
          <w:rFonts w:hint="cs"/>
          <w:rtl/>
        </w:rPr>
        <w:t>י</w:t>
      </w:r>
      <w:r>
        <w:rPr>
          <w:rtl/>
        </w:rPr>
        <w:t xml:space="preserve"> שנפגע או נהרג בפעולות טרור מחוץ לישראל. יודגש עם זאת כי היה והדין במדינה בה בוצעה פעולת הטרור מאפשר מתן גמול כספי לנפגע, </w:t>
      </w:r>
      <w:r w:rsidR="0074153B">
        <w:rPr>
          <w:rFonts w:hint="cs"/>
          <w:rtl/>
        </w:rPr>
        <w:t>מופחת</w:t>
      </w:r>
      <w:r w:rsidR="0074153B">
        <w:rPr>
          <w:rtl/>
        </w:rPr>
        <w:t xml:space="preserve"> </w:t>
      </w:r>
      <w:r>
        <w:rPr>
          <w:rtl/>
        </w:rPr>
        <w:t>גמול זה מהסכום לו זכאי הנפגע ממדינת ישראל.</w:t>
      </w:r>
      <w:r>
        <w:rPr>
          <w:rFonts w:hint="cs"/>
          <w:rtl/>
        </w:rPr>
        <w:t xml:space="preserve">  </w:t>
      </w:r>
    </w:p>
    <w:p w14:paraId="2DDBC53C" w14:textId="32281510" w:rsidR="00B842E0" w:rsidRPr="002213BB" w:rsidRDefault="00B842E0" w:rsidP="003A0D44">
      <w:pPr>
        <w:pStyle w:val="Hesber"/>
        <w:rPr>
          <w:rtl/>
        </w:rPr>
      </w:pPr>
      <w:r>
        <w:rPr>
          <w:rFonts w:hint="cs"/>
          <w:rtl/>
        </w:rPr>
        <w:t>אחריותה של מדינת ישראל לדאוג לאזרחיה, על אחת כמה וכמה כאשר אלו חוו אירוע טרור</w:t>
      </w:r>
      <w:r w:rsidR="0074153B">
        <w:rPr>
          <w:rFonts w:hint="cs"/>
          <w:rtl/>
        </w:rPr>
        <w:t>,</w:t>
      </w:r>
      <w:r>
        <w:rPr>
          <w:rFonts w:hint="cs"/>
          <w:rtl/>
        </w:rPr>
        <w:t xml:space="preserve"> אם בתוך המדינה ואם מחוץ לה.</w:t>
      </w:r>
    </w:p>
    <w:p w14:paraId="7F6961CB" w14:textId="1BFDF79B" w:rsidR="00E13C27" w:rsidRDefault="00E13C27" w:rsidP="00F83479">
      <w:pPr>
        <w:rPr>
          <w:rtl/>
        </w:rPr>
      </w:pPr>
    </w:p>
    <w:p w14:paraId="74F87C5B" w14:textId="1B9656A6" w:rsidR="003A0D44" w:rsidRDefault="003A0D44" w:rsidP="00F83479">
      <w:pPr>
        <w:rPr>
          <w:rtl/>
        </w:rPr>
      </w:pPr>
    </w:p>
    <w:p w14:paraId="6607BABE" w14:textId="77777777" w:rsidR="003A0D44" w:rsidRDefault="003A0D44" w:rsidP="00F83479">
      <w:pPr>
        <w:rPr>
          <w:rtl/>
        </w:rPr>
      </w:pPr>
    </w:p>
    <w:p w14:paraId="044D790C" w14:textId="77777777" w:rsidR="003A0D44" w:rsidRPr="00D73212" w:rsidRDefault="003A0D44" w:rsidP="003A0D44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B2965B4" w14:textId="77777777" w:rsidR="003A0D44" w:rsidRPr="00D73212" w:rsidRDefault="003A0D44" w:rsidP="003A0D4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E2F6189" w14:textId="77777777" w:rsidR="003A0D44" w:rsidRPr="00D73212" w:rsidRDefault="003A0D44" w:rsidP="003A0D4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ABDB8FC" w14:textId="77777777" w:rsidR="003A0D44" w:rsidRPr="00317312" w:rsidRDefault="003A0D44" w:rsidP="003A0D44">
      <w:pPr>
        <w:pStyle w:val="Hesber"/>
      </w:pPr>
      <w:r>
        <w:rPr>
          <w:rFonts w:hint="cs"/>
          <w:color w:val="auto"/>
          <w:rtl/>
          <w:lang w:eastAsia="en-US"/>
        </w:rPr>
        <w:t>ג' בשבט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30.1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4B6E6AE5" w14:textId="77777777" w:rsidR="003A0D44" w:rsidRPr="00B15BBC" w:rsidRDefault="003A0D44" w:rsidP="003A0D44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159BF86E" w14:textId="77777777" w:rsidR="003A0D44" w:rsidRPr="00F83479" w:rsidRDefault="003A0D44" w:rsidP="00F83479">
      <w:pPr>
        <w:rPr>
          <w:rtl/>
        </w:rPr>
      </w:pPr>
    </w:p>
    <w:sectPr w:rsidR="003A0D44" w:rsidRPr="00F83479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CB8FE" w14:textId="77777777" w:rsidR="00D175AF" w:rsidRDefault="00D175AF">
      <w:r>
        <w:separator/>
      </w:r>
    </w:p>
  </w:endnote>
  <w:endnote w:type="continuationSeparator" w:id="0">
    <w:p w14:paraId="6F7D5EA9" w14:textId="77777777" w:rsidR="00D175AF" w:rsidRDefault="00D175AF">
      <w:r>
        <w:continuationSeparator/>
      </w:r>
    </w:p>
  </w:endnote>
  <w:endnote w:type="continuationNotice" w:id="1">
    <w:p w14:paraId="5F9BD255" w14:textId="77777777" w:rsidR="00D175AF" w:rsidRDefault="00D175A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B728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35704B" w14:textId="77777777" w:rsidR="00D175AF" w:rsidRDefault="00D175AF">
      <w:r>
        <w:separator/>
      </w:r>
    </w:p>
  </w:footnote>
  <w:footnote w:type="continuationSeparator" w:id="0">
    <w:p w14:paraId="08B7D885" w14:textId="77777777" w:rsidR="00D175AF" w:rsidRDefault="00D175AF">
      <w:r>
        <w:continuationSeparator/>
      </w:r>
    </w:p>
  </w:footnote>
  <w:footnote w:type="continuationNotice" w:id="1">
    <w:p w14:paraId="07356403" w14:textId="77777777" w:rsidR="00D175AF" w:rsidRDefault="00D175AF"/>
  </w:footnote>
  <w:footnote w:id="2">
    <w:p w14:paraId="1E77CD38" w14:textId="77777777" w:rsidR="00B77CFF" w:rsidRDefault="00B77CFF" w:rsidP="00B77CFF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tl/>
        </w:rPr>
        <w:t xml:space="preserve"> ס"ח </w:t>
      </w:r>
      <w:proofErr w:type="spellStart"/>
      <w:r>
        <w:rPr>
          <w:rtl/>
        </w:rPr>
        <w:t>התש"ל</w:t>
      </w:r>
      <w:proofErr w:type="spellEnd"/>
      <w:r>
        <w:rPr>
          <w:rtl/>
        </w:rPr>
        <w:t xml:space="preserve">, עמ' 126. </w:t>
      </w:r>
    </w:p>
  </w:footnote>
  <w:footnote w:id="3">
    <w:p w14:paraId="2F90FB26" w14:textId="2C0158D5" w:rsidR="00891C1A" w:rsidRDefault="0074153B" w:rsidP="0074153B">
      <w:pPr>
        <w:pStyle w:val="a4"/>
        <w:rPr>
          <w:rtl/>
        </w:rPr>
      </w:pPr>
      <w:r>
        <w:rPr>
          <w:rStyle w:val="a6"/>
          <w:rFonts w:hint="cs"/>
          <w:rtl/>
        </w:rPr>
        <w:t>2</w:t>
      </w:r>
      <w:r w:rsidR="00891C1A"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898.</w:t>
      </w:r>
    </w:p>
    <w:p w14:paraId="2E15EE68" w14:textId="53F91AE4" w:rsidR="0074153B" w:rsidRDefault="0074153B">
      <w:pPr>
        <w:pStyle w:val="a4"/>
      </w:pPr>
      <w:r>
        <w:rPr>
          <w:rFonts w:hint="cs"/>
          <w:rtl/>
        </w:rPr>
        <w:t>* המועד יקבע בעת הכנת הצעת החוק לקריאה הראשונה.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58D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F588B"/>
    <w:rsid w:val="00203A7F"/>
    <w:rsid w:val="0021633A"/>
    <w:rsid w:val="002200A1"/>
    <w:rsid w:val="002362BF"/>
    <w:rsid w:val="00240C1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7AB0"/>
    <w:rsid w:val="002A487D"/>
    <w:rsid w:val="002C2E29"/>
    <w:rsid w:val="002C3041"/>
    <w:rsid w:val="002D1232"/>
    <w:rsid w:val="002D1EE3"/>
    <w:rsid w:val="002F1D80"/>
    <w:rsid w:val="002F4866"/>
    <w:rsid w:val="003232A2"/>
    <w:rsid w:val="00325C14"/>
    <w:rsid w:val="0036422C"/>
    <w:rsid w:val="003710F6"/>
    <w:rsid w:val="00384F15"/>
    <w:rsid w:val="00386E88"/>
    <w:rsid w:val="00396585"/>
    <w:rsid w:val="003A0D44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4F3EDA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4BD0"/>
    <w:rsid w:val="0070601E"/>
    <w:rsid w:val="00712C72"/>
    <w:rsid w:val="007161EC"/>
    <w:rsid w:val="00735FE9"/>
    <w:rsid w:val="00736F54"/>
    <w:rsid w:val="0074153B"/>
    <w:rsid w:val="00763CAA"/>
    <w:rsid w:val="00765F66"/>
    <w:rsid w:val="0078664F"/>
    <w:rsid w:val="007A0EDD"/>
    <w:rsid w:val="007C3FA6"/>
    <w:rsid w:val="007D585A"/>
    <w:rsid w:val="007D5A12"/>
    <w:rsid w:val="007E59F9"/>
    <w:rsid w:val="00810BCD"/>
    <w:rsid w:val="00812C98"/>
    <w:rsid w:val="00814D92"/>
    <w:rsid w:val="00825413"/>
    <w:rsid w:val="00826C87"/>
    <w:rsid w:val="0083181D"/>
    <w:rsid w:val="00843EB2"/>
    <w:rsid w:val="00865572"/>
    <w:rsid w:val="00874BBC"/>
    <w:rsid w:val="00891C1A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3FB6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77CFF"/>
    <w:rsid w:val="00B842E0"/>
    <w:rsid w:val="00B975AD"/>
    <w:rsid w:val="00BC45FB"/>
    <w:rsid w:val="00BF148D"/>
    <w:rsid w:val="00C23B1A"/>
    <w:rsid w:val="00C310EB"/>
    <w:rsid w:val="00C311B6"/>
    <w:rsid w:val="00C31AF6"/>
    <w:rsid w:val="00C9176A"/>
    <w:rsid w:val="00CC1C0F"/>
    <w:rsid w:val="00CF1AA2"/>
    <w:rsid w:val="00D100F4"/>
    <w:rsid w:val="00D175AF"/>
    <w:rsid w:val="00D17774"/>
    <w:rsid w:val="00D25907"/>
    <w:rsid w:val="00D63620"/>
    <w:rsid w:val="00D82008"/>
    <w:rsid w:val="00D8410D"/>
    <w:rsid w:val="00D867D7"/>
    <w:rsid w:val="00DB7060"/>
    <w:rsid w:val="00DE3153"/>
    <w:rsid w:val="00DF30DE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B7281"/>
    <w:rsid w:val="00ED4A6F"/>
    <w:rsid w:val="00EF3A3A"/>
    <w:rsid w:val="00F537E7"/>
    <w:rsid w:val="00F628D6"/>
    <w:rsid w:val="00F67051"/>
    <w:rsid w:val="00F83479"/>
    <w:rsid w:val="00F86A1E"/>
    <w:rsid w:val="00FA20A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0E05E742-7A8F-43AF-97B7-88EEBB58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C1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891C1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91C1A"/>
    <w:rPr>
      <w:sz w:val="36"/>
      <w:szCs w:val="52"/>
    </w:rPr>
  </w:style>
  <w:style w:type="paragraph" w:customStyle="1" w:styleId="Cover3-Haknesset">
    <w:name w:val="Cover 3-Haknesset"/>
    <w:basedOn w:val="Cover1-Reshumot"/>
    <w:rsid w:val="00891C1A"/>
    <w:rPr>
      <w:b/>
      <w:bCs/>
      <w:spacing w:val="60"/>
    </w:rPr>
  </w:style>
  <w:style w:type="paragraph" w:customStyle="1" w:styleId="Cover4-Date">
    <w:name w:val="Cover 4-Date"/>
    <w:basedOn w:val="a"/>
    <w:rsid w:val="00891C1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891C1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91C1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91C1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891C1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891C1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91C1A"/>
  </w:style>
  <w:style w:type="paragraph" w:customStyle="1" w:styleId="TableBlock">
    <w:name w:val="Table Block"/>
    <w:basedOn w:val="TableText"/>
    <w:rsid w:val="00891C1A"/>
    <w:pPr>
      <w:ind w:right="0"/>
      <w:jc w:val="both"/>
    </w:pPr>
  </w:style>
  <w:style w:type="paragraph" w:customStyle="1" w:styleId="TableHead">
    <w:name w:val="Table Head"/>
    <w:basedOn w:val="TableText"/>
    <w:rsid w:val="00891C1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891C1A"/>
  </w:style>
  <w:style w:type="paragraph" w:customStyle="1" w:styleId="Hesber">
    <w:name w:val="Hesber"/>
    <w:basedOn w:val="a"/>
    <w:rsid w:val="00891C1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891C1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891C1A"/>
    <w:rPr>
      <w:vertAlign w:val="superscript"/>
    </w:rPr>
  </w:style>
  <w:style w:type="paragraph" w:customStyle="1" w:styleId="HesberHeading">
    <w:name w:val="Hesber Heading"/>
    <w:basedOn w:val="Hesber"/>
    <w:rsid w:val="00891C1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91C1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91C1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891C1A"/>
    <w:rPr>
      <w:vertAlign w:val="superscript"/>
    </w:rPr>
  </w:style>
  <w:style w:type="paragraph" w:customStyle="1" w:styleId="TableBlockOutdent">
    <w:name w:val="Table BlockOutdent"/>
    <w:basedOn w:val="TableBlock"/>
    <w:rsid w:val="00891C1A"/>
    <w:pPr>
      <w:ind w:left="624" w:hanging="624"/>
    </w:pPr>
  </w:style>
  <w:style w:type="paragraph" w:styleId="a8">
    <w:name w:val="header"/>
    <w:basedOn w:val="a"/>
    <w:rsid w:val="00891C1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891C1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891C1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891C1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891C1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1F588B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FCD98-129A-47A0-A93A-D2C01E673C3A}"/>
</file>

<file path=customXml/itemProps4.xml><?xml version="1.0" encoding="utf-8"?>
<ds:datastoreItem xmlns:ds="http://schemas.openxmlformats.org/officeDocument/2006/customXml" ds:itemID="{FE7D9667-783A-400A-AB45-693DBC13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1903</Characters>
  <Application>Microsoft Office Word</Application>
  <DocSecurity>0</DocSecurity>
  <Lines>95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2017-01-25T14:21:00Z</cp:lastPrinted>
  <dcterms:created xsi:type="dcterms:W3CDTF">2017-03-08T07:05:00Z</dcterms:created>
  <dcterms:modified xsi:type="dcterms:W3CDTF">2017-03-08T07:05:00Z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2015452</vt:r8>
  </property>
</Properties>
</file>