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2004737</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יוזמים:      חברי הכנסת</w:t>
      </w:r>
      <w:bookmarkEnd w:id="3"/>
      <w:r w:rsidR="00B35784" w:rsidRPr="00F67051">
        <w:rPr>
          <w:b/>
          <w:bCs/>
        </w:rPr>
        <w:tab/>
      </w:r>
      <w:bookmarkStart w:id="4" w:name="LGS_PM_Names"/>
      <w:r>
        <w:rPr>
          <w:rFonts w:hint="cs"/>
          <w:b/>
          <w:bCs/>
          <w:rtl/>
        </w:rPr>
        <w:t>דוד אמסלם</w:t>
      </w:r>
      <w:r>
        <w:br/>
      </w:r>
      <w:r>
        <w:rPr>
          <w:rFonts w:hint="cs"/>
          <w:b/>
          <w:bCs/>
          <w:rtl/>
        </w:rPr>
        <w:t xml:space="preserve"> </w:t>
      </w:r>
      <w:r>
        <w:tab/>
      </w:r>
      <w:r>
        <w:tab/>
      </w:r>
      <w:r>
        <w:tab/>
      </w:r>
      <w:r>
        <w:tab/>
      </w:r>
      <w:r>
        <w:rPr>
          <w:rFonts w:hint="cs"/>
          <w:b/>
          <w:bCs/>
          <w:rtl/>
        </w:rPr>
        <w:t>אוסאמה סעדי</w:t>
      </w:r>
      <w:r>
        <w:br/>
      </w:r>
      <w:r>
        <w:rPr>
          <w:rFonts w:hint="cs"/>
          <w:b/>
          <w:bCs/>
          <w:rtl/>
        </w:rPr>
        <w:t xml:space="preserve"> </w:t>
      </w:r>
      <w:r>
        <w:tab/>
      </w:r>
      <w:r>
        <w:tab/>
      </w:r>
      <w:r>
        <w:tab/>
      </w:r>
      <w:r>
        <w:tab/>
      </w:r>
      <w:r>
        <w:rPr>
          <w:rFonts w:hint="cs"/>
          <w:b/>
          <w:bCs/>
          <w:rtl/>
        </w:rPr>
        <w:t>מכלוף מיקי זוהר</w:t>
      </w:r>
      <w:r>
        <w:br/>
      </w:r>
      <w:r>
        <w:rPr>
          <w:rFonts w:hint="cs"/>
          <w:b/>
          <w:bCs/>
          <w:rtl/>
        </w:rPr>
        <w:t xml:space="preserve"> </w:t>
      </w:r>
      <w:r>
        <w:tab/>
      </w:r>
      <w:r>
        <w:tab/>
      </w:r>
      <w:r>
        <w:tab/>
      </w:r>
      <w:r>
        <w:tab/>
      </w:r>
      <w:r>
        <w:rPr>
          <w:rFonts w:hint="cs"/>
          <w:b/>
          <w:bCs/>
          <w:rtl/>
        </w:rPr>
        <w:t>מירב בן ארי</w:t>
      </w:r>
      <w:r>
        <w:br/>
      </w:r>
      <w:r>
        <w:rPr>
          <w:rFonts w:hint="cs"/>
          <w:b/>
          <w:bCs/>
          <w:rtl/>
        </w:rPr>
        <w:t xml:space="preserve"> </w:t>
      </w:r>
      <w:r>
        <w:tab/>
      </w:r>
      <w:r>
        <w:tab/>
      </w:r>
      <w:r>
        <w:tab/>
      </w:r>
      <w:r>
        <w:tab/>
      </w:r>
      <w:r>
        <w:rPr>
          <w:rFonts w:hint="cs"/>
          <w:b/>
          <w:bCs/>
          <w:rtl/>
        </w:rPr>
        <w:t>יהודה גליק</w:t>
      </w:r>
      <w:r>
        <w:br/>
      </w:r>
      <w:r>
        <w:rPr>
          <w:rFonts w:hint="cs"/>
          <w:b/>
          <w:bCs/>
          <w:rtl/>
        </w:rPr>
        <w:t xml:space="preserve"> </w:t>
      </w:r>
      <w:r>
        <w:tab/>
      </w:r>
      <w:r>
        <w:tab/>
      </w:r>
      <w:r>
        <w:tab/>
      </w:r>
      <w:r>
        <w:tab/>
      </w:r>
      <w:r>
        <w:rPr>
          <w:rFonts w:hint="cs"/>
          <w:b/>
          <w:bCs/>
          <w:rtl/>
        </w:rPr>
        <w:t>דוד ביטן</w:t>
      </w:r>
      <w:r>
        <w:br/>
      </w:r>
      <w:r>
        <w:rPr>
          <w:rFonts w:hint="cs"/>
          <w:b/>
          <w:bCs/>
          <w:rtl/>
        </w:rPr>
        <w:t xml:space="preserve"> </w:t>
      </w:r>
      <w:r>
        <w:tab/>
      </w:r>
      <w:r>
        <w:tab/>
      </w:r>
      <w:r>
        <w:tab/>
      </w:r>
      <w:r>
        <w:tab/>
      </w:r>
      <w:r>
        <w:rPr>
          <w:rFonts w:hint="cs"/>
          <w:b/>
          <w:bCs/>
          <w:rtl/>
        </w:rPr>
        <w:t>אברהם נגוסה</w:t>
      </w:r>
      <w:r>
        <w:br/>
      </w:r>
      <w:r>
        <w:rPr>
          <w:rFonts w:hint="cs"/>
          <w:b/>
          <w:bCs/>
          <w:rtl/>
        </w:rPr>
        <w:t xml:space="preserve"> </w:t>
      </w:r>
      <w:r>
        <w:tab/>
      </w:r>
      <w:r>
        <w:tab/>
      </w:r>
      <w:r>
        <w:tab/>
      </w:r>
      <w:r>
        <w:tab/>
      </w:r>
      <w:r>
        <w:rPr>
          <w:rFonts w:hint="cs"/>
          <w:b/>
          <w:bCs/>
          <w:rtl/>
        </w:rPr>
        <w:t>קארין אלהרר</w:t>
      </w:r>
      <w:r>
        <w:br/>
      </w:r>
      <w:r>
        <w:rPr>
          <w:rFonts w:hint="cs"/>
          <w:b/>
          <w:bCs/>
          <w:rtl/>
        </w:rPr>
        <w:t xml:space="preserve"> </w:t>
      </w:r>
      <w:r>
        <w:tab/>
      </w:r>
      <w:r>
        <w:tab/>
      </w:r>
      <w:r>
        <w:tab/>
      </w:r>
      <w:r>
        <w:tab/>
      </w:r>
      <w:r>
        <w:rPr>
          <w:rFonts w:hint="cs"/>
          <w:b/>
          <w:bCs/>
          <w:rtl/>
        </w:rPr>
        <w:t>מיכל רוזין</w:t>
      </w:r>
      <w:r>
        <w:br/>
      </w:r>
      <w:r>
        <w:rPr>
          <w:rFonts w:hint="cs"/>
          <w:b/>
          <w:bCs/>
          <w:rtl/>
        </w:rPr>
        <w:t xml:space="preserve"> </w:t>
      </w:r>
      <w:r>
        <w:tab/>
      </w:r>
      <w:r>
        <w:tab/>
      </w:r>
      <w:r>
        <w:tab/>
      </w:r>
      <w:r>
        <w:tab/>
      </w:r>
      <w:r>
        <w:rPr>
          <w:rFonts w:hint="cs"/>
          <w:b/>
          <w:bCs/>
          <w:rtl/>
        </w:rPr>
        <w:t>יואל חסון</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אורי מקלב</w:t>
      </w:r>
      <w:r>
        <w:br/>
      </w:r>
      <w:r>
        <w:rPr>
          <w:rFonts w:hint="cs"/>
          <w:b/>
          <w:bCs/>
          <w:rtl/>
        </w:rPr>
        <w:t xml:space="preserve"> </w:t>
      </w:r>
      <w:r>
        <w:tab/>
      </w:r>
      <w:r>
        <w:tab/>
      </w:r>
      <w:r>
        <w:tab/>
      </w:r>
      <w:r>
        <w:tab/>
      </w:r>
      <w:r>
        <w:rPr>
          <w:rFonts w:hint="cs"/>
          <w:b/>
          <w:bCs/>
          <w:rtl/>
        </w:rPr>
        <w:t>עבד אל חכים חאג' יחיא</w:t>
      </w:r>
      <w:r>
        <w:br/>
      </w:r>
      <w:r>
        <w:rPr>
          <w:rFonts w:hint="cs"/>
          <w:b/>
          <w:bCs/>
          <w:rtl/>
        </w:rPr>
        <w:t xml:space="preserve"> </w:t>
      </w:r>
      <w:r>
        <w:tab/>
      </w:r>
      <w:r>
        <w:tab/>
      </w:r>
      <w:r>
        <w:tab/>
      </w:r>
      <w:r>
        <w:tab/>
      </w:r>
      <w:r>
        <w:rPr>
          <w:rFonts w:hint="cs"/>
          <w:b/>
          <w:bCs/>
          <w:rtl/>
        </w:rPr>
        <w:t>שולי מועלם-רפאלי</w:t>
      </w:r>
      <w:r>
        <w:br/>
      </w:r>
      <w:r>
        <w:rPr>
          <w:rFonts w:hint="cs"/>
          <w:b/>
          <w:bCs/>
          <w:rtl/>
        </w:rPr>
        <w:t xml:space="preserve"> </w:t>
      </w:r>
      <w:r>
        <w:tab/>
      </w:r>
      <w:r>
        <w:tab/>
      </w:r>
      <w:r>
        <w:tab/>
      </w:r>
      <w:r>
        <w:tab/>
      </w:r>
      <w:r>
        <w:rPr>
          <w:rFonts w:hint="cs"/>
          <w:b/>
          <w:bCs/>
          <w:rtl/>
        </w:rPr>
        <w:t>עליזה לביא</w:t>
      </w:r>
      <w:r>
        <w:br/>
      </w:r>
      <w:r>
        <w:rPr>
          <w:rFonts w:hint="cs"/>
          <w:b/>
          <w:bCs/>
          <w:rtl/>
        </w:rPr>
        <w:t xml:space="preserve"> </w:t>
      </w:r>
      <w:r>
        <w:tab/>
      </w:r>
      <w:r>
        <w:tab/>
      </w:r>
      <w:r>
        <w:tab/>
      </w:r>
      <w:r>
        <w:tab/>
      </w:r>
      <w:r>
        <w:rPr>
          <w:rFonts w:hint="cs"/>
          <w:b/>
          <w:bCs/>
          <w:rtl/>
        </w:rPr>
        <w:t>רוברט אילטוב</w:t>
      </w:r>
      <w:r>
        <w:br/>
      </w:r>
      <w:r>
        <w:rPr>
          <w:rFonts w:hint="cs"/>
          <w:b/>
          <w:bCs/>
          <w:rtl/>
        </w:rPr>
        <w:t xml:space="preserve"> </w:t>
      </w:r>
      <w:r>
        <w:tab/>
      </w:r>
      <w:r>
        <w:tab/>
      </w:r>
      <w:r>
        <w:tab/>
      </w:r>
      <w:r>
        <w:tab/>
      </w:r>
      <w:r>
        <w:rPr>
          <w:rFonts w:hint="cs"/>
          <w:b/>
          <w:bCs/>
          <w:rtl/>
        </w:rPr>
        <w:t>רויטל סויד</w:t>
      </w:r>
      <w:r>
        <w:br/>
      </w:r>
      <w:r>
        <w:rPr>
          <w:rFonts w:hint="cs"/>
          <w:b/>
          <w:bCs/>
          <w:rtl/>
        </w:rPr>
        <w:t xml:space="preserve"> </w:t>
      </w:r>
      <w:r>
        <w:tab/>
      </w:r>
      <w:r>
        <w:tab/>
      </w:r>
      <w:r>
        <w:tab/>
      </w:r>
      <w:r>
        <w:tab/>
      </w:r>
      <w:r>
        <w:rPr>
          <w:rFonts w:hint="cs"/>
          <w:b/>
          <w:bCs/>
          <w:rtl/>
        </w:rPr>
        <w:t>ענת ברקו</w:t>
      </w:r>
      <w:r>
        <w:br/>
      </w:r>
      <w:r>
        <w:rPr>
          <w:rFonts w:hint="cs"/>
          <w:b/>
          <w:bCs/>
          <w:rtl/>
        </w:rPr>
        <w:t xml:space="preserve"> </w:t>
      </w:r>
      <w:r>
        <w:tab/>
      </w:r>
      <w:r>
        <w:tab/>
      </w:r>
      <w:r>
        <w:tab/>
      </w:r>
      <w:r>
        <w:tab/>
      </w:r>
      <w:r>
        <w:rPr>
          <w:rFonts w:hint="cs"/>
          <w:b/>
          <w:bCs/>
          <w:rtl/>
        </w:rPr>
        <w:t>אורן אסף חזן</w:t>
      </w:r>
      <w:r>
        <w:br/>
      </w:r>
      <w:r>
        <w:rPr>
          <w:rFonts w:hint="cs"/>
          <w:b/>
          <w:bCs/>
          <w:rtl/>
        </w:rPr>
        <w:t xml:space="preserve"> </w:t>
      </w:r>
      <w:r>
        <w:tab/>
      </w:r>
      <w:r>
        <w:tab/>
      </w:r>
      <w:r>
        <w:tab/>
      </w:r>
      <w:r>
        <w:tab/>
      </w:r>
      <w:r>
        <w:rPr>
          <w:rFonts w:hint="cs"/>
          <w:b/>
          <w:bCs/>
          <w:rtl/>
        </w:rPr>
        <w:t>אכרם חסון</w:t>
      </w:r>
      <w:r>
        <w:br/>
      </w:r>
      <w:r>
        <w:rPr>
          <w:rFonts w:hint="cs"/>
          <w:b/>
          <w:bCs/>
          <w:rtl/>
        </w:rPr>
        <w:t xml:space="preserve"> </w:t>
      </w:r>
      <w:r>
        <w:tab/>
      </w:r>
      <w:r>
        <w:tab/>
      </w:r>
      <w:r>
        <w:tab/>
      </w:r>
      <w:r>
        <w:tab/>
      </w:r>
      <w:r>
        <w:rPr>
          <w:rFonts w:hint="cs"/>
          <w:b/>
          <w:bCs/>
          <w:rtl/>
        </w:rPr>
        <w:t>יחיאל חיליק בר</w:t>
      </w:r>
      <w:r>
        <w:br/>
      </w:r>
      <w:r>
        <w:rPr>
          <w:rFonts w:hint="cs"/>
          <w:b/>
          <w:bCs/>
          <w:rtl/>
        </w:rPr>
        <w:t xml:space="preserve"> </w:t>
      </w:r>
      <w:r>
        <w:tab/>
      </w:r>
      <w:r>
        <w:tab/>
      </w:r>
      <w:r>
        <w:tab/>
      </w:r>
      <w:r>
        <w:tab/>
      </w:r>
      <w:r>
        <w:rPr>
          <w:rFonts w:hint="cs"/>
          <w:b/>
          <w:bCs/>
          <w:rtl/>
        </w:rPr>
        <w:t>יוסי יונה</w:t>
      </w:r>
      <w:r>
        <w:br/>
      </w:r>
      <w:r>
        <w:rPr>
          <w:rFonts w:hint="cs"/>
          <w:b/>
          <w:bCs/>
          <w:rtl/>
        </w:rPr>
        <w:t xml:space="preserve"> </w:t>
      </w:r>
      <w:r>
        <w:tab/>
      </w:r>
      <w:r>
        <w:tab/>
      </w:r>
      <w:r>
        <w:tab/>
      </w:r>
      <w:r>
        <w:tab/>
      </w:r>
      <w:r>
        <w:rPr>
          <w:rFonts w:hint="cs"/>
          <w:b/>
          <w:bCs/>
          <w:rtl/>
        </w:rPr>
        <w:t>איציק שמולי</w:t>
      </w:r>
      <w:r>
        <w:br/>
      </w:r>
      <w:r>
        <w:rPr>
          <w:rFonts w:hint="cs"/>
          <w:b/>
          <w:bCs/>
          <w:rtl/>
        </w:rPr>
        <w:t xml:space="preserve"> </w:t>
      </w:r>
      <w:r>
        <w:tab/>
      </w:r>
      <w:r>
        <w:tab/>
      </w:r>
      <w:r>
        <w:tab/>
      </w:r>
      <w:r>
        <w:tab/>
      </w:r>
      <w:r>
        <w:rPr>
          <w:rFonts w:hint="cs"/>
          <w:b/>
          <w:bCs/>
          <w:rtl/>
        </w:rPr>
        <w:t>דב חנין</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פ/3174/20</w:t>
      </w:r>
      <w:bookmarkEnd w:id="7"/>
    </w:p>
    <w:p w14:paraId="7F6961AD" w14:textId="77777777" w:rsidR="00E13C27" w:rsidRPr="00F67051" w:rsidRDefault="00A443CF" w:rsidP="0021633A">
      <w:pPr>
        <w:pStyle w:val="HeadHatzaotHok"/>
        <w:rPr>
          <w:rtl/>
        </w:rPr>
      </w:pPr>
      <w:bookmarkStart w:id="8" w:name="LGS_Subject"/>
      <w:r>
        <w:rPr>
          <w:rFonts w:hint="cs"/>
          <w:rtl/>
        </w:rPr>
        <w:t>הצעת חוק הרשויות המקומיות (פיקוח על מחיר קייטנה ציבורית), התשע"ו–2016</w:t>
      </w:r>
      <w:bookmarkEnd w:id="8"/>
    </w:p>
    <w:p w14:paraId="7F6961AE" w14:textId="77777777"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980B9D" w14:paraId="230F38DD" w14:textId="77777777" w:rsidTr="0007191D">
        <w:trPr>
          <w:cantSplit/>
        </w:trPr>
        <w:tc>
          <w:tcPr>
            <w:tcW w:w="1871" w:type="dxa"/>
          </w:tcPr>
          <w:p w14:paraId="36A636F4" w14:textId="77777777" w:rsidR="00980B9D" w:rsidRDefault="00980B9D" w:rsidP="00711365">
            <w:pPr>
              <w:pStyle w:val="TableSideHeading"/>
              <w:keepLines w:val="0"/>
              <w:rPr>
                <w:rtl/>
              </w:rPr>
            </w:pPr>
            <w:r>
              <w:rPr>
                <w:rFonts w:hint="cs"/>
                <w:rtl/>
              </w:rPr>
              <w:t>הגדרות</w:t>
            </w:r>
          </w:p>
        </w:tc>
        <w:tc>
          <w:tcPr>
            <w:tcW w:w="624" w:type="dxa"/>
          </w:tcPr>
          <w:p w14:paraId="2196F91F" w14:textId="77777777" w:rsidR="00980B9D" w:rsidRDefault="00980B9D" w:rsidP="00711365">
            <w:pPr>
              <w:pStyle w:val="TableText"/>
              <w:keepLines w:val="0"/>
              <w:rPr>
                <w:rtl/>
              </w:rPr>
            </w:pPr>
            <w:r>
              <w:rPr>
                <w:rFonts w:hint="cs"/>
                <w:rtl/>
              </w:rPr>
              <w:t>1.</w:t>
            </w:r>
          </w:p>
        </w:tc>
        <w:tc>
          <w:tcPr>
            <w:tcW w:w="7143" w:type="dxa"/>
            <w:gridSpan w:val="2"/>
          </w:tcPr>
          <w:p w14:paraId="37DFE2DE" w14:textId="77777777" w:rsidR="00980B9D" w:rsidRDefault="00980B9D" w:rsidP="0007191D">
            <w:pPr>
              <w:pStyle w:val="TableBlockOutdent"/>
              <w:rPr>
                <w:rtl/>
              </w:rPr>
            </w:pPr>
            <w:r>
              <w:rPr>
                <w:rFonts w:hint="cs"/>
                <w:rtl/>
              </w:rPr>
              <w:t xml:space="preserve">בחוק זה </w:t>
            </w:r>
            <w:r>
              <w:rPr>
                <w:rFonts w:hint="eastAsia"/>
                <w:rtl/>
              </w:rPr>
              <w:t>–</w:t>
            </w:r>
          </w:p>
        </w:tc>
      </w:tr>
      <w:tr w:rsidR="00980B9D" w14:paraId="06BFEC99" w14:textId="77777777" w:rsidTr="0007191D">
        <w:trPr>
          <w:cantSplit/>
        </w:trPr>
        <w:tc>
          <w:tcPr>
            <w:tcW w:w="1871" w:type="dxa"/>
          </w:tcPr>
          <w:p w14:paraId="1A054470" w14:textId="77777777" w:rsidR="00980B9D" w:rsidRDefault="00980B9D" w:rsidP="00711365">
            <w:pPr>
              <w:pStyle w:val="TableSideHeading"/>
              <w:keepLines w:val="0"/>
            </w:pPr>
          </w:p>
        </w:tc>
        <w:tc>
          <w:tcPr>
            <w:tcW w:w="624" w:type="dxa"/>
          </w:tcPr>
          <w:p w14:paraId="571F4178" w14:textId="77777777" w:rsidR="00980B9D" w:rsidRDefault="00980B9D" w:rsidP="00711365">
            <w:pPr>
              <w:pStyle w:val="TableText"/>
              <w:keepLines w:val="0"/>
            </w:pPr>
          </w:p>
        </w:tc>
        <w:tc>
          <w:tcPr>
            <w:tcW w:w="7143" w:type="dxa"/>
            <w:gridSpan w:val="2"/>
          </w:tcPr>
          <w:p w14:paraId="651F8F0E" w14:textId="77777777" w:rsidR="00980B9D" w:rsidRPr="00C34DE2" w:rsidRDefault="00980B9D" w:rsidP="0007191D">
            <w:pPr>
              <w:pStyle w:val="TableBlockOutdent"/>
            </w:pPr>
            <w:r>
              <w:rPr>
                <w:rFonts w:hint="cs"/>
                <w:rtl/>
              </w:rPr>
              <w:t xml:space="preserve">"גוף ציבורי" </w:t>
            </w:r>
            <w:r>
              <w:rPr>
                <w:rtl/>
              </w:rPr>
              <w:t>–</w:t>
            </w:r>
            <w:r>
              <w:rPr>
                <w:rFonts w:hint="cs"/>
                <w:rtl/>
              </w:rPr>
              <w:t xml:space="preserve"> </w:t>
            </w:r>
            <w:r w:rsidRPr="007618FC">
              <w:rPr>
                <w:rFonts w:hint="eastAsia"/>
                <w:rtl/>
              </w:rPr>
              <w:t>ר</w:t>
            </w:r>
            <w:r w:rsidRPr="007618FC">
              <w:rPr>
                <w:rtl/>
              </w:rPr>
              <w:t>ש</w:t>
            </w:r>
            <w:r w:rsidRPr="007618FC">
              <w:rPr>
                <w:rFonts w:hint="eastAsia"/>
                <w:rtl/>
              </w:rPr>
              <w:t>ות</w:t>
            </w:r>
            <w:r w:rsidRPr="007618FC">
              <w:rPr>
                <w:rtl/>
              </w:rPr>
              <w:t xml:space="preserve"> </w:t>
            </w:r>
            <w:r w:rsidRPr="007618FC">
              <w:rPr>
                <w:rFonts w:hint="eastAsia"/>
                <w:rtl/>
              </w:rPr>
              <w:t>מקומית</w:t>
            </w:r>
            <w:r w:rsidRPr="007618FC">
              <w:rPr>
                <w:rtl/>
              </w:rPr>
              <w:t xml:space="preserve">, </w:t>
            </w:r>
            <w:r w:rsidRPr="007618FC">
              <w:rPr>
                <w:rFonts w:hint="eastAsia"/>
                <w:rtl/>
              </w:rPr>
              <w:t>גוף</w:t>
            </w:r>
            <w:r w:rsidRPr="007618FC">
              <w:rPr>
                <w:rtl/>
              </w:rPr>
              <w:t xml:space="preserve"> </w:t>
            </w:r>
            <w:r w:rsidRPr="007618FC">
              <w:rPr>
                <w:rFonts w:hint="eastAsia"/>
                <w:rtl/>
              </w:rPr>
              <w:t>שנמצא</w:t>
            </w:r>
            <w:r w:rsidRPr="007618FC">
              <w:rPr>
                <w:rtl/>
              </w:rPr>
              <w:t xml:space="preserve"> </w:t>
            </w:r>
            <w:r w:rsidRPr="007618FC">
              <w:rPr>
                <w:rFonts w:hint="eastAsia"/>
                <w:rtl/>
              </w:rPr>
              <w:t>בבעלות</w:t>
            </w:r>
            <w:r w:rsidRPr="007618FC">
              <w:rPr>
                <w:rtl/>
              </w:rPr>
              <w:t xml:space="preserve"> </w:t>
            </w:r>
            <w:r w:rsidRPr="007618FC">
              <w:rPr>
                <w:rFonts w:hint="eastAsia"/>
                <w:rtl/>
              </w:rPr>
              <w:t>או</w:t>
            </w:r>
            <w:r w:rsidRPr="007618FC">
              <w:rPr>
                <w:rtl/>
              </w:rPr>
              <w:t xml:space="preserve"> </w:t>
            </w:r>
            <w:r w:rsidRPr="007618FC">
              <w:rPr>
                <w:rFonts w:hint="eastAsia"/>
                <w:rtl/>
              </w:rPr>
              <w:t>בשליטה</w:t>
            </w:r>
            <w:r w:rsidRPr="007618FC">
              <w:rPr>
                <w:rtl/>
              </w:rPr>
              <w:t xml:space="preserve"> </w:t>
            </w:r>
            <w:r w:rsidRPr="007618FC">
              <w:rPr>
                <w:rFonts w:hint="eastAsia"/>
                <w:rtl/>
              </w:rPr>
              <w:t>ישירה</w:t>
            </w:r>
            <w:r w:rsidRPr="007618FC">
              <w:rPr>
                <w:rtl/>
              </w:rPr>
              <w:t xml:space="preserve"> </w:t>
            </w:r>
            <w:r w:rsidRPr="007618FC">
              <w:rPr>
                <w:rFonts w:hint="eastAsia"/>
                <w:rtl/>
              </w:rPr>
              <w:t>או</w:t>
            </w:r>
            <w:r w:rsidRPr="007618FC">
              <w:rPr>
                <w:rtl/>
              </w:rPr>
              <w:t xml:space="preserve"> </w:t>
            </w:r>
            <w:r w:rsidRPr="007618FC">
              <w:rPr>
                <w:rFonts w:hint="eastAsia"/>
                <w:rtl/>
              </w:rPr>
              <w:t>עקיפה</w:t>
            </w:r>
            <w:r w:rsidRPr="007618FC">
              <w:rPr>
                <w:rtl/>
              </w:rPr>
              <w:t xml:space="preserve"> </w:t>
            </w:r>
            <w:r w:rsidRPr="007618FC">
              <w:rPr>
                <w:rFonts w:hint="eastAsia"/>
                <w:rtl/>
              </w:rPr>
              <w:t>של</w:t>
            </w:r>
            <w:r w:rsidRPr="007618FC">
              <w:rPr>
                <w:rtl/>
              </w:rPr>
              <w:t xml:space="preserve"> </w:t>
            </w:r>
            <w:r w:rsidRPr="007618FC">
              <w:rPr>
                <w:rFonts w:hint="eastAsia"/>
                <w:rtl/>
              </w:rPr>
              <w:t>הממ</w:t>
            </w:r>
            <w:r w:rsidRPr="007618FC">
              <w:rPr>
                <w:rtl/>
              </w:rPr>
              <w:t xml:space="preserve">שלה </w:t>
            </w:r>
            <w:r w:rsidRPr="007618FC">
              <w:rPr>
                <w:rFonts w:hint="eastAsia"/>
                <w:rtl/>
              </w:rPr>
              <w:t>או</w:t>
            </w:r>
            <w:r w:rsidRPr="007618FC">
              <w:rPr>
                <w:rtl/>
              </w:rPr>
              <w:t xml:space="preserve"> </w:t>
            </w:r>
            <w:r w:rsidRPr="007618FC">
              <w:rPr>
                <w:rFonts w:hint="eastAsia"/>
                <w:rtl/>
              </w:rPr>
              <w:t>של</w:t>
            </w:r>
            <w:r w:rsidRPr="007618FC">
              <w:rPr>
                <w:rtl/>
              </w:rPr>
              <w:t xml:space="preserve"> </w:t>
            </w:r>
            <w:r w:rsidRPr="007618FC">
              <w:rPr>
                <w:rFonts w:hint="eastAsia"/>
                <w:rtl/>
              </w:rPr>
              <w:t>רשות</w:t>
            </w:r>
            <w:r w:rsidRPr="007618FC">
              <w:rPr>
                <w:rtl/>
              </w:rPr>
              <w:t xml:space="preserve"> </w:t>
            </w:r>
            <w:r w:rsidRPr="007618FC">
              <w:rPr>
                <w:rFonts w:hint="eastAsia"/>
                <w:rtl/>
              </w:rPr>
              <w:t>מקומית</w:t>
            </w:r>
            <w:r>
              <w:rPr>
                <w:rFonts w:hint="cs"/>
                <w:rtl/>
              </w:rPr>
              <w:t xml:space="preserve"> או של כמה רשויות מקומיות</w:t>
            </w:r>
            <w:r w:rsidRPr="007618FC">
              <w:rPr>
                <w:rtl/>
              </w:rPr>
              <w:t xml:space="preserve">, </w:t>
            </w:r>
            <w:r w:rsidRPr="007618FC">
              <w:rPr>
                <w:rFonts w:hint="eastAsia"/>
                <w:rtl/>
              </w:rPr>
              <w:t>לרבות</w:t>
            </w:r>
            <w:r w:rsidRPr="007618FC">
              <w:rPr>
                <w:rtl/>
              </w:rPr>
              <w:t xml:space="preserve"> </w:t>
            </w:r>
            <w:r w:rsidRPr="007618FC">
              <w:rPr>
                <w:rFonts w:hint="eastAsia"/>
                <w:rtl/>
              </w:rPr>
              <w:t>חבר</w:t>
            </w:r>
            <w:r w:rsidRPr="007618FC">
              <w:rPr>
                <w:rFonts w:hint="cs"/>
                <w:rtl/>
              </w:rPr>
              <w:t>ה ממשלתית או חברת</w:t>
            </w:r>
            <w:r w:rsidRPr="007618FC">
              <w:rPr>
                <w:rtl/>
              </w:rPr>
              <w:t xml:space="preserve"> </w:t>
            </w:r>
            <w:r w:rsidRPr="007618FC">
              <w:rPr>
                <w:rFonts w:hint="eastAsia"/>
                <w:rtl/>
              </w:rPr>
              <w:t>בת</w:t>
            </w:r>
            <w:r w:rsidRPr="007618FC">
              <w:rPr>
                <w:rtl/>
              </w:rPr>
              <w:t xml:space="preserve"> </w:t>
            </w:r>
            <w:r w:rsidRPr="007618FC">
              <w:rPr>
                <w:rFonts w:hint="eastAsia"/>
                <w:rtl/>
              </w:rPr>
              <w:t>ממשלתית</w:t>
            </w:r>
            <w:r w:rsidRPr="007618FC">
              <w:rPr>
                <w:rtl/>
              </w:rPr>
              <w:t xml:space="preserve"> </w:t>
            </w:r>
            <w:r w:rsidRPr="007618FC">
              <w:rPr>
                <w:rFonts w:hint="eastAsia"/>
                <w:rtl/>
              </w:rPr>
              <w:t>וחברה</w:t>
            </w:r>
            <w:r w:rsidRPr="007618FC">
              <w:rPr>
                <w:rtl/>
              </w:rPr>
              <w:t xml:space="preserve"> </w:t>
            </w:r>
            <w:r w:rsidRPr="007618FC">
              <w:rPr>
                <w:rFonts w:hint="eastAsia"/>
                <w:rtl/>
              </w:rPr>
              <w:t>מעורבת</w:t>
            </w:r>
            <w:r w:rsidRPr="007618FC">
              <w:rPr>
                <w:rtl/>
              </w:rPr>
              <w:t xml:space="preserve"> </w:t>
            </w:r>
            <w:r w:rsidRPr="007618FC">
              <w:rPr>
                <w:rFonts w:hint="eastAsia"/>
                <w:rtl/>
              </w:rPr>
              <w:t>כמשמעותן</w:t>
            </w:r>
            <w:r w:rsidRPr="007618FC">
              <w:rPr>
                <w:rtl/>
              </w:rPr>
              <w:t xml:space="preserve"> </w:t>
            </w:r>
            <w:r w:rsidRPr="007618FC">
              <w:rPr>
                <w:rFonts w:hint="eastAsia"/>
                <w:rtl/>
              </w:rPr>
              <w:t>בחוק</w:t>
            </w:r>
            <w:r w:rsidRPr="007618FC">
              <w:rPr>
                <w:rtl/>
              </w:rPr>
              <w:t xml:space="preserve"> </w:t>
            </w:r>
            <w:r w:rsidRPr="007618FC">
              <w:rPr>
                <w:rFonts w:hint="eastAsia"/>
                <w:rtl/>
              </w:rPr>
              <w:t>החברות</w:t>
            </w:r>
            <w:r w:rsidRPr="007618FC">
              <w:rPr>
                <w:rtl/>
              </w:rPr>
              <w:t xml:space="preserve"> </w:t>
            </w:r>
            <w:r w:rsidRPr="007618FC">
              <w:rPr>
                <w:rFonts w:hint="eastAsia"/>
                <w:rtl/>
              </w:rPr>
              <w:t>הממשלתיות</w:t>
            </w:r>
            <w:r w:rsidRPr="007618FC">
              <w:rPr>
                <w:rFonts w:hint="cs"/>
                <w:rtl/>
              </w:rPr>
              <w:t>, התשל"ה</w:t>
            </w:r>
            <w:r w:rsidRPr="007618FC">
              <w:rPr>
                <w:rFonts w:hint="eastAsia"/>
                <w:rtl/>
              </w:rPr>
              <w:t>–1975</w:t>
            </w:r>
            <w:r w:rsidRPr="007618FC">
              <w:rPr>
                <w:rStyle w:val="a6"/>
                <w:rtl/>
              </w:rPr>
              <w:footnoteReference w:id="2"/>
            </w:r>
            <w:r>
              <w:rPr>
                <w:rFonts w:hint="cs"/>
                <w:rtl/>
              </w:rPr>
              <w:t xml:space="preserve">, </w:t>
            </w:r>
            <w:r w:rsidRPr="004B35AE">
              <w:rPr>
                <w:rtl/>
              </w:rPr>
              <w:t>תאגיד עירוני כמשמעותו בסעיף 249א לפקודת העיריות</w:t>
            </w:r>
            <w:r>
              <w:rPr>
                <w:rStyle w:val="a6"/>
                <w:rtl/>
              </w:rPr>
              <w:footnoteReference w:id="3"/>
            </w:r>
            <w:r>
              <w:rPr>
                <w:rFonts w:hint="cs"/>
                <w:rtl/>
              </w:rPr>
              <w:t>,</w:t>
            </w:r>
            <w:r w:rsidRPr="007618FC">
              <w:rPr>
                <w:rtl/>
              </w:rPr>
              <w:t xml:space="preserve"> </w:t>
            </w:r>
            <w:r w:rsidRPr="007618FC">
              <w:rPr>
                <w:rFonts w:hint="eastAsia"/>
                <w:rtl/>
              </w:rPr>
              <w:t>וכן</w:t>
            </w:r>
            <w:r w:rsidRPr="007618FC">
              <w:rPr>
                <w:rtl/>
              </w:rPr>
              <w:t xml:space="preserve"> </w:t>
            </w:r>
            <w:r w:rsidRPr="007618FC">
              <w:rPr>
                <w:rFonts w:hint="eastAsia"/>
                <w:rtl/>
              </w:rPr>
              <w:t>כל</w:t>
            </w:r>
            <w:r w:rsidRPr="007618FC">
              <w:rPr>
                <w:rtl/>
              </w:rPr>
              <w:t xml:space="preserve"> </w:t>
            </w:r>
            <w:r w:rsidRPr="007618FC">
              <w:rPr>
                <w:rFonts w:hint="eastAsia"/>
                <w:rtl/>
              </w:rPr>
              <w:t>גוף</w:t>
            </w:r>
            <w:r w:rsidRPr="007618FC">
              <w:rPr>
                <w:rtl/>
              </w:rPr>
              <w:t xml:space="preserve"> </w:t>
            </w:r>
            <w:r w:rsidRPr="007618FC">
              <w:rPr>
                <w:rFonts w:hint="eastAsia"/>
                <w:rtl/>
              </w:rPr>
              <w:t>ה</w:t>
            </w:r>
            <w:r w:rsidRPr="007618FC">
              <w:rPr>
                <w:rtl/>
              </w:rPr>
              <w:t>מ</w:t>
            </w:r>
            <w:r w:rsidRPr="007618FC">
              <w:rPr>
                <w:rFonts w:hint="eastAsia"/>
                <w:rtl/>
              </w:rPr>
              <w:t>תו</w:t>
            </w:r>
            <w:r w:rsidRPr="007618FC">
              <w:rPr>
                <w:rtl/>
              </w:rPr>
              <w:t>קצ</w:t>
            </w:r>
            <w:r w:rsidRPr="007618FC">
              <w:rPr>
                <w:rFonts w:hint="eastAsia"/>
                <w:rtl/>
              </w:rPr>
              <w:t>ב</w:t>
            </w:r>
            <w:r>
              <w:rPr>
                <w:rFonts w:hint="cs"/>
                <w:rtl/>
              </w:rPr>
              <w:t xml:space="preserve"> או הנתמך</w:t>
            </w:r>
            <w:r w:rsidRPr="007618FC">
              <w:rPr>
                <w:rtl/>
              </w:rPr>
              <w:t xml:space="preserve"> </w:t>
            </w:r>
            <w:r w:rsidRPr="007618FC">
              <w:rPr>
                <w:rFonts w:hint="eastAsia"/>
                <w:rtl/>
              </w:rPr>
              <w:t>במישרין</w:t>
            </w:r>
            <w:r w:rsidRPr="007618FC">
              <w:rPr>
                <w:rtl/>
              </w:rPr>
              <w:t xml:space="preserve"> </w:t>
            </w:r>
            <w:r w:rsidRPr="007618FC">
              <w:rPr>
                <w:rFonts w:hint="eastAsia"/>
                <w:rtl/>
              </w:rPr>
              <w:t>או</w:t>
            </w:r>
            <w:r w:rsidRPr="007618FC">
              <w:rPr>
                <w:rtl/>
              </w:rPr>
              <w:t xml:space="preserve"> </w:t>
            </w:r>
            <w:r w:rsidRPr="007618FC">
              <w:rPr>
                <w:rFonts w:hint="eastAsia"/>
                <w:rtl/>
              </w:rPr>
              <w:t>בעקיפין</w:t>
            </w:r>
            <w:r w:rsidRPr="007618FC">
              <w:rPr>
                <w:rtl/>
              </w:rPr>
              <w:t xml:space="preserve">, </w:t>
            </w:r>
            <w:r w:rsidRPr="007618FC">
              <w:rPr>
                <w:rFonts w:hint="eastAsia"/>
                <w:rtl/>
              </w:rPr>
              <w:t>מתקציב</w:t>
            </w:r>
            <w:r w:rsidRPr="007618FC">
              <w:rPr>
                <w:rtl/>
              </w:rPr>
              <w:t xml:space="preserve"> </w:t>
            </w:r>
            <w:r w:rsidRPr="007618FC">
              <w:rPr>
                <w:rFonts w:hint="eastAsia"/>
                <w:rtl/>
              </w:rPr>
              <w:t>המדינה</w:t>
            </w:r>
            <w:r>
              <w:rPr>
                <w:rFonts w:hint="cs"/>
                <w:rtl/>
              </w:rPr>
              <w:t xml:space="preserve"> או מתקציב רשות מקומית, </w:t>
            </w:r>
          </w:p>
        </w:tc>
      </w:tr>
      <w:tr w:rsidR="00980B9D" w14:paraId="128C4008" w14:textId="77777777" w:rsidTr="0007191D">
        <w:trPr>
          <w:cantSplit/>
        </w:trPr>
        <w:tc>
          <w:tcPr>
            <w:tcW w:w="1871" w:type="dxa"/>
          </w:tcPr>
          <w:p w14:paraId="0BE45B43" w14:textId="77777777" w:rsidR="00980B9D" w:rsidRDefault="00980B9D" w:rsidP="00711365">
            <w:pPr>
              <w:pStyle w:val="TableSideHeading"/>
              <w:keepLines w:val="0"/>
              <w:rPr>
                <w:rtl/>
              </w:rPr>
            </w:pPr>
          </w:p>
        </w:tc>
        <w:tc>
          <w:tcPr>
            <w:tcW w:w="624" w:type="dxa"/>
          </w:tcPr>
          <w:p w14:paraId="528DDD39" w14:textId="77777777" w:rsidR="00980B9D" w:rsidRDefault="00980B9D" w:rsidP="00711365">
            <w:pPr>
              <w:pStyle w:val="TableText"/>
              <w:keepLines w:val="0"/>
              <w:rPr>
                <w:rtl/>
              </w:rPr>
            </w:pPr>
          </w:p>
        </w:tc>
        <w:tc>
          <w:tcPr>
            <w:tcW w:w="7143" w:type="dxa"/>
            <w:gridSpan w:val="2"/>
          </w:tcPr>
          <w:p w14:paraId="276CC347" w14:textId="77777777" w:rsidR="00980B9D" w:rsidRPr="00E85D8E" w:rsidRDefault="00980B9D" w:rsidP="0007191D">
            <w:pPr>
              <w:pStyle w:val="TableBlockOutdent"/>
              <w:rPr>
                <w:rtl/>
              </w:rPr>
            </w:pPr>
            <w:r>
              <w:rPr>
                <w:rFonts w:hint="cs"/>
                <w:rtl/>
              </w:rPr>
              <w:t xml:space="preserve">"חוק פיקוח על מחירי מצרכים ושירותים" </w:t>
            </w:r>
            <w:r>
              <w:rPr>
                <w:rtl/>
              </w:rPr>
              <w:t>–</w:t>
            </w:r>
            <w:r>
              <w:rPr>
                <w:rFonts w:hint="cs"/>
                <w:rtl/>
              </w:rPr>
              <w:t xml:space="preserve"> חוק פיקוח על מחירי מצרכים ושירותים, התשנ"ו</w:t>
            </w:r>
            <w:r>
              <w:rPr>
                <w:rFonts w:hint="eastAsia"/>
                <w:rtl/>
              </w:rPr>
              <w:t>–1996</w:t>
            </w:r>
            <w:r>
              <w:rPr>
                <w:rStyle w:val="a6"/>
                <w:rtl/>
              </w:rPr>
              <w:footnoteReference w:id="4"/>
            </w:r>
            <w:r>
              <w:rPr>
                <w:rFonts w:hint="eastAsia"/>
                <w:rtl/>
              </w:rPr>
              <w:t>;</w:t>
            </w:r>
          </w:p>
        </w:tc>
      </w:tr>
      <w:tr w:rsidR="00980B9D" w14:paraId="316B3A7C" w14:textId="77777777" w:rsidTr="0007191D">
        <w:trPr>
          <w:cantSplit/>
        </w:trPr>
        <w:tc>
          <w:tcPr>
            <w:tcW w:w="1871" w:type="dxa"/>
          </w:tcPr>
          <w:p w14:paraId="29812017" w14:textId="77777777" w:rsidR="00980B9D" w:rsidRDefault="00980B9D" w:rsidP="00711365">
            <w:pPr>
              <w:pStyle w:val="TableSideHeading"/>
              <w:keepLines w:val="0"/>
              <w:rPr>
                <w:rtl/>
              </w:rPr>
            </w:pPr>
          </w:p>
        </w:tc>
        <w:tc>
          <w:tcPr>
            <w:tcW w:w="624" w:type="dxa"/>
          </w:tcPr>
          <w:p w14:paraId="59B8DA23" w14:textId="77777777" w:rsidR="00980B9D" w:rsidRDefault="00980B9D" w:rsidP="00711365">
            <w:pPr>
              <w:pStyle w:val="TableText"/>
              <w:keepLines w:val="0"/>
              <w:rPr>
                <w:rtl/>
              </w:rPr>
            </w:pPr>
          </w:p>
        </w:tc>
        <w:tc>
          <w:tcPr>
            <w:tcW w:w="7143" w:type="dxa"/>
            <w:gridSpan w:val="2"/>
          </w:tcPr>
          <w:p w14:paraId="23954B01" w14:textId="77777777" w:rsidR="00980B9D" w:rsidRPr="00FF3132" w:rsidRDefault="00980B9D" w:rsidP="0007191D">
            <w:pPr>
              <w:pStyle w:val="TableBlock"/>
              <w:rPr>
                <w:rtl/>
              </w:rPr>
            </w:pPr>
            <w:r>
              <w:rPr>
                <w:rFonts w:hint="cs"/>
                <w:rtl/>
              </w:rPr>
              <w:t xml:space="preserve">"ילד" </w:t>
            </w:r>
            <w:r>
              <w:rPr>
                <w:rtl/>
              </w:rPr>
              <w:t>–</w:t>
            </w:r>
            <w:r>
              <w:rPr>
                <w:rFonts w:hint="cs"/>
                <w:rtl/>
              </w:rPr>
              <w:t xml:space="preserve"> מי שמלאו לו 4 שנים וטרם סיים את לימודיו בכיתה ו';</w:t>
            </w:r>
          </w:p>
        </w:tc>
      </w:tr>
      <w:tr w:rsidR="00980B9D" w14:paraId="5E3BD3E7" w14:textId="77777777" w:rsidTr="0007191D">
        <w:trPr>
          <w:cantSplit/>
        </w:trPr>
        <w:tc>
          <w:tcPr>
            <w:tcW w:w="1871" w:type="dxa"/>
          </w:tcPr>
          <w:p w14:paraId="79AF67B5" w14:textId="77777777" w:rsidR="00980B9D" w:rsidRPr="00CE624B" w:rsidRDefault="00980B9D" w:rsidP="00711365">
            <w:pPr>
              <w:pStyle w:val="TableSideHeading"/>
              <w:keepLines w:val="0"/>
              <w:rPr>
                <w:rtl/>
              </w:rPr>
            </w:pPr>
          </w:p>
        </w:tc>
        <w:tc>
          <w:tcPr>
            <w:tcW w:w="624" w:type="dxa"/>
          </w:tcPr>
          <w:p w14:paraId="592A8197" w14:textId="77777777" w:rsidR="00980B9D" w:rsidRDefault="00980B9D" w:rsidP="00711365">
            <w:pPr>
              <w:pStyle w:val="TableText"/>
              <w:keepLines w:val="0"/>
              <w:rPr>
                <w:rtl/>
              </w:rPr>
            </w:pPr>
          </w:p>
        </w:tc>
        <w:tc>
          <w:tcPr>
            <w:tcW w:w="7143" w:type="dxa"/>
            <w:gridSpan w:val="2"/>
          </w:tcPr>
          <w:p w14:paraId="4EBA5AD7" w14:textId="77777777" w:rsidR="00980B9D" w:rsidRDefault="00980B9D" w:rsidP="0007191D">
            <w:pPr>
              <w:pStyle w:val="TableBlockOutdent"/>
              <w:rPr>
                <w:rtl/>
              </w:rPr>
            </w:pPr>
            <w:r>
              <w:rPr>
                <w:rFonts w:hint="cs"/>
                <w:rtl/>
              </w:rPr>
              <w:t xml:space="preserve">"קייטנה ציבורית" </w:t>
            </w:r>
            <w:r>
              <w:rPr>
                <w:rtl/>
              </w:rPr>
              <w:t>–</w:t>
            </w:r>
            <w:r>
              <w:rPr>
                <w:rFonts w:hint="cs"/>
                <w:rtl/>
              </w:rPr>
              <w:t xml:space="preserve"> קייטנה</w:t>
            </w:r>
            <w:r w:rsidRPr="00050AC7">
              <w:rPr>
                <w:rtl/>
              </w:rPr>
              <w:t xml:space="preserve"> כהגדרתה בחוק הקייטנות (רישוי ופיקוח), התש"ן–1990</w:t>
            </w:r>
            <w:r>
              <w:rPr>
                <w:rStyle w:val="a6"/>
                <w:rtl/>
              </w:rPr>
              <w:footnoteReference w:id="5"/>
            </w:r>
            <w:r>
              <w:rPr>
                <w:rFonts w:hint="cs"/>
                <w:rtl/>
              </w:rPr>
              <w:t>, המיועדת לילדים, שמתקיים בה אחד מאלה:</w:t>
            </w:r>
          </w:p>
        </w:tc>
      </w:tr>
      <w:tr w:rsidR="00980B9D" w14:paraId="5C27BF1D" w14:textId="77777777" w:rsidTr="0007191D">
        <w:trPr>
          <w:cantSplit/>
        </w:trPr>
        <w:tc>
          <w:tcPr>
            <w:tcW w:w="1871" w:type="dxa"/>
          </w:tcPr>
          <w:p w14:paraId="383D310A" w14:textId="77777777" w:rsidR="00980B9D" w:rsidRDefault="00980B9D" w:rsidP="00711365">
            <w:pPr>
              <w:pStyle w:val="TableSideHeading"/>
            </w:pPr>
          </w:p>
        </w:tc>
        <w:tc>
          <w:tcPr>
            <w:tcW w:w="624" w:type="dxa"/>
          </w:tcPr>
          <w:p w14:paraId="1E8F2A98" w14:textId="77777777" w:rsidR="00980B9D" w:rsidRDefault="00980B9D" w:rsidP="00711365">
            <w:pPr>
              <w:pStyle w:val="TableText"/>
            </w:pPr>
          </w:p>
        </w:tc>
        <w:tc>
          <w:tcPr>
            <w:tcW w:w="624" w:type="dxa"/>
          </w:tcPr>
          <w:p w14:paraId="7561DA83" w14:textId="77777777" w:rsidR="00980B9D" w:rsidRDefault="00980B9D" w:rsidP="00711365">
            <w:pPr>
              <w:pStyle w:val="TableText"/>
            </w:pPr>
          </w:p>
        </w:tc>
        <w:tc>
          <w:tcPr>
            <w:tcW w:w="6519" w:type="dxa"/>
          </w:tcPr>
          <w:p w14:paraId="4608D6DD" w14:textId="77777777" w:rsidR="00980B9D" w:rsidRDefault="00980B9D" w:rsidP="0007191D">
            <w:pPr>
              <w:pStyle w:val="TableBlock"/>
            </w:pPr>
            <w:r>
              <w:rPr>
                <w:rFonts w:hint="cs"/>
                <w:rtl/>
              </w:rPr>
              <w:t>(1)</w:t>
            </w:r>
            <w:r>
              <w:rPr>
                <w:rtl/>
              </w:rPr>
              <w:tab/>
            </w:r>
            <w:r>
              <w:rPr>
                <w:rFonts w:hint="cs"/>
                <w:rtl/>
              </w:rPr>
              <w:t>היא מנוהלת בידי גוף ציבורי או בידי גוף או ארגון אחר ה</w:t>
            </w:r>
            <w:r w:rsidRPr="002132F8">
              <w:rPr>
                <w:rtl/>
              </w:rPr>
              <w:t xml:space="preserve">פטור </w:t>
            </w:r>
            <w:r>
              <w:rPr>
                <w:rFonts w:hint="cs"/>
                <w:rtl/>
              </w:rPr>
              <w:t xml:space="preserve">מחובת </w:t>
            </w:r>
            <w:r w:rsidRPr="002132F8">
              <w:rPr>
                <w:rtl/>
              </w:rPr>
              <w:t>רישוי</w:t>
            </w:r>
            <w:r>
              <w:rPr>
                <w:rFonts w:hint="cs"/>
                <w:rtl/>
              </w:rPr>
              <w:t xml:space="preserve"> לקייטנה </w:t>
            </w:r>
            <w:r w:rsidRPr="00F742E6">
              <w:rPr>
                <w:rFonts w:hint="cs"/>
                <w:rtl/>
              </w:rPr>
              <w:t>לפי סעיף 2ג ל</w:t>
            </w:r>
            <w:r w:rsidRPr="00F742E6">
              <w:rPr>
                <w:rtl/>
              </w:rPr>
              <w:t xml:space="preserve">חוק </w:t>
            </w:r>
            <w:r w:rsidRPr="00F742E6">
              <w:rPr>
                <w:rFonts w:hint="cs"/>
                <w:rtl/>
              </w:rPr>
              <w:t>רישוי עסקים, התשכ"ח</w:t>
            </w:r>
            <w:r w:rsidRPr="00F742E6">
              <w:rPr>
                <w:rFonts w:hint="eastAsia"/>
                <w:rtl/>
              </w:rPr>
              <w:t>–1969</w:t>
            </w:r>
            <w:r w:rsidRPr="00F742E6">
              <w:rPr>
                <w:rStyle w:val="a6"/>
                <w:rtl/>
              </w:rPr>
              <w:footnoteReference w:id="6"/>
            </w:r>
            <w:r w:rsidRPr="00F742E6">
              <w:rPr>
                <w:rFonts w:hint="cs"/>
                <w:rtl/>
              </w:rPr>
              <w:t>;</w:t>
            </w:r>
          </w:p>
        </w:tc>
      </w:tr>
      <w:tr w:rsidR="00980B9D" w14:paraId="1FD4D74C" w14:textId="77777777" w:rsidTr="0007191D">
        <w:trPr>
          <w:cantSplit/>
        </w:trPr>
        <w:tc>
          <w:tcPr>
            <w:tcW w:w="1871" w:type="dxa"/>
          </w:tcPr>
          <w:p w14:paraId="7BDBABC6" w14:textId="77777777" w:rsidR="00980B9D" w:rsidRDefault="00980B9D" w:rsidP="00711365">
            <w:pPr>
              <w:pStyle w:val="TableSideHeading"/>
            </w:pPr>
          </w:p>
        </w:tc>
        <w:tc>
          <w:tcPr>
            <w:tcW w:w="624" w:type="dxa"/>
          </w:tcPr>
          <w:p w14:paraId="3559CEE1" w14:textId="77777777" w:rsidR="00980B9D" w:rsidRDefault="00980B9D" w:rsidP="00711365">
            <w:pPr>
              <w:pStyle w:val="TableText"/>
            </w:pPr>
          </w:p>
        </w:tc>
        <w:tc>
          <w:tcPr>
            <w:tcW w:w="624" w:type="dxa"/>
          </w:tcPr>
          <w:p w14:paraId="516262A2" w14:textId="77777777" w:rsidR="00980B9D" w:rsidRDefault="00980B9D" w:rsidP="00711365">
            <w:pPr>
              <w:pStyle w:val="TableText"/>
            </w:pPr>
          </w:p>
        </w:tc>
        <w:tc>
          <w:tcPr>
            <w:tcW w:w="6519" w:type="dxa"/>
          </w:tcPr>
          <w:p w14:paraId="466EB2F9" w14:textId="77777777" w:rsidR="00980B9D" w:rsidRDefault="00980B9D" w:rsidP="0007191D">
            <w:pPr>
              <w:pStyle w:val="TableBlock"/>
              <w:rPr>
                <w:rtl/>
              </w:rPr>
            </w:pPr>
            <w:r>
              <w:rPr>
                <w:rFonts w:hint="cs"/>
                <w:rtl/>
              </w:rPr>
              <w:t>(2)</w:t>
            </w:r>
            <w:r>
              <w:rPr>
                <w:rtl/>
              </w:rPr>
              <w:tab/>
            </w:r>
            <w:r>
              <w:rPr>
                <w:rFonts w:hint="cs"/>
                <w:rtl/>
              </w:rPr>
              <w:t>היא פועלת בתחום מקרקעין בבעלות או בשליטה ישירה או עקיפה של רשות מקומית.</w:t>
            </w:r>
          </w:p>
        </w:tc>
      </w:tr>
      <w:tr w:rsidR="00980B9D" w14:paraId="1721DB82" w14:textId="77777777" w:rsidTr="0007191D">
        <w:trPr>
          <w:cantSplit/>
        </w:trPr>
        <w:tc>
          <w:tcPr>
            <w:tcW w:w="1871" w:type="dxa"/>
          </w:tcPr>
          <w:p w14:paraId="4354341C" w14:textId="77777777" w:rsidR="00980B9D" w:rsidRDefault="00980B9D" w:rsidP="00711365">
            <w:pPr>
              <w:pStyle w:val="TableSideHeading"/>
            </w:pPr>
          </w:p>
        </w:tc>
        <w:tc>
          <w:tcPr>
            <w:tcW w:w="624" w:type="dxa"/>
          </w:tcPr>
          <w:p w14:paraId="105FE42D" w14:textId="77777777" w:rsidR="00980B9D" w:rsidRDefault="00980B9D" w:rsidP="00711365">
            <w:pPr>
              <w:pStyle w:val="TableText"/>
            </w:pPr>
          </w:p>
        </w:tc>
        <w:tc>
          <w:tcPr>
            <w:tcW w:w="7143" w:type="dxa"/>
            <w:gridSpan w:val="2"/>
          </w:tcPr>
          <w:p w14:paraId="49C14932" w14:textId="3BC07DBA" w:rsidR="00980B9D" w:rsidRPr="00E85D8E" w:rsidRDefault="00980B9D" w:rsidP="0007191D">
            <w:pPr>
              <w:pStyle w:val="TableBlockOutdent"/>
              <w:rPr>
                <w:rtl/>
              </w:rPr>
            </w:pPr>
            <w:r>
              <w:rPr>
                <w:rFonts w:hint="cs"/>
                <w:rtl/>
              </w:rPr>
              <w:t xml:space="preserve">"שירות" </w:t>
            </w:r>
            <w:r>
              <w:rPr>
                <w:rtl/>
              </w:rPr>
              <w:t>–</w:t>
            </w:r>
            <w:r>
              <w:rPr>
                <w:rFonts w:hint="cs"/>
                <w:rtl/>
              </w:rPr>
              <w:t xml:space="preserve"> כהגדרת</w:t>
            </w:r>
            <w:r w:rsidR="00C63F5F">
              <w:rPr>
                <w:rFonts w:hint="cs"/>
                <w:rtl/>
              </w:rPr>
              <w:t>ו</w:t>
            </w:r>
            <w:r>
              <w:rPr>
                <w:rFonts w:hint="cs"/>
                <w:rtl/>
              </w:rPr>
              <w:t xml:space="preserve"> בחוק</w:t>
            </w:r>
            <w:r w:rsidR="00C63F5F">
              <w:rPr>
                <w:rFonts w:hint="cs"/>
                <w:rtl/>
              </w:rPr>
              <w:t xml:space="preserve"> פיקוח על מחירי מצרכים ושירותים.</w:t>
            </w:r>
          </w:p>
        </w:tc>
      </w:tr>
      <w:tr w:rsidR="00980B9D" w14:paraId="56F45022" w14:textId="77777777" w:rsidTr="0007191D">
        <w:trPr>
          <w:cantSplit/>
        </w:trPr>
        <w:tc>
          <w:tcPr>
            <w:tcW w:w="1871" w:type="dxa"/>
          </w:tcPr>
          <w:p w14:paraId="08EEC3A0" w14:textId="77777777" w:rsidR="00980B9D" w:rsidRPr="00CE624B" w:rsidRDefault="00980B9D" w:rsidP="00711365">
            <w:pPr>
              <w:pStyle w:val="TableSideHeading"/>
              <w:keepLines w:val="0"/>
              <w:rPr>
                <w:rtl/>
              </w:rPr>
            </w:pPr>
            <w:r>
              <w:rPr>
                <w:rFonts w:hint="cs"/>
                <w:rtl/>
              </w:rPr>
              <w:t>תחולת חוק פיקוח על מחירי מצרכים ושירותים על שירות קייטנה ציבורית</w:t>
            </w:r>
          </w:p>
        </w:tc>
        <w:tc>
          <w:tcPr>
            <w:tcW w:w="624" w:type="dxa"/>
          </w:tcPr>
          <w:p w14:paraId="4AD389D8" w14:textId="77777777" w:rsidR="00980B9D" w:rsidRDefault="00980B9D" w:rsidP="00711365">
            <w:pPr>
              <w:pStyle w:val="TableText"/>
              <w:keepLines w:val="0"/>
              <w:rPr>
                <w:rtl/>
              </w:rPr>
            </w:pPr>
            <w:r>
              <w:rPr>
                <w:rFonts w:hint="cs"/>
                <w:rtl/>
              </w:rPr>
              <w:t>2.</w:t>
            </w:r>
          </w:p>
        </w:tc>
        <w:tc>
          <w:tcPr>
            <w:tcW w:w="7143" w:type="dxa"/>
            <w:gridSpan w:val="2"/>
          </w:tcPr>
          <w:p w14:paraId="305C1091" w14:textId="77777777" w:rsidR="00980B9D" w:rsidRPr="00CE624B" w:rsidRDefault="00980B9D" w:rsidP="0007191D">
            <w:pPr>
              <w:pStyle w:val="TableBlock"/>
              <w:rPr>
                <w:rtl/>
              </w:rPr>
            </w:pPr>
            <w:r>
              <w:rPr>
                <w:rFonts w:hint="cs"/>
                <w:rtl/>
              </w:rPr>
              <w:t>חוק הפיקוח על מחירי מצרכים ושירותים יחול על שירות של קייטנה ציבורית, כאילו ניתן לגביו צו לפי סעיף 6 לחוק האמור, ונקבע לגביו כי רמת הפיקוח תהיה לפי פרק ה' לחוק האמור.</w:t>
            </w:r>
          </w:p>
        </w:tc>
      </w:tr>
      <w:tr w:rsidR="00980B9D" w14:paraId="19E9860B" w14:textId="77777777" w:rsidTr="0007191D">
        <w:trPr>
          <w:cantSplit/>
        </w:trPr>
        <w:tc>
          <w:tcPr>
            <w:tcW w:w="1871" w:type="dxa"/>
          </w:tcPr>
          <w:p w14:paraId="75B310CC" w14:textId="77777777" w:rsidR="00980B9D" w:rsidRDefault="00980B9D" w:rsidP="00711365">
            <w:pPr>
              <w:pStyle w:val="TableSideHeading"/>
            </w:pPr>
            <w:r>
              <w:rPr>
                <w:rFonts w:hint="cs"/>
                <w:rtl/>
              </w:rPr>
              <w:t>סמכויות לפי חוק פיקוח על מחירי מצרכים ושירותים</w:t>
            </w:r>
          </w:p>
        </w:tc>
        <w:tc>
          <w:tcPr>
            <w:tcW w:w="624" w:type="dxa"/>
          </w:tcPr>
          <w:p w14:paraId="71986A40" w14:textId="77777777" w:rsidR="00980B9D" w:rsidRDefault="00980B9D" w:rsidP="00711365">
            <w:pPr>
              <w:pStyle w:val="TableText"/>
            </w:pPr>
            <w:r>
              <w:rPr>
                <w:rFonts w:hint="cs"/>
                <w:rtl/>
              </w:rPr>
              <w:t>3.</w:t>
            </w:r>
          </w:p>
        </w:tc>
        <w:tc>
          <w:tcPr>
            <w:tcW w:w="7143" w:type="dxa"/>
            <w:gridSpan w:val="2"/>
          </w:tcPr>
          <w:p w14:paraId="7F311B19" w14:textId="32B89897" w:rsidR="00980B9D" w:rsidRPr="00C34DE2" w:rsidRDefault="00980B9D" w:rsidP="0007191D">
            <w:pPr>
              <w:pStyle w:val="TableBlock"/>
            </w:pPr>
            <w:r>
              <w:rPr>
                <w:rFonts w:hint="cs"/>
                <w:rtl/>
              </w:rPr>
              <w:t xml:space="preserve">על אף האמור בסעיף 12 לחוק הפיקוח על מחירי מצרכים ושירותים, הסמכויות הנתונות לשרים כהגדרתם בחוק האמור, לעניין שירות של קייטנה ציבורית, יהיו נתונות לשר הפנים. </w:t>
            </w:r>
          </w:p>
        </w:tc>
      </w:tr>
      <w:tr w:rsidR="00980B9D" w14:paraId="30109CE9" w14:textId="77777777" w:rsidTr="0007191D">
        <w:trPr>
          <w:cantSplit/>
        </w:trPr>
        <w:tc>
          <w:tcPr>
            <w:tcW w:w="1871" w:type="dxa"/>
          </w:tcPr>
          <w:p w14:paraId="2EC8267E" w14:textId="77777777" w:rsidR="00980B9D" w:rsidRDefault="00980B9D" w:rsidP="00711365">
            <w:pPr>
              <w:pStyle w:val="TableSideHeading"/>
              <w:keepLines w:val="0"/>
              <w:rPr>
                <w:rtl/>
              </w:rPr>
            </w:pPr>
            <w:r>
              <w:rPr>
                <w:rFonts w:hint="cs"/>
                <w:rtl/>
              </w:rPr>
              <w:t>ביצוע ותקנות</w:t>
            </w:r>
          </w:p>
        </w:tc>
        <w:tc>
          <w:tcPr>
            <w:tcW w:w="624" w:type="dxa"/>
          </w:tcPr>
          <w:p w14:paraId="4F798916" w14:textId="77777777" w:rsidR="00980B9D" w:rsidRDefault="00980B9D" w:rsidP="00711365">
            <w:pPr>
              <w:pStyle w:val="TableText"/>
              <w:rPr>
                <w:rtl/>
              </w:rPr>
            </w:pPr>
            <w:r>
              <w:rPr>
                <w:rFonts w:hint="cs"/>
                <w:rtl/>
              </w:rPr>
              <w:t>4.</w:t>
            </w:r>
          </w:p>
        </w:tc>
        <w:tc>
          <w:tcPr>
            <w:tcW w:w="7143" w:type="dxa"/>
            <w:gridSpan w:val="2"/>
          </w:tcPr>
          <w:p w14:paraId="048CFE9E" w14:textId="77777777" w:rsidR="00980B9D" w:rsidRDefault="00980B9D" w:rsidP="0007191D">
            <w:pPr>
              <w:pStyle w:val="TableBlock"/>
              <w:rPr>
                <w:rtl/>
              </w:rPr>
            </w:pPr>
            <w:r>
              <w:rPr>
                <w:rFonts w:hint="cs"/>
                <w:rtl/>
              </w:rPr>
              <w:t>שר הפנים ממונה על ביצועו של חוק זה והוא רשאי להתקין תקנות לביצועו.</w:t>
            </w:r>
          </w:p>
        </w:tc>
      </w:tr>
    </w:tbl>
    <w:p w14:paraId="35800874" w14:textId="77777777" w:rsidR="0007191D" w:rsidRDefault="0007191D" w:rsidP="002D1EE3">
      <w:pPr>
        <w:pStyle w:val="HeadDivreiHesber"/>
        <w:rPr>
          <w:rtl/>
        </w:rPr>
      </w:pPr>
    </w:p>
    <w:p w14:paraId="7F6961CA" w14:textId="0BD11958" w:rsidR="002D1EE3" w:rsidRDefault="002D1EE3" w:rsidP="002D1EE3">
      <w:pPr>
        <w:pStyle w:val="HeadDivreiHesber"/>
        <w:rPr>
          <w:rtl/>
        </w:rPr>
      </w:pPr>
      <w:r w:rsidRPr="0027450A">
        <w:rPr>
          <w:rFonts w:hint="cs"/>
          <w:rtl/>
        </w:rPr>
        <w:lastRenderedPageBreak/>
        <w:t>דברי הסבר</w:t>
      </w:r>
    </w:p>
    <w:p w14:paraId="1115E365" w14:textId="77777777" w:rsidR="00D86687" w:rsidRDefault="00A74561" w:rsidP="00D86687">
      <w:pPr>
        <w:pStyle w:val="Hesber"/>
        <w:rPr>
          <w:rtl/>
        </w:rPr>
      </w:pPr>
      <w:r w:rsidRPr="00D86687">
        <w:rPr>
          <w:rFonts w:hint="cs"/>
          <w:rtl/>
        </w:rPr>
        <w:t xml:space="preserve">שוק הקייטנות הוא </w:t>
      </w:r>
      <w:r w:rsidR="0058662B" w:rsidRPr="00D86687">
        <w:rPr>
          <w:rtl/>
        </w:rPr>
        <w:t xml:space="preserve">שוק פרוץ לחלוטין בו כל רשות </w:t>
      </w:r>
      <w:r w:rsidR="00D86687">
        <w:rPr>
          <w:rFonts w:hint="cs"/>
          <w:rtl/>
        </w:rPr>
        <w:t xml:space="preserve">מקומית </w:t>
      </w:r>
      <w:r w:rsidR="0058662B" w:rsidRPr="00D86687">
        <w:rPr>
          <w:rtl/>
        </w:rPr>
        <w:t>קובעת מי יפעיל</w:t>
      </w:r>
      <w:r w:rsidR="00D86687">
        <w:rPr>
          <w:rtl/>
        </w:rPr>
        <w:t xml:space="preserve"> את הקייטנה, מה יהיה מחירה ו</w:t>
      </w:r>
      <w:r w:rsidR="00D86687">
        <w:rPr>
          <w:rFonts w:hint="cs"/>
          <w:rtl/>
        </w:rPr>
        <w:t xml:space="preserve">כן, </w:t>
      </w:r>
      <w:r w:rsidR="0058662B" w:rsidRPr="00D86687">
        <w:rPr>
          <w:rtl/>
        </w:rPr>
        <w:t xml:space="preserve">כמה </w:t>
      </w:r>
      <w:r w:rsidR="00D86687">
        <w:rPr>
          <w:rFonts w:hint="cs"/>
          <w:rtl/>
        </w:rPr>
        <w:t>יש</w:t>
      </w:r>
      <w:r w:rsidR="00D86687">
        <w:rPr>
          <w:rtl/>
        </w:rPr>
        <w:t xml:space="preserve"> לשלם ל</w:t>
      </w:r>
      <w:r w:rsidR="00D86687">
        <w:rPr>
          <w:rFonts w:hint="cs"/>
          <w:rtl/>
        </w:rPr>
        <w:t>רשות</w:t>
      </w:r>
      <w:r w:rsidR="0058662B" w:rsidRPr="00D86687">
        <w:rPr>
          <w:rtl/>
        </w:rPr>
        <w:t xml:space="preserve"> </w:t>
      </w:r>
      <w:r w:rsidR="00D86687">
        <w:rPr>
          <w:rFonts w:hint="cs"/>
          <w:rtl/>
        </w:rPr>
        <w:t xml:space="preserve">המקומית </w:t>
      </w:r>
      <w:r w:rsidR="0058662B" w:rsidRPr="00D86687">
        <w:rPr>
          <w:rtl/>
        </w:rPr>
        <w:t>תמורת הזכות לקיים את הקייטנה</w:t>
      </w:r>
      <w:r w:rsidR="00D86687">
        <w:rPr>
          <w:rFonts w:hint="cs"/>
          <w:rtl/>
        </w:rPr>
        <w:t xml:space="preserve"> במבנים של אותה הרשות</w:t>
      </w:r>
      <w:r w:rsidR="0058662B" w:rsidRPr="00D86687">
        <w:rPr>
          <w:rtl/>
        </w:rPr>
        <w:t xml:space="preserve">. </w:t>
      </w:r>
    </w:p>
    <w:p w14:paraId="7065F7F9" w14:textId="2CB25D80" w:rsidR="0058662B" w:rsidRPr="00D86687" w:rsidRDefault="00A74561" w:rsidP="00D86687">
      <w:pPr>
        <w:pStyle w:val="Hesber"/>
      </w:pPr>
      <w:r w:rsidRPr="00D86687">
        <w:rPr>
          <w:rFonts w:hint="cs"/>
          <w:rtl/>
        </w:rPr>
        <w:t>אין הצדקה לכך ש</w:t>
      </w:r>
      <w:r w:rsidRPr="00D86687">
        <w:rPr>
          <w:rtl/>
        </w:rPr>
        <w:t xml:space="preserve">רשויות מקומיות גובות סכומים גבוהים ממפעילי קייטנות </w:t>
      </w:r>
      <w:r w:rsidR="00D86687">
        <w:rPr>
          <w:rFonts w:hint="cs"/>
          <w:rtl/>
        </w:rPr>
        <w:t xml:space="preserve">שונים, </w:t>
      </w:r>
      <w:r w:rsidRPr="00D86687">
        <w:rPr>
          <w:rtl/>
        </w:rPr>
        <w:t xml:space="preserve">אנשי צוות </w:t>
      </w:r>
      <w:r w:rsidR="00D86687">
        <w:rPr>
          <w:rFonts w:hint="cs"/>
          <w:rtl/>
        </w:rPr>
        <w:t>של גני ילדים או צהרונים</w:t>
      </w:r>
      <w:r w:rsidRPr="00D86687">
        <w:rPr>
          <w:rtl/>
        </w:rPr>
        <w:t xml:space="preserve"> ע</w:t>
      </w:r>
      <w:r w:rsidR="004D3822" w:rsidRPr="00D86687">
        <w:rPr>
          <w:rtl/>
        </w:rPr>
        <w:t>בור הזכות להשתמש במבנה העירוני</w:t>
      </w:r>
      <w:r w:rsidR="004D3822" w:rsidRPr="00D86687">
        <w:rPr>
          <w:rFonts w:hint="cs"/>
          <w:rtl/>
        </w:rPr>
        <w:t xml:space="preserve">. </w:t>
      </w:r>
      <w:r w:rsidRPr="00D86687">
        <w:rPr>
          <w:rtl/>
        </w:rPr>
        <w:t>עלות</w:t>
      </w:r>
      <w:r w:rsidR="004D3822" w:rsidRPr="00D86687">
        <w:rPr>
          <w:rFonts w:hint="cs"/>
          <w:rtl/>
        </w:rPr>
        <w:t xml:space="preserve"> זו</w:t>
      </w:r>
      <w:r w:rsidR="004D3822" w:rsidRPr="00D86687">
        <w:rPr>
          <w:rtl/>
        </w:rPr>
        <w:t xml:space="preserve"> </w:t>
      </w:r>
      <w:r w:rsidRPr="00D86687">
        <w:rPr>
          <w:rtl/>
        </w:rPr>
        <w:t>מגולג</w:t>
      </w:r>
      <w:r w:rsidR="004D3822" w:rsidRPr="00D86687">
        <w:rPr>
          <w:rFonts w:hint="cs"/>
          <w:rtl/>
        </w:rPr>
        <w:t>ל</w:t>
      </w:r>
      <w:r w:rsidR="00D86687">
        <w:rPr>
          <w:rtl/>
        </w:rPr>
        <w:t xml:space="preserve">ת </w:t>
      </w:r>
      <w:r w:rsidR="00D86687">
        <w:rPr>
          <w:rFonts w:hint="cs"/>
          <w:rtl/>
        </w:rPr>
        <w:t>ל</w:t>
      </w:r>
      <w:r w:rsidR="004D3822" w:rsidRPr="00D86687">
        <w:rPr>
          <w:rFonts w:hint="cs"/>
          <w:rtl/>
        </w:rPr>
        <w:t>הורים</w:t>
      </w:r>
      <w:r w:rsidRPr="00D86687">
        <w:rPr>
          <w:rtl/>
        </w:rPr>
        <w:t xml:space="preserve"> וגורמת לכך שמחירי הקייטנות יגיעו גם ליותר מ-2,000 שקלים </w:t>
      </w:r>
      <w:r w:rsidR="00D86687">
        <w:rPr>
          <w:rFonts w:hint="cs"/>
          <w:rtl/>
        </w:rPr>
        <w:t xml:space="preserve">חדשים </w:t>
      </w:r>
      <w:r w:rsidRPr="00D86687">
        <w:rPr>
          <w:rtl/>
        </w:rPr>
        <w:t>לחודש</w:t>
      </w:r>
      <w:r w:rsidRPr="00D86687">
        <w:rPr>
          <w:rFonts w:hint="cs"/>
          <w:rtl/>
        </w:rPr>
        <w:t>.</w:t>
      </w:r>
    </w:p>
    <w:p w14:paraId="7F6961CB" w14:textId="36993F30" w:rsidR="00E13C27" w:rsidRPr="00D86687" w:rsidRDefault="0058662B" w:rsidP="00BB7D7C">
      <w:pPr>
        <w:pStyle w:val="Hesber"/>
        <w:rPr>
          <w:rtl/>
        </w:rPr>
      </w:pPr>
      <w:r w:rsidRPr="00D86687">
        <w:t> </w:t>
      </w:r>
      <w:r w:rsidRPr="00D86687">
        <w:rPr>
          <w:rtl/>
        </w:rPr>
        <w:t xml:space="preserve">מדובר בתופעה כלל </w:t>
      </w:r>
      <w:r w:rsidR="00A74561" w:rsidRPr="00D86687">
        <w:rPr>
          <w:rtl/>
        </w:rPr>
        <w:t>ארצית</w:t>
      </w:r>
      <w:r w:rsidR="00A74561" w:rsidRPr="00D86687">
        <w:rPr>
          <w:rFonts w:hint="cs"/>
          <w:rtl/>
        </w:rPr>
        <w:t xml:space="preserve">. </w:t>
      </w:r>
      <w:r w:rsidRPr="00D86687">
        <w:rPr>
          <w:rtl/>
        </w:rPr>
        <w:t xml:space="preserve">הורים </w:t>
      </w:r>
      <w:r w:rsidR="00BB7D7C">
        <w:rPr>
          <w:rFonts w:hint="cs"/>
          <w:rtl/>
        </w:rPr>
        <w:t>נדרשים</w:t>
      </w:r>
      <w:r w:rsidRPr="00D86687">
        <w:rPr>
          <w:rtl/>
        </w:rPr>
        <w:t xml:space="preserve"> לשלם אלפי שקלים על הזכות ללכת לעבוד בחודשי הקיץ. מד</w:t>
      </w:r>
      <w:r w:rsidR="00A74561" w:rsidRPr="00D86687">
        <w:rPr>
          <w:rFonts w:hint="cs"/>
          <w:rtl/>
        </w:rPr>
        <w:t>ו</w:t>
      </w:r>
      <w:r w:rsidR="00A74561" w:rsidRPr="00D86687">
        <w:rPr>
          <w:rtl/>
        </w:rPr>
        <w:t>בר</w:t>
      </w:r>
      <w:r w:rsidRPr="00D86687">
        <w:rPr>
          <w:rtl/>
        </w:rPr>
        <w:t xml:space="preserve"> על קייטנות במבנים עירוניים או בגנים עצמם, בלי אטרקציות ויציאות לבילויים יקרים מחוץ לגן. עבור הרשויות המקומיות מדובר במנוע כלכלי על חשבון ההורים</w:t>
      </w:r>
      <w:r w:rsidR="004D3822" w:rsidRPr="00D86687">
        <w:rPr>
          <w:rFonts w:hint="cs"/>
          <w:rtl/>
        </w:rPr>
        <w:t>.</w:t>
      </w:r>
    </w:p>
    <w:p w14:paraId="6CFA473C" w14:textId="78EFE2E7" w:rsidR="004D3822" w:rsidRPr="00D86687" w:rsidRDefault="0006679F" w:rsidP="00D86687">
      <w:pPr>
        <w:pStyle w:val="Hesber"/>
        <w:rPr>
          <w:rtl/>
        </w:rPr>
      </w:pPr>
      <w:r w:rsidRPr="00D86687">
        <w:rPr>
          <w:rFonts w:hint="cs"/>
          <w:rtl/>
        </w:rPr>
        <w:t>משפחות רבות מתקשות לעמוד בהוצאות בחודשי הקיץ ועל אף זאת עליהם לדאוג לסידור לילדיהם. יש לאפשר למשפחות אלו להמשיך בשגרתם בחודשי הקיץ, שכן על אף שהילדים יוצאים לחופש הגדול ההורים דווקא חייבים להמשיך בעבודתם כדי לדאוג לפרנסת משפחתם.</w:t>
      </w:r>
    </w:p>
    <w:p w14:paraId="35397951" w14:textId="23C94B00" w:rsidR="0006679F" w:rsidRDefault="0006679F" w:rsidP="004D01EE">
      <w:pPr>
        <w:pStyle w:val="Hesber"/>
        <w:rPr>
          <w:rtl/>
        </w:rPr>
      </w:pPr>
      <w:r w:rsidRPr="00D86687">
        <w:rPr>
          <w:rFonts w:hint="cs"/>
          <w:rtl/>
        </w:rPr>
        <w:t xml:space="preserve">לאור האמור לעיל יש להקל על משפחות אלו </w:t>
      </w:r>
      <w:r w:rsidR="004D01EE">
        <w:rPr>
          <w:rFonts w:hint="cs"/>
          <w:rtl/>
        </w:rPr>
        <w:t>ולאפשר לשר הפנים לקבוע מחיר מקסימלי בגין שירותי קייטנה המופעלות על ידי גופים ציבוריים</w:t>
      </w:r>
      <w:r w:rsidR="0007191D">
        <w:rPr>
          <w:rFonts w:hint="cs"/>
          <w:rtl/>
        </w:rPr>
        <w:t>, כהגדרתם בהצעת החוק,</w:t>
      </w:r>
      <w:r w:rsidR="004D01EE">
        <w:rPr>
          <w:rFonts w:hint="cs"/>
          <w:rtl/>
        </w:rPr>
        <w:t xml:space="preserve"> או הפועלות בתחום מקרקעין בבעלות או בשליטה של הרשות המקומית</w:t>
      </w:r>
      <w:r w:rsidRPr="00D86687">
        <w:rPr>
          <w:rFonts w:hint="cs"/>
          <w:rtl/>
        </w:rPr>
        <w:t>.</w:t>
      </w:r>
    </w:p>
    <w:p w14:paraId="56147FC9" w14:textId="4FD61E58" w:rsidR="00884BFE" w:rsidRDefault="00884BFE" w:rsidP="004D01EE">
      <w:pPr>
        <w:pStyle w:val="Hesber"/>
        <w:rPr>
          <w:rtl/>
        </w:rPr>
      </w:pPr>
    </w:p>
    <w:p w14:paraId="02BBE6B5" w14:textId="77777777" w:rsidR="00884BFE" w:rsidRDefault="00884BFE" w:rsidP="00884BFE">
      <w:pPr>
        <w:pStyle w:val="Hesber"/>
        <w:rPr>
          <w:rtl/>
        </w:rPr>
      </w:pPr>
    </w:p>
    <w:p w14:paraId="7D8E6652" w14:textId="77777777" w:rsidR="00884BFE" w:rsidRDefault="00884BFE" w:rsidP="00884BFE">
      <w:pPr>
        <w:pStyle w:val="Hesber"/>
        <w:rPr>
          <w:rtl/>
        </w:rPr>
      </w:pPr>
    </w:p>
    <w:p w14:paraId="088BFF5A" w14:textId="77777777" w:rsidR="00884BFE" w:rsidRPr="00D73212" w:rsidRDefault="00884BFE" w:rsidP="00884BFE">
      <w:pPr>
        <w:pStyle w:val="Hesber"/>
        <w:rPr>
          <w:color w:val="auto"/>
          <w:rtl/>
          <w:lang w:eastAsia="en-US"/>
        </w:rPr>
      </w:pPr>
      <w:r w:rsidRPr="00D73212">
        <w:rPr>
          <w:color w:val="auto"/>
          <w:rtl/>
          <w:lang w:eastAsia="en-US"/>
        </w:rPr>
        <w:t>---------------------------------</w:t>
      </w:r>
    </w:p>
    <w:p w14:paraId="7DCFDD48" w14:textId="77777777" w:rsidR="00884BFE" w:rsidRPr="00D73212" w:rsidRDefault="00884BFE" w:rsidP="00884BFE">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14:paraId="2A691F33" w14:textId="77777777" w:rsidR="00884BFE" w:rsidRPr="00D73212" w:rsidRDefault="00884BFE" w:rsidP="00884BFE">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14:paraId="1DDEADBD" w14:textId="77777777" w:rsidR="00884BFE" w:rsidRPr="00317312" w:rsidRDefault="00884BFE" w:rsidP="00884BFE">
      <w:pPr>
        <w:pStyle w:val="Hesber"/>
      </w:pPr>
      <w:r>
        <w:rPr>
          <w:rFonts w:hint="cs"/>
          <w:color w:val="auto"/>
          <w:rtl/>
          <w:lang w:eastAsia="en-US"/>
        </w:rPr>
        <w:t>י"ב בתמוז</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18.7</w:t>
      </w:r>
      <w:r w:rsidRPr="00D73212">
        <w:rPr>
          <w:color w:val="auto"/>
          <w:rtl/>
          <w:lang w:eastAsia="en-US"/>
        </w:rPr>
        <w:t>.1</w:t>
      </w:r>
      <w:r>
        <w:rPr>
          <w:rFonts w:hint="cs"/>
          <w:color w:val="auto"/>
          <w:rtl/>
          <w:lang w:eastAsia="en-US"/>
        </w:rPr>
        <w:t>6</w:t>
      </w:r>
    </w:p>
    <w:p w14:paraId="5F520F4A" w14:textId="77777777" w:rsidR="00884BFE" w:rsidRPr="00D86687" w:rsidRDefault="00884BFE" w:rsidP="004D01EE">
      <w:pPr>
        <w:pStyle w:val="Hesber"/>
        <w:rPr>
          <w:rtl/>
        </w:rPr>
      </w:pPr>
    </w:p>
    <w:sectPr w:rsidR="00884BFE" w:rsidRPr="00D8668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17488" w14:textId="77777777" w:rsidR="00210732" w:rsidRDefault="00210732">
      <w:r>
        <w:separator/>
      </w:r>
    </w:p>
  </w:endnote>
  <w:endnote w:type="continuationSeparator" w:id="0">
    <w:p w14:paraId="602455A6" w14:textId="77777777" w:rsidR="00210732" w:rsidRDefault="00210732">
      <w:r>
        <w:continuationSeparator/>
      </w:r>
    </w:p>
  </w:endnote>
  <w:endnote w:type="continuationNotice" w:id="1">
    <w:p w14:paraId="501FD8C5" w14:textId="77777777" w:rsidR="00210732" w:rsidRDefault="00210732">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AC2E50">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BF23BEA" w14:textId="77777777" w:rsidR="00210732" w:rsidRDefault="00210732">
      <w:r>
        <w:separator/>
      </w:r>
    </w:p>
  </w:footnote>
  <w:footnote w:type="continuationSeparator" w:id="0">
    <w:p w14:paraId="739DB0AD" w14:textId="77777777" w:rsidR="00210732" w:rsidRDefault="00210732">
      <w:r>
        <w:continuationSeparator/>
      </w:r>
    </w:p>
  </w:footnote>
  <w:footnote w:type="continuationNotice" w:id="1">
    <w:p w14:paraId="3D03FCCE" w14:textId="77777777" w:rsidR="00210732" w:rsidRDefault="00210732"/>
  </w:footnote>
  <w:footnote w:id="2">
    <w:p w14:paraId="08606240" w14:textId="77777777" w:rsidR="00980B9D" w:rsidRDefault="00980B9D" w:rsidP="00980B9D">
      <w:pPr>
        <w:pStyle w:val="a4"/>
        <w:rPr>
          <w:rtl/>
        </w:rPr>
      </w:pPr>
      <w:r>
        <w:rPr>
          <w:rStyle w:val="a6"/>
        </w:rPr>
        <w:footnoteRef/>
      </w:r>
      <w:r>
        <w:rPr>
          <w:rtl/>
        </w:rPr>
        <w:t xml:space="preserve"> </w:t>
      </w:r>
      <w:r>
        <w:rPr>
          <w:rFonts w:hint="cs"/>
          <w:rtl/>
        </w:rPr>
        <w:t>ס"ח התשל"ה, עמ' 132.</w:t>
      </w:r>
    </w:p>
  </w:footnote>
  <w:footnote w:id="3">
    <w:p w14:paraId="74A5EF4A" w14:textId="77777777" w:rsidR="00980B9D" w:rsidRDefault="00980B9D" w:rsidP="00980B9D">
      <w:pPr>
        <w:pStyle w:val="a4"/>
      </w:pPr>
      <w:r>
        <w:rPr>
          <w:rStyle w:val="a6"/>
        </w:rPr>
        <w:footnoteRef/>
      </w:r>
      <w:r>
        <w:rPr>
          <w:rtl/>
        </w:rPr>
        <w:t xml:space="preserve"> </w:t>
      </w:r>
      <w:r>
        <w:rPr>
          <w:rFonts w:hint="cs"/>
          <w:rtl/>
        </w:rPr>
        <w:t>דיני מדינת ישראל מס' 8, עמ' 197.</w:t>
      </w:r>
    </w:p>
  </w:footnote>
  <w:footnote w:id="4">
    <w:p w14:paraId="1CD9D302" w14:textId="77777777" w:rsidR="00980B9D" w:rsidRDefault="00980B9D" w:rsidP="00980B9D">
      <w:pPr>
        <w:pStyle w:val="a4"/>
      </w:pPr>
      <w:r>
        <w:rPr>
          <w:rStyle w:val="a6"/>
        </w:rPr>
        <w:footnoteRef/>
      </w:r>
      <w:r>
        <w:rPr>
          <w:rtl/>
        </w:rPr>
        <w:t xml:space="preserve"> </w:t>
      </w:r>
      <w:r>
        <w:rPr>
          <w:rFonts w:hint="cs"/>
          <w:rtl/>
        </w:rPr>
        <w:t>ס"ח התשנ"ו, עמ' 192.</w:t>
      </w:r>
    </w:p>
  </w:footnote>
  <w:footnote w:id="5">
    <w:p w14:paraId="6B80C792" w14:textId="77777777" w:rsidR="00980B9D" w:rsidRDefault="00980B9D" w:rsidP="00980B9D">
      <w:pPr>
        <w:pStyle w:val="a4"/>
        <w:rPr>
          <w:rtl/>
        </w:rPr>
      </w:pPr>
      <w:r>
        <w:rPr>
          <w:rStyle w:val="a6"/>
        </w:rPr>
        <w:footnoteRef/>
      </w:r>
      <w:r>
        <w:rPr>
          <w:rtl/>
        </w:rPr>
        <w:t xml:space="preserve"> </w:t>
      </w:r>
      <w:r>
        <w:rPr>
          <w:rFonts w:hint="cs"/>
          <w:rtl/>
        </w:rPr>
        <w:t>ס"ח התש"ן, עמ' 155.</w:t>
      </w:r>
    </w:p>
  </w:footnote>
  <w:footnote w:id="6">
    <w:p w14:paraId="46750FB2" w14:textId="77777777" w:rsidR="00980B9D" w:rsidRDefault="00980B9D" w:rsidP="00980B9D">
      <w:pPr>
        <w:pStyle w:val="a4"/>
        <w:rPr>
          <w:rtl/>
        </w:rPr>
      </w:pPr>
      <w:r>
        <w:rPr>
          <w:rStyle w:val="a6"/>
        </w:rPr>
        <w:footnoteRef/>
      </w:r>
      <w:r>
        <w:rPr>
          <w:rtl/>
        </w:rPr>
        <w:t xml:space="preserve"> </w:t>
      </w:r>
      <w:r>
        <w:rPr>
          <w:rFonts w:hint="cs"/>
          <w:rtl/>
        </w:rPr>
        <w:t>ס"ח התשכ"ח, עמ' 204.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6679F"/>
    <w:rsid w:val="0007191D"/>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0732"/>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01EE"/>
    <w:rsid w:val="004D03F1"/>
    <w:rsid w:val="004D2D82"/>
    <w:rsid w:val="004D3822"/>
    <w:rsid w:val="004D3876"/>
    <w:rsid w:val="004E4552"/>
    <w:rsid w:val="004E6CDF"/>
    <w:rsid w:val="00553C9D"/>
    <w:rsid w:val="00562A66"/>
    <w:rsid w:val="0058662B"/>
    <w:rsid w:val="005B064E"/>
    <w:rsid w:val="005D51AE"/>
    <w:rsid w:val="00610DFD"/>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84BFE"/>
    <w:rsid w:val="00892135"/>
    <w:rsid w:val="00895449"/>
    <w:rsid w:val="00897879"/>
    <w:rsid w:val="008A6870"/>
    <w:rsid w:val="008B7AF9"/>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0B9D"/>
    <w:rsid w:val="00982412"/>
    <w:rsid w:val="00983A8D"/>
    <w:rsid w:val="009A0DB8"/>
    <w:rsid w:val="009A7257"/>
    <w:rsid w:val="009D6E0A"/>
    <w:rsid w:val="009E1E33"/>
    <w:rsid w:val="00A14672"/>
    <w:rsid w:val="00A26BD6"/>
    <w:rsid w:val="00A443CF"/>
    <w:rsid w:val="00A6611D"/>
    <w:rsid w:val="00A74561"/>
    <w:rsid w:val="00A82CB7"/>
    <w:rsid w:val="00A942C1"/>
    <w:rsid w:val="00AA2F03"/>
    <w:rsid w:val="00AC2E50"/>
    <w:rsid w:val="00AC36F7"/>
    <w:rsid w:val="00AC63A4"/>
    <w:rsid w:val="00AD239E"/>
    <w:rsid w:val="00B10265"/>
    <w:rsid w:val="00B16A99"/>
    <w:rsid w:val="00B21211"/>
    <w:rsid w:val="00B35784"/>
    <w:rsid w:val="00B733A7"/>
    <w:rsid w:val="00B75C91"/>
    <w:rsid w:val="00B975AD"/>
    <w:rsid w:val="00BB7D7C"/>
    <w:rsid w:val="00BC45FB"/>
    <w:rsid w:val="00BF148D"/>
    <w:rsid w:val="00C23B1A"/>
    <w:rsid w:val="00C310EB"/>
    <w:rsid w:val="00C63F5F"/>
    <w:rsid w:val="00C9176A"/>
    <w:rsid w:val="00CF1AA2"/>
    <w:rsid w:val="00D17774"/>
    <w:rsid w:val="00D63620"/>
    <w:rsid w:val="00D8410D"/>
    <w:rsid w:val="00D86687"/>
    <w:rsid w:val="00D867D7"/>
    <w:rsid w:val="00DB7060"/>
    <w:rsid w:val="00DE3153"/>
    <w:rsid w:val="00E06736"/>
    <w:rsid w:val="00E13C27"/>
    <w:rsid w:val="00E33BBD"/>
    <w:rsid w:val="00E374F2"/>
    <w:rsid w:val="00E45103"/>
    <w:rsid w:val="00E55A60"/>
    <w:rsid w:val="00E62778"/>
    <w:rsid w:val="00E63D38"/>
    <w:rsid w:val="00E665B9"/>
    <w:rsid w:val="00E906CB"/>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61B41419-3507-4619-AF6B-7C37F88791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7191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07191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07191D"/>
    <w:rPr>
      <w:sz w:val="36"/>
      <w:szCs w:val="52"/>
    </w:rPr>
  </w:style>
  <w:style w:type="paragraph" w:customStyle="1" w:styleId="Cover3-Haknesset">
    <w:name w:val="Cover 3-Haknesset"/>
    <w:basedOn w:val="Cover1-Reshumot"/>
    <w:rsid w:val="0007191D"/>
    <w:rPr>
      <w:b/>
      <w:bCs/>
      <w:spacing w:val="60"/>
    </w:rPr>
  </w:style>
  <w:style w:type="paragraph" w:customStyle="1" w:styleId="Cover4-Date">
    <w:name w:val="Cover 4-Date"/>
    <w:basedOn w:val="a"/>
    <w:rsid w:val="0007191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07191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07191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07191D"/>
    <w:pPr>
      <w:spacing w:before="120" w:after="120"/>
    </w:pPr>
    <w:rPr>
      <w:color w:val="FF0000"/>
      <w:w w:val="80"/>
    </w:rPr>
  </w:style>
  <w:style w:type="paragraph" w:styleId="a3">
    <w:name w:val="endnote text"/>
    <w:basedOn w:val="a"/>
    <w:semiHidden/>
    <w:rsid w:val="0007191D"/>
    <w:pPr>
      <w:ind w:left="227" w:hanging="227"/>
    </w:pPr>
    <w:rPr>
      <w:sz w:val="14"/>
      <w:szCs w:val="22"/>
    </w:rPr>
  </w:style>
  <w:style w:type="paragraph" w:customStyle="1" w:styleId="TableText">
    <w:name w:val="Table Text"/>
    <w:basedOn w:val="a"/>
    <w:rsid w:val="0007191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07191D"/>
  </w:style>
  <w:style w:type="paragraph" w:customStyle="1" w:styleId="TableBlock">
    <w:name w:val="Table Block"/>
    <w:basedOn w:val="TableText"/>
    <w:rsid w:val="0007191D"/>
    <w:pPr>
      <w:ind w:right="0"/>
      <w:jc w:val="both"/>
    </w:pPr>
  </w:style>
  <w:style w:type="paragraph" w:customStyle="1" w:styleId="TableHead">
    <w:name w:val="Table Head"/>
    <w:basedOn w:val="TableText"/>
    <w:rsid w:val="0007191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07191D"/>
  </w:style>
  <w:style w:type="paragraph" w:customStyle="1" w:styleId="Hesber">
    <w:name w:val="Hesber"/>
    <w:basedOn w:val="a"/>
    <w:rsid w:val="0007191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07191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aliases w:val="Footnote Reference"/>
    <w:basedOn w:val="a0"/>
    <w:semiHidden/>
    <w:rsid w:val="0007191D"/>
    <w:rPr>
      <w:vertAlign w:val="superscript"/>
    </w:rPr>
  </w:style>
  <w:style w:type="paragraph" w:customStyle="1" w:styleId="HesberHeading">
    <w:name w:val="Hesber Heading"/>
    <w:basedOn w:val="Hesber"/>
    <w:rsid w:val="0007191D"/>
    <w:pPr>
      <w:tabs>
        <w:tab w:val="left" w:pos="624"/>
        <w:tab w:val="left" w:pos="1247"/>
      </w:tabs>
      <w:ind w:firstLine="0"/>
    </w:pPr>
    <w:rPr>
      <w:b/>
      <w:bCs/>
    </w:rPr>
  </w:style>
  <w:style w:type="paragraph" w:customStyle="1" w:styleId="HesberWriters">
    <w:name w:val="Hesber Writers"/>
    <w:basedOn w:val="Hesber"/>
    <w:rsid w:val="0007191D"/>
    <w:pPr>
      <w:spacing w:before="120" w:after="6000"/>
      <w:ind w:left="1418" w:firstLine="0"/>
      <w:jc w:val="right"/>
    </w:pPr>
    <w:rPr>
      <w:b/>
      <w:bCs/>
    </w:rPr>
  </w:style>
  <w:style w:type="paragraph" w:customStyle="1" w:styleId="Hesber1st">
    <w:name w:val="Hesber 1st"/>
    <w:basedOn w:val="Hesber"/>
    <w:rsid w:val="0007191D"/>
    <w:pPr>
      <w:tabs>
        <w:tab w:val="left" w:pos="680"/>
        <w:tab w:val="left" w:pos="1020"/>
      </w:tabs>
      <w:ind w:firstLine="0"/>
    </w:pPr>
  </w:style>
  <w:style w:type="character" w:styleId="a7">
    <w:name w:val="endnote reference"/>
    <w:basedOn w:val="a0"/>
    <w:semiHidden/>
    <w:rsid w:val="0007191D"/>
    <w:rPr>
      <w:vertAlign w:val="superscript"/>
    </w:rPr>
  </w:style>
  <w:style w:type="paragraph" w:customStyle="1" w:styleId="TableBlockOutdent">
    <w:name w:val="Table BlockOutdent"/>
    <w:basedOn w:val="TableBlock"/>
    <w:rsid w:val="0007191D"/>
    <w:pPr>
      <w:ind w:left="624" w:hanging="624"/>
    </w:pPr>
  </w:style>
  <w:style w:type="paragraph" w:styleId="a8">
    <w:name w:val="header"/>
    <w:basedOn w:val="a"/>
    <w:rsid w:val="0007191D"/>
    <w:pPr>
      <w:tabs>
        <w:tab w:val="center" w:pos="4153"/>
        <w:tab w:val="right" w:pos="8306"/>
      </w:tabs>
    </w:pPr>
  </w:style>
  <w:style w:type="paragraph" w:styleId="a9">
    <w:name w:val="footer"/>
    <w:basedOn w:val="a"/>
    <w:rsid w:val="0007191D"/>
    <w:pPr>
      <w:tabs>
        <w:tab w:val="center" w:pos="4153"/>
        <w:tab w:val="right" w:pos="8306"/>
      </w:tabs>
    </w:pPr>
  </w:style>
  <w:style w:type="paragraph" w:customStyle="1" w:styleId="HeadDivreiHesber">
    <w:name w:val="Head DivreiHesber"/>
    <w:basedOn w:val="a"/>
    <w:rsid w:val="0007191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07191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07191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980B9D"/>
    <w:rPr>
      <w:rFonts w:ascii="Arial" w:eastAsia="Arial Unicode MS" w:hAnsi="Arial" w:cs="David"/>
      <w:snapToGrid w:val="0"/>
      <w:color w:val="000000"/>
      <w:sz w:val="14"/>
      <w:lang w:eastAsia="ja-JP"/>
    </w:rPr>
  </w:style>
  <w:style w:type="paragraph" w:styleId="NormalWeb">
    <w:name w:val="Normal (Web)"/>
    <w:basedOn w:val="a"/>
    <w:uiPriority w:val="99"/>
    <w:unhideWhenUsed/>
    <w:rsid w:val="0058662B"/>
    <w:pPr>
      <w:widowControl/>
      <w:autoSpaceDE/>
      <w:autoSpaceDN/>
      <w:bidi w:val="0"/>
      <w:adjustRightInd/>
      <w:spacing w:before="100" w:beforeAutospacing="1" w:after="100" w:afterAutospacing="1" w:line="240" w:lineRule="auto"/>
      <w:ind w:firstLine="0"/>
      <w:jc w:val="left"/>
      <w:textAlignment w:val="auto"/>
    </w:pPr>
    <w:rPr>
      <w:rFonts w:ascii="Times New Roman" w:eastAsia="Times New Roman" w:hAnsi="Times New Roman" w:cs="Times New Roman"/>
      <w:color w:val="auto"/>
      <w:spacing w:val="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12155664">
      <w:bodyDiv w:val="1"/>
      <w:marLeft w:val="0"/>
      <w:marRight w:val="0"/>
      <w:marTop w:val="0"/>
      <w:marBottom w:val="0"/>
      <w:divBdr>
        <w:top w:val="none" w:sz="0" w:space="0" w:color="auto"/>
        <w:left w:val="none" w:sz="0" w:space="0" w:color="auto"/>
        <w:bottom w:val="none" w:sz="0" w:space="0" w:color="auto"/>
        <w:right w:val="none" w:sz="0" w:space="0" w:color="auto"/>
      </w:divBdr>
    </w:div>
    <w:div w:id="1272086432">
      <w:bodyDiv w:val="1"/>
      <w:marLeft w:val="0"/>
      <w:marRight w:val="0"/>
      <w:marTop w:val="0"/>
      <w:marBottom w:val="0"/>
      <w:divBdr>
        <w:top w:val="none" w:sz="0" w:space="0" w:color="auto"/>
        <w:left w:val="none" w:sz="0" w:space="0" w:color="auto"/>
        <w:bottom w:val="none" w:sz="0" w:space="0" w:color="auto"/>
        <w:right w:val="none" w:sz="0" w:space="0" w:color="auto"/>
      </w:divBdr>
    </w:div>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CA87935E-AF9C-4559-B3C2-5EDCC1C2E37F}"/>
</file>

<file path=customXml/itemProps4.xml><?xml version="1.0" encoding="utf-8"?>
<ds:datastoreItem xmlns:ds="http://schemas.openxmlformats.org/officeDocument/2006/customXml" ds:itemID="{A06E7009-CDE7-4315-A4EC-5E8FA4E1B4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551</Words>
  <Characters>2757</Characters>
  <Application>Microsoft Office Word</Application>
  <DocSecurity>0</DocSecurity>
  <Lines>22</Lines>
  <Paragraphs>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3302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שוש אזולאי</cp:lastModifiedBy>
  <cp:revision>2</cp:revision>
  <cp:lastPrinted>2016-07-14T10:26:00Z</cp:lastPrinted>
  <dcterms:created xsi:type="dcterms:W3CDTF">2017-03-14T08:24:00Z</dcterms:created>
  <dcterms:modified xsi:type="dcterms:W3CDTF">2017-03-14T08:24:00Z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2015458</vt:r8>
  </property>
</Properties>
</file>