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DF2" w:rsidRPr="007200B1" w:rsidRDefault="00850DF2" w:rsidP="00850DF2">
      <w:pPr>
        <w:pStyle w:val="HeadDivreiHesber"/>
        <w:jc w:val="both"/>
        <w:rPr>
          <w:rFonts w:hint="cs"/>
          <w:rtl/>
        </w:rPr>
      </w:pPr>
      <w:bookmarkStart w:id="0" w:name="_GoBack"/>
      <w:bookmarkEnd w:id="0"/>
    </w:p>
    <w:p w:rsidR="00850DF2" w:rsidRPr="007200B1" w:rsidRDefault="00850DF2" w:rsidP="00850DF2">
      <w:pPr>
        <w:pStyle w:val="HeadDivreiHesber"/>
        <w:rPr>
          <w:b w:val="0"/>
          <w:bCs/>
          <w:rtl/>
        </w:rPr>
      </w:pPr>
      <w:r w:rsidRPr="007200B1">
        <w:rPr>
          <w:rFonts w:hint="cs"/>
          <w:b w:val="0"/>
          <w:bCs/>
          <w:rtl/>
        </w:rPr>
        <w:t>דברי הסבר</w:t>
      </w:r>
    </w:p>
    <w:p w:rsidR="00850DF2" w:rsidRPr="007200B1" w:rsidRDefault="00850DF2" w:rsidP="00850DF2">
      <w:pPr>
        <w:pStyle w:val="HeadDivreiHesber"/>
        <w:numPr>
          <w:ilvl w:val="0"/>
          <w:numId w:val="3"/>
        </w:numPr>
        <w:jc w:val="both"/>
        <w:rPr>
          <w:spacing w:val="0"/>
          <w:u w:val="single"/>
          <w:rtl/>
        </w:rPr>
      </w:pPr>
      <w:r w:rsidRPr="007200B1">
        <w:rPr>
          <w:rFonts w:hint="eastAsia"/>
          <w:u w:val="single"/>
          <w:rtl/>
        </w:rPr>
        <w:t>רקע</w:t>
      </w:r>
      <w:r w:rsidRPr="007200B1">
        <w:rPr>
          <w:u w:val="single"/>
          <w:rtl/>
        </w:rPr>
        <w:t xml:space="preserve"> </w:t>
      </w:r>
      <w:r w:rsidRPr="007200B1">
        <w:rPr>
          <w:rFonts w:hint="eastAsia"/>
          <w:u w:val="single"/>
          <w:rtl/>
        </w:rPr>
        <w:t>כללי</w:t>
      </w:r>
      <w:r w:rsidRPr="007200B1">
        <w:rPr>
          <w:spacing w:val="0"/>
          <w:u w:val="single"/>
          <w:rtl/>
        </w:rPr>
        <w:t>:</w:t>
      </w:r>
    </w:p>
    <w:p w:rsidR="00850DF2" w:rsidRPr="007200B1" w:rsidRDefault="00850DF2" w:rsidP="00850DF2">
      <w:pPr>
        <w:pStyle w:val="Hesber1st"/>
        <w:rPr>
          <w:rtl/>
        </w:rPr>
      </w:pPr>
      <w:r w:rsidRPr="007200B1">
        <w:rPr>
          <w:rtl/>
        </w:rPr>
        <w:t xml:space="preserve">הבסיס </w:t>
      </w:r>
      <w:r w:rsidRPr="007200B1">
        <w:rPr>
          <w:rFonts w:hint="cs"/>
          <w:rtl/>
        </w:rPr>
        <w:t>הראשוני</w:t>
      </w:r>
      <w:r w:rsidRPr="007200B1">
        <w:rPr>
          <w:rtl/>
        </w:rPr>
        <w:t xml:space="preserve"> להסדרים הנוגעים לרגולציה של ענף התעופה האזרחית הבין-לאומית מעוגן בסטנדרטים בין-לאומיים אחידים, אשר הגוף האחראי על קביעתם הוא הארגון הבין-לאומי לתעופה אזרחית (להלן - </w:t>
      </w:r>
      <w:r w:rsidRPr="007200B1">
        <w:t>ICAO</w:t>
      </w:r>
      <w:r w:rsidRPr="007200B1">
        <w:rPr>
          <w:rtl/>
        </w:rPr>
        <w:t>), אשר הוקם לפי אמנת התעופה האזרחית הבין-לאומית שנחתמה בשיקגו ביום 7 בדצמבר 1944 (להלן –</w:t>
      </w:r>
      <w:r w:rsidRPr="007200B1">
        <w:rPr>
          <w:rFonts w:hint="cs"/>
          <w:rtl/>
        </w:rPr>
        <w:t>"</w:t>
      </w:r>
      <w:r w:rsidRPr="007200B1">
        <w:rPr>
          <w:rFonts w:hint="cs"/>
          <w:b/>
          <w:bCs/>
          <w:rtl/>
        </w:rPr>
        <w:t>ה</w:t>
      </w:r>
      <w:r w:rsidRPr="007200B1">
        <w:rPr>
          <w:b/>
          <w:bCs/>
          <w:rtl/>
        </w:rPr>
        <w:t>אמנ</w:t>
      </w:r>
      <w:r w:rsidRPr="007200B1">
        <w:rPr>
          <w:rFonts w:hint="eastAsia"/>
          <w:b/>
          <w:bCs/>
          <w:rtl/>
        </w:rPr>
        <w:t>ה</w:t>
      </w:r>
      <w:r w:rsidRPr="007200B1">
        <w:rPr>
          <w:rFonts w:hint="cs"/>
          <w:rtl/>
        </w:rPr>
        <w:t>"</w:t>
      </w:r>
      <w:r w:rsidRPr="007200B1">
        <w:rPr>
          <w:rtl/>
        </w:rPr>
        <w:t xml:space="preserve">) ושישראל צד לה.   </w:t>
      </w:r>
    </w:p>
    <w:p w:rsidR="00850DF2" w:rsidRPr="007200B1" w:rsidRDefault="00850DF2" w:rsidP="00850DF2">
      <w:pPr>
        <w:pStyle w:val="Hesber1st"/>
        <w:rPr>
          <w:rtl/>
        </w:rPr>
      </w:pPr>
    </w:p>
    <w:p w:rsidR="00850DF2" w:rsidRPr="007200B1" w:rsidRDefault="00850DF2" w:rsidP="00850DF2">
      <w:pPr>
        <w:pStyle w:val="Hesber1st"/>
        <w:tabs>
          <w:tab w:val="clear" w:pos="680"/>
        </w:tabs>
        <w:rPr>
          <w:rtl/>
        </w:rPr>
      </w:pPr>
      <w:r w:rsidRPr="007200B1">
        <w:rPr>
          <w:rFonts w:hint="cs"/>
          <w:rtl/>
        </w:rPr>
        <w:t xml:space="preserve">סעיפים מסוימים באמנה מסדירים נושאים בסיסיים ומהותיים הנוגעים להחלפת זכויות טיס בין מדינות בכל הקשור לרגולציה של תובלה אווירית בינלאומית. סעיף 1 לאמנה קובע כי לכל מדינה יש ריבונות מוחלטת ובלעדית </w:t>
      </w:r>
      <w:r>
        <w:rPr>
          <w:rFonts w:hint="cs"/>
          <w:rtl/>
        </w:rPr>
        <w:t>ב</w:t>
      </w:r>
      <w:r w:rsidRPr="007200B1">
        <w:rPr>
          <w:rFonts w:hint="cs"/>
          <w:rtl/>
        </w:rPr>
        <w:t xml:space="preserve">מרחב האווירי שמעל השטח שלה. כפועל יוצא, על מנת שכלי טיס של מדינה יוכל להיכנס אל שטחה של מדינה אחרת, עליו לקבל סוג של היתר, פרטני או גורף, ממדינת היעד. </w:t>
      </w:r>
    </w:p>
    <w:p w:rsidR="00850DF2" w:rsidRPr="007200B1" w:rsidRDefault="00850DF2" w:rsidP="00850DF2">
      <w:pPr>
        <w:pStyle w:val="HeadDivreiHesber"/>
        <w:jc w:val="both"/>
        <w:rPr>
          <w:spacing w:val="0"/>
          <w:sz w:val="26"/>
          <w:rtl/>
        </w:rPr>
      </w:pPr>
      <w:r w:rsidRPr="007200B1">
        <w:rPr>
          <w:rFonts w:hint="cs"/>
          <w:spacing w:val="0"/>
          <w:sz w:val="26"/>
          <w:rtl/>
        </w:rPr>
        <w:t>סעיפים</w:t>
      </w:r>
      <w:r w:rsidRPr="007200B1">
        <w:rPr>
          <w:spacing w:val="0"/>
          <w:sz w:val="26"/>
          <w:rtl/>
        </w:rPr>
        <w:t xml:space="preserve"> 5 </w:t>
      </w:r>
      <w:r w:rsidRPr="007200B1">
        <w:rPr>
          <w:rFonts w:hint="cs"/>
          <w:spacing w:val="0"/>
          <w:sz w:val="26"/>
          <w:rtl/>
        </w:rPr>
        <w:t>ו</w:t>
      </w:r>
      <w:r w:rsidRPr="007200B1">
        <w:rPr>
          <w:spacing w:val="0"/>
          <w:sz w:val="26"/>
          <w:rtl/>
        </w:rPr>
        <w:t xml:space="preserve">-6 </w:t>
      </w:r>
      <w:r w:rsidRPr="007200B1">
        <w:rPr>
          <w:rFonts w:hint="cs"/>
          <w:spacing w:val="0"/>
          <w:sz w:val="26"/>
          <w:rtl/>
        </w:rPr>
        <w:t>לאמנה</w:t>
      </w:r>
      <w:r w:rsidRPr="007200B1">
        <w:rPr>
          <w:spacing w:val="0"/>
          <w:sz w:val="26"/>
          <w:rtl/>
        </w:rPr>
        <w:t xml:space="preserve"> </w:t>
      </w:r>
      <w:r w:rsidRPr="007200B1">
        <w:rPr>
          <w:rFonts w:hint="cs"/>
          <w:spacing w:val="0"/>
          <w:sz w:val="26"/>
          <w:rtl/>
        </w:rPr>
        <w:t>עורכים</w:t>
      </w:r>
      <w:r w:rsidRPr="007200B1">
        <w:rPr>
          <w:spacing w:val="0"/>
          <w:sz w:val="26"/>
          <w:rtl/>
        </w:rPr>
        <w:t xml:space="preserve"> </w:t>
      </w:r>
      <w:r w:rsidRPr="007200B1">
        <w:rPr>
          <w:rFonts w:hint="cs"/>
          <w:spacing w:val="0"/>
          <w:sz w:val="26"/>
          <w:rtl/>
        </w:rPr>
        <w:t>אבחנה</w:t>
      </w:r>
      <w:r w:rsidRPr="007200B1">
        <w:rPr>
          <w:spacing w:val="0"/>
          <w:sz w:val="26"/>
          <w:rtl/>
        </w:rPr>
        <w:t xml:space="preserve"> </w:t>
      </w:r>
      <w:r w:rsidRPr="007200B1">
        <w:rPr>
          <w:rFonts w:hint="cs"/>
          <w:spacing w:val="0"/>
          <w:sz w:val="26"/>
          <w:rtl/>
        </w:rPr>
        <w:t>ראשונית</w:t>
      </w:r>
      <w:r w:rsidRPr="007200B1">
        <w:rPr>
          <w:spacing w:val="0"/>
          <w:sz w:val="26"/>
          <w:rtl/>
        </w:rPr>
        <w:t xml:space="preserve"> </w:t>
      </w:r>
      <w:r w:rsidRPr="007200B1">
        <w:rPr>
          <w:rFonts w:hint="cs"/>
          <w:spacing w:val="0"/>
          <w:sz w:val="26"/>
          <w:rtl/>
        </w:rPr>
        <w:t>בין</w:t>
      </w:r>
      <w:r w:rsidRPr="007200B1">
        <w:rPr>
          <w:spacing w:val="0"/>
          <w:sz w:val="26"/>
          <w:rtl/>
        </w:rPr>
        <w:t xml:space="preserve"> </w:t>
      </w:r>
      <w:r w:rsidRPr="007200B1">
        <w:rPr>
          <w:rFonts w:hint="cs"/>
          <w:spacing w:val="0"/>
          <w:sz w:val="26"/>
          <w:rtl/>
        </w:rPr>
        <w:t>טיסות</w:t>
      </w:r>
      <w:r w:rsidRPr="007200B1">
        <w:rPr>
          <w:spacing w:val="0"/>
          <w:sz w:val="26"/>
          <w:rtl/>
        </w:rPr>
        <w:t xml:space="preserve"> </w:t>
      </w:r>
      <w:r w:rsidRPr="007200B1">
        <w:rPr>
          <w:rFonts w:hint="cs"/>
          <w:spacing w:val="0"/>
          <w:sz w:val="26"/>
          <w:rtl/>
        </w:rPr>
        <w:t>סדירות</w:t>
      </w:r>
      <w:r w:rsidRPr="007200B1">
        <w:rPr>
          <w:spacing w:val="0"/>
          <w:sz w:val="26"/>
          <w:rtl/>
        </w:rPr>
        <w:t xml:space="preserve"> </w:t>
      </w:r>
      <w:r w:rsidRPr="007200B1">
        <w:rPr>
          <w:rFonts w:hint="cs"/>
          <w:spacing w:val="0"/>
          <w:sz w:val="26"/>
          <w:rtl/>
        </w:rPr>
        <w:t>לטיסות</w:t>
      </w:r>
      <w:r w:rsidRPr="007200B1">
        <w:rPr>
          <w:spacing w:val="0"/>
          <w:sz w:val="26"/>
          <w:rtl/>
        </w:rPr>
        <w:t xml:space="preserve"> </w:t>
      </w:r>
      <w:r w:rsidRPr="007200B1">
        <w:rPr>
          <w:rFonts w:hint="cs"/>
          <w:spacing w:val="0"/>
          <w:sz w:val="26"/>
          <w:rtl/>
        </w:rPr>
        <w:t>לא</w:t>
      </w:r>
      <w:r w:rsidRPr="007200B1">
        <w:rPr>
          <w:spacing w:val="0"/>
          <w:sz w:val="26"/>
          <w:rtl/>
        </w:rPr>
        <w:t xml:space="preserve"> </w:t>
      </w:r>
      <w:r w:rsidRPr="007200B1">
        <w:rPr>
          <w:rFonts w:hint="cs"/>
          <w:spacing w:val="0"/>
          <w:sz w:val="26"/>
          <w:rtl/>
        </w:rPr>
        <w:t>סדירות</w:t>
      </w:r>
      <w:r w:rsidRPr="007200B1">
        <w:rPr>
          <w:spacing w:val="0"/>
          <w:sz w:val="26"/>
          <w:rtl/>
        </w:rPr>
        <w:t xml:space="preserve">, </w:t>
      </w:r>
      <w:r w:rsidRPr="007200B1">
        <w:rPr>
          <w:rFonts w:hint="cs"/>
          <w:spacing w:val="0"/>
          <w:sz w:val="26"/>
          <w:rtl/>
        </w:rPr>
        <w:t>אבחנה</w:t>
      </w:r>
      <w:r w:rsidRPr="007200B1">
        <w:rPr>
          <w:spacing w:val="0"/>
          <w:sz w:val="26"/>
          <w:rtl/>
        </w:rPr>
        <w:t xml:space="preserve"> </w:t>
      </w:r>
      <w:r w:rsidRPr="007200B1">
        <w:rPr>
          <w:rFonts w:hint="cs"/>
          <w:spacing w:val="0"/>
          <w:sz w:val="26"/>
          <w:rtl/>
        </w:rPr>
        <w:t>שבמידה</w:t>
      </w:r>
      <w:r w:rsidRPr="007200B1">
        <w:rPr>
          <w:spacing w:val="0"/>
          <w:sz w:val="26"/>
          <w:rtl/>
        </w:rPr>
        <w:t xml:space="preserve"> </w:t>
      </w:r>
      <w:r w:rsidRPr="007200B1">
        <w:rPr>
          <w:rFonts w:hint="cs"/>
          <w:spacing w:val="0"/>
          <w:sz w:val="26"/>
          <w:rtl/>
        </w:rPr>
        <w:t>רבה</w:t>
      </w:r>
      <w:r w:rsidRPr="007200B1">
        <w:rPr>
          <w:spacing w:val="0"/>
          <w:sz w:val="26"/>
          <w:rtl/>
        </w:rPr>
        <w:t xml:space="preserve"> </w:t>
      </w:r>
      <w:r w:rsidRPr="007200B1">
        <w:rPr>
          <w:rFonts w:hint="cs"/>
          <w:spacing w:val="0"/>
          <w:sz w:val="26"/>
          <w:rtl/>
        </w:rPr>
        <w:t>יצרה</w:t>
      </w:r>
      <w:r w:rsidRPr="007200B1">
        <w:rPr>
          <w:spacing w:val="0"/>
          <w:sz w:val="26"/>
          <w:rtl/>
        </w:rPr>
        <w:t xml:space="preserve"> </w:t>
      </w:r>
      <w:r w:rsidRPr="007200B1">
        <w:rPr>
          <w:rFonts w:hint="cs"/>
          <w:spacing w:val="0"/>
          <w:sz w:val="26"/>
          <w:rtl/>
        </w:rPr>
        <w:t>דיפרנציאציה</w:t>
      </w:r>
      <w:r w:rsidRPr="007200B1">
        <w:rPr>
          <w:spacing w:val="0"/>
          <w:sz w:val="26"/>
          <w:rtl/>
        </w:rPr>
        <w:t xml:space="preserve"> </w:t>
      </w:r>
      <w:r w:rsidRPr="007200B1">
        <w:rPr>
          <w:rFonts w:hint="cs"/>
          <w:spacing w:val="0"/>
          <w:sz w:val="26"/>
          <w:rtl/>
        </w:rPr>
        <w:t>בין</w:t>
      </w:r>
      <w:r w:rsidRPr="007200B1">
        <w:rPr>
          <w:spacing w:val="0"/>
          <w:sz w:val="26"/>
          <w:rtl/>
        </w:rPr>
        <w:t xml:space="preserve"> </w:t>
      </w:r>
      <w:r w:rsidRPr="007200B1">
        <w:rPr>
          <w:rFonts w:hint="cs"/>
          <w:spacing w:val="0"/>
          <w:sz w:val="26"/>
          <w:rtl/>
        </w:rPr>
        <w:t>שני</w:t>
      </w:r>
      <w:r w:rsidRPr="007200B1">
        <w:rPr>
          <w:spacing w:val="0"/>
          <w:sz w:val="26"/>
          <w:rtl/>
        </w:rPr>
        <w:t xml:space="preserve"> </w:t>
      </w:r>
      <w:r w:rsidRPr="007200B1">
        <w:rPr>
          <w:rFonts w:hint="cs"/>
          <w:spacing w:val="0"/>
          <w:sz w:val="26"/>
          <w:rtl/>
        </w:rPr>
        <w:t>סוגים</w:t>
      </w:r>
      <w:r w:rsidRPr="007200B1">
        <w:rPr>
          <w:spacing w:val="0"/>
          <w:sz w:val="26"/>
          <w:rtl/>
        </w:rPr>
        <w:t xml:space="preserve"> </w:t>
      </w:r>
      <w:r w:rsidRPr="007200B1">
        <w:rPr>
          <w:rFonts w:hint="cs"/>
          <w:spacing w:val="0"/>
          <w:sz w:val="26"/>
          <w:rtl/>
        </w:rPr>
        <w:t>עיקריים</w:t>
      </w:r>
      <w:r w:rsidRPr="007200B1">
        <w:rPr>
          <w:spacing w:val="0"/>
          <w:sz w:val="26"/>
          <w:rtl/>
        </w:rPr>
        <w:t xml:space="preserve"> </w:t>
      </w:r>
      <w:r w:rsidRPr="007200B1">
        <w:rPr>
          <w:rFonts w:hint="cs"/>
          <w:spacing w:val="0"/>
          <w:sz w:val="26"/>
          <w:rtl/>
        </w:rPr>
        <w:t>של</w:t>
      </w:r>
      <w:r w:rsidRPr="007200B1">
        <w:rPr>
          <w:spacing w:val="0"/>
          <w:sz w:val="26"/>
          <w:rtl/>
        </w:rPr>
        <w:t xml:space="preserve"> </w:t>
      </w:r>
      <w:r w:rsidRPr="007200B1">
        <w:rPr>
          <w:rFonts w:hint="cs"/>
          <w:spacing w:val="0"/>
          <w:sz w:val="26"/>
          <w:rtl/>
        </w:rPr>
        <w:t>תובלה</w:t>
      </w:r>
      <w:r w:rsidRPr="007200B1">
        <w:rPr>
          <w:spacing w:val="0"/>
          <w:sz w:val="26"/>
          <w:rtl/>
        </w:rPr>
        <w:t xml:space="preserve"> </w:t>
      </w:r>
      <w:r w:rsidRPr="007200B1">
        <w:rPr>
          <w:rFonts w:hint="cs"/>
          <w:spacing w:val="0"/>
          <w:sz w:val="26"/>
          <w:rtl/>
        </w:rPr>
        <w:t>אווירית</w:t>
      </w:r>
      <w:r w:rsidRPr="007200B1">
        <w:rPr>
          <w:spacing w:val="0"/>
          <w:sz w:val="26"/>
          <w:rtl/>
        </w:rPr>
        <w:t xml:space="preserve"> </w:t>
      </w:r>
      <w:r w:rsidRPr="007200B1">
        <w:rPr>
          <w:rFonts w:hint="cs"/>
          <w:spacing w:val="0"/>
          <w:sz w:val="26"/>
          <w:rtl/>
        </w:rPr>
        <w:t>בינלאומית</w:t>
      </w:r>
      <w:r w:rsidRPr="007200B1">
        <w:rPr>
          <w:spacing w:val="0"/>
          <w:sz w:val="26"/>
          <w:rtl/>
        </w:rPr>
        <w:t xml:space="preserve"> </w:t>
      </w:r>
      <w:r w:rsidRPr="007200B1">
        <w:rPr>
          <w:rFonts w:hint="cs"/>
          <w:spacing w:val="0"/>
          <w:sz w:val="26"/>
          <w:rtl/>
        </w:rPr>
        <w:t>ובעיקר</w:t>
      </w:r>
      <w:r w:rsidRPr="007200B1">
        <w:rPr>
          <w:spacing w:val="0"/>
          <w:sz w:val="26"/>
          <w:rtl/>
        </w:rPr>
        <w:t xml:space="preserve">, </w:t>
      </w:r>
      <w:r w:rsidRPr="007200B1">
        <w:rPr>
          <w:rFonts w:hint="cs"/>
          <w:spacing w:val="0"/>
          <w:sz w:val="26"/>
          <w:rtl/>
        </w:rPr>
        <w:t>הביאה</w:t>
      </w:r>
      <w:r w:rsidRPr="007200B1">
        <w:rPr>
          <w:spacing w:val="0"/>
          <w:sz w:val="26"/>
          <w:rtl/>
        </w:rPr>
        <w:t xml:space="preserve"> </w:t>
      </w:r>
      <w:r w:rsidRPr="007200B1">
        <w:rPr>
          <w:rFonts w:hint="cs"/>
          <w:spacing w:val="0"/>
          <w:sz w:val="26"/>
          <w:rtl/>
        </w:rPr>
        <w:t>להבדל</w:t>
      </w:r>
      <w:r w:rsidRPr="007200B1">
        <w:rPr>
          <w:spacing w:val="0"/>
          <w:sz w:val="26"/>
          <w:rtl/>
        </w:rPr>
        <w:t xml:space="preserve"> </w:t>
      </w:r>
      <w:r w:rsidRPr="007200B1">
        <w:rPr>
          <w:rFonts w:hint="cs"/>
          <w:spacing w:val="0"/>
          <w:sz w:val="26"/>
          <w:rtl/>
        </w:rPr>
        <w:t>מהותי</w:t>
      </w:r>
      <w:r w:rsidRPr="007200B1">
        <w:rPr>
          <w:spacing w:val="0"/>
          <w:sz w:val="26"/>
          <w:rtl/>
        </w:rPr>
        <w:t xml:space="preserve"> </w:t>
      </w:r>
      <w:r w:rsidRPr="007200B1">
        <w:rPr>
          <w:rFonts w:hint="cs"/>
          <w:spacing w:val="0"/>
          <w:sz w:val="26"/>
          <w:rtl/>
        </w:rPr>
        <w:t>באופן</w:t>
      </w:r>
      <w:r w:rsidRPr="007200B1">
        <w:rPr>
          <w:spacing w:val="0"/>
          <w:sz w:val="26"/>
          <w:rtl/>
        </w:rPr>
        <w:t xml:space="preserve"> </w:t>
      </w:r>
      <w:r w:rsidRPr="007200B1">
        <w:rPr>
          <w:rFonts w:hint="cs"/>
          <w:spacing w:val="0"/>
          <w:sz w:val="26"/>
          <w:rtl/>
        </w:rPr>
        <w:t>האסדרה</w:t>
      </w:r>
      <w:r w:rsidRPr="007200B1">
        <w:rPr>
          <w:spacing w:val="0"/>
          <w:sz w:val="26"/>
          <w:rtl/>
        </w:rPr>
        <w:t xml:space="preserve"> </w:t>
      </w:r>
      <w:r w:rsidRPr="007200B1">
        <w:rPr>
          <w:rFonts w:hint="cs"/>
          <w:spacing w:val="0"/>
          <w:sz w:val="26"/>
          <w:rtl/>
        </w:rPr>
        <w:t>של</w:t>
      </w:r>
      <w:r w:rsidRPr="007200B1">
        <w:rPr>
          <w:spacing w:val="0"/>
          <w:sz w:val="26"/>
          <w:rtl/>
        </w:rPr>
        <w:t xml:space="preserve"> </w:t>
      </w:r>
      <w:r w:rsidRPr="007200B1">
        <w:rPr>
          <w:rFonts w:hint="cs"/>
          <w:spacing w:val="0"/>
          <w:sz w:val="26"/>
          <w:rtl/>
        </w:rPr>
        <w:t>שני</w:t>
      </w:r>
      <w:r w:rsidRPr="007200B1">
        <w:rPr>
          <w:spacing w:val="0"/>
          <w:sz w:val="26"/>
          <w:rtl/>
        </w:rPr>
        <w:t xml:space="preserve"> </w:t>
      </w:r>
      <w:r w:rsidRPr="007200B1">
        <w:rPr>
          <w:rFonts w:hint="cs"/>
          <w:spacing w:val="0"/>
          <w:sz w:val="26"/>
          <w:rtl/>
        </w:rPr>
        <w:t>הסוגים</w:t>
      </w:r>
      <w:r w:rsidRPr="007200B1">
        <w:rPr>
          <w:spacing w:val="0"/>
          <w:sz w:val="26"/>
          <w:rtl/>
        </w:rPr>
        <w:t xml:space="preserve"> </w:t>
      </w:r>
      <w:r w:rsidRPr="007200B1">
        <w:rPr>
          <w:rFonts w:hint="cs"/>
          <w:spacing w:val="0"/>
          <w:sz w:val="26"/>
          <w:rtl/>
        </w:rPr>
        <w:t>הנ</w:t>
      </w:r>
      <w:r w:rsidRPr="007200B1">
        <w:rPr>
          <w:spacing w:val="0"/>
          <w:sz w:val="26"/>
          <w:rtl/>
        </w:rPr>
        <w:t>"ל</w:t>
      </w:r>
      <w:r w:rsidRPr="007200B1">
        <w:rPr>
          <w:rFonts w:hint="cs"/>
          <w:spacing w:val="0"/>
          <w:sz w:val="26"/>
          <w:rtl/>
        </w:rPr>
        <w:t>.</w:t>
      </w:r>
    </w:p>
    <w:p w:rsidR="00850DF2" w:rsidRPr="007200B1" w:rsidRDefault="00850DF2" w:rsidP="00850DF2">
      <w:pPr>
        <w:pStyle w:val="Hesber1st"/>
        <w:tabs>
          <w:tab w:val="clear" w:pos="680"/>
        </w:tabs>
        <w:rPr>
          <w:u w:val="single"/>
          <w:rtl/>
        </w:rPr>
      </w:pPr>
    </w:p>
    <w:p w:rsidR="00850DF2" w:rsidRPr="007200B1" w:rsidRDefault="00850DF2" w:rsidP="00275BBA">
      <w:pPr>
        <w:pStyle w:val="Hesber1st"/>
        <w:numPr>
          <w:ilvl w:val="0"/>
          <w:numId w:val="6"/>
        </w:numPr>
        <w:tabs>
          <w:tab w:val="clear" w:pos="680"/>
        </w:tabs>
        <w:rPr>
          <w:u w:val="single"/>
          <w:rtl/>
        </w:rPr>
      </w:pPr>
      <w:r w:rsidRPr="007200B1">
        <w:rPr>
          <w:rFonts w:hint="eastAsia"/>
          <w:u w:val="single"/>
          <w:rtl/>
        </w:rPr>
        <w:t>מנגנון</w:t>
      </w:r>
      <w:r w:rsidRPr="007200B1">
        <w:rPr>
          <w:u w:val="single"/>
          <w:rtl/>
        </w:rPr>
        <w:t xml:space="preserve"> האסדרה של שירותי תעופה סדירים בתובלה אווירית בינלאומית: </w:t>
      </w:r>
    </w:p>
    <w:p w:rsidR="00850DF2" w:rsidRPr="007200B1" w:rsidRDefault="00850DF2" w:rsidP="00850DF2">
      <w:pPr>
        <w:pStyle w:val="HeadDivreiHesber"/>
        <w:jc w:val="both"/>
        <w:rPr>
          <w:spacing w:val="0"/>
          <w:sz w:val="26"/>
          <w:rtl/>
        </w:rPr>
      </w:pPr>
      <w:r w:rsidRPr="007200B1">
        <w:rPr>
          <w:rFonts w:hint="cs"/>
          <w:spacing w:val="0"/>
          <w:sz w:val="26"/>
          <w:rtl/>
        </w:rPr>
        <w:t>סעיף</w:t>
      </w:r>
      <w:r w:rsidRPr="007200B1">
        <w:rPr>
          <w:spacing w:val="0"/>
          <w:sz w:val="26"/>
          <w:rtl/>
        </w:rPr>
        <w:t xml:space="preserve"> 6 </w:t>
      </w:r>
      <w:r w:rsidRPr="007200B1">
        <w:rPr>
          <w:rFonts w:hint="cs"/>
          <w:spacing w:val="0"/>
          <w:sz w:val="26"/>
          <w:rtl/>
        </w:rPr>
        <w:t>לאמנה</w:t>
      </w:r>
      <w:r w:rsidRPr="007200B1">
        <w:rPr>
          <w:spacing w:val="0"/>
          <w:sz w:val="26"/>
          <w:rtl/>
        </w:rPr>
        <w:t xml:space="preserve"> </w:t>
      </w:r>
      <w:r w:rsidRPr="007200B1">
        <w:rPr>
          <w:rFonts w:hint="cs"/>
          <w:spacing w:val="0"/>
          <w:sz w:val="26"/>
          <w:rtl/>
        </w:rPr>
        <w:t>שכותרתו</w:t>
      </w:r>
      <w:r w:rsidRPr="007200B1">
        <w:rPr>
          <w:spacing w:val="0"/>
          <w:sz w:val="26"/>
          <w:rtl/>
        </w:rPr>
        <w:t xml:space="preserve"> "שירותי </w:t>
      </w:r>
      <w:r w:rsidRPr="007200B1">
        <w:rPr>
          <w:rFonts w:hint="cs"/>
          <w:spacing w:val="0"/>
          <w:sz w:val="26"/>
          <w:rtl/>
        </w:rPr>
        <w:t>תעופה</w:t>
      </w:r>
      <w:r w:rsidRPr="007200B1">
        <w:rPr>
          <w:spacing w:val="0"/>
          <w:sz w:val="26"/>
          <w:rtl/>
        </w:rPr>
        <w:t xml:space="preserve"> </w:t>
      </w:r>
      <w:r w:rsidRPr="007200B1">
        <w:rPr>
          <w:rFonts w:hint="cs"/>
          <w:spacing w:val="0"/>
          <w:sz w:val="26"/>
          <w:rtl/>
        </w:rPr>
        <w:t>סדירים</w:t>
      </w:r>
      <w:r w:rsidRPr="007200B1">
        <w:rPr>
          <w:spacing w:val="0"/>
          <w:sz w:val="26"/>
          <w:rtl/>
        </w:rPr>
        <w:t xml:space="preserve">" </w:t>
      </w:r>
      <w:r w:rsidRPr="007200B1">
        <w:rPr>
          <w:rFonts w:hint="cs"/>
          <w:spacing w:val="0"/>
          <w:sz w:val="26"/>
          <w:rtl/>
        </w:rPr>
        <w:t>קובע</w:t>
      </w:r>
      <w:r w:rsidRPr="007200B1">
        <w:rPr>
          <w:spacing w:val="0"/>
          <w:sz w:val="26"/>
          <w:rtl/>
        </w:rPr>
        <w:t xml:space="preserve"> </w:t>
      </w:r>
      <w:r w:rsidRPr="007200B1">
        <w:rPr>
          <w:rFonts w:hint="cs"/>
          <w:spacing w:val="0"/>
          <w:sz w:val="26"/>
          <w:rtl/>
        </w:rPr>
        <w:t>כי</w:t>
      </w:r>
      <w:r w:rsidRPr="007200B1">
        <w:rPr>
          <w:spacing w:val="0"/>
          <w:sz w:val="26"/>
          <w:rtl/>
        </w:rPr>
        <w:t xml:space="preserve"> </w:t>
      </w:r>
      <w:r w:rsidRPr="007200B1">
        <w:rPr>
          <w:rFonts w:hint="cs"/>
          <w:spacing w:val="0"/>
          <w:sz w:val="26"/>
          <w:rtl/>
        </w:rPr>
        <w:t>לא</w:t>
      </w:r>
      <w:r w:rsidRPr="007200B1">
        <w:rPr>
          <w:spacing w:val="0"/>
          <w:sz w:val="26"/>
          <w:rtl/>
        </w:rPr>
        <w:t xml:space="preserve"> </w:t>
      </w:r>
      <w:r w:rsidRPr="007200B1">
        <w:rPr>
          <w:rFonts w:hint="cs"/>
          <w:spacing w:val="0"/>
          <w:sz w:val="26"/>
          <w:rtl/>
        </w:rPr>
        <w:t>ניתן</w:t>
      </w:r>
      <w:r w:rsidRPr="007200B1">
        <w:rPr>
          <w:spacing w:val="0"/>
          <w:sz w:val="26"/>
          <w:rtl/>
        </w:rPr>
        <w:t xml:space="preserve"> </w:t>
      </w:r>
      <w:r w:rsidRPr="007200B1">
        <w:rPr>
          <w:rFonts w:hint="cs"/>
          <w:spacing w:val="0"/>
          <w:sz w:val="26"/>
          <w:rtl/>
        </w:rPr>
        <w:t>לקיים</w:t>
      </w:r>
      <w:r w:rsidRPr="007200B1">
        <w:rPr>
          <w:spacing w:val="0"/>
          <w:sz w:val="26"/>
          <w:rtl/>
        </w:rPr>
        <w:t xml:space="preserve"> </w:t>
      </w:r>
      <w:r w:rsidRPr="007200B1">
        <w:rPr>
          <w:rFonts w:hint="cs"/>
          <w:spacing w:val="0"/>
          <w:sz w:val="26"/>
          <w:rtl/>
        </w:rPr>
        <w:t>שירותי</w:t>
      </w:r>
      <w:r w:rsidRPr="007200B1">
        <w:rPr>
          <w:spacing w:val="0"/>
          <w:sz w:val="26"/>
          <w:rtl/>
        </w:rPr>
        <w:t xml:space="preserve"> </w:t>
      </w:r>
      <w:r w:rsidRPr="007200B1">
        <w:rPr>
          <w:rFonts w:hint="cs"/>
          <w:spacing w:val="0"/>
          <w:sz w:val="26"/>
          <w:rtl/>
        </w:rPr>
        <w:t>תעופה</w:t>
      </w:r>
      <w:r w:rsidRPr="007200B1">
        <w:rPr>
          <w:spacing w:val="0"/>
          <w:sz w:val="26"/>
          <w:rtl/>
        </w:rPr>
        <w:t xml:space="preserve"> </w:t>
      </w:r>
      <w:r w:rsidRPr="007200B1">
        <w:rPr>
          <w:rFonts w:hint="cs"/>
          <w:spacing w:val="0"/>
          <w:sz w:val="26"/>
          <w:rtl/>
        </w:rPr>
        <w:t>סדירים</w:t>
      </w:r>
      <w:r w:rsidRPr="007200B1">
        <w:rPr>
          <w:spacing w:val="0"/>
          <w:sz w:val="26"/>
          <w:rtl/>
        </w:rPr>
        <w:t xml:space="preserve"> </w:t>
      </w:r>
      <w:r w:rsidRPr="007200B1">
        <w:rPr>
          <w:rFonts w:hint="cs"/>
          <w:spacing w:val="0"/>
          <w:sz w:val="26"/>
          <w:rtl/>
        </w:rPr>
        <w:t>מעל</w:t>
      </w:r>
      <w:r w:rsidRPr="007200B1">
        <w:rPr>
          <w:spacing w:val="0"/>
          <w:sz w:val="26"/>
          <w:rtl/>
        </w:rPr>
        <w:t xml:space="preserve"> </w:t>
      </w:r>
      <w:r w:rsidRPr="007200B1">
        <w:rPr>
          <w:rFonts w:hint="cs"/>
          <w:spacing w:val="0"/>
          <w:sz w:val="26"/>
          <w:rtl/>
        </w:rPr>
        <w:t>שטחה</w:t>
      </w:r>
      <w:r w:rsidRPr="007200B1">
        <w:rPr>
          <w:spacing w:val="0"/>
          <w:sz w:val="26"/>
          <w:rtl/>
        </w:rPr>
        <w:t xml:space="preserve"> </w:t>
      </w:r>
      <w:r w:rsidRPr="007200B1">
        <w:rPr>
          <w:rFonts w:hint="cs"/>
          <w:spacing w:val="0"/>
          <w:sz w:val="26"/>
          <w:rtl/>
        </w:rPr>
        <w:t>של</w:t>
      </w:r>
      <w:r w:rsidRPr="007200B1">
        <w:rPr>
          <w:spacing w:val="0"/>
          <w:sz w:val="26"/>
          <w:rtl/>
        </w:rPr>
        <w:t xml:space="preserve"> </w:t>
      </w:r>
      <w:r w:rsidRPr="007200B1">
        <w:rPr>
          <w:rFonts w:hint="cs"/>
          <w:spacing w:val="0"/>
          <w:sz w:val="26"/>
          <w:rtl/>
        </w:rPr>
        <w:t>מדינה</w:t>
      </w:r>
      <w:r w:rsidRPr="007200B1">
        <w:rPr>
          <w:spacing w:val="0"/>
          <w:sz w:val="26"/>
          <w:rtl/>
        </w:rPr>
        <w:t xml:space="preserve"> </w:t>
      </w:r>
      <w:r w:rsidRPr="007200B1">
        <w:rPr>
          <w:rFonts w:hint="cs"/>
          <w:spacing w:val="0"/>
          <w:sz w:val="26"/>
          <w:rtl/>
        </w:rPr>
        <w:t>המהווה</w:t>
      </w:r>
      <w:r w:rsidRPr="007200B1">
        <w:rPr>
          <w:spacing w:val="0"/>
          <w:sz w:val="26"/>
          <w:rtl/>
        </w:rPr>
        <w:t xml:space="preserve"> </w:t>
      </w:r>
      <w:r w:rsidRPr="007200B1">
        <w:rPr>
          <w:rFonts w:hint="cs"/>
          <w:spacing w:val="0"/>
          <w:sz w:val="26"/>
          <w:rtl/>
        </w:rPr>
        <w:t>צד</w:t>
      </w:r>
      <w:r w:rsidRPr="007200B1">
        <w:rPr>
          <w:spacing w:val="0"/>
          <w:sz w:val="26"/>
          <w:rtl/>
        </w:rPr>
        <w:t xml:space="preserve"> </w:t>
      </w:r>
      <w:r w:rsidRPr="007200B1">
        <w:rPr>
          <w:rFonts w:hint="cs"/>
          <w:spacing w:val="0"/>
          <w:sz w:val="26"/>
          <w:rtl/>
        </w:rPr>
        <w:t>לאמנה</w:t>
      </w:r>
      <w:r w:rsidRPr="007200B1">
        <w:rPr>
          <w:spacing w:val="0"/>
          <w:sz w:val="26"/>
          <w:rtl/>
        </w:rPr>
        <w:t xml:space="preserve"> </w:t>
      </w:r>
      <w:r w:rsidRPr="007200B1">
        <w:rPr>
          <w:rFonts w:hint="cs"/>
          <w:spacing w:val="0"/>
          <w:sz w:val="26"/>
          <w:rtl/>
        </w:rPr>
        <w:t>מבלי</w:t>
      </w:r>
      <w:r w:rsidRPr="007200B1">
        <w:rPr>
          <w:spacing w:val="0"/>
          <w:sz w:val="26"/>
          <w:rtl/>
        </w:rPr>
        <w:t xml:space="preserve"> </w:t>
      </w:r>
      <w:r w:rsidRPr="007200B1">
        <w:rPr>
          <w:rFonts w:hint="cs"/>
          <w:spacing w:val="0"/>
          <w:sz w:val="26"/>
          <w:rtl/>
        </w:rPr>
        <w:t>שאותה</w:t>
      </w:r>
      <w:r w:rsidRPr="007200B1">
        <w:rPr>
          <w:spacing w:val="0"/>
          <w:sz w:val="26"/>
          <w:rtl/>
        </w:rPr>
        <w:t xml:space="preserve"> </w:t>
      </w:r>
      <w:r w:rsidRPr="007200B1">
        <w:rPr>
          <w:rFonts w:hint="cs"/>
          <w:spacing w:val="0"/>
          <w:sz w:val="26"/>
          <w:rtl/>
        </w:rPr>
        <w:t>מדינה</w:t>
      </w:r>
      <w:r w:rsidRPr="007200B1">
        <w:rPr>
          <w:spacing w:val="0"/>
          <w:sz w:val="26"/>
          <w:rtl/>
        </w:rPr>
        <w:t xml:space="preserve"> </w:t>
      </w:r>
      <w:r w:rsidRPr="007200B1">
        <w:rPr>
          <w:rFonts w:hint="cs"/>
          <w:spacing w:val="0"/>
          <w:sz w:val="26"/>
          <w:rtl/>
        </w:rPr>
        <w:t>העניקה</w:t>
      </w:r>
      <w:r w:rsidRPr="007200B1">
        <w:rPr>
          <w:spacing w:val="0"/>
          <w:sz w:val="26"/>
          <w:rtl/>
        </w:rPr>
        <w:t xml:space="preserve"> </w:t>
      </w:r>
      <w:r w:rsidRPr="007200B1">
        <w:rPr>
          <w:rFonts w:hint="cs"/>
          <w:spacing w:val="0"/>
          <w:sz w:val="26"/>
          <w:rtl/>
        </w:rPr>
        <w:t>את</w:t>
      </w:r>
      <w:r w:rsidRPr="007200B1">
        <w:rPr>
          <w:spacing w:val="0"/>
          <w:sz w:val="26"/>
          <w:rtl/>
        </w:rPr>
        <w:t xml:space="preserve"> </w:t>
      </w:r>
      <w:r w:rsidRPr="007200B1">
        <w:rPr>
          <w:rFonts w:hint="cs"/>
          <w:spacing w:val="0"/>
          <w:sz w:val="26"/>
          <w:rtl/>
        </w:rPr>
        <w:t>אישורה</w:t>
      </w:r>
      <w:r w:rsidRPr="007200B1">
        <w:rPr>
          <w:spacing w:val="0"/>
          <w:sz w:val="26"/>
          <w:rtl/>
        </w:rPr>
        <w:t xml:space="preserve"> </w:t>
      </w:r>
      <w:r w:rsidRPr="007200B1">
        <w:rPr>
          <w:rFonts w:hint="cs"/>
          <w:spacing w:val="0"/>
          <w:sz w:val="26"/>
          <w:rtl/>
        </w:rPr>
        <w:t>לכך</w:t>
      </w:r>
      <w:r w:rsidRPr="007200B1">
        <w:rPr>
          <w:spacing w:val="0"/>
          <w:sz w:val="26"/>
          <w:rtl/>
        </w:rPr>
        <w:t xml:space="preserve">. </w:t>
      </w:r>
      <w:r w:rsidRPr="007200B1">
        <w:rPr>
          <w:rFonts w:hint="cs"/>
          <w:spacing w:val="0"/>
          <w:sz w:val="26"/>
          <w:rtl/>
        </w:rPr>
        <w:t>משמעותו</w:t>
      </w:r>
      <w:r w:rsidRPr="007200B1">
        <w:rPr>
          <w:spacing w:val="0"/>
          <w:sz w:val="26"/>
          <w:rtl/>
        </w:rPr>
        <w:t xml:space="preserve"> </w:t>
      </w:r>
      <w:r w:rsidRPr="007200B1">
        <w:rPr>
          <w:rFonts w:hint="cs"/>
          <w:spacing w:val="0"/>
          <w:sz w:val="26"/>
          <w:rtl/>
        </w:rPr>
        <w:t>של</w:t>
      </w:r>
      <w:r w:rsidRPr="007200B1">
        <w:rPr>
          <w:spacing w:val="0"/>
          <w:sz w:val="26"/>
          <w:rtl/>
        </w:rPr>
        <w:t xml:space="preserve"> </w:t>
      </w:r>
      <w:r w:rsidRPr="007200B1">
        <w:rPr>
          <w:rFonts w:hint="cs"/>
          <w:spacing w:val="0"/>
          <w:sz w:val="26"/>
          <w:rtl/>
        </w:rPr>
        <w:t>סעיף</w:t>
      </w:r>
      <w:r w:rsidRPr="007200B1">
        <w:rPr>
          <w:spacing w:val="0"/>
          <w:sz w:val="26"/>
          <w:rtl/>
        </w:rPr>
        <w:t xml:space="preserve"> </w:t>
      </w:r>
      <w:r w:rsidRPr="007200B1">
        <w:rPr>
          <w:rFonts w:hint="cs"/>
          <w:spacing w:val="0"/>
          <w:sz w:val="26"/>
          <w:rtl/>
        </w:rPr>
        <w:t>זה</w:t>
      </w:r>
      <w:r w:rsidRPr="007200B1">
        <w:rPr>
          <w:spacing w:val="0"/>
          <w:sz w:val="26"/>
          <w:rtl/>
        </w:rPr>
        <w:t xml:space="preserve"> </w:t>
      </w:r>
      <w:r w:rsidRPr="007200B1">
        <w:rPr>
          <w:rFonts w:hint="cs"/>
          <w:spacing w:val="0"/>
          <w:sz w:val="26"/>
          <w:rtl/>
        </w:rPr>
        <w:t>היא</w:t>
      </w:r>
      <w:r w:rsidRPr="007200B1">
        <w:rPr>
          <w:spacing w:val="0"/>
          <w:sz w:val="26"/>
          <w:rtl/>
        </w:rPr>
        <w:t xml:space="preserve"> </w:t>
      </w:r>
      <w:r w:rsidRPr="007200B1">
        <w:rPr>
          <w:rFonts w:hint="cs"/>
          <w:spacing w:val="0"/>
          <w:sz w:val="26"/>
          <w:rtl/>
        </w:rPr>
        <w:t>שבכדי</w:t>
      </w:r>
      <w:r w:rsidRPr="007200B1">
        <w:rPr>
          <w:spacing w:val="0"/>
          <w:sz w:val="26"/>
          <w:rtl/>
        </w:rPr>
        <w:t xml:space="preserve"> </w:t>
      </w:r>
      <w:r w:rsidRPr="007200B1">
        <w:rPr>
          <w:rFonts w:hint="cs"/>
          <w:spacing w:val="0"/>
          <w:sz w:val="26"/>
          <w:rtl/>
        </w:rPr>
        <w:t>לקיים</w:t>
      </w:r>
      <w:r w:rsidRPr="007200B1">
        <w:rPr>
          <w:spacing w:val="0"/>
          <w:sz w:val="26"/>
          <w:rtl/>
        </w:rPr>
        <w:t xml:space="preserve"> </w:t>
      </w:r>
      <w:r w:rsidRPr="007200B1">
        <w:rPr>
          <w:rFonts w:hint="cs"/>
          <w:spacing w:val="0"/>
          <w:sz w:val="26"/>
          <w:rtl/>
        </w:rPr>
        <w:t>שירותי</w:t>
      </w:r>
      <w:r w:rsidRPr="007200B1">
        <w:rPr>
          <w:spacing w:val="0"/>
          <w:sz w:val="26"/>
          <w:rtl/>
        </w:rPr>
        <w:t xml:space="preserve"> </w:t>
      </w:r>
      <w:r w:rsidRPr="007200B1">
        <w:rPr>
          <w:rFonts w:hint="cs"/>
          <w:spacing w:val="0"/>
          <w:sz w:val="26"/>
          <w:rtl/>
        </w:rPr>
        <w:t>תעופה</w:t>
      </w:r>
      <w:r w:rsidRPr="007200B1">
        <w:rPr>
          <w:spacing w:val="0"/>
          <w:sz w:val="26"/>
          <w:rtl/>
        </w:rPr>
        <w:t xml:space="preserve"> </w:t>
      </w:r>
      <w:r w:rsidRPr="007200B1">
        <w:rPr>
          <w:rFonts w:hint="cs"/>
          <w:spacing w:val="0"/>
          <w:sz w:val="26"/>
          <w:rtl/>
        </w:rPr>
        <w:t>סדירים</w:t>
      </w:r>
      <w:r w:rsidRPr="007200B1">
        <w:rPr>
          <w:spacing w:val="0"/>
          <w:sz w:val="26"/>
          <w:rtl/>
        </w:rPr>
        <w:t xml:space="preserve"> </w:t>
      </w:r>
      <w:r w:rsidRPr="007200B1">
        <w:rPr>
          <w:rFonts w:hint="cs"/>
          <w:spacing w:val="0"/>
          <w:sz w:val="26"/>
          <w:rtl/>
        </w:rPr>
        <w:t>ממדינה</w:t>
      </w:r>
      <w:r w:rsidRPr="007200B1">
        <w:rPr>
          <w:spacing w:val="0"/>
          <w:sz w:val="26"/>
          <w:rtl/>
        </w:rPr>
        <w:t xml:space="preserve"> </w:t>
      </w:r>
      <w:r w:rsidRPr="007200B1">
        <w:rPr>
          <w:rFonts w:hint="cs"/>
          <w:spacing w:val="0"/>
          <w:sz w:val="26"/>
          <w:rtl/>
        </w:rPr>
        <w:t>אחת ל</w:t>
      </w:r>
      <w:r>
        <w:rPr>
          <w:rFonts w:hint="cs"/>
          <w:spacing w:val="0"/>
          <w:sz w:val="26"/>
          <w:rtl/>
        </w:rPr>
        <w:t>אחרת</w:t>
      </w:r>
      <w:r w:rsidRPr="007200B1">
        <w:rPr>
          <w:rFonts w:hint="cs"/>
          <w:spacing w:val="0"/>
          <w:sz w:val="26"/>
          <w:rtl/>
        </w:rPr>
        <w:t xml:space="preserve">, </w:t>
      </w:r>
      <w:r w:rsidRPr="007200B1">
        <w:rPr>
          <w:spacing w:val="0"/>
          <w:sz w:val="26"/>
          <w:rtl/>
        </w:rPr>
        <w:t xml:space="preserve"> </w:t>
      </w:r>
      <w:r w:rsidRPr="007200B1">
        <w:rPr>
          <w:rFonts w:hint="cs"/>
          <w:spacing w:val="0"/>
          <w:sz w:val="26"/>
          <w:rtl/>
        </w:rPr>
        <w:t>על</w:t>
      </w:r>
      <w:r w:rsidRPr="007200B1">
        <w:rPr>
          <w:spacing w:val="0"/>
          <w:sz w:val="26"/>
          <w:rtl/>
        </w:rPr>
        <w:t xml:space="preserve"> </w:t>
      </w:r>
      <w:r>
        <w:rPr>
          <w:rFonts w:hint="cs"/>
          <w:spacing w:val="0"/>
          <w:sz w:val="26"/>
          <w:rtl/>
        </w:rPr>
        <w:t>ה</w:t>
      </w:r>
      <w:r w:rsidRPr="007200B1">
        <w:rPr>
          <w:rFonts w:hint="cs"/>
          <w:spacing w:val="0"/>
          <w:sz w:val="26"/>
          <w:rtl/>
        </w:rPr>
        <w:t>מדינה</w:t>
      </w:r>
      <w:r w:rsidRPr="007200B1">
        <w:rPr>
          <w:spacing w:val="0"/>
          <w:sz w:val="26"/>
          <w:rtl/>
        </w:rPr>
        <w:t xml:space="preserve"> </w:t>
      </w:r>
      <w:r>
        <w:rPr>
          <w:rFonts w:hint="cs"/>
          <w:spacing w:val="0"/>
          <w:sz w:val="26"/>
          <w:rtl/>
        </w:rPr>
        <w:t>ה</w:t>
      </w:r>
      <w:r w:rsidRPr="007200B1">
        <w:rPr>
          <w:rFonts w:hint="cs"/>
          <w:spacing w:val="0"/>
          <w:sz w:val="26"/>
          <w:rtl/>
        </w:rPr>
        <w:t xml:space="preserve">אחת </w:t>
      </w:r>
      <w:r w:rsidRPr="007200B1">
        <w:rPr>
          <w:spacing w:val="0"/>
          <w:sz w:val="26"/>
          <w:rtl/>
        </w:rPr>
        <w:t xml:space="preserve"> </w:t>
      </w:r>
      <w:r w:rsidRPr="007200B1">
        <w:rPr>
          <w:rFonts w:hint="cs"/>
          <w:spacing w:val="0"/>
          <w:sz w:val="26"/>
          <w:rtl/>
        </w:rPr>
        <w:t>להעניק</w:t>
      </w:r>
      <w:r w:rsidRPr="007200B1">
        <w:rPr>
          <w:spacing w:val="0"/>
          <w:sz w:val="26"/>
          <w:rtl/>
        </w:rPr>
        <w:t xml:space="preserve"> </w:t>
      </w:r>
      <w:r w:rsidRPr="007200B1">
        <w:rPr>
          <w:rFonts w:hint="cs"/>
          <w:spacing w:val="0"/>
          <w:sz w:val="26"/>
          <w:rtl/>
        </w:rPr>
        <w:t>למדינה</w:t>
      </w:r>
      <w:r w:rsidRPr="007200B1">
        <w:rPr>
          <w:spacing w:val="0"/>
          <w:sz w:val="26"/>
          <w:rtl/>
        </w:rPr>
        <w:t xml:space="preserve"> </w:t>
      </w:r>
      <w:r>
        <w:rPr>
          <w:rFonts w:hint="cs"/>
          <w:spacing w:val="0"/>
          <w:sz w:val="26"/>
          <w:rtl/>
        </w:rPr>
        <w:t xml:space="preserve">האחרת </w:t>
      </w:r>
      <w:r w:rsidRPr="007200B1">
        <w:rPr>
          <w:spacing w:val="0"/>
          <w:sz w:val="26"/>
          <w:rtl/>
        </w:rPr>
        <w:t xml:space="preserve">"זכויות </w:t>
      </w:r>
      <w:r w:rsidRPr="007200B1">
        <w:rPr>
          <w:rFonts w:hint="cs"/>
          <w:spacing w:val="0"/>
          <w:sz w:val="26"/>
          <w:rtl/>
        </w:rPr>
        <w:t>טיס</w:t>
      </w:r>
      <w:r w:rsidRPr="007200B1">
        <w:rPr>
          <w:spacing w:val="0"/>
          <w:sz w:val="26"/>
          <w:rtl/>
        </w:rPr>
        <w:t xml:space="preserve">" </w:t>
      </w:r>
      <w:r w:rsidRPr="007200B1">
        <w:rPr>
          <w:rFonts w:hint="cs"/>
          <w:spacing w:val="0"/>
          <w:sz w:val="26"/>
          <w:rtl/>
        </w:rPr>
        <w:t>לשטחה</w:t>
      </w:r>
      <w:r w:rsidRPr="007200B1">
        <w:rPr>
          <w:spacing w:val="0"/>
          <w:sz w:val="26"/>
          <w:rtl/>
        </w:rPr>
        <w:t>.</w:t>
      </w:r>
    </w:p>
    <w:p w:rsidR="00850DF2" w:rsidRPr="007200B1" w:rsidRDefault="00850DF2" w:rsidP="00275BBA">
      <w:pPr>
        <w:pStyle w:val="HeadDivreiHesber"/>
        <w:numPr>
          <w:ilvl w:val="0"/>
          <w:numId w:val="6"/>
        </w:numPr>
        <w:jc w:val="both"/>
        <w:rPr>
          <w:spacing w:val="0"/>
          <w:sz w:val="26"/>
          <w:u w:val="single"/>
          <w:rtl/>
        </w:rPr>
      </w:pPr>
      <w:r w:rsidRPr="007200B1">
        <w:rPr>
          <w:rFonts w:hint="cs"/>
          <w:spacing w:val="0"/>
          <w:sz w:val="26"/>
          <w:u w:val="single"/>
          <w:rtl/>
        </w:rPr>
        <w:t>הסכמים בילטראליים:</w:t>
      </w:r>
    </w:p>
    <w:p w:rsidR="00850DF2" w:rsidRPr="007200B1" w:rsidRDefault="00850DF2" w:rsidP="00850DF2">
      <w:pPr>
        <w:pStyle w:val="HeadDivreiHesber"/>
        <w:jc w:val="both"/>
        <w:rPr>
          <w:spacing w:val="0"/>
          <w:sz w:val="26"/>
          <w:rtl/>
        </w:rPr>
      </w:pPr>
      <w:r w:rsidRPr="007200B1">
        <w:rPr>
          <w:rFonts w:hint="cs"/>
          <w:spacing w:val="0"/>
          <w:sz w:val="26"/>
          <w:rtl/>
        </w:rPr>
        <w:t xml:space="preserve">שירותי תעופה סדירים בתובלה אווירית בינלאומית מוסדרים לרוב באמצעות הסכמי תעופה בילטראליים (דו צדדיים </w:t>
      </w:r>
      <w:r w:rsidRPr="007200B1">
        <w:rPr>
          <w:spacing w:val="0"/>
          <w:sz w:val="26"/>
          <w:rtl/>
        </w:rPr>
        <w:t>–</w:t>
      </w:r>
      <w:r w:rsidRPr="007200B1">
        <w:rPr>
          <w:rFonts w:hint="cs"/>
          <w:spacing w:val="0"/>
          <w:sz w:val="26"/>
          <w:rtl/>
        </w:rPr>
        <w:t xml:space="preserve"> הסכמים הנחתמים בין שתי מדינות) וזאת כתוצאה מהסיבות הבאות:</w:t>
      </w:r>
    </w:p>
    <w:p w:rsidR="00850DF2" w:rsidRPr="007200B1" w:rsidRDefault="00850DF2" w:rsidP="00850DF2">
      <w:pPr>
        <w:pStyle w:val="HeadDivreiHesber"/>
        <w:numPr>
          <w:ilvl w:val="0"/>
          <w:numId w:val="4"/>
        </w:numPr>
        <w:jc w:val="both"/>
        <w:rPr>
          <w:spacing w:val="0"/>
          <w:sz w:val="26"/>
        </w:rPr>
      </w:pPr>
      <w:r w:rsidRPr="007200B1">
        <w:rPr>
          <w:rFonts w:hint="cs"/>
          <w:spacing w:val="0"/>
          <w:sz w:val="26"/>
          <w:rtl/>
        </w:rPr>
        <w:t>סעיפים 1 ו-6 לאמנת שיקאגו הקובעים את ריבונותה של כל מדינה על השטח האווירי שלה ואת הצורך בקבלת אישור מראש מהמדינה הריבונית לקיים שירותי תובלה אווירית בינלאומית סדירים לשטחה.</w:t>
      </w:r>
    </w:p>
    <w:p w:rsidR="00850DF2" w:rsidRPr="007200B1" w:rsidRDefault="00850DF2" w:rsidP="00850DF2">
      <w:pPr>
        <w:pStyle w:val="HeadDivreiHesber"/>
        <w:numPr>
          <w:ilvl w:val="0"/>
          <w:numId w:val="4"/>
        </w:numPr>
        <w:jc w:val="both"/>
        <w:rPr>
          <w:spacing w:val="0"/>
          <w:sz w:val="26"/>
          <w:rtl/>
        </w:rPr>
      </w:pPr>
      <w:r w:rsidRPr="007200B1">
        <w:rPr>
          <w:rFonts w:hint="cs"/>
          <w:spacing w:val="0"/>
          <w:sz w:val="26"/>
          <w:rtl/>
        </w:rPr>
        <w:lastRenderedPageBreak/>
        <w:t>לאור התפיסה של זכויות טיס כמשאב לאומי והרצון להגן על חברות תעופה לאומיות (שב</w:t>
      </w:r>
      <w:r>
        <w:rPr>
          <w:rFonts w:hint="cs"/>
          <w:spacing w:val="0"/>
          <w:sz w:val="26"/>
          <w:rtl/>
        </w:rPr>
        <w:t xml:space="preserve">עבר </w:t>
      </w:r>
      <w:r w:rsidRPr="007200B1">
        <w:rPr>
          <w:rFonts w:hint="cs"/>
          <w:spacing w:val="0"/>
          <w:sz w:val="26"/>
          <w:rtl/>
        </w:rPr>
        <w:t>היו לרוב ממשלתיות) מפני תחרות בלתי מבוקרת מצד חברות תעופה זרות, נכשלו המאמצים לכונן אמנה בינלאומית רב- צדדית אשר תעניק לכל המדינות החתומות עליה זכויות טיס הדדיות.</w:t>
      </w:r>
    </w:p>
    <w:p w:rsidR="00850DF2" w:rsidRPr="007200B1" w:rsidRDefault="00850DF2" w:rsidP="00850DF2">
      <w:pPr>
        <w:pStyle w:val="HeadDivreiHesber"/>
        <w:jc w:val="both"/>
        <w:rPr>
          <w:spacing w:val="0"/>
          <w:sz w:val="26"/>
          <w:rtl/>
        </w:rPr>
      </w:pPr>
      <w:r w:rsidRPr="007200B1">
        <w:rPr>
          <w:rFonts w:hint="cs"/>
          <w:spacing w:val="0"/>
          <w:sz w:val="26"/>
          <w:rtl/>
        </w:rPr>
        <w:t>כתוצאה מכך, התפתח המשטר של הסכמי תעופה בילטראליים במסגרתם מעניקות שתי מדינות, האחת לרעותה, זכויות טיס הדדיות וכן מאסדרות נושאים נוספים הקשורים במישרין או בעקיפין להסכם התעופה הבילטראלי (למשל: אסדרת תעריפים, קיבולת, גישה לשוק, בטיחות וביטחון, היבטי מיסוי וכדומה).</w:t>
      </w:r>
    </w:p>
    <w:p w:rsidR="00850DF2" w:rsidRPr="00275BBA" w:rsidRDefault="00850DF2" w:rsidP="00275BBA">
      <w:pPr>
        <w:pStyle w:val="ad"/>
        <w:numPr>
          <w:ilvl w:val="0"/>
          <w:numId w:val="6"/>
        </w:numPr>
        <w:snapToGrid w:val="0"/>
        <w:spacing w:before="360" w:after="120" w:line="360" w:lineRule="auto"/>
        <w:rPr>
          <w:rFonts w:ascii="Arial" w:eastAsia="Arial Unicode MS" w:hAnsi="Arial" w:cs="David"/>
          <w:b/>
          <w:snapToGrid w:val="0"/>
          <w:spacing w:val="0"/>
          <w:sz w:val="26"/>
          <w:szCs w:val="26"/>
          <w:u w:val="single"/>
          <w:rtl/>
        </w:rPr>
      </w:pPr>
      <w:r w:rsidRPr="00275BBA">
        <w:rPr>
          <w:rFonts w:ascii="Arial" w:eastAsia="Arial Unicode MS" w:hAnsi="Arial" w:cs="David"/>
          <w:b/>
          <w:snapToGrid w:val="0"/>
          <w:spacing w:val="0"/>
          <w:sz w:val="26"/>
          <w:szCs w:val="26"/>
          <w:u w:val="single"/>
          <w:rtl/>
        </w:rPr>
        <w:t xml:space="preserve">מנגנון האסדרה של שירותי תעופה </w:t>
      </w:r>
      <w:r w:rsidRPr="00275BBA">
        <w:rPr>
          <w:rFonts w:ascii="Arial" w:eastAsia="Arial Unicode MS" w:hAnsi="Arial" w:cs="David" w:hint="eastAsia"/>
          <w:b/>
          <w:snapToGrid w:val="0"/>
          <w:spacing w:val="0"/>
          <w:sz w:val="26"/>
          <w:szCs w:val="26"/>
          <w:u w:val="single"/>
          <w:rtl/>
        </w:rPr>
        <w:t>לא</w:t>
      </w:r>
      <w:r w:rsidRPr="00275BBA">
        <w:rPr>
          <w:rFonts w:ascii="Arial" w:eastAsia="Arial Unicode MS" w:hAnsi="Arial" w:cs="David"/>
          <w:b/>
          <w:snapToGrid w:val="0"/>
          <w:spacing w:val="0"/>
          <w:sz w:val="26"/>
          <w:szCs w:val="26"/>
          <w:u w:val="single"/>
          <w:rtl/>
        </w:rPr>
        <w:t xml:space="preserve"> סדירים בתובלה אווירית בינלאומית:</w:t>
      </w:r>
    </w:p>
    <w:p w:rsidR="00850DF2" w:rsidRPr="007200B1" w:rsidRDefault="00850DF2" w:rsidP="00850DF2">
      <w:pPr>
        <w:snapToGrid w:val="0"/>
        <w:spacing w:before="360" w:after="120" w:line="360" w:lineRule="auto"/>
        <w:ind w:firstLine="0"/>
        <w:rPr>
          <w:rFonts w:ascii="Arial" w:eastAsia="Arial Unicode MS" w:hAnsi="Arial" w:cs="David"/>
          <w:b/>
          <w:snapToGrid w:val="0"/>
          <w:spacing w:val="0"/>
          <w:sz w:val="26"/>
          <w:szCs w:val="26"/>
          <w:rtl/>
        </w:rPr>
      </w:pPr>
      <w:r w:rsidRPr="007200B1">
        <w:rPr>
          <w:rFonts w:ascii="Arial" w:eastAsia="Arial Unicode MS" w:hAnsi="Arial" w:cs="David"/>
          <w:b/>
          <w:snapToGrid w:val="0"/>
          <w:spacing w:val="0"/>
          <w:sz w:val="26"/>
          <w:szCs w:val="26"/>
          <w:rtl/>
        </w:rPr>
        <w:t>סעיף 5 לאמנ</w:t>
      </w:r>
      <w:r>
        <w:rPr>
          <w:rFonts w:ascii="Arial" w:eastAsia="Arial Unicode MS" w:hAnsi="Arial" w:cs="David" w:hint="cs"/>
          <w:b/>
          <w:snapToGrid w:val="0"/>
          <w:spacing w:val="0"/>
          <w:sz w:val="26"/>
          <w:szCs w:val="26"/>
          <w:rtl/>
        </w:rPr>
        <w:t xml:space="preserve">ה </w:t>
      </w:r>
      <w:r w:rsidRPr="007200B1">
        <w:rPr>
          <w:rFonts w:ascii="Arial" w:eastAsia="Arial Unicode MS" w:hAnsi="Arial" w:cs="David"/>
          <w:b/>
          <w:snapToGrid w:val="0"/>
          <w:spacing w:val="0"/>
          <w:sz w:val="26"/>
          <w:szCs w:val="26"/>
          <w:rtl/>
        </w:rPr>
        <w:t xml:space="preserve">שכותרתו "זכות לטיסות לא סדירות" קובע כי המדינות החברות מסכימות ביניהן כי לכל מדינה חברה תהיה הזכות שכלי טיס הרשום אצלה העוסק בשירותי תעופה לא סדירים </w:t>
      </w:r>
      <w:r w:rsidRPr="007200B1">
        <w:rPr>
          <w:rFonts w:ascii="Arial" w:eastAsia="Arial Unicode MS" w:hAnsi="Arial" w:cs="David" w:hint="cs"/>
          <w:b/>
          <w:snapToGrid w:val="0"/>
          <w:spacing w:val="0"/>
          <w:sz w:val="26"/>
          <w:szCs w:val="26"/>
          <w:rtl/>
        </w:rPr>
        <w:t xml:space="preserve">ייכנס לתחומי מדינה חברה אחרת </w:t>
      </w:r>
      <w:r w:rsidRPr="007200B1">
        <w:rPr>
          <w:rFonts w:ascii="Arial" w:eastAsia="Arial Unicode MS" w:hAnsi="Arial" w:cs="David"/>
          <w:b/>
          <w:snapToGrid w:val="0"/>
          <w:spacing w:val="0"/>
          <w:sz w:val="26"/>
          <w:szCs w:val="26"/>
          <w:rtl/>
        </w:rPr>
        <w:t xml:space="preserve">ללא צורך בקבלת אישור מראש. </w:t>
      </w:r>
      <w:r w:rsidRPr="007200B1">
        <w:rPr>
          <w:rFonts w:ascii="Arial" w:eastAsia="Arial Unicode MS" w:hAnsi="Arial" w:cs="David" w:hint="cs"/>
          <w:b/>
          <w:snapToGrid w:val="0"/>
          <w:spacing w:val="0"/>
          <w:sz w:val="26"/>
          <w:szCs w:val="26"/>
          <w:rtl/>
        </w:rPr>
        <w:t>במידה</w:t>
      </w:r>
      <w:r w:rsidRPr="007200B1">
        <w:rPr>
          <w:rFonts w:ascii="Arial" w:eastAsia="Arial Unicode MS" w:hAnsi="Arial" w:cs="David"/>
          <w:b/>
          <w:snapToGrid w:val="0"/>
          <w:spacing w:val="0"/>
          <w:sz w:val="26"/>
          <w:szCs w:val="26"/>
          <w:rtl/>
        </w:rPr>
        <w:t xml:space="preserve"> </w:t>
      </w:r>
      <w:r>
        <w:rPr>
          <w:rFonts w:ascii="Arial" w:eastAsia="Arial Unicode MS" w:hAnsi="Arial" w:cs="David" w:hint="cs"/>
          <w:b/>
          <w:snapToGrid w:val="0"/>
          <w:spacing w:val="0"/>
          <w:sz w:val="26"/>
          <w:szCs w:val="26"/>
          <w:rtl/>
        </w:rPr>
        <w:t>ש</w:t>
      </w:r>
      <w:r w:rsidRPr="007200B1">
        <w:rPr>
          <w:rFonts w:ascii="Arial" w:eastAsia="Arial Unicode MS" w:hAnsi="Arial" w:cs="David"/>
          <w:b/>
          <w:snapToGrid w:val="0"/>
          <w:spacing w:val="0"/>
          <w:sz w:val="26"/>
          <w:szCs w:val="26"/>
          <w:rtl/>
        </w:rPr>
        <w:t>כלי הטיס המדובר מוביל נוסעים ו/או מטען ו/או דואר תמורת תשלום</w:t>
      </w:r>
      <w:r>
        <w:rPr>
          <w:rFonts w:ascii="Arial" w:eastAsia="Arial Unicode MS" w:hAnsi="Arial" w:cs="David" w:hint="cs"/>
          <w:b/>
          <w:snapToGrid w:val="0"/>
          <w:spacing w:val="0"/>
          <w:sz w:val="26"/>
          <w:szCs w:val="26"/>
          <w:rtl/>
        </w:rPr>
        <w:t xml:space="preserve">, </w:t>
      </w:r>
      <w:r w:rsidRPr="007200B1">
        <w:rPr>
          <w:rFonts w:ascii="Arial" w:eastAsia="Arial Unicode MS" w:hAnsi="Arial" w:cs="David"/>
          <w:b/>
          <w:snapToGrid w:val="0"/>
          <w:spacing w:val="0"/>
          <w:sz w:val="26"/>
          <w:szCs w:val="26"/>
          <w:rtl/>
        </w:rPr>
        <w:t xml:space="preserve">תהיה לו הזכות להעלות או להוריד נוסעים במדינת היעד, וזאת בכפוף לזכותה של מדינת היעד לאסדרת התחום בכל אמצעי חוקי שתראה לנכון. בכך, למעשה, נשמרת זכותה של כל מדינה להטיל מגבלות ו/או תנאים על הזכות להובלת נוסעים </w:t>
      </w:r>
      <w:r w:rsidRPr="007200B1">
        <w:rPr>
          <w:rFonts w:ascii="Arial" w:eastAsia="Arial Unicode MS" w:hAnsi="Arial" w:cs="David" w:hint="cs"/>
          <w:b/>
          <w:snapToGrid w:val="0"/>
          <w:spacing w:val="0"/>
          <w:sz w:val="26"/>
          <w:szCs w:val="26"/>
          <w:rtl/>
        </w:rPr>
        <w:t xml:space="preserve">ו/או </w:t>
      </w:r>
      <w:r w:rsidRPr="007200B1">
        <w:rPr>
          <w:rFonts w:ascii="Arial" w:eastAsia="Arial Unicode MS" w:hAnsi="Arial" w:cs="David"/>
          <w:b/>
          <w:snapToGrid w:val="0"/>
          <w:spacing w:val="0"/>
          <w:sz w:val="26"/>
          <w:szCs w:val="26"/>
          <w:rtl/>
        </w:rPr>
        <w:t xml:space="preserve">מטען ו/או דואר  </w:t>
      </w:r>
      <w:r w:rsidRPr="007200B1">
        <w:rPr>
          <w:rFonts w:ascii="Arial" w:eastAsia="Arial Unicode MS" w:hAnsi="Arial" w:cs="David" w:hint="cs"/>
          <w:b/>
          <w:snapToGrid w:val="0"/>
          <w:spacing w:val="0"/>
          <w:sz w:val="26"/>
          <w:szCs w:val="26"/>
          <w:rtl/>
        </w:rPr>
        <w:t>ב</w:t>
      </w:r>
      <w:r w:rsidRPr="007200B1">
        <w:rPr>
          <w:rFonts w:ascii="Arial" w:eastAsia="Arial Unicode MS" w:hAnsi="Arial" w:cs="David"/>
          <w:b/>
          <w:snapToGrid w:val="0"/>
          <w:spacing w:val="0"/>
          <w:sz w:val="26"/>
          <w:szCs w:val="26"/>
          <w:rtl/>
        </w:rPr>
        <w:t xml:space="preserve">תמורה בטיסות </w:t>
      </w:r>
      <w:r w:rsidRPr="007200B1">
        <w:rPr>
          <w:rFonts w:ascii="Arial" w:eastAsia="Arial Unicode MS" w:hAnsi="Arial" w:cs="David" w:hint="cs"/>
          <w:b/>
          <w:snapToGrid w:val="0"/>
          <w:spacing w:val="0"/>
          <w:sz w:val="26"/>
          <w:szCs w:val="26"/>
          <w:rtl/>
        </w:rPr>
        <w:t xml:space="preserve">בלתי </w:t>
      </w:r>
      <w:r w:rsidRPr="007200B1">
        <w:rPr>
          <w:rFonts w:ascii="Arial" w:eastAsia="Arial Unicode MS" w:hAnsi="Arial" w:cs="David"/>
          <w:b/>
          <w:snapToGrid w:val="0"/>
          <w:spacing w:val="0"/>
          <w:sz w:val="26"/>
          <w:szCs w:val="26"/>
          <w:rtl/>
        </w:rPr>
        <w:t>סדירות.</w:t>
      </w:r>
    </w:p>
    <w:p w:rsidR="00850DF2" w:rsidRPr="007200B1" w:rsidRDefault="00850DF2" w:rsidP="00850DF2">
      <w:pPr>
        <w:snapToGrid w:val="0"/>
        <w:spacing w:before="360" w:after="120" w:line="360" w:lineRule="auto"/>
        <w:ind w:firstLine="0"/>
        <w:rPr>
          <w:rFonts w:ascii="Arial" w:eastAsia="Arial Unicode MS" w:hAnsi="Arial" w:cs="David"/>
          <w:b/>
          <w:snapToGrid w:val="0"/>
          <w:spacing w:val="0"/>
          <w:sz w:val="26"/>
          <w:szCs w:val="26"/>
          <w:rtl/>
        </w:rPr>
      </w:pPr>
      <w:r>
        <w:rPr>
          <w:rFonts w:ascii="Arial" w:eastAsia="Arial Unicode MS" w:hAnsi="Arial" w:cs="David" w:hint="cs"/>
          <w:b/>
          <w:snapToGrid w:val="0"/>
          <w:spacing w:val="0"/>
          <w:sz w:val="26"/>
          <w:szCs w:val="26"/>
          <w:rtl/>
        </w:rPr>
        <w:t xml:space="preserve">הוראות אלה </w:t>
      </w:r>
      <w:r w:rsidRPr="007200B1">
        <w:rPr>
          <w:rFonts w:ascii="Arial" w:eastAsia="Arial Unicode MS" w:hAnsi="Arial" w:cs="David" w:hint="cs"/>
          <w:b/>
          <w:snapToGrid w:val="0"/>
          <w:spacing w:val="0"/>
          <w:sz w:val="26"/>
          <w:szCs w:val="26"/>
          <w:rtl/>
        </w:rPr>
        <w:t>גרמו לכך שבחלק הארי של המקרים, טיסות לא סדירות (אשר טיסות שכר כלולות בהן), אינן מוסדרות באמצעות הסכמי תעופה בילטראליים. למדינות יש את היכולת (ולא את החובה) לקבוע רגולציה לאומית בהתאם לסעיף 5 לאמנ</w:t>
      </w:r>
      <w:r>
        <w:rPr>
          <w:rFonts w:ascii="Arial" w:eastAsia="Arial Unicode MS" w:hAnsi="Arial" w:cs="David" w:hint="cs"/>
          <w:b/>
          <w:snapToGrid w:val="0"/>
          <w:spacing w:val="0"/>
          <w:sz w:val="26"/>
          <w:szCs w:val="26"/>
          <w:rtl/>
        </w:rPr>
        <w:t>ה</w:t>
      </w:r>
      <w:r w:rsidRPr="007200B1">
        <w:rPr>
          <w:rFonts w:ascii="Arial" w:eastAsia="Arial Unicode MS" w:hAnsi="Arial" w:cs="David" w:hint="cs"/>
          <w:b/>
          <w:snapToGrid w:val="0"/>
          <w:spacing w:val="0"/>
          <w:sz w:val="26"/>
          <w:szCs w:val="26"/>
          <w:rtl/>
        </w:rPr>
        <w:t xml:space="preserve">, הקובעת ומסדירה את האופן בו אותה מדינה מאפשרת לטיסות לא סדירות למטרות הובלת נוסעים ו/או מטען ו/או </w:t>
      </w:r>
      <w:r>
        <w:rPr>
          <w:rFonts w:ascii="Arial" w:eastAsia="Arial Unicode MS" w:hAnsi="Arial" w:cs="David" w:hint="cs"/>
          <w:b/>
          <w:snapToGrid w:val="0"/>
          <w:spacing w:val="0"/>
          <w:sz w:val="26"/>
          <w:szCs w:val="26"/>
          <w:rtl/>
        </w:rPr>
        <w:t xml:space="preserve">דואר </w:t>
      </w:r>
      <w:r w:rsidRPr="007200B1">
        <w:rPr>
          <w:rFonts w:ascii="Arial" w:eastAsia="Arial Unicode MS" w:hAnsi="Arial" w:cs="David" w:hint="cs"/>
          <w:b/>
          <w:snapToGrid w:val="0"/>
          <w:spacing w:val="0"/>
          <w:sz w:val="26"/>
          <w:szCs w:val="26"/>
          <w:rtl/>
        </w:rPr>
        <w:t xml:space="preserve">בתמורה  לפעול לשטחה. בישראל, תקנות רישוי שירותי התעופה (טיסות שכר), התשמ"ב </w:t>
      </w:r>
      <w:r w:rsidRPr="007200B1">
        <w:rPr>
          <w:rFonts w:ascii="Arial" w:eastAsia="Arial Unicode MS" w:hAnsi="Arial" w:cs="David"/>
          <w:b/>
          <w:snapToGrid w:val="0"/>
          <w:spacing w:val="0"/>
          <w:sz w:val="26"/>
          <w:szCs w:val="26"/>
          <w:rtl/>
        </w:rPr>
        <w:t>–</w:t>
      </w:r>
      <w:r w:rsidRPr="007200B1">
        <w:rPr>
          <w:rFonts w:ascii="Arial" w:eastAsia="Arial Unicode MS" w:hAnsi="Arial" w:cs="David" w:hint="cs"/>
          <w:b/>
          <w:snapToGrid w:val="0"/>
          <w:spacing w:val="0"/>
          <w:sz w:val="26"/>
          <w:szCs w:val="26"/>
          <w:rtl/>
        </w:rPr>
        <w:t xml:space="preserve"> 1982</w:t>
      </w:r>
      <w:r w:rsidRPr="007200B1">
        <w:rPr>
          <w:rStyle w:val="a5"/>
          <w:rFonts w:ascii="Arial" w:eastAsia="Arial Unicode MS" w:hAnsi="Arial" w:cs="David"/>
          <w:b/>
          <w:snapToGrid w:val="0"/>
          <w:spacing w:val="0"/>
          <w:sz w:val="26"/>
          <w:szCs w:val="26"/>
          <w:rtl/>
        </w:rPr>
        <w:footnoteReference w:id="1"/>
      </w:r>
      <w:r w:rsidRPr="007200B1">
        <w:rPr>
          <w:rFonts w:ascii="Arial" w:eastAsia="Arial Unicode MS" w:hAnsi="Arial" w:cs="David" w:hint="cs"/>
          <w:b/>
          <w:snapToGrid w:val="0"/>
          <w:spacing w:val="0"/>
          <w:sz w:val="26"/>
          <w:szCs w:val="26"/>
          <w:rtl/>
        </w:rPr>
        <w:t xml:space="preserve">  (להלן- "</w:t>
      </w:r>
      <w:r w:rsidRPr="007200B1">
        <w:rPr>
          <w:rFonts w:ascii="Arial" w:eastAsia="Arial Unicode MS" w:hAnsi="Arial" w:cs="David" w:hint="eastAsia"/>
          <w:bCs/>
          <w:snapToGrid w:val="0"/>
          <w:spacing w:val="0"/>
          <w:sz w:val="26"/>
          <w:szCs w:val="26"/>
          <w:rtl/>
        </w:rPr>
        <w:t>תקנות</w:t>
      </w:r>
      <w:r w:rsidRPr="007200B1">
        <w:rPr>
          <w:rFonts w:ascii="Arial" w:eastAsia="Arial Unicode MS" w:hAnsi="Arial" w:cs="David"/>
          <w:bCs/>
          <w:snapToGrid w:val="0"/>
          <w:spacing w:val="0"/>
          <w:sz w:val="26"/>
          <w:szCs w:val="26"/>
          <w:rtl/>
        </w:rPr>
        <w:t xml:space="preserve"> </w:t>
      </w:r>
      <w:r>
        <w:rPr>
          <w:rFonts w:ascii="Arial" w:eastAsia="Arial Unicode MS" w:hAnsi="Arial" w:cs="David" w:hint="cs"/>
          <w:bCs/>
          <w:snapToGrid w:val="0"/>
          <w:spacing w:val="0"/>
          <w:sz w:val="26"/>
          <w:szCs w:val="26"/>
          <w:rtl/>
        </w:rPr>
        <w:t xml:space="preserve">טיסות </w:t>
      </w:r>
      <w:r w:rsidRPr="007200B1">
        <w:rPr>
          <w:rFonts w:ascii="Arial" w:eastAsia="Arial Unicode MS" w:hAnsi="Arial" w:cs="David" w:hint="eastAsia"/>
          <w:bCs/>
          <w:snapToGrid w:val="0"/>
          <w:spacing w:val="0"/>
          <w:sz w:val="26"/>
          <w:szCs w:val="26"/>
          <w:rtl/>
        </w:rPr>
        <w:t>שכר</w:t>
      </w:r>
      <w:r w:rsidRPr="007200B1">
        <w:rPr>
          <w:rFonts w:ascii="Arial" w:eastAsia="Arial Unicode MS" w:hAnsi="Arial" w:cs="David" w:hint="cs"/>
          <w:b/>
          <w:snapToGrid w:val="0"/>
          <w:spacing w:val="0"/>
          <w:sz w:val="26"/>
          <w:szCs w:val="26"/>
          <w:rtl/>
        </w:rPr>
        <w:t>")  הן הרגולציה הלאומית המאסדרת את טיסות השכר לישראל וממנה,  בהתאם לעיקרון שנקבע בסעיף 5 לאמנ</w:t>
      </w:r>
      <w:r>
        <w:rPr>
          <w:rFonts w:ascii="Arial" w:eastAsia="Arial Unicode MS" w:hAnsi="Arial" w:cs="David" w:hint="cs"/>
          <w:b/>
          <w:snapToGrid w:val="0"/>
          <w:spacing w:val="0"/>
          <w:sz w:val="26"/>
          <w:szCs w:val="26"/>
          <w:rtl/>
        </w:rPr>
        <w:t>ה</w:t>
      </w:r>
      <w:r w:rsidRPr="007200B1">
        <w:rPr>
          <w:rFonts w:ascii="Arial" w:eastAsia="Arial Unicode MS" w:hAnsi="Arial" w:cs="David" w:hint="cs"/>
          <w:b/>
          <w:snapToGrid w:val="0"/>
          <w:spacing w:val="0"/>
          <w:sz w:val="26"/>
          <w:szCs w:val="26"/>
          <w:rtl/>
        </w:rPr>
        <w:t>.</w:t>
      </w:r>
    </w:p>
    <w:p w:rsidR="00850DF2" w:rsidRPr="007200B1" w:rsidRDefault="00850DF2" w:rsidP="00275BBA">
      <w:pPr>
        <w:pStyle w:val="HeadDivreiHesber"/>
        <w:numPr>
          <w:ilvl w:val="0"/>
          <w:numId w:val="6"/>
        </w:numPr>
        <w:jc w:val="both"/>
        <w:rPr>
          <w:spacing w:val="0"/>
          <w:sz w:val="26"/>
          <w:u w:val="single"/>
          <w:rtl/>
        </w:rPr>
      </w:pPr>
      <w:r w:rsidRPr="007200B1">
        <w:rPr>
          <w:rFonts w:hint="eastAsia"/>
          <w:spacing w:val="0"/>
          <w:sz w:val="26"/>
          <w:u w:val="single"/>
          <w:rtl/>
        </w:rPr>
        <w:t>חובת</w:t>
      </w:r>
      <w:r w:rsidRPr="007200B1">
        <w:rPr>
          <w:spacing w:val="0"/>
          <w:sz w:val="26"/>
          <w:u w:val="single"/>
          <w:rtl/>
        </w:rPr>
        <w:t xml:space="preserve"> קבלת היתר הפעלה כתנאי להפעלת טיסות </w:t>
      </w:r>
      <w:r w:rsidRPr="007200B1">
        <w:rPr>
          <w:rFonts w:hint="eastAsia"/>
          <w:spacing w:val="0"/>
          <w:sz w:val="26"/>
          <w:u w:val="single"/>
          <w:rtl/>
        </w:rPr>
        <w:t>מסחריות</w:t>
      </w:r>
      <w:r w:rsidRPr="007200B1">
        <w:rPr>
          <w:spacing w:val="0"/>
          <w:sz w:val="26"/>
          <w:u w:val="single"/>
          <w:rtl/>
        </w:rPr>
        <w:t xml:space="preserve"> </w:t>
      </w:r>
      <w:r w:rsidRPr="007200B1">
        <w:rPr>
          <w:rFonts w:hint="eastAsia"/>
          <w:spacing w:val="0"/>
          <w:sz w:val="26"/>
          <w:u w:val="single"/>
          <w:rtl/>
        </w:rPr>
        <w:t>לשם</w:t>
      </w:r>
      <w:r w:rsidRPr="007200B1">
        <w:rPr>
          <w:spacing w:val="0"/>
          <w:sz w:val="26"/>
          <w:u w:val="single"/>
          <w:rtl/>
        </w:rPr>
        <w:t xml:space="preserve"> </w:t>
      </w:r>
      <w:r w:rsidRPr="007200B1">
        <w:rPr>
          <w:rFonts w:hint="eastAsia"/>
          <w:spacing w:val="0"/>
          <w:sz w:val="26"/>
          <w:u w:val="single"/>
          <w:rtl/>
        </w:rPr>
        <w:t>הסעת</w:t>
      </w:r>
      <w:r w:rsidRPr="007200B1">
        <w:rPr>
          <w:spacing w:val="0"/>
          <w:sz w:val="26"/>
          <w:u w:val="single"/>
          <w:rtl/>
        </w:rPr>
        <w:t xml:space="preserve"> </w:t>
      </w:r>
      <w:r w:rsidRPr="007200B1">
        <w:rPr>
          <w:rFonts w:hint="eastAsia"/>
          <w:spacing w:val="0"/>
          <w:sz w:val="26"/>
          <w:u w:val="single"/>
          <w:rtl/>
        </w:rPr>
        <w:t>נוסעים</w:t>
      </w:r>
      <w:r w:rsidRPr="007200B1">
        <w:rPr>
          <w:spacing w:val="0"/>
          <w:sz w:val="26"/>
          <w:u w:val="single"/>
          <w:rtl/>
        </w:rPr>
        <w:t xml:space="preserve"> </w:t>
      </w:r>
      <w:r w:rsidRPr="007200B1">
        <w:rPr>
          <w:rFonts w:hint="eastAsia"/>
          <w:spacing w:val="0"/>
          <w:sz w:val="26"/>
          <w:u w:val="single"/>
          <w:rtl/>
        </w:rPr>
        <w:t>או</w:t>
      </w:r>
      <w:r w:rsidRPr="007200B1">
        <w:rPr>
          <w:spacing w:val="0"/>
          <w:sz w:val="26"/>
          <w:u w:val="single"/>
          <w:rtl/>
        </w:rPr>
        <w:t xml:space="preserve"> </w:t>
      </w:r>
      <w:r w:rsidRPr="007200B1">
        <w:rPr>
          <w:rFonts w:hint="eastAsia"/>
          <w:spacing w:val="0"/>
          <w:sz w:val="26"/>
          <w:u w:val="single"/>
          <w:rtl/>
        </w:rPr>
        <w:t>הובלת</w:t>
      </w:r>
      <w:r w:rsidRPr="007200B1">
        <w:rPr>
          <w:spacing w:val="0"/>
          <w:sz w:val="26"/>
          <w:u w:val="single"/>
          <w:rtl/>
        </w:rPr>
        <w:t xml:space="preserve"> </w:t>
      </w:r>
      <w:r w:rsidRPr="007200B1">
        <w:rPr>
          <w:rFonts w:hint="eastAsia"/>
          <w:spacing w:val="0"/>
          <w:sz w:val="26"/>
          <w:u w:val="single"/>
          <w:rtl/>
        </w:rPr>
        <w:t>טובין</w:t>
      </w:r>
      <w:r w:rsidRPr="007200B1">
        <w:rPr>
          <w:spacing w:val="0"/>
          <w:sz w:val="26"/>
          <w:u w:val="single"/>
          <w:rtl/>
        </w:rPr>
        <w:t>:</w:t>
      </w:r>
    </w:p>
    <w:p w:rsidR="00850DF2" w:rsidRPr="007200B1" w:rsidRDefault="00850DF2" w:rsidP="00850DF2">
      <w:pPr>
        <w:pStyle w:val="HeadDivreiHesber"/>
        <w:ind w:firstLine="60"/>
        <w:jc w:val="both"/>
        <w:rPr>
          <w:spacing w:val="0"/>
          <w:sz w:val="26"/>
          <w:rtl/>
        </w:rPr>
      </w:pPr>
      <w:r w:rsidRPr="007200B1">
        <w:rPr>
          <w:rFonts w:hint="cs"/>
          <w:spacing w:val="0"/>
          <w:sz w:val="26"/>
          <w:rtl/>
        </w:rPr>
        <w:t>סעיף 8ג לחוק רישוי שירותי התעופה, התשכ"ג- 1963</w:t>
      </w:r>
      <w:r w:rsidRPr="007200B1">
        <w:rPr>
          <w:rStyle w:val="a5"/>
          <w:spacing w:val="0"/>
          <w:sz w:val="26"/>
          <w:rtl/>
        </w:rPr>
        <w:footnoteReference w:id="2"/>
      </w:r>
      <w:r w:rsidRPr="007200B1">
        <w:rPr>
          <w:rFonts w:hint="cs"/>
          <w:spacing w:val="0"/>
          <w:sz w:val="26"/>
          <w:rtl/>
        </w:rPr>
        <w:t xml:space="preserve">   (להלן- "</w:t>
      </w:r>
      <w:r w:rsidRPr="007200B1">
        <w:rPr>
          <w:rFonts w:hint="eastAsia"/>
          <w:b w:val="0"/>
          <w:bCs/>
          <w:spacing w:val="0"/>
          <w:sz w:val="26"/>
          <w:rtl/>
        </w:rPr>
        <w:t>חוק</w:t>
      </w:r>
      <w:r w:rsidRPr="007200B1">
        <w:rPr>
          <w:b w:val="0"/>
          <w:bCs/>
          <w:spacing w:val="0"/>
          <w:sz w:val="26"/>
          <w:rtl/>
        </w:rPr>
        <w:t xml:space="preserve"> </w:t>
      </w:r>
      <w:r w:rsidRPr="007200B1">
        <w:rPr>
          <w:rFonts w:hint="eastAsia"/>
          <w:b w:val="0"/>
          <w:bCs/>
          <w:spacing w:val="0"/>
          <w:sz w:val="26"/>
          <w:rtl/>
        </w:rPr>
        <w:t>רישוי</w:t>
      </w:r>
      <w:r w:rsidRPr="007200B1">
        <w:rPr>
          <w:b w:val="0"/>
          <w:bCs/>
          <w:spacing w:val="0"/>
          <w:sz w:val="26"/>
          <w:rtl/>
        </w:rPr>
        <w:t xml:space="preserve"> </w:t>
      </w:r>
      <w:r w:rsidRPr="007200B1">
        <w:rPr>
          <w:rFonts w:hint="eastAsia"/>
          <w:b w:val="0"/>
          <w:bCs/>
          <w:spacing w:val="0"/>
          <w:sz w:val="26"/>
          <w:rtl/>
        </w:rPr>
        <w:t>שירותי</w:t>
      </w:r>
      <w:r w:rsidRPr="007200B1">
        <w:rPr>
          <w:b w:val="0"/>
          <w:bCs/>
          <w:spacing w:val="0"/>
          <w:sz w:val="26"/>
          <w:rtl/>
        </w:rPr>
        <w:t xml:space="preserve"> </w:t>
      </w:r>
      <w:r w:rsidRPr="007200B1">
        <w:rPr>
          <w:rFonts w:hint="eastAsia"/>
          <w:b w:val="0"/>
          <w:bCs/>
          <w:spacing w:val="0"/>
          <w:sz w:val="26"/>
          <w:rtl/>
        </w:rPr>
        <w:t>התעופה</w:t>
      </w:r>
      <w:r w:rsidRPr="007200B1">
        <w:rPr>
          <w:rFonts w:hint="cs"/>
          <w:spacing w:val="0"/>
          <w:sz w:val="26"/>
          <w:rtl/>
        </w:rPr>
        <w:t xml:space="preserve">")  קובע כי מפעיל ישראלי ומפעיל זר של כלי טיס לא יפעילו כלי טיס בהפעלה מסחרית לשם הסעת נוסעים או הובלת טובין בתמורה, מישראל, אליה או בשטחה, אלא אם כן בידם היתר לכך מאת המנהל (היתר הפעלה) ובהתאם לתנאי ההיתר. היתר הפעלה ניתן לתקופה קצובה, לכל יעד שהמפעיל מורשה לטוס </w:t>
      </w:r>
      <w:r w:rsidRPr="007200B1">
        <w:rPr>
          <w:rFonts w:hint="cs"/>
          <w:spacing w:val="0"/>
          <w:sz w:val="26"/>
          <w:rtl/>
        </w:rPr>
        <w:lastRenderedPageBreak/>
        <w:t>אליו, הן לטיסות סדירות והן לטיסות שכר.</w:t>
      </w:r>
    </w:p>
    <w:p w:rsidR="00850DF2" w:rsidRDefault="00850DF2" w:rsidP="00850DF2">
      <w:pPr>
        <w:pStyle w:val="HeadDivreiHesber"/>
        <w:jc w:val="both"/>
        <w:rPr>
          <w:b w:val="0"/>
          <w:spacing w:val="0"/>
          <w:rtl/>
        </w:rPr>
      </w:pPr>
      <w:r w:rsidRPr="007200B1">
        <w:rPr>
          <w:b w:val="0"/>
          <w:spacing w:val="0"/>
          <w:rtl/>
        </w:rPr>
        <w:t xml:space="preserve">טיסת שכר – </w:t>
      </w:r>
      <w:r w:rsidRPr="007200B1">
        <w:rPr>
          <w:rFonts w:hint="cs"/>
          <w:b w:val="0"/>
          <w:spacing w:val="0"/>
          <w:rtl/>
        </w:rPr>
        <w:t xml:space="preserve">מוגדרת </w:t>
      </w:r>
      <w:r>
        <w:rPr>
          <w:rFonts w:hint="cs"/>
          <w:b w:val="0"/>
          <w:spacing w:val="0"/>
          <w:rtl/>
        </w:rPr>
        <w:t>ב</w:t>
      </w:r>
      <w:r w:rsidRPr="007200B1">
        <w:rPr>
          <w:rFonts w:hint="cs"/>
          <w:b w:val="0"/>
          <w:spacing w:val="0"/>
          <w:rtl/>
        </w:rPr>
        <w:t>תקנה 1 (תקנת ההגדרות) לתקנות טיסות שכר</w:t>
      </w:r>
      <w:r>
        <w:rPr>
          <w:rFonts w:hint="cs"/>
          <w:b w:val="0"/>
          <w:spacing w:val="0"/>
          <w:rtl/>
        </w:rPr>
        <w:t xml:space="preserve">,   </w:t>
      </w:r>
      <w:r w:rsidRPr="007200B1">
        <w:rPr>
          <w:rFonts w:hint="cs"/>
          <w:b w:val="0"/>
          <w:spacing w:val="0"/>
          <w:rtl/>
        </w:rPr>
        <w:t xml:space="preserve">כך: "טיסה שבה שוכרים מארגן או מארגנים במשותף את כל קיבולת כלי הטיס לשם מכירתה לאחרים או שבה אדם שוכר את כל קיבולת כלי הטיס לשימוש עצמי". </w:t>
      </w:r>
    </w:p>
    <w:p w:rsidR="00850DF2" w:rsidRDefault="00850DF2" w:rsidP="00850DF2">
      <w:pPr>
        <w:pStyle w:val="HeadDivreiHesber"/>
        <w:jc w:val="both"/>
        <w:rPr>
          <w:spacing w:val="0"/>
          <w:sz w:val="26"/>
          <w:rtl/>
        </w:rPr>
      </w:pPr>
      <w:r w:rsidRPr="00286852">
        <w:rPr>
          <w:rFonts w:hint="cs"/>
          <w:spacing w:val="0"/>
          <w:sz w:val="26"/>
          <w:rtl/>
        </w:rPr>
        <w:t>תקנה 2 (א)(2) לתקנות טיסות השכר קובעת כי לא תופעל טיסת שכר אלא אם היא מותרת בתקנה 4</w:t>
      </w:r>
      <w:r>
        <w:rPr>
          <w:rFonts w:hint="cs"/>
          <w:spacing w:val="0"/>
          <w:sz w:val="26"/>
          <w:rtl/>
        </w:rPr>
        <w:t xml:space="preserve"> לתקנות טיסות השכר,</w:t>
      </w:r>
      <w:r w:rsidRPr="00286852">
        <w:rPr>
          <w:rFonts w:hint="cs"/>
          <w:spacing w:val="0"/>
          <w:sz w:val="26"/>
          <w:rtl/>
        </w:rPr>
        <w:t xml:space="preserve"> וניתן לגביה </w:t>
      </w:r>
      <w:r w:rsidRPr="00286852">
        <w:rPr>
          <w:rFonts w:hint="cs"/>
          <w:b w:val="0"/>
          <w:bCs/>
          <w:spacing w:val="0"/>
          <w:sz w:val="26"/>
          <w:rtl/>
        </w:rPr>
        <w:t>אישור מראש ובכתב מאת המנהל</w:t>
      </w:r>
      <w:r w:rsidRPr="00286852">
        <w:rPr>
          <w:rFonts w:hint="cs"/>
          <w:spacing w:val="0"/>
          <w:sz w:val="26"/>
          <w:rtl/>
        </w:rPr>
        <w:t>.</w:t>
      </w:r>
    </w:p>
    <w:p w:rsidR="00850DF2" w:rsidRDefault="00850DF2" w:rsidP="00850DF2">
      <w:pPr>
        <w:pStyle w:val="HeadDivreiHesber"/>
        <w:jc w:val="both"/>
        <w:rPr>
          <w:spacing w:val="0"/>
          <w:sz w:val="26"/>
          <w:rtl/>
        </w:rPr>
      </w:pPr>
      <w:r>
        <w:rPr>
          <w:rFonts w:hint="cs"/>
          <w:spacing w:val="0"/>
          <w:sz w:val="26"/>
          <w:rtl/>
        </w:rPr>
        <w:t>תקנות טיסות השכר מסדירות את התנאים וההליכים למתן אישור לטיסת שכר, וכן חובות ומגבלות החלות בהקשר שלה פעלת טיסת שכר מישראל או אליה. בעבר, האישור לטיסות שכר ניתן בצורת היתר הפעלה עונתי,  שהסטטוס המשפטי שלו היה כחלק מרישיון ההפעלה המסחרי שניתן למפעיל לפי סעיף 2(א) לחוק הרישוי.</w:t>
      </w:r>
    </w:p>
    <w:p w:rsidR="00850DF2" w:rsidRDefault="00850DF2" w:rsidP="00850DF2">
      <w:pPr>
        <w:pStyle w:val="HeadDivreiHesber"/>
        <w:jc w:val="both"/>
        <w:rPr>
          <w:spacing w:val="0"/>
          <w:sz w:val="26"/>
          <w:rtl/>
        </w:rPr>
      </w:pPr>
      <w:r>
        <w:rPr>
          <w:rFonts w:hint="cs"/>
          <w:spacing w:val="0"/>
          <w:sz w:val="26"/>
          <w:rtl/>
        </w:rPr>
        <w:t xml:space="preserve">בשנת תשע"א תוקן חוק רישוי שירותי התעופה, בין השאר באופן שבו:  </w:t>
      </w:r>
    </w:p>
    <w:p w:rsidR="00850DF2" w:rsidRDefault="00850DF2" w:rsidP="00850DF2">
      <w:pPr>
        <w:pStyle w:val="HeadDivreiHesber"/>
        <w:numPr>
          <w:ilvl w:val="0"/>
          <w:numId w:val="5"/>
        </w:numPr>
        <w:jc w:val="both"/>
        <w:rPr>
          <w:spacing w:val="0"/>
          <w:sz w:val="26"/>
        </w:rPr>
      </w:pPr>
      <w:r>
        <w:rPr>
          <w:rFonts w:hint="cs"/>
          <w:spacing w:val="0"/>
          <w:sz w:val="26"/>
          <w:rtl/>
        </w:rPr>
        <w:t>הוגדרו "מפעיל ישראלי" ו"מפעיל זר";</w:t>
      </w:r>
    </w:p>
    <w:p w:rsidR="00850DF2" w:rsidRDefault="00850DF2" w:rsidP="00850DF2">
      <w:pPr>
        <w:pStyle w:val="HeadDivreiHesber"/>
        <w:numPr>
          <w:ilvl w:val="0"/>
          <w:numId w:val="5"/>
        </w:numPr>
        <w:jc w:val="both"/>
        <w:rPr>
          <w:spacing w:val="0"/>
          <w:sz w:val="26"/>
        </w:rPr>
      </w:pPr>
      <w:r>
        <w:rPr>
          <w:rFonts w:hint="cs"/>
          <w:spacing w:val="0"/>
          <w:sz w:val="26"/>
          <w:rtl/>
        </w:rPr>
        <w:t>בוטל הצורך ברישיון הפעלה מסחרי לפי סעיף 2 לחוק רישוי שירותי התעופה למפעיל זר ;</w:t>
      </w:r>
    </w:p>
    <w:p w:rsidR="00850DF2" w:rsidRDefault="00850DF2" w:rsidP="00850DF2">
      <w:pPr>
        <w:pStyle w:val="HeadDivreiHesber"/>
        <w:numPr>
          <w:ilvl w:val="0"/>
          <w:numId w:val="5"/>
        </w:numPr>
        <w:jc w:val="both"/>
        <w:rPr>
          <w:spacing w:val="0"/>
          <w:sz w:val="26"/>
          <w:rtl/>
        </w:rPr>
      </w:pPr>
      <w:r>
        <w:rPr>
          <w:rFonts w:hint="cs"/>
          <w:spacing w:val="0"/>
          <w:sz w:val="26"/>
          <w:rtl/>
        </w:rPr>
        <w:t xml:space="preserve">נקבעה בסעיף 8ג חובת היתר הפעלה מאת מנהל  רת"א לכל מפעיל אווירי ישראלי או  זר, המפעיל </w:t>
      </w:r>
      <w:r w:rsidRPr="007200B1">
        <w:rPr>
          <w:rFonts w:hint="cs"/>
          <w:spacing w:val="0"/>
          <w:sz w:val="26"/>
          <w:rtl/>
        </w:rPr>
        <w:t>כלי טיס בהפעלה מסחרית לשם הסעת נוסעים או הובלת טובין בתמורה, מישראל, אליה או בשטחה</w:t>
      </w:r>
      <w:r>
        <w:rPr>
          <w:rFonts w:hint="cs"/>
          <w:spacing w:val="0"/>
          <w:sz w:val="26"/>
          <w:rtl/>
        </w:rPr>
        <w:t xml:space="preserve">. </w:t>
      </w:r>
      <w:r w:rsidRPr="007200B1">
        <w:rPr>
          <w:rFonts w:hint="cs"/>
          <w:spacing w:val="0"/>
          <w:sz w:val="26"/>
          <w:rtl/>
        </w:rPr>
        <w:t>היתר הפעלה ניתן לתקופה קצובה, לכל יעד שהמפעיל מורשה לטוס אליו, הן לטיסות סדירות והן לטיסות שכר.</w:t>
      </w:r>
    </w:p>
    <w:p w:rsidR="00850DF2" w:rsidRDefault="00850DF2" w:rsidP="00850DF2">
      <w:pPr>
        <w:pStyle w:val="HeadDivreiHesber"/>
        <w:jc w:val="both"/>
        <w:rPr>
          <w:spacing w:val="0"/>
          <w:sz w:val="26"/>
          <w:rtl/>
        </w:rPr>
      </w:pPr>
      <w:r>
        <w:rPr>
          <w:rFonts w:hint="cs"/>
          <w:spacing w:val="0"/>
          <w:sz w:val="26"/>
          <w:rtl/>
        </w:rPr>
        <w:t xml:space="preserve">מאז תיקון תשע"א לחוק רישוי שירותי תעופה, אישור לטיסות שכר מוצא כהיתר הפעלה לפי סעיף 8ג לחוק הרישוי, לטיסות שכר בין-לאומיות;  </w:t>
      </w:r>
    </w:p>
    <w:p w:rsidR="00850DF2" w:rsidRPr="007200B1" w:rsidRDefault="00850DF2" w:rsidP="00850DF2">
      <w:pPr>
        <w:pStyle w:val="HeadDivreiHesber"/>
        <w:jc w:val="both"/>
        <w:rPr>
          <w:b w:val="0"/>
          <w:spacing w:val="0"/>
          <w:rtl/>
        </w:rPr>
      </w:pPr>
      <w:r w:rsidRPr="007200B1">
        <w:rPr>
          <w:rFonts w:hint="cs"/>
          <w:b w:val="0"/>
          <w:spacing w:val="0"/>
          <w:rtl/>
        </w:rPr>
        <w:t xml:space="preserve">תקנה 32 לתקנות </w:t>
      </w:r>
      <w:r w:rsidRPr="007200B1">
        <w:rPr>
          <w:b w:val="0"/>
          <w:spacing w:val="0"/>
          <w:rtl/>
        </w:rPr>
        <w:t>הטיס (אגרות רישום, רישוי ותיעוד)</w:t>
      </w:r>
      <w:r w:rsidRPr="007200B1">
        <w:rPr>
          <w:rFonts w:hint="cs"/>
          <w:b w:val="0"/>
          <w:spacing w:val="0"/>
          <w:rtl/>
        </w:rPr>
        <w:t>,</w:t>
      </w:r>
      <w:r w:rsidRPr="007200B1" w:rsidDel="00F81D8E">
        <w:rPr>
          <w:rFonts w:hint="cs"/>
          <w:b w:val="0"/>
          <w:spacing w:val="0"/>
          <w:rtl/>
        </w:rPr>
        <w:t xml:space="preserve"> </w:t>
      </w:r>
      <w:r w:rsidRPr="007200B1">
        <w:rPr>
          <w:b w:val="0"/>
          <w:spacing w:val="0"/>
          <w:rtl/>
        </w:rPr>
        <w:t>התש</w:t>
      </w:r>
      <w:r w:rsidRPr="007200B1">
        <w:rPr>
          <w:rFonts w:hint="cs"/>
          <w:b w:val="0"/>
          <w:spacing w:val="0"/>
          <w:rtl/>
        </w:rPr>
        <w:t xml:space="preserve">"ע </w:t>
      </w:r>
      <w:r w:rsidRPr="007200B1">
        <w:rPr>
          <w:b w:val="0"/>
          <w:spacing w:val="0"/>
          <w:rtl/>
        </w:rPr>
        <w:t>–</w:t>
      </w:r>
      <w:r w:rsidRPr="007200B1">
        <w:rPr>
          <w:rFonts w:hint="cs"/>
          <w:b w:val="0"/>
          <w:spacing w:val="0"/>
          <w:rtl/>
        </w:rPr>
        <w:t xml:space="preserve"> 2009 (להלן- "</w:t>
      </w:r>
      <w:r w:rsidRPr="007200B1">
        <w:rPr>
          <w:rFonts w:hint="eastAsia"/>
          <w:bCs/>
          <w:spacing w:val="0"/>
          <w:rtl/>
        </w:rPr>
        <w:t>התקנות</w:t>
      </w:r>
      <w:r>
        <w:rPr>
          <w:rFonts w:hint="cs"/>
          <w:bCs/>
          <w:spacing w:val="0"/>
          <w:rtl/>
        </w:rPr>
        <w:t xml:space="preserve"> העיקריות</w:t>
      </w:r>
      <w:r w:rsidRPr="007200B1">
        <w:rPr>
          <w:rFonts w:hint="cs"/>
          <w:bCs/>
          <w:spacing w:val="0"/>
          <w:rtl/>
        </w:rPr>
        <w:t>"</w:t>
      </w:r>
      <w:r w:rsidRPr="007200B1">
        <w:rPr>
          <w:rFonts w:hint="cs"/>
          <w:b w:val="0"/>
          <w:spacing w:val="0"/>
          <w:rtl/>
        </w:rPr>
        <w:t>) מסדירה תשלום אגרות לרשות התעופה האזרחית (להלן- "</w:t>
      </w:r>
      <w:r w:rsidRPr="007200B1">
        <w:rPr>
          <w:rFonts w:hint="eastAsia"/>
          <w:bCs/>
          <w:spacing w:val="0"/>
          <w:rtl/>
        </w:rPr>
        <w:t>רת</w:t>
      </w:r>
      <w:r w:rsidRPr="007200B1">
        <w:rPr>
          <w:bCs/>
          <w:spacing w:val="0"/>
          <w:rtl/>
        </w:rPr>
        <w:t>"א</w:t>
      </w:r>
      <w:r w:rsidRPr="007200B1">
        <w:rPr>
          <w:rFonts w:hint="cs"/>
          <w:b w:val="0"/>
          <w:spacing w:val="0"/>
          <w:rtl/>
        </w:rPr>
        <w:t xml:space="preserve">") בגין </w:t>
      </w:r>
      <w:r>
        <w:rPr>
          <w:rFonts w:hint="cs"/>
          <w:b w:val="0"/>
          <w:spacing w:val="0"/>
          <w:rtl/>
        </w:rPr>
        <w:t>מתן אישור לטיסות שכר, אשר כאמור, לאחר תיקון תשע"א לחוק רישוי שירותי התעופה, מוצא כ</w:t>
      </w:r>
      <w:r w:rsidRPr="007200B1">
        <w:rPr>
          <w:rFonts w:hint="cs"/>
          <w:b w:val="0"/>
          <w:spacing w:val="0"/>
          <w:rtl/>
        </w:rPr>
        <w:t xml:space="preserve">היתר הפעלה </w:t>
      </w:r>
      <w:r>
        <w:rPr>
          <w:rFonts w:hint="cs"/>
          <w:b w:val="0"/>
          <w:spacing w:val="0"/>
          <w:rtl/>
        </w:rPr>
        <w:t xml:space="preserve">לביצוע </w:t>
      </w:r>
      <w:r w:rsidRPr="007200B1">
        <w:rPr>
          <w:rFonts w:hint="cs"/>
          <w:b w:val="0"/>
          <w:spacing w:val="0"/>
          <w:rtl/>
        </w:rPr>
        <w:t>טיסות שכר בין-לאומיות.</w:t>
      </w:r>
    </w:p>
    <w:p w:rsidR="00850DF2" w:rsidRPr="007200B1" w:rsidRDefault="00850DF2" w:rsidP="00850DF2">
      <w:pPr>
        <w:pStyle w:val="HeadDivreiHesber"/>
        <w:jc w:val="both"/>
        <w:rPr>
          <w:b w:val="0"/>
          <w:spacing w:val="0"/>
          <w:rtl/>
        </w:rPr>
      </w:pPr>
      <w:r w:rsidRPr="007200B1">
        <w:rPr>
          <w:rFonts w:hint="cs"/>
          <w:b w:val="0"/>
          <w:spacing w:val="0"/>
          <w:rtl/>
        </w:rPr>
        <w:t>לשם הוצאת היתר הפעלה לביצוע טיסת שכר בין</w:t>
      </w:r>
      <w:r>
        <w:rPr>
          <w:rFonts w:hint="cs"/>
          <w:b w:val="0"/>
          <w:spacing w:val="0"/>
          <w:rtl/>
        </w:rPr>
        <w:t>-</w:t>
      </w:r>
      <w:r w:rsidRPr="007200B1">
        <w:rPr>
          <w:rFonts w:hint="cs"/>
          <w:b w:val="0"/>
          <w:spacing w:val="0"/>
          <w:rtl/>
        </w:rPr>
        <w:t>לאומית יש להגיש בקשה לאגף קשרי תעופה בינלאומיים ברת"א  (להלן- "</w:t>
      </w:r>
      <w:r w:rsidRPr="007200B1">
        <w:rPr>
          <w:rFonts w:hint="eastAsia"/>
          <w:bCs/>
          <w:spacing w:val="0"/>
          <w:rtl/>
        </w:rPr>
        <w:t>האגף</w:t>
      </w:r>
      <w:r w:rsidRPr="007200B1">
        <w:rPr>
          <w:rFonts w:hint="cs"/>
          <w:b w:val="0"/>
          <w:spacing w:val="0"/>
          <w:rtl/>
        </w:rPr>
        <w:t xml:space="preserve">").  </w:t>
      </w:r>
    </w:p>
    <w:p w:rsidR="00850DF2" w:rsidRPr="007200B1" w:rsidRDefault="00850DF2" w:rsidP="00850DF2">
      <w:pPr>
        <w:pStyle w:val="HeadDivreiHesber"/>
        <w:jc w:val="both"/>
        <w:rPr>
          <w:b w:val="0"/>
          <w:spacing w:val="0"/>
          <w:rtl/>
        </w:rPr>
      </w:pPr>
      <w:r w:rsidRPr="007200B1">
        <w:rPr>
          <w:rFonts w:hint="cs"/>
          <w:b w:val="0"/>
          <w:spacing w:val="0"/>
          <w:rtl/>
        </w:rPr>
        <w:t xml:space="preserve">אופן הוצאת היתר ההפעלה </w:t>
      </w:r>
      <w:r>
        <w:rPr>
          <w:rFonts w:hint="cs"/>
          <w:b w:val="0"/>
          <w:spacing w:val="0"/>
          <w:rtl/>
        </w:rPr>
        <w:t>מוגדר ב</w:t>
      </w:r>
      <w:r w:rsidRPr="007200B1">
        <w:rPr>
          <w:rFonts w:hint="cs"/>
          <w:b w:val="0"/>
          <w:spacing w:val="0"/>
          <w:rtl/>
        </w:rPr>
        <w:t xml:space="preserve">נוהל רת"א מספר  </w:t>
      </w:r>
      <w:r w:rsidRPr="007200B1">
        <w:rPr>
          <w:b w:val="0"/>
          <w:spacing w:val="0"/>
        </w:rPr>
        <w:t>AT 1.1.402</w:t>
      </w:r>
      <w:r w:rsidRPr="007200B1">
        <w:rPr>
          <w:rFonts w:hint="cs"/>
          <w:b w:val="0"/>
          <w:spacing w:val="0"/>
          <w:rtl/>
        </w:rPr>
        <w:t xml:space="preserve"> "</w:t>
      </w:r>
      <w:r w:rsidRPr="007200B1">
        <w:rPr>
          <w:b w:val="0"/>
          <w:spacing w:val="0"/>
          <w:rtl/>
        </w:rPr>
        <w:t xml:space="preserve">מתן היתר הפעלה לביצוע טיסות </w:t>
      </w:r>
      <w:r w:rsidRPr="007200B1">
        <w:rPr>
          <w:b w:val="0"/>
          <w:spacing w:val="0"/>
          <w:rtl/>
        </w:rPr>
        <w:lastRenderedPageBreak/>
        <w:t>שכר למדינת ישראל וממנה</w:t>
      </w:r>
      <w:r w:rsidRPr="007200B1">
        <w:rPr>
          <w:rFonts w:hint="cs"/>
          <w:b w:val="0"/>
          <w:spacing w:val="0"/>
          <w:rtl/>
        </w:rPr>
        <w:t>"</w:t>
      </w:r>
      <w:r>
        <w:rPr>
          <w:rFonts w:hint="cs"/>
          <w:b w:val="0"/>
          <w:spacing w:val="0"/>
          <w:rtl/>
        </w:rPr>
        <w:t xml:space="preserve">  המפורסם לעיון הציבור באתר האינטרנט של רת"א (להלן-  "</w:t>
      </w:r>
      <w:r w:rsidRPr="007200B1">
        <w:rPr>
          <w:rFonts w:hint="cs"/>
          <w:bCs/>
          <w:spacing w:val="0"/>
          <w:rtl/>
        </w:rPr>
        <w:t>הנוהל</w:t>
      </w:r>
      <w:r>
        <w:rPr>
          <w:rFonts w:hint="cs"/>
          <w:b w:val="0"/>
          <w:spacing w:val="0"/>
          <w:rtl/>
        </w:rPr>
        <w:t>")</w:t>
      </w:r>
      <w:r w:rsidRPr="007200B1">
        <w:rPr>
          <w:rFonts w:hint="cs"/>
          <w:b w:val="0"/>
          <w:spacing w:val="0"/>
          <w:rtl/>
        </w:rPr>
        <w:t>.</w:t>
      </w:r>
    </w:p>
    <w:p w:rsidR="00850DF2" w:rsidRPr="007200B1" w:rsidRDefault="00850DF2" w:rsidP="00850DF2">
      <w:pPr>
        <w:pStyle w:val="HeadDivreiHesber"/>
        <w:jc w:val="both"/>
        <w:rPr>
          <w:b w:val="0"/>
          <w:spacing w:val="0"/>
          <w:rtl/>
        </w:rPr>
      </w:pPr>
      <w:r w:rsidRPr="007200B1">
        <w:rPr>
          <w:rFonts w:hint="cs"/>
          <w:b w:val="0"/>
          <w:spacing w:val="0"/>
          <w:rtl/>
        </w:rPr>
        <w:t xml:space="preserve">אחד מהתנאים לקבלת היתר הפעלה כאמור </w:t>
      </w:r>
      <w:r>
        <w:rPr>
          <w:rFonts w:hint="cs"/>
          <w:b w:val="0"/>
          <w:spacing w:val="0"/>
          <w:rtl/>
        </w:rPr>
        <w:t xml:space="preserve">לפי הנוהל </w:t>
      </w:r>
      <w:r w:rsidRPr="007200B1">
        <w:rPr>
          <w:rFonts w:hint="cs"/>
          <w:b w:val="0"/>
          <w:spacing w:val="0"/>
          <w:rtl/>
        </w:rPr>
        <w:t>הוא תשלום אגרה, בהתאם לתעריפים הנקובים בתקנה 32 לתקנות</w:t>
      </w:r>
      <w:r>
        <w:rPr>
          <w:rFonts w:hint="cs"/>
          <w:b w:val="0"/>
          <w:spacing w:val="0"/>
          <w:rtl/>
        </w:rPr>
        <w:t xml:space="preserve"> העיקריות</w:t>
      </w:r>
      <w:r w:rsidRPr="007200B1">
        <w:rPr>
          <w:rFonts w:hint="cs"/>
          <w:b w:val="0"/>
          <w:spacing w:val="0"/>
          <w:rtl/>
        </w:rPr>
        <w:t xml:space="preserve">. </w:t>
      </w:r>
    </w:p>
    <w:p w:rsidR="00850DF2" w:rsidRPr="007200B1" w:rsidRDefault="00850DF2" w:rsidP="00850DF2">
      <w:pPr>
        <w:pStyle w:val="HeadDivreiHesber"/>
        <w:jc w:val="both"/>
        <w:rPr>
          <w:b w:val="0"/>
          <w:spacing w:val="0"/>
          <w:rtl/>
        </w:rPr>
      </w:pPr>
      <w:r w:rsidRPr="007200B1">
        <w:rPr>
          <w:rFonts w:hint="cs"/>
          <w:b w:val="0"/>
          <w:spacing w:val="0"/>
          <w:rtl/>
        </w:rPr>
        <w:t>סכומי האגרות מחושבים לפי מטריצה התלויה בשני משתנים: האחד-  מספר הטיסות המבוקש,  והשני- פרק הזמן לפני המועד המתוכנן לטיסה הראשונה בו הוגשה הבקשה לאגף. שני משתנים אלו הינם המשתנים העיקריים הקובעים את תשומות העבודה הנדרשות מעובדי האגף הרלוונטיים לשם טיפול בבקשה. ככל ש</w:t>
      </w:r>
      <w:r>
        <w:rPr>
          <w:rFonts w:hint="cs"/>
          <w:b w:val="0"/>
          <w:spacing w:val="0"/>
          <w:rtl/>
        </w:rPr>
        <w:t xml:space="preserve">מבקש היתר הפעלה מרכז יותר </w:t>
      </w:r>
      <w:r w:rsidRPr="007200B1">
        <w:rPr>
          <w:rFonts w:hint="cs"/>
          <w:b w:val="0"/>
          <w:spacing w:val="0"/>
          <w:rtl/>
        </w:rPr>
        <w:t xml:space="preserve">טיסות </w:t>
      </w:r>
      <w:r>
        <w:rPr>
          <w:rFonts w:hint="cs"/>
          <w:b w:val="0"/>
          <w:spacing w:val="0"/>
          <w:rtl/>
        </w:rPr>
        <w:t xml:space="preserve">באותה בקשה להיתר </w:t>
      </w:r>
      <w:r w:rsidRPr="007200B1">
        <w:rPr>
          <w:rFonts w:hint="cs"/>
          <w:b w:val="0"/>
          <w:spacing w:val="0"/>
          <w:rtl/>
        </w:rPr>
        <w:t xml:space="preserve">הפעלה, </w:t>
      </w:r>
      <w:r>
        <w:rPr>
          <w:rFonts w:hint="cs"/>
          <w:b w:val="0"/>
          <w:spacing w:val="0"/>
          <w:rtl/>
        </w:rPr>
        <w:t xml:space="preserve">ולא מגיש בקשה נפרדת לכל טיסה, </w:t>
      </w:r>
      <w:r w:rsidRPr="007200B1">
        <w:rPr>
          <w:rFonts w:hint="cs"/>
          <w:b w:val="0"/>
          <w:spacing w:val="0"/>
          <w:rtl/>
        </w:rPr>
        <w:t xml:space="preserve">הדבר מצריך פחות משאבי כוח אדם.  ככל שהטיסות מוגשות זמן רב יותר מראש, כך ניתן  לתכנן את הקצאת תשומות העבודה באגף בצורה יעילה ונוחה יותר. </w:t>
      </w:r>
    </w:p>
    <w:p w:rsidR="00850DF2" w:rsidRPr="007200B1" w:rsidRDefault="00850DF2" w:rsidP="00850DF2">
      <w:pPr>
        <w:pStyle w:val="HeadDivreiHesber"/>
        <w:jc w:val="both"/>
        <w:rPr>
          <w:b w:val="0"/>
          <w:spacing w:val="0"/>
          <w:rtl/>
        </w:rPr>
      </w:pPr>
      <w:r w:rsidRPr="007200B1">
        <w:rPr>
          <w:rFonts w:hint="cs"/>
          <w:b w:val="0"/>
          <w:spacing w:val="0"/>
          <w:rtl/>
        </w:rPr>
        <w:t>סכומי האגרות צמודים למדד המחירים לצרכן ומתעדכנים ב-1 לינואר מידי שנה.</w:t>
      </w:r>
    </w:p>
    <w:p w:rsidR="00850DF2" w:rsidRPr="007200B1" w:rsidRDefault="00850DF2" w:rsidP="00850DF2">
      <w:pPr>
        <w:pStyle w:val="HeadDivreiHesber"/>
        <w:numPr>
          <w:ilvl w:val="0"/>
          <w:numId w:val="3"/>
        </w:numPr>
        <w:jc w:val="both"/>
        <w:rPr>
          <w:spacing w:val="0"/>
          <w:u w:val="single"/>
          <w:rtl/>
        </w:rPr>
      </w:pPr>
      <w:r>
        <w:rPr>
          <w:rFonts w:hint="cs"/>
          <w:u w:val="single"/>
          <w:rtl/>
        </w:rPr>
        <w:t xml:space="preserve">לסעיפים 1 ו- 3  -   הזזת כותרת המשנה-  הפרק ה- 7 </w:t>
      </w:r>
      <w:r w:rsidRPr="007200B1">
        <w:rPr>
          <w:spacing w:val="0"/>
          <w:u w:val="single"/>
          <w:rtl/>
        </w:rPr>
        <w:t>:</w:t>
      </w:r>
    </w:p>
    <w:p w:rsidR="00850DF2" w:rsidRDefault="00850DF2" w:rsidP="00850DF2">
      <w:pPr>
        <w:pStyle w:val="HeadDivreiHesber"/>
        <w:ind w:left="360"/>
        <w:jc w:val="both"/>
        <w:rPr>
          <w:b w:val="0"/>
          <w:spacing w:val="0"/>
          <w:rtl/>
        </w:rPr>
      </w:pPr>
      <w:r>
        <w:rPr>
          <w:rFonts w:hint="cs"/>
          <w:b w:val="0"/>
          <w:spacing w:val="0"/>
          <w:rtl/>
        </w:rPr>
        <w:t xml:space="preserve">בעוד כותרת הפרק השישי של תקנות האגרות דנה באגרות שרת"א מוסמכת לגבות מכוח תקנות הטיס (הפעלת כלי טיס וכללי טיס), התשמ"ב </w:t>
      </w:r>
      <w:r>
        <w:rPr>
          <w:b w:val="0"/>
          <w:spacing w:val="0"/>
          <w:rtl/>
        </w:rPr>
        <w:t>–</w:t>
      </w:r>
      <w:r>
        <w:rPr>
          <w:rFonts w:hint="cs"/>
          <w:b w:val="0"/>
          <w:spacing w:val="0"/>
          <w:rtl/>
        </w:rPr>
        <w:t xml:space="preserve"> 1981 </w:t>
      </w:r>
      <w:r>
        <w:rPr>
          <w:rStyle w:val="a5"/>
          <w:b w:val="0"/>
          <w:spacing w:val="0"/>
          <w:rtl/>
        </w:rPr>
        <w:footnoteReference w:id="3"/>
      </w:r>
      <w:r>
        <w:rPr>
          <w:rFonts w:hint="cs"/>
          <w:b w:val="0"/>
          <w:spacing w:val="0"/>
          <w:rtl/>
        </w:rPr>
        <w:t xml:space="preserve"> (להלן- </w:t>
      </w:r>
      <w:r w:rsidRPr="0065020B">
        <w:rPr>
          <w:rFonts w:hint="cs"/>
          <w:bCs/>
          <w:spacing w:val="0"/>
          <w:rtl/>
        </w:rPr>
        <w:t>תקנות ההפעלה</w:t>
      </w:r>
      <w:r>
        <w:rPr>
          <w:rFonts w:hint="cs"/>
          <w:b w:val="0"/>
          <w:spacing w:val="0"/>
          <w:rtl/>
        </w:rPr>
        <w:t xml:space="preserve">) וחוק רישוי שירותי תעופה,  הרי שכותרת הפרק השביעי של תקנות האגרות דנה באגרות שרת"א מוסמכת לגבות מכוח תקנות טיסות שכר. </w:t>
      </w:r>
    </w:p>
    <w:p w:rsidR="00850DF2" w:rsidRDefault="00850DF2" w:rsidP="00850DF2">
      <w:pPr>
        <w:pStyle w:val="HeadDivreiHesber"/>
        <w:ind w:left="360"/>
        <w:jc w:val="both"/>
        <w:rPr>
          <w:b w:val="0"/>
          <w:spacing w:val="0"/>
          <w:rtl/>
        </w:rPr>
      </w:pPr>
      <w:r>
        <w:rPr>
          <w:rFonts w:hint="cs"/>
          <w:b w:val="0"/>
          <w:spacing w:val="0"/>
          <w:rtl/>
        </w:rPr>
        <w:t xml:space="preserve">תקנה 32 עניינה באגרות שרת"א מוסמכת לגבות מכוח היותה בעלת הסמכות להעניק היתרי הפעלה למפעילים ישראליים וזרים, לפי הוראת סעיף 8ג לחוק רישוי שירותי התעופה.  בנסיבות אלה, תקנה זו נדרשת להיות כלולה בפרק ה- 6 לתקנות האגרות, שעניינו כאמור באגרות שגובים מכוח חוק רישוי שירותי תעופה ותקנות ההפעלה,  ולא מכוח הפרק ה- 7 שעניינו אגרות שגובים מכוח תקנות טיסות שכר. </w:t>
      </w:r>
    </w:p>
    <w:p w:rsidR="00850DF2" w:rsidRDefault="00850DF2" w:rsidP="00850DF2">
      <w:pPr>
        <w:pStyle w:val="HeadDivreiHesber"/>
        <w:ind w:left="360"/>
        <w:jc w:val="both"/>
        <w:rPr>
          <w:b w:val="0"/>
          <w:spacing w:val="0"/>
          <w:rtl/>
        </w:rPr>
      </w:pPr>
      <w:r>
        <w:rPr>
          <w:rFonts w:hint="cs"/>
          <w:b w:val="0"/>
          <w:spacing w:val="0"/>
          <w:rtl/>
        </w:rPr>
        <w:t xml:space="preserve">לעומת זאת, תקנה 33 הקיימת, אשר לא מבוקש לתקנה, עוסקת באגרות שגובים מכוח תקנות טיסות שכר ועל כן נדרשת להיות, בנפרד, בפרק ה- 7 לתקנות האגרות שעניינו כאמור באגרות שגובים מכוח תקנות טיסות שכר. </w:t>
      </w:r>
    </w:p>
    <w:p w:rsidR="00850DF2" w:rsidRDefault="00850DF2" w:rsidP="00850DF2">
      <w:pPr>
        <w:pStyle w:val="HeadDivreiHesber"/>
        <w:ind w:left="360"/>
        <w:jc w:val="both"/>
        <w:rPr>
          <w:b w:val="0"/>
          <w:spacing w:val="0"/>
          <w:rtl/>
        </w:rPr>
      </w:pPr>
      <w:r>
        <w:rPr>
          <w:rFonts w:hint="cs"/>
          <w:b w:val="0"/>
          <w:spacing w:val="0"/>
          <w:rtl/>
        </w:rPr>
        <w:t xml:space="preserve">על כן, כותרת הפרק ה- 7 הוזזה ממקומה </w:t>
      </w:r>
      <w:r>
        <w:rPr>
          <w:b w:val="0"/>
          <w:spacing w:val="0"/>
          <w:rtl/>
        </w:rPr>
        <w:t>–</w:t>
      </w:r>
      <w:r>
        <w:rPr>
          <w:rFonts w:hint="cs"/>
          <w:b w:val="0"/>
          <w:spacing w:val="0"/>
          <w:rtl/>
        </w:rPr>
        <w:t xml:space="preserve"> במקום לפני תקנה 32 תבוא לאחריה, כך שתכלול רק את תקנה 33, ואילו תקנה 32  תיכלל באופן זה בפרק ה- 6. </w:t>
      </w:r>
    </w:p>
    <w:p w:rsidR="00275BBA" w:rsidRDefault="00275BBA" w:rsidP="00850DF2">
      <w:pPr>
        <w:pStyle w:val="HeadDivreiHesber"/>
        <w:ind w:left="360"/>
        <w:jc w:val="both"/>
        <w:rPr>
          <w:b w:val="0"/>
          <w:spacing w:val="0"/>
          <w:rtl/>
        </w:rPr>
      </w:pPr>
    </w:p>
    <w:p w:rsidR="00275BBA" w:rsidRDefault="00275BBA" w:rsidP="00850DF2">
      <w:pPr>
        <w:pStyle w:val="HeadDivreiHesber"/>
        <w:ind w:left="360"/>
        <w:jc w:val="both"/>
        <w:rPr>
          <w:b w:val="0"/>
          <w:spacing w:val="0"/>
          <w:rtl/>
        </w:rPr>
      </w:pPr>
    </w:p>
    <w:p w:rsidR="00275BBA" w:rsidRDefault="00275BBA" w:rsidP="00850DF2">
      <w:pPr>
        <w:pStyle w:val="HeadDivreiHesber"/>
        <w:ind w:left="360"/>
        <w:jc w:val="both"/>
        <w:rPr>
          <w:b w:val="0"/>
          <w:spacing w:val="0"/>
          <w:rtl/>
        </w:rPr>
      </w:pPr>
    </w:p>
    <w:p w:rsidR="00850DF2" w:rsidRPr="007200B1" w:rsidRDefault="00850DF2" w:rsidP="00850DF2">
      <w:pPr>
        <w:pStyle w:val="HeadDivreiHesber"/>
        <w:numPr>
          <w:ilvl w:val="0"/>
          <w:numId w:val="3"/>
        </w:numPr>
        <w:jc w:val="both"/>
        <w:rPr>
          <w:spacing w:val="0"/>
          <w:u w:val="single"/>
          <w:rtl/>
        </w:rPr>
      </w:pPr>
      <w:r>
        <w:rPr>
          <w:rFonts w:hint="cs"/>
          <w:u w:val="single"/>
          <w:rtl/>
        </w:rPr>
        <w:t>לסעיף 2- תיקון תקנה 32</w:t>
      </w:r>
      <w:r w:rsidRPr="007200B1">
        <w:rPr>
          <w:spacing w:val="0"/>
          <w:u w:val="single"/>
          <w:rtl/>
        </w:rPr>
        <w:t>:</w:t>
      </w:r>
    </w:p>
    <w:p w:rsidR="00850DF2" w:rsidRPr="007200B1" w:rsidRDefault="00850DF2" w:rsidP="00850DF2">
      <w:pPr>
        <w:pStyle w:val="HeadDivreiHesber"/>
        <w:jc w:val="both"/>
        <w:rPr>
          <w:b w:val="0"/>
          <w:spacing w:val="0"/>
          <w:rtl/>
        </w:rPr>
      </w:pPr>
      <w:r w:rsidRPr="007200B1">
        <w:rPr>
          <w:rFonts w:hint="cs"/>
          <w:b w:val="0"/>
          <w:spacing w:val="0"/>
          <w:rtl/>
        </w:rPr>
        <w:t>נוסח התקנה הנוכחית הינו כדלקמן:</w:t>
      </w: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841"/>
        <w:gridCol w:w="841"/>
        <w:gridCol w:w="1987"/>
        <w:gridCol w:w="2016"/>
        <w:gridCol w:w="1987"/>
        <w:gridCol w:w="1989"/>
      </w:tblGrid>
      <w:tr w:rsidR="00850DF2" w:rsidRPr="007200B1" w:rsidTr="00C572CE">
        <w:trPr>
          <w:cantSplit/>
          <w:trHeight w:val="60"/>
        </w:trPr>
        <w:tc>
          <w:tcPr>
            <w:tcW w:w="624" w:type="dxa"/>
          </w:tcPr>
          <w:p w:rsidR="00850DF2" w:rsidRPr="007200B1" w:rsidRDefault="00850DF2" w:rsidP="00C572CE">
            <w:pPr>
              <w:pStyle w:val="TableText"/>
              <w:rPr>
                <w:rtl/>
              </w:rPr>
            </w:pPr>
            <w:r w:rsidRPr="007200B1">
              <w:rPr>
                <w:rFonts w:hint="cs"/>
                <w:rtl/>
              </w:rPr>
              <w:t>32.</w:t>
            </w:r>
          </w:p>
        </w:tc>
        <w:tc>
          <w:tcPr>
            <w:tcW w:w="624" w:type="dxa"/>
          </w:tcPr>
          <w:p w:rsidR="00850DF2" w:rsidRPr="007200B1" w:rsidRDefault="00850DF2" w:rsidP="00C572CE">
            <w:pPr>
              <w:pStyle w:val="TableText"/>
              <w:ind w:right="0"/>
              <w:jc w:val="both"/>
            </w:pPr>
            <w:r w:rsidRPr="007200B1">
              <w:rPr>
                <w:rFonts w:hint="cs"/>
                <w:rtl/>
              </w:rPr>
              <w:t>א)</w:t>
            </w:r>
          </w:p>
        </w:tc>
        <w:tc>
          <w:tcPr>
            <w:tcW w:w="5918" w:type="dxa"/>
            <w:gridSpan w:val="4"/>
          </w:tcPr>
          <w:p w:rsidR="00850DF2" w:rsidRPr="007200B1" w:rsidRDefault="00850DF2" w:rsidP="00C572CE">
            <w:pPr>
              <w:pStyle w:val="TableBlock"/>
            </w:pPr>
            <w:r w:rsidRPr="007200B1">
              <w:rPr>
                <w:rtl/>
              </w:rPr>
              <w:t>המבקש אישור טיסות שכר בי</w:t>
            </w:r>
            <w:r w:rsidRPr="007200B1">
              <w:rPr>
                <w:rFonts w:hint="cs"/>
                <w:rtl/>
              </w:rPr>
              <w:t>ן-</w:t>
            </w:r>
            <w:r w:rsidRPr="007200B1">
              <w:rPr>
                <w:rtl/>
              </w:rPr>
              <w:t>לאומיות בודדות או סדרת</w:t>
            </w:r>
            <w:r w:rsidRPr="007200B1">
              <w:rPr>
                <w:rFonts w:hint="cs"/>
                <w:rtl/>
              </w:rPr>
              <w:t xml:space="preserve"> </w:t>
            </w:r>
            <w:r w:rsidRPr="007200B1">
              <w:rPr>
                <w:rtl/>
              </w:rPr>
              <w:t>טיסות שכר</w:t>
            </w:r>
            <w:r w:rsidRPr="007200B1">
              <w:rPr>
                <w:rFonts w:hint="cs"/>
                <w:rtl/>
              </w:rPr>
              <w:t xml:space="preserve"> או אישור טיסות שכר לשימוש עצמי, במספר טיסות כמפורט בטור א'  בטבלה שלהלן</w:t>
            </w:r>
            <w:r w:rsidRPr="007200B1">
              <w:rPr>
                <w:rtl/>
              </w:rPr>
              <w:t>, ישלם בעת הגשת הבקשה אגרה</w:t>
            </w:r>
            <w:r w:rsidRPr="007200B1">
              <w:rPr>
                <w:rFonts w:hint="cs"/>
                <w:rtl/>
              </w:rPr>
              <w:t xml:space="preserve"> בשקלים חדשים כמפורט בטור ב', ג' או ד' </w:t>
            </w:r>
            <w:r w:rsidRPr="007200B1">
              <w:rPr>
                <w:rtl/>
              </w:rPr>
              <w:t xml:space="preserve"> </w:t>
            </w:r>
            <w:r w:rsidRPr="007200B1">
              <w:rPr>
                <w:rFonts w:hint="cs"/>
                <w:rtl/>
              </w:rPr>
              <w:t>לצדו, לפי העניין</w:t>
            </w:r>
            <w:r w:rsidRPr="007200B1">
              <w:rPr>
                <w:rtl/>
              </w:rPr>
              <w:t>:</w:t>
            </w:r>
          </w:p>
        </w:tc>
      </w:tr>
      <w:tr w:rsidR="00850DF2" w:rsidRPr="007200B1" w:rsidTr="00C572CE">
        <w:trPr>
          <w:cantSplit/>
          <w:trHeight w:val="60"/>
        </w:trPr>
        <w:tc>
          <w:tcPr>
            <w:tcW w:w="624" w:type="dxa"/>
          </w:tcPr>
          <w:p w:rsidR="00850DF2" w:rsidRPr="007200B1" w:rsidRDefault="00850DF2" w:rsidP="00C572CE">
            <w:pPr>
              <w:pStyle w:val="TableText"/>
              <w:rPr>
                <w:rtl/>
              </w:rPr>
            </w:pPr>
          </w:p>
        </w:tc>
        <w:tc>
          <w:tcPr>
            <w:tcW w:w="624" w:type="dxa"/>
          </w:tcPr>
          <w:p w:rsidR="00850DF2" w:rsidRPr="007200B1" w:rsidRDefault="00850DF2" w:rsidP="00C572CE">
            <w:pPr>
              <w:pStyle w:val="TableText"/>
              <w:tabs>
                <w:tab w:val="clear" w:pos="624"/>
              </w:tabs>
              <w:ind w:right="0"/>
              <w:jc w:val="both"/>
            </w:pPr>
          </w:p>
        </w:tc>
        <w:tc>
          <w:tcPr>
            <w:tcW w:w="1474" w:type="dxa"/>
          </w:tcPr>
          <w:p w:rsidR="00850DF2" w:rsidRPr="007200B1" w:rsidRDefault="00850DF2" w:rsidP="00C572CE">
            <w:pPr>
              <w:pStyle w:val="TableBlock"/>
              <w:tabs>
                <w:tab w:val="clear" w:pos="624"/>
              </w:tabs>
              <w:jc w:val="center"/>
              <w:rPr>
                <w:rtl/>
              </w:rPr>
            </w:pPr>
            <w:r w:rsidRPr="007200B1">
              <w:rPr>
                <w:rFonts w:hint="cs"/>
                <w:rtl/>
              </w:rPr>
              <w:t>טור א'</w:t>
            </w:r>
          </w:p>
        </w:tc>
        <w:tc>
          <w:tcPr>
            <w:tcW w:w="1495" w:type="dxa"/>
          </w:tcPr>
          <w:p w:rsidR="00850DF2" w:rsidRPr="007200B1" w:rsidRDefault="00850DF2" w:rsidP="00C572CE">
            <w:pPr>
              <w:pStyle w:val="TableBlock"/>
              <w:tabs>
                <w:tab w:val="clear" w:pos="624"/>
              </w:tabs>
              <w:jc w:val="center"/>
              <w:rPr>
                <w:rtl/>
              </w:rPr>
            </w:pPr>
            <w:r w:rsidRPr="007200B1">
              <w:rPr>
                <w:rFonts w:hint="cs"/>
                <w:rtl/>
              </w:rPr>
              <w:t>טור ב'</w:t>
            </w:r>
          </w:p>
        </w:tc>
        <w:tc>
          <w:tcPr>
            <w:tcW w:w="1474" w:type="dxa"/>
          </w:tcPr>
          <w:p w:rsidR="00850DF2" w:rsidRPr="007200B1" w:rsidRDefault="00850DF2" w:rsidP="00C572CE">
            <w:pPr>
              <w:pStyle w:val="TableBlock"/>
              <w:tabs>
                <w:tab w:val="clear" w:pos="624"/>
              </w:tabs>
              <w:jc w:val="center"/>
              <w:rPr>
                <w:rtl/>
              </w:rPr>
            </w:pPr>
            <w:r w:rsidRPr="007200B1">
              <w:rPr>
                <w:rFonts w:hint="cs"/>
                <w:rtl/>
              </w:rPr>
              <w:t>טור ג'</w:t>
            </w:r>
          </w:p>
        </w:tc>
        <w:tc>
          <w:tcPr>
            <w:tcW w:w="1475" w:type="dxa"/>
          </w:tcPr>
          <w:p w:rsidR="00850DF2" w:rsidRPr="007200B1" w:rsidRDefault="00850DF2" w:rsidP="00C572CE">
            <w:pPr>
              <w:pStyle w:val="TableBlock"/>
              <w:tabs>
                <w:tab w:val="clear" w:pos="624"/>
              </w:tabs>
              <w:jc w:val="center"/>
              <w:rPr>
                <w:rtl/>
              </w:rPr>
            </w:pPr>
            <w:r w:rsidRPr="007200B1">
              <w:rPr>
                <w:rFonts w:hint="cs"/>
                <w:rtl/>
              </w:rPr>
              <w:t>טור ד'</w:t>
            </w:r>
          </w:p>
        </w:tc>
      </w:tr>
      <w:tr w:rsidR="00850DF2" w:rsidRPr="007200B1" w:rsidTr="00C572CE">
        <w:trPr>
          <w:cantSplit/>
          <w:trHeight w:val="60"/>
        </w:trPr>
        <w:tc>
          <w:tcPr>
            <w:tcW w:w="624" w:type="dxa"/>
          </w:tcPr>
          <w:p w:rsidR="00850DF2" w:rsidRPr="007200B1" w:rsidRDefault="00850DF2" w:rsidP="00C572CE">
            <w:pPr>
              <w:pStyle w:val="TableText"/>
              <w:rPr>
                <w:rtl/>
              </w:rPr>
            </w:pPr>
          </w:p>
        </w:tc>
        <w:tc>
          <w:tcPr>
            <w:tcW w:w="624" w:type="dxa"/>
          </w:tcPr>
          <w:p w:rsidR="00850DF2" w:rsidRPr="007200B1" w:rsidRDefault="00850DF2" w:rsidP="00C572CE">
            <w:pPr>
              <w:pStyle w:val="TableText"/>
              <w:tabs>
                <w:tab w:val="clear" w:pos="624"/>
              </w:tabs>
              <w:ind w:right="0"/>
              <w:jc w:val="both"/>
            </w:pPr>
          </w:p>
        </w:tc>
        <w:tc>
          <w:tcPr>
            <w:tcW w:w="1474" w:type="dxa"/>
            <w:tcBorders>
              <w:bottom w:val="single" w:sz="6" w:space="0" w:color="auto"/>
            </w:tcBorders>
          </w:tcPr>
          <w:p w:rsidR="00850DF2" w:rsidRPr="007200B1" w:rsidRDefault="00850DF2" w:rsidP="00C572CE">
            <w:pPr>
              <w:pStyle w:val="TableBlock"/>
              <w:tabs>
                <w:tab w:val="clear" w:pos="624"/>
              </w:tabs>
              <w:jc w:val="center"/>
              <w:rPr>
                <w:rtl/>
              </w:rPr>
            </w:pPr>
            <w:r w:rsidRPr="007200B1">
              <w:rPr>
                <w:rFonts w:hint="cs"/>
                <w:rtl/>
              </w:rPr>
              <w:t>מספר הטיסות</w:t>
            </w:r>
          </w:p>
        </w:tc>
        <w:tc>
          <w:tcPr>
            <w:tcW w:w="1495" w:type="dxa"/>
            <w:tcBorders>
              <w:bottom w:val="single" w:sz="6" w:space="0" w:color="auto"/>
            </w:tcBorders>
          </w:tcPr>
          <w:p w:rsidR="00850DF2" w:rsidRPr="007200B1" w:rsidRDefault="00850DF2" w:rsidP="00C572CE">
            <w:pPr>
              <w:pStyle w:val="TableBlock"/>
              <w:tabs>
                <w:tab w:val="clear" w:pos="624"/>
              </w:tabs>
              <w:jc w:val="center"/>
              <w:rPr>
                <w:rtl/>
              </w:rPr>
            </w:pPr>
            <w:r w:rsidRPr="007200B1">
              <w:rPr>
                <w:rFonts w:hint="cs"/>
                <w:rtl/>
              </w:rPr>
              <w:t>טיפול מוקדם</w:t>
            </w:r>
          </w:p>
        </w:tc>
        <w:tc>
          <w:tcPr>
            <w:tcW w:w="1474" w:type="dxa"/>
            <w:tcBorders>
              <w:bottom w:val="single" w:sz="6" w:space="0" w:color="auto"/>
            </w:tcBorders>
          </w:tcPr>
          <w:p w:rsidR="00850DF2" w:rsidRPr="007200B1" w:rsidRDefault="00850DF2" w:rsidP="00C572CE">
            <w:pPr>
              <w:pStyle w:val="TableBlock"/>
              <w:jc w:val="center"/>
              <w:rPr>
                <w:rtl/>
              </w:rPr>
            </w:pPr>
            <w:r w:rsidRPr="007200B1">
              <w:rPr>
                <w:rFonts w:hint="cs"/>
                <w:rtl/>
              </w:rPr>
              <w:t xml:space="preserve">טיפול רגיל </w:t>
            </w:r>
          </w:p>
        </w:tc>
        <w:tc>
          <w:tcPr>
            <w:tcW w:w="1475" w:type="dxa"/>
            <w:tcBorders>
              <w:bottom w:val="single" w:sz="6" w:space="0" w:color="auto"/>
            </w:tcBorders>
          </w:tcPr>
          <w:p w:rsidR="00850DF2" w:rsidRPr="007200B1" w:rsidRDefault="00850DF2" w:rsidP="00C572CE">
            <w:pPr>
              <w:pStyle w:val="TableBlock"/>
              <w:rPr>
                <w:rtl/>
              </w:rPr>
            </w:pPr>
            <w:r w:rsidRPr="007200B1">
              <w:rPr>
                <w:rFonts w:hint="cs"/>
                <w:rtl/>
              </w:rPr>
              <w:t>טיפול</w:t>
            </w:r>
            <w:r w:rsidRPr="007200B1">
              <w:rPr>
                <w:rFonts w:hint="cs"/>
              </w:rPr>
              <w:t xml:space="preserve"> </w:t>
            </w:r>
            <w:r w:rsidRPr="007200B1">
              <w:t xml:space="preserve"> </w:t>
            </w:r>
            <w:r w:rsidRPr="007200B1">
              <w:rPr>
                <w:rFonts w:hint="cs"/>
                <w:rtl/>
              </w:rPr>
              <w:t>דחוף</w:t>
            </w:r>
          </w:p>
        </w:tc>
      </w:tr>
      <w:tr w:rsidR="00850DF2" w:rsidRPr="007200B1" w:rsidTr="00C572CE">
        <w:trPr>
          <w:cantSplit/>
          <w:trHeight w:val="60"/>
        </w:trPr>
        <w:tc>
          <w:tcPr>
            <w:tcW w:w="624" w:type="dxa"/>
          </w:tcPr>
          <w:p w:rsidR="00850DF2" w:rsidRPr="007200B1" w:rsidRDefault="00850DF2" w:rsidP="00C572CE">
            <w:pPr>
              <w:pStyle w:val="TableText"/>
              <w:rPr>
                <w:rtl/>
              </w:rPr>
            </w:pPr>
          </w:p>
        </w:tc>
        <w:tc>
          <w:tcPr>
            <w:tcW w:w="624" w:type="dxa"/>
          </w:tcPr>
          <w:p w:rsidR="00850DF2" w:rsidRPr="007200B1" w:rsidRDefault="00850DF2" w:rsidP="00C572CE">
            <w:pPr>
              <w:pStyle w:val="TableText"/>
              <w:tabs>
                <w:tab w:val="clear" w:pos="624"/>
              </w:tabs>
              <w:ind w:right="0"/>
              <w:jc w:val="both"/>
            </w:pPr>
          </w:p>
        </w:tc>
        <w:tc>
          <w:tcPr>
            <w:tcW w:w="1474" w:type="dxa"/>
            <w:tcBorders>
              <w:top w:val="single" w:sz="6" w:space="0" w:color="auto"/>
            </w:tcBorders>
          </w:tcPr>
          <w:p w:rsidR="00850DF2" w:rsidRPr="007200B1" w:rsidRDefault="00850DF2" w:rsidP="00C572CE">
            <w:pPr>
              <w:pStyle w:val="TableBlock"/>
              <w:tabs>
                <w:tab w:val="clear" w:pos="624"/>
              </w:tabs>
              <w:jc w:val="center"/>
              <w:rPr>
                <w:rtl/>
              </w:rPr>
            </w:pPr>
            <w:r w:rsidRPr="007200B1">
              <w:rPr>
                <w:rFonts w:hint="cs"/>
                <w:rtl/>
              </w:rPr>
              <w:t>1 עד 5</w:t>
            </w:r>
          </w:p>
        </w:tc>
        <w:tc>
          <w:tcPr>
            <w:tcW w:w="1495" w:type="dxa"/>
            <w:tcBorders>
              <w:top w:val="single" w:sz="6" w:space="0" w:color="auto"/>
            </w:tcBorders>
          </w:tcPr>
          <w:p w:rsidR="00850DF2" w:rsidRPr="007200B1" w:rsidRDefault="00850DF2" w:rsidP="00C572CE">
            <w:pPr>
              <w:pStyle w:val="TableBlock"/>
              <w:jc w:val="center"/>
              <w:rPr>
                <w:rtl/>
              </w:rPr>
            </w:pPr>
            <w:r w:rsidRPr="007200B1">
              <w:rPr>
                <w:rFonts w:hint="cs"/>
                <w:rtl/>
              </w:rPr>
              <w:t>1,320</w:t>
            </w:r>
          </w:p>
        </w:tc>
        <w:tc>
          <w:tcPr>
            <w:tcW w:w="1474" w:type="dxa"/>
            <w:tcBorders>
              <w:top w:val="single" w:sz="6" w:space="0" w:color="auto"/>
            </w:tcBorders>
          </w:tcPr>
          <w:p w:rsidR="00850DF2" w:rsidRPr="007200B1" w:rsidRDefault="00850DF2" w:rsidP="00C572CE">
            <w:pPr>
              <w:pStyle w:val="TableBlock"/>
              <w:jc w:val="center"/>
              <w:rPr>
                <w:rtl/>
              </w:rPr>
            </w:pPr>
            <w:r w:rsidRPr="007200B1">
              <w:rPr>
                <w:rFonts w:hint="cs"/>
                <w:rtl/>
              </w:rPr>
              <w:t>1,650</w:t>
            </w:r>
          </w:p>
        </w:tc>
        <w:tc>
          <w:tcPr>
            <w:tcW w:w="1475" w:type="dxa"/>
            <w:tcBorders>
              <w:top w:val="single" w:sz="6" w:space="0" w:color="auto"/>
            </w:tcBorders>
          </w:tcPr>
          <w:p w:rsidR="00850DF2" w:rsidRPr="007200B1" w:rsidRDefault="00850DF2" w:rsidP="00C572CE">
            <w:pPr>
              <w:pStyle w:val="TableBlock"/>
              <w:jc w:val="center"/>
              <w:rPr>
                <w:rtl/>
              </w:rPr>
            </w:pPr>
            <w:r w:rsidRPr="007200B1">
              <w:rPr>
                <w:rFonts w:hint="cs"/>
                <w:rtl/>
              </w:rPr>
              <w:t>1,980</w:t>
            </w:r>
          </w:p>
        </w:tc>
      </w:tr>
      <w:tr w:rsidR="00850DF2" w:rsidRPr="007200B1" w:rsidTr="00C572CE">
        <w:trPr>
          <w:cantSplit/>
          <w:trHeight w:val="60"/>
        </w:trPr>
        <w:tc>
          <w:tcPr>
            <w:tcW w:w="624" w:type="dxa"/>
          </w:tcPr>
          <w:p w:rsidR="00850DF2" w:rsidRPr="007200B1" w:rsidRDefault="00850DF2" w:rsidP="00C572CE">
            <w:pPr>
              <w:pStyle w:val="TableText"/>
              <w:rPr>
                <w:rtl/>
              </w:rPr>
            </w:pPr>
          </w:p>
        </w:tc>
        <w:tc>
          <w:tcPr>
            <w:tcW w:w="624" w:type="dxa"/>
          </w:tcPr>
          <w:p w:rsidR="00850DF2" w:rsidRPr="007200B1" w:rsidRDefault="00850DF2" w:rsidP="00C572CE">
            <w:pPr>
              <w:pStyle w:val="TableText"/>
              <w:tabs>
                <w:tab w:val="clear" w:pos="624"/>
              </w:tabs>
              <w:ind w:right="0"/>
              <w:jc w:val="both"/>
            </w:pPr>
          </w:p>
        </w:tc>
        <w:tc>
          <w:tcPr>
            <w:tcW w:w="1474" w:type="dxa"/>
          </w:tcPr>
          <w:p w:rsidR="00850DF2" w:rsidRPr="007200B1" w:rsidRDefault="00850DF2" w:rsidP="00C572CE">
            <w:pPr>
              <w:pStyle w:val="TableBlock"/>
              <w:tabs>
                <w:tab w:val="clear" w:pos="624"/>
              </w:tabs>
              <w:jc w:val="center"/>
              <w:rPr>
                <w:rtl/>
              </w:rPr>
            </w:pPr>
            <w:r w:rsidRPr="007200B1">
              <w:rPr>
                <w:rFonts w:hint="cs"/>
                <w:rtl/>
              </w:rPr>
              <w:t>6 עד 15</w:t>
            </w:r>
          </w:p>
        </w:tc>
        <w:tc>
          <w:tcPr>
            <w:tcW w:w="1495" w:type="dxa"/>
          </w:tcPr>
          <w:p w:rsidR="00850DF2" w:rsidRPr="007200B1" w:rsidRDefault="00850DF2" w:rsidP="00C572CE">
            <w:pPr>
              <w:pStyle w:val="TableBlock"/>
              <w:jc w:val="center"/>
              <w:rPr>
                <w:rtl/>
              </w:rPr>
            </w:pPr>
            <w:r w:rsidRPr="007200B1">
              <w:rPr>
                <w:rFonts w:hint="cs"/>
                <w:rtl/>
              </w:rPr>
              <w:t>2,830</w:t>
            </w:r>
          </w:p>
        </w:tc>
        <w:tc>
          <w:tcPr>
            <w:tcW w:w="1474" w:type="dxa"/>
          </w:tcPr>
          <w:p w:rsidR="00850DF2" w:rsidRPr="007200B1" w:rsidRDefault="00850DF2" w:rsidP="00C572CE">
            <w:pPr>
              <w:pStyle w:val="TableBlock"/>
              <w:jc w:val="center"/>
              <w:rPr>
                <w:rtl/>
              </w:rPr>
            </w:pPr>
            <w:r w:rsidRPr="007200B1">
              <w:rPr>
                <w:rFonts w:hint="cs"/>
                <w:rtl/>
              </w:rPr>
              <w:t>3,530</w:t>
            </w:r>
          </w:p>
        </w:tc>
        <w:tc>
          <w:tcPr>
            <w:tcW w:w="1475" w:type="dxa"/>
          </w:tcPr>
          <w:p w:rsidR="00850DF2" w:rsidRPr="007200B1" w:rsidRDefault="00850DF2" w:rsidP="00C572CE">
            <w:pPr>
              <w:pStyle w:val="TableBlock"/>
              <w:jc w:val="center"/>
              <w:rPr>
                <w:rtl/>
              </w:rPr>
            </w:pPr>
            <w:r w:rsidRPr="007200B1">
              <w:rPr>
                <w:rFonts w:hint="cs"/>
                <w:rtl/>
              </w:rPr>
              <w:t>4,240</w:t>
            </w:r>
          </w:p>
        </w:tc>
      </w:tr>
      <w:tr w:rsidR="00850DF2" w:rsidRPr="007200B1" w:rsidTr="00C572CE">
        <w:trPr>
          <w:cantSplit/>
          <w:trHeight w:val="60"/>
        </w:trPr>
        <w:tc>
          <w:tcPr>
            <w:tcW w:w="624" w:type="dxa"/>
          </w:tcPr>
          <w:p w:rsidR="00850DF2" w:rsidRPr="007200B1" w:rsidRDefault="00850DF2" w:rsidP="00C572CE">
            <w:pPr>
              <w:pStyle w:val="TableText"/>
              <w:rPr>
                <w:rtl/>
              </w:rPr>
            </w:pPr>
          </w:p>
        </w:tc>
        <w:tc>
          <w:tcPr>
            <w:tcW w:w="624" w:type="dxa"/>
          </w:tcPr>
          <w:p w:rsidR="00850DF2" w:rsidRPr="007200B1" w:rsidRDefault="00850DF2" w:rsidP="00C572CE">
            <w:pPr>
              <w:pStyle w:val="TableText"/>
              <w:tabs>
                <w:tab w:val="clear" w:pos="624"/>
              </w:tabs>
              <w:ind w:right="0"/>
              <w:jc w:val="both"/>
            </w:pPr>
          </w:p>
        </w:tc>
        <w:tc>
          <w:tcPr>
            <w:tcW w:w="1474" w:type="dxa"/>
          </w:tcPr>
          <w:p w:rsidR="00850DF2" w:rsidRPr="007200B1" w:rsidRDefault="00850DF2" w:rsidP="00C572CE">
            <w:pPr>
              <w:pStyle w:val="TableBlock"/>
              <w:tabs>
                <w:tab w:val="clear" w:pos="624"/>
              </w:tabs>
              <w:jc w:val="center"/>
              <w:rPr>
                <w:rtl/>
              </w:rPr>
            </w:pPr>
            <w:r w:rsidRPr="007200B1">
              <w:rPr>
                <w:rFonts w:hint="cs"/>
                <w:rtl/>
              </w:rPr>
              <w:t>16 עד 30</w:t>
            </w:r>
          </w:p>
        </w:tc>
        <w:tc>
          <w:tcPr>
            <w:tcW w:w="1495" w:type="dxa"/>
          </w:tcPr>
          <w:p w:rsidR="00850DF2" w:rsidRPr="007200B1" w:rsidRDefault="00850DF2" w:rsidP="00C572CE">
            <w:pPr>
              <w:pStyle w:val="TableBlock"/>
              <w:jc w:val="center"/>
              <w:rPr>
                <w:rtl/>
              </w:rPr>
            </w:pPr>
            <w:r w:rsidRPr="007200B1">
              <w:rPr>
                <w:rFonts w:hint="cs"/>
                <w:rtl/>
              </w:rPr>
              <w:t>6,030</w:t>
            </w:r>
          </w:p>
        </w:tc>
        <w:tc>
          <w:tcPr>
            <w:tcW w:w="1474" w:type="dxa"/>
          </w:tcPr>
          <w:p w:rsidR="00850DF2" w:rsidRPr="007200B1" w:rsidRDefault="00850DF2" w:rsidP="00C572CE">
            <w:pPr>
              <w:pStyle w:val="TableBlock"/>
              <w:jc w:val="center"/>
              <w:rPr>
                <w:rtl/>
              </w:rPr>
            </w:pPr>
            <w:r w:rsidRPr="007200B1">
              <w:rPr>
                <w:rFonts w:hint="cs"/>
                <w:rtl/>
              </w:rPr>
              <w:t>7,530</w:t>
            </w:r>
          </w:p>
        </w:tc>
        <w:tc>
          <w:tcPr>
            <w:tcW w:w="1475" w:type="dxa"/>
          </w:tcPr>
          <w:p w:rsidR="00850DF2" w:rsidRPr="007200B1" w:rsidRDefault="00850DF2" w:rsidP="00C572CE">
            <w:pPr>
              <w:pStyle w:val="TableBlock"/>
              <w:jc w:val="center"/>
              <w:rPr>
                <w:rtl/>
              </w:rPr>
            </w:pPr>
            <w:r w:rsidRPr="007200B1">
              <w:rPr>
                <w:rFonts w:hint="cs"/>
                <w:rtl/>
              </w:rPr>
              <w:t>9,040</w:t>
            </w:r>
          </w:p>
        </w:tc>
      </w:tr>
      <w:tr w:rsidR="00850DF2" w:rsidRPr="007200B1" w:rsidTr="00C572CE">
        <w:trPr>
          <w:cantSplit/>
          <w:trHeight w:val="60"/>
        </w:trPr>
        <w:tc>
          <w:tcPr>
            <w:tcW w:w="624" w:type="dxa"/>
          </w:tcPr>
          <w:p w:rsidR="00850DF2" w:rsidRPr="007200B1" w:rsidRDefault="00850DF2" w:rsidP="00C572CE">
            <w:pPr>
              <w:pStyle w:val="TableText"/>
              <w:rPr>
                <w:rtl/>
              </w:rPr>
            </w:pPr>
          </w:p>
        </w:tc>
        <w:tc>
          <w:tcPr>
            <w:tcW w:w="624" w:type="dxa"/>
          </w:tcPr>
          <w:p w:rsidR="00850DF2" w:rsidRPr="007200B1" w:rsidRDefault="00850DF2" w:rsidP="00C572CE">
            <w:pPr>
              <w:pStyle w:val="TableText"/>
              <w:tabs>
                <w:tab w:val="clear" w:pos="624"/>
              </w:tabs>
              <w:ind w:right="0"/>
              <w:jc w:val="both"/>
            </w:pPr>
          </w:p>
        </w:tc>
        <w:tc>
          <w:tcPr>
            <w:tcW w:w="1474" w:type="dxa"/>
          </w:tcPr>
          <w:p w:rsidR="00850DF2" w:rsidRPr="007200B1" w:rsidRDefault="00850DF2" w:rsidP="00C572CE">
            <w:pPr>
              <w:pStyle w:val="TableBlock"/>
              <w:tabs>
                <w:tab w:val="clear" w:pos="624"/>
              </w:tabs>
              <w:jc w:val="center"/>
              <w:rPr>
                <w:rtl/>
              </w:rPr>
            </w:pPr>
            <w:r w:rsidRPr="007200B1">
              <w:rPr>
                <w:rFonts w:hint="cs"/>
                <w:rtl/>
              </w:rPr>
              <w:t>31 ומעלה</w:t>
            </w:r>
          </w:p>
        </w:tc>
        <w:tc>
          <w:tcPr>
            <w:tcW w:w="1495" w:type="dxa"/>
          </w:tcPr>
          <w:p w:rsidR="00850DF2" w:rsidRPr="007200B1" w:rsidRDefault="00850DF2" w:rsidP="00C572CE">
            <w:pPr>
              <w:pStyle w:val="TableBlock"/>
              <w:tabs>
                <w:tab w:val="clear" w:pos="624"/>
              </w:tabs>
              <w:jc w:val="center"/>
              <w:rPr>
                <w:rtl/>
              </w:rPr>
            </w:pPr>
            <w:r w:rsidRPr="007200B1">
              <w:rPr>
                <w:rFonts w:hint="cs"/>
                <w:rtl/>
              </w:rPr>
              <w:t>9,420</w:t>
            </w:r>
          </w:p>
        </w:tc>
        <w:tc>
          <w:tcPr>
            <w:tcW w:w="1474" w:type="dxa"/>
          </w:tcPr>
          <w:p w:rsidR="00850DF2" w:rsidRPr="007200B1" w:rsidRDefault="00850DF2" w:rsidP="00C572CE">
            <w:pPr>
              <w:pStyle w:val="TableBlock"/>
              <w:tabs>
                <w:tab w:val="clear" w:pos="624"/>
              </w:tabs>
              <w:jc w:val="center"/>
              <w:rPr>
                <w:rtl/>
              </w:rPr>
            </w:pPr>
            <w:r w:rsidRPr="007200B1">
              <w:rPr>
                <w:rFonts w:hint="cs"/>
                <w:rtl/>
              </w:rPr>
              <w:t>11,770</w:t>
            </w:r>
          </w:p>
        </w:tc>
        <w:tc>
          <w:tcPr>
            <w:tcW w:w="1475" w:type="dxa"/>
          </w:tcPr>
          <w:p w:rsidR="00850DF2" w:rsidRPr="007200B1" w:rsidRDefault="00850DF2" w:rsidP="00C572CE">
            <w:pPr>
              <w:pStyle w:val="TableBlock"/>
              <w:tabs>
                <w:tab w:val="clear" w:pos="624"/>
              </w:tabs>
              <w:jc w:val="center"/>
              <w:rPr>
                <w:rtl/>
              </w:rPr>
            </w:pPr>
            <w:r w:rsidRPr="007200B1">
              <w:rPr>
                <w:rFonts w:hint="cs"/>
                <w:rtl/>
              </w:rPr>
              <w:t>14,130</w:t>
            </w:r>
          </w:p>
        </w:tc>
      </w:tr>
    </w:tbl>
    <w:p w:rsidR="00850DF2" w:rsidRPr="007200B1" w:rsidRDefault="00850DF2" w:rsidP="00850DF2">
      <w:pPr>
        <w:pStyle w:val="HeadDivreiHesber"/>
        <w:jc w:val="both"/>
        <w:rPr>
          <w:b w:val="0"/>
          <w:spacing w:val="0"/>
          <w:rtl/>
        </w:rPr>
      </w:pPr>
      <w:r w:rsidRPr="007200B1">
        <w:rPr>
          <w:rFonts w:hint="cs"/>
          <w:b w:val="0"/>
          <w:spacing w:val="0"/>
          <w:rtl/>
        </w:rPr>
        <w:t>התיקון המוצע נועד לשרת מספר  תכליות, כלהלן :</w:t>
      </w:r>
    </w:p>
    <w:p w:rsidR="00850DF2" w:rsidRDefault="00850DF2" w:rsidP="00850DF2">
      <w:pPr>
        <w:pStyle w:val="HeadDivreiHesber"/>
        <w:numPr>
          <w:ilvl w:val="0"/>
          <w:numId w:val="1"/>
        </w:numPr>
        <w:jc w:val="both"/>
        <w:rPr>
          <w:b w:val="0"/>
          <w:spacing w:val="0"/>
        </w:rPr>
      </w:pPr>
      <w:r>
        <w:rPr>
          <w:rFonts w:hint="cs"/>
          <w:b w:val="0"/>
          <w:spacing w:val="0"/>
          <w:rtl/>
        </w:rPr>
        <w:t xml:space="preserve">לאחר תיקון התשע"א לחוק רישוי שירותי התעופה המונח הנכון בהקשר שירות זה הוא "המבקש היתר הפעלה לביצוע טיסת שכר מישראל או אליה"; מאחר שהמונח המוגדר בתקנות טיסות השכר הוא "טיסת שכר" מוצע לעשות שימוש במונח זה בתקנה זו. </w:t>
      </w:r>
    </w:p>
    <w:p w:rsidR="00850DF2" w:rsidRPr="0065020B" w:rsidRDefault="00850DF2" w:rsidP="00850DF2">
      <w:pPr>
        <w:pStyle w:val="HeadDivreiHesber"/>
        <w:numPr>
          <w:ilvl w:val="0"/>
          <w:numId w:val="1"/>
        </w:numPr>
        <w:jc w:val="both"/>
        <w:rPr>
          <w:b w:val="0"/>
          <w:spacing w:val="0"/>
        </w:rPr>
      </w:pPr>
      <w:r w:rsidRPr="0065020B">
        <w:rPr>
          <w:rFonts w:hint="cs"/>
          <w:b w:val="0"/>
          <w:spacing w:val="0"/>
          <w:rtl/>
        </w:rPr>
        <w:t>מתן הנחת כמות במטרה לעודד מבקשי שירות לרכז טיסות בבקשת היתר אחת ובכך לייעל פעילות.</w:t>
      </w:r>
    </w:p>
    <w:p w:rsidR="00850DF2" w:rsidRPr="007200B1" w:rsidRDefault="00850DF2" w:rsidP="00850DF2">
      <w:pPr>
        <w:pStyle w:val="HeadDivreiHesber"/>
        <w:numPr>
          <w:ilvl w:val="0"/>
          <w:numId w:val="1"/>
        </w:numPr>
        <w:jc w:val="both"/>
        <w:rPr>
          <w:b w:val="0"/>
          <w:spacing w:val="0"/>
        </w:rPr>
      </w:pPr>
      <w:r w:rsidRPr="007200B1">
        <w:rPr>
          <w:rFonts w:hint="cs"/>
          <w:b w:val="0"/>
          <w:spacing w:val="0"/>
          <w:rtl/>
        </w:rPr>
        <w:t xml:space="preserve">הגדלת הדיפרנציאציה בין סוגי הטיפולים השונים ועידוד התנהגות של מבקש השירות באופן שהבקשה להיתר תוגש במועד,  כנדרש בתקנות השכר. </w:t>
      </w:r>
    </w:p>
    <w:p w:rsidR="00850DF2" w:rsidRPr="007200B1" w:rsidRDefault="00850DF2" w:rsidP="00850DF2">
      <w:pPr>
        <w:pStyle w:val="HeadDivreiHesber"/>
        <w:numPr>
          <w:ilvl w:val="0"/>
          <w:numId w:val="1"/>
        </w:numPr>
        <w:jc w:val="both"/>
        <w:rPr>
          <w:b w:val="0"/>
          <w:spacing w:val="0"/>
        </w:rPr>
      </w:pPr>
      <w:r w:rsidRPr="007200B1">
        <w:rPr>
          <w:rFonts w:hint="cs"/>
          <w:b w:val="0"/>
          <w:spacing w:val="0"/>
          <w:rtl/>
        </w:rPr>
        <w:t>תיקון המונחים: "טיפול מוקדם", "טיפול רגיל" ו- "טיפול דחוף",  כך שהתנהגות העולה בקנה אחד עם תקנות השכר תוגדר כ"טיפול רגיל" ולא כהתנהגות שהיא יוצאת דופן לטובה.</w:t>
      </w:r>
    </w:p>
    <w:p w:rsidR="00850DF2" w:rsidRPr="007200B1" w:rsidRDefault="00850DF2" w:rsidP="00850DF2">
      <w:pPr>
        <w:pStyle w:val="HeadDivreiHesber"/>
        <w:ind w:firstLine="360"/>
        <w:jc w:val="both"/>
        <w:rPr>
          <w:b w:val="0"/>
          <w:spacing w:val="0"/>
          <w:rtl/>
        </w:rPr>
      </w:pPr>
      <w:r w:rsidRPr="007200B1">
        <w:rPr>
          <w:rFonts w:hint="cs"/>
          <w:b w:val="0"/>
          <w:spacing w:val="0"/>
          <w:rtl/>
        </w:rPr>
        <w:t>השפעות השינוי והשוואת הסכומים החדשים לעומת הישנים מוצגות בלוח מספר 1 להלן:</w:t>
      </w:r>
    </w:p>
    <w:p w:rsidR="00850DF2" w:rsidRDefault="00850DF2" w:rsidP="00850DF2">
      <w:pPr>
        <w:pStyle w:val="HeadDivreiHesber"/>
        <w:rPr>
          <w:spacing w:val="0"/>
          <w:u w:val="single"/>
          <w:rtl/>
        </w:rPr>
      </w:pPr>
      <w:r w:rsidRPr="007200B1">
        <w:rPr>
          <w:rFonts w:hint="cs"/>
          <w:spacing w:val="0"/>
          <w:u w:val="single"/>
          <w:rtl/>
        </w:rPr>
        <w:lastRenderedPageBreak/>
        <w:t xml:space="preserve">לוח מספר 1 </w:t>
      </w:r>
      <w:r w:rsidRPr="007200B1">
        <w:rPr>
          <w:spacing w:val="0"/>
          <w:u w:val="single"/>
          <w:rtl/>
        </w:rPr>
        <w:t>–</w:t>
      </w:r>
      <w:r w:rsidRPr="007200B1">
        <w:rPr>
          <w:rFonts w:hint="cs"/>
          <w:spacing w:val="0"/>
          <w:u w:val="single"/>
          <w:rtl/>
        </w:rPr>
        <w:t xml:space="preserve"> השוואת תעריפי אגרות לפי תקנה 32  קיימים ומוצעים</w:t>
      </w:r>
    </w:p>
    <w:p w:rsidR="00850DF2" w:rsidRPr="007200B1" w:rsidRDefault="00850DF2" w:rsidP="00850DF2">
      <w:pPr>
        <w:pStyle w:val="HeadDivreiHesber"/>
        <w:rPr>
          <w:spacing w:val="0"/>
          <w:u w:val="single"/>
          <w:rtl/>
        </w:rPr>
      </w:pPr>
      <w:r w:rsidRPr="00C572CE">
        <w:rPr>
          <w:noProof/>
          <w:szCs w:val="20"/>
          <w:lang w:eastAsia="en-US"/>
        </w:rPr>
        <w:drawing>
          <wp:inline distT="0" distB="0" distL="0" distR="0" wp14:anchorId="5FA06237" wp14:editId="26E4C8C0">
            <wp:extent cx="6120765" cy="1095773"/>
            <wp:effectExtent l="0" t="0" r="0" b="9525"/>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1095773"/>
                    </a:xfrm>
                    <a:prstGeom prst="rect">
                      <a:avLst/>
                    </a:prstGeom>
                    <a:noFill/>
                    <a:ln>
                      <a:noFill/>
                    </a:ln>
                  </pic:spPr>
                </pic:pic>
              </a:graphicData>
            </a:graphic>
          </wp:inline>
        </w:drawing>
      </w:r>
    </w:p>
    <w:p w:rsidR="00850DF2" w:rsidRPr="007200B1" w:rsidRDefault="00850DF2" w:rsidP="00850DF2">
      <w:pPr>
        <w:pStyle w:val="HeadDivreiHesber"/>
        <w:jc w:val="both"/>
        <w:rPr>
          <w:b w:val="0"/>
          <w:spacing w:val="0"/>
        </w:rPr>
      </w:pPr>
    </w:p>
    <w:p w:rsidR="00850DF2" w:rsidRPr="007200B1" w:rsidRDefault="00850DF2" w:rsidP="00275BBA">
      <w:pPr>
        <w:pStyle w:val="HeadDivreiHesber"/>
        <w:jc w:val="both"/>
        <w:rPr>
          <w:spacing w:val="0"/>
          <w:u w:val="single"/>
          <w:rtl/>
        </w:rPr>
      </w:pPr>
      <w:r w:rsidRPr="007200B1">
        <w:rPr>
          <w:rFonts w:hint="eastAsia"/>
          <w:u w:val="single"/>
          <w:rtl/>
        </w:rPr>
        <w:t>להלן</w:t>
      </w:r>
      <w:r w:rsidRPr="007200B1">
        <w:rPr>
          <w:u w:val="single"/>
          <w:rtl/>
        </w:rPr>
        <w:t xml:space="preserve"> </w:t>
      </w:r>
      <w:r w:rsidRPr="007200B1">
        <w:rPr>
          <w:rFonts w:hint="eastAsia"/>
          <w:u w:val="single"/>
          <w:rtl/>
        </w:rPr>
        <w:t>הסבר</w:t>
      </w:r>
      <w:r w:rsidRPr="007200B1">
        <w:rPr>
          <w:u w:val="single"/>
          <w:rtl/>
        </w:rPr>
        <w:t xml:space="preserve"> </w:t>
      </w:r>
      <w:r w:rsidRPr="007200B1">
        <w:rPr>
          <w:rFonts w:hint="eastAsia"/>
          <w:u w:val="single"/>
          <w:rtl/>
        </w:rPr>
        <w:t>מפורט</w:t>
      </w:r>
      <w:r w:rsidRPr="007200B1">
        <w:rPr>
          <w:u w:val="single"/>
          <w:rtl/>
        </w:rPr>
        <w:t xml:space="preserve"> </w:t>
      </w:r>
      <w:r w:rsidRPr="007200B1">
        <w:rPr>
          <w:rFonts w:hint="eastAsia"/>
          <w:u w:val="single"/>
          <w:rtl/>
        </w:rPr>
        <w:t>בנוגע</w:t>
      </w:r>
      <w:r w:rsidRPr="007200B1">
        <w:rPr>
          <w:u w:val="single"/>
          <w:rtl/>
        </w:rPr>
        <w:t xml:space="preserve"> </w:t>
      </w:r>
      <w:r w:rsidRPr="007200B1">
        <w:rPr>
          <w:rFonts w:hint="eastAsia"/>
          <w:u w:val="single"/>
          <w:rtl/>
        </w:rPr>
        <w:t>לכל</w:t>
      </w:r>
      <w:r w:rsidRPr="007200B1">
        <w:rPr>
          <w:u w:val="single"/>
          <w:rtl/>
        </w:rPr>
        <w:t xml:space="preserve"> </w:t>
      </w:r>
      <w:r w:rsidRPr="007200B1">
        <w:rPr>
          <w:rFonts w:hint="eastAsia"/>
          <w:u w:val="single"/>
          <w:rtl/>
        </w:rPr>
        <w:t>אחת</w:t>
      </w:r>
      <w:r w:rsidRPr="007200B1">
        <w:rPr>
          <w:u w:val="single"/>
          <w:rtl/>
        </w:rPr>
        <w:t xml:space="preserve"> </w:t>
      </w:r>
      <w:r>
        <w:rPr>
          <w:rFonts w:hint="cs"/>
          <w:u w:val="single"/>
          <w:rtl/>
        </w:rPr>
        <w:t>מ</w:t>
      </w:r>
      <w:r w:rsidRPr="007200B1">
        <w:rPr>
          <w:rFonts w:hint="eastAsia"/>
          <w:u w:val="single"/>
          <w:rtl/>
        </w:rPr>
        <w:t>התכליות</w:t>
      </w:r>
      <w:r w:rsidRPr="007200B1">
        <w:rPr>
          <w:u w:val="single"/>
          <w:rtl/>
        </w:rPr>
        <w:t xml:space="preserve"> </w:t>
      </w:r>
      <w:r w:rsidRPr="007200B1">
        <w:rPr>
          <w:rFonts w:hint="eastAsia"/>
          <w:u w:val="single"/>
          <w:rtl/>
        </w:rPr>
        <w:t>הנ</w:t>
      </w:r>
      <w:r w:rsidRPr="007200B1">
        <w:rPr>
          <w:u w:val="single"/>
          <w:rtl/>
        </w:rPr>
        <w:t>"ל:</w:t>
      </w:r>
    </w:p>
    <w:p w:rsidR="00850DF2" w:rsidRPr="007200B1" w:rsidRDefault="00850DF2" w:rsidP="00275BBA">
      <w:pPr>
        <w:pStyle w:val="HeadDivreiHesber"/>
        <w:numPr>
          <w:ilvl w:val="0"/>
          <w:numId w:val="7"/>
        </w:numPr>
        <w:jc w:val="both"/>
        <w:rPr>
          <w:b w:val="0"/>
          <w:spacing w:val="0"/>
          <w:u w:val="single"/>
          <w:rtl/>
        </w:rPr>
      </w:pPr>
      <w:r w:rsidRPr="007200B1">
        <w:rPr>
          <w:rFonts w:hint="eastAsia"/>
          <w:b w:val="0"/>
          <w:spacing w:val="0"/>
          <w:u w:val="single"/>
          <w:rtl/>
        </w:rPr>
        <w:t>מתן</w:t>
      </w:r>
      <w:r w:rsidRPr="007200B1">
        <w:rPr>
          <w:b w:val="0"/>
          <w:spacing w:val="0"/>
          <w:u w:val="single"/>
          <w:rtl/>
        </w:rPr>
        <w:t xml:space="preserve"> הנחת כמות - </w:t>
      </w:r>
    </w:p>
    <w:p w:rsidR="00850DF2" w:rsidRPr="007200B1" w:rsidRDefault="00850DF2" w:rsidP="00850DF2">
      <w:pPr>
        <w:pStyle w:val="HeadDivreiHesber"/>
        <w:jc w:val="both"/>
        <w:rPr>
          <w:b w:val="0"/>
          <w:spacing w:val="0"/>
          <w:rtl/>
        </w:rPr>
      </w:pPr>
      <w:r w:rsidRPr="007200B1">
        <w:rPr>
          <w:rFonts w:hint="cs"/>
          <w:b w:val="0"/>
          <w:spacing w:val="0"/>
          <w:rtl/>
        </w:rPr>
        <w:t>ההיגיון הכלכלי העומד בבסיס אגרות רת"א הוא שמבקש השירות (חברת התעופה או מארגן טיסות השכר) משלם לנותן השירות (האגף), סכום הנגזר, בין היתר, ממורכבות הטיפול בבקשה ע"י נותן השירות. משכך, הסכום הריאלי לתשלום עבור טיסה בודדת להיתר אחד הכולל 10 טיסות היה אמור להיות מופחת בהשוואה לתשלום בגין ש</w:t>
      </w:r>
      <w:r>
        <w:rPr>
          <w:rFonts w:hint="cs"/>
          <w:b w:val="0"/>
          <w:spacing w:val="0"/>
          <w:rtl/>
        </w:rPr>
        <w:t>נ</w:t>
      </w:r>
      <w:r w:rsidRPr="007200B1">
        <w:rPr>
          <w:rFonts w:hint="cs"/>
          <w:b w:val="0"/>
          <w:spacing w:val="0"/>
          <w:rtl/>
        </w:rPr>
        <w:t xml:space="preserve">י היתרים הכוללים 5 טיסות כל אחד. </w:t>
      </w:r>
    </w:p>
    <w:p w:rsidR="00850DF2" w:rsidRPr="007200B1" w:rsidRDefault="00850DF2" w:rsidP="00850DF2">
      <w:pPr>
        <w:pStyle w:val="HeadDivreiHesber"/>
        <w:jc w:val="both"/>
        <w:rPr>
          <w:b w:val="0"/>
          <w:spacing w:val="0"/>
          <w:rtl/>
        </w:rPr>
      </w:pPr>
      <w:r w:rsidRPr="007200B1">
        <w:rPr>
          <w:rFonts w:hint="cs"/>
          <w:b w:val="0"/>
          <w:spacing w:val="0"/>
          <w:rtl/>
        </w:rPr>
        <w:t>באופן  אבסורדי, סכומי התקנות הנוכחיים יוצרים תמריץ כלכלי למבקש השירות לפצל את הטיסות לשני היתרים ובכך לגרום לעבודה מיותרת לנותן השירות. כך, לדוגמא, מי שמבקש 10 טיסות בטיפול מוקדם ישלם עבור מתן ההיתר 2,830 ₪, בעוד אם יבחר לפצל את אותה פעילות לשתי בקשות נפרדות להיתר, ישלם 2,640 ₪ בלבד (1320*2). מי שמבקש לקבל היתר ל-20 טיסות בטיפול דחוף ישלם סך של 9,040 ₪, בעוד אם יבחר לפצל את הפעילות לשני היתרים נפרדים ישלם סך של 8,480 ₪ בלבד.</w:t>
      </w:r>
    </w:p>
    <w:p w:rsidR="00850DF2" w:rsidRDefault="00850DF2" w:rsidP="00850DF2">
      <w:pPr>
        <w:pStyle w:val="HeadDivreiHesber"/>
        <w:jc w:val="both"/>
        <w:rPr>
          <w:b w:val="0"/>
          <w:spacing w:val="0"/>
          <w:rtl/>
        </w:rPr>
      </w:pPr>
      <w:r w:rsidRPr="007200B1">
        <w:rPr>
          <w:rFonts w:hint="cs"/>
          <w:b w:val="0"/>
          <w:spacing w:val="0"/>
          <w:rtl/>
        </w:rPr>
        <w:t xml:space="preserve">משכך, מוצע לתקן את הסכומים הנוכחיים באופן בו בכל מעבר קטגוריה בפרמטר "מספר הטיסות" בטור א' בתקנה, תינתן </w:t>
      </w:r>
      <w:r w:rsidRPr="00C572CE">
        <w:rPr>
          <w:rFonts w:hint="eastAsia"/>
          <w:b w:val="0"/>
          <w:spacing w:val="0"/>
          <w:rtl/>
        </w:rPr>
        <w:t>הנחת</w:t>
      </w:r>
      <w:r w:rsidRPr="00C572CE">
        <w:rPr>
          <w:b w:val="0"/>
          <w:spacing w:val="0"/>
          <w:rtl/>
        </w:rPr>
        <w:t xml:space="preserve"> </w:t>
      </w:r>
      <w:r w:rsidRPr="00C572CE">
        <w:rPr>
          <w:rFonts w:hint="eastAsia"/>
          <w:b w:val="0"/>
          <w:spacing w:val="0"/>
          <w:rtl/>
        </w:rPr>
        <w:t>כמות</w:t>
      </w:r>
      <w:r w:rsidRPr="00C572CE">
        <w:rPr>
          <w:b w:val="0"/>
          <w:spacing w:val="0"/>
          <w:rtl/>
        </w:rPr>
        <w:t xml:space="preserve"> </w:t>
      </w:r>
      <w:r w:rsidRPr="00C572CE">
        <w:rPr>
          <w:rFonts w:hint="eastAsia"/>
          <w:b w:val="0"/>
          <w:spacing w:val="0"/>
          <w:rtl/>
        </w:rPr>
        <w:t>שתלך</w:t>
      </w:r>
      <w:r w:rsidRPr="00C572CE">
        <w:rPr>
          <w:b w:val="0"/>
          <w:spacing w:val="0"/>
          <w:rtl/>
        </w:rPr>
        <w:t xml:space="preserve"> </w:t>
      </w:r>
      <w:r w:rsidRPr="00C572CE">
        <w:rPr>
          <w:rFonts w:hint="eastAsia"/>
          <w:b w:val="0"/>
          <w:spacing w:val="0"/>
          <w:rtl/>
        </w:rPr>
        <w:t>ותגדל</w:t>
      </w:r>
      <w:r w:rsidRPr="00C572CE">
        <w:rPr>
          <w:b w:val="0"/>
          <w:spacing w:val="0"/>
          <w:rtl/>
        </w:rPr>
        <w:t xml:space="preserve"> </w:t>
      </w:r>
      <w:r w:rsidRPr="00C572CE">
        <w:rPr>
          <w:rFonts w:hint="eastAsia"/>
          <w:b w:val="0"/>
          <w:spacing w:val="0"/>
          <w:rtl/>
        </w:rPr>
        <w:t>ככל</w:t>
      </w:r>
      <w:r w:rsidRPr="00C572CE">
        <w:rPr>
          <w:b w:val="0"/>
          <w:spacing w:val="0"/>
          <w:rtl/>
        </w:rPr>
        <w:t xml:space="preserve"> </w:t>
      </w:r>
      <w:r w:rsidRPr="00C572CE">
        <w:rPr>
          <w:rFonts w:hint="eastAsia"/>
          <w:b w:val="0"/>
          <w:spacing w:val="0"/>
          <w:rtl/>
        </w:rPr>
        <w:t>שמספר</w:t>
      </w:r>
      <w:r w:rsidRPr="00C572CE">
        <w:rPr>
          <w:b w:val="0"/>
          <w:spacing w:val="0"/>
          <w:rtl/>
        </w:rPr>
        <w:t xml:space="preserve"> </w:t>
      </w:r>
      <w:r w:rsidRPr="00C572CE">
        <w:rPr>
          <w:rFonts w:hint="eastAsia"/>
          <w:b w:val="0"/>
          <w:spacing w:val="0"/>
          <w:rtl/>
        </w:rPr>
        <w:t>הטיסות</w:t>
      </w:r>
      <w:r w:rsidRPr="00C572CE">
        <w:rPr>
          <w:b w:val="0"/>
          <w:spacing w:val="0"/>
          <w:rtl/>
        </w:rPr>
        <w:t xml:space="preserve"> </w:t>
      </w:r>
      <w:r w:rsidRPr="00C572CE">
        <w:rPr>
          <w:rFonts w:hint="eastAsia"/>
          <w:b w:val="0"/>
          <w:spacing w:val="0"/>
          <w:rtl/>
        </w:rPr>
        <w:t>המבוקש</w:t>
      </w:r>
      <w:r w:rsidRPr="00C572CE">
        <w:rPr>
          <w:b w:val="0"/>
          <w:spacing w:val="0"/>
          <w:rtl/>
        </w:rPr>
        <w:t xml:space="preserve"> </w:t>
      </w:r>
      <w:r w:rsidRPr="00C572CE">
        <w:rPr>
          <w:rFonts w:hint="eastAsia"/>
          <w:b w:val="0"/>
          <w:spacing w:val="0"/>
          <w:rtl/>
        </w:rPr>
        <w:t>להיתר</w:t>
      </w:r>
      <w:r w:rsidRPr="00C572CE">
        <w:rPr>
          <w:b w:val="0"/>
          <w:spacing w:val="0"/>
          <w:rtl/>
        </w:rPr>
        <w:t xml:space="preserve"> </w:t>
      </w:r>
      <w:r w:rsidRPr="00C572CE">
        <w:rPr>
          <w:rFonts w:hint="eastAsia"/>
          <w:b w:val="0"/>
          <w:spacing w:val="0"/>
          <w:rtl/>
        </w:rPr>
        <w:t>בודד</w:t>
      </w:r>
      <w:r w:rsidRPr="00C572CE">
        <w:rPr>
          <w:b w:val="0"/>
          <w:spacing w:val="0"/>
          <w:rtl/>
        </w:rPr>
        <w:t xml:space="preserve"> </w:t>
      </w:r>
      <w:r w:rsidRPr="00C572CE">
        <w:rPr>
          <w:rFonts w:hint="eastAsia"/>
          <w:b w:val="0"/>
          <w:spacing w:val="0"/>
          <w:rtl/>
        </w:rPr>
        <w:t>יגדל</w:t>
      </w:r>
      <w:r w:rsidRPr="00E35794">
        <w:rPr>
          <w:b w:val="0"/>
          <w:spacing w:val="0"/>
          <w:rtl/>
        </w:rPr>
        <w:t>.</w:t>
      </w:r>
      <w:r w:rsidRPr="007200B1">
        <w:rPr>
          <w:rFonts w:hint="cs"/>
          <w:b w:val="0"/>
          <w:spacing w:val="0"/>
          <w:rtl/>
        </w:rPr>
        <w:t xml:space="preserve"> </w:t>
      </w:r>
    </w:p>
    <w:p w:rsidR="00850DF2" w:rsidRDefault="00850DF2" w:rsidP="00850DF2">
      <w:pPr>
        <w:pStyle w:val="HeadDivreiHesber"/>
        <w:jc w:val="both"/>
        <w:rPr>
          <w:b w:val="0"/>
          <w:spacing w:val="0"/>
          <w:rtl/>
        </w:rPr>
      </w:pPr>
      <w:r w:rsidRPr="007200B1">
        <w:rPr>
          <w:rFonts w:hint="cs"/>
          <w:b w:val="0"/>
          <w:spacing w:val="0"/>
          <w:rtl/>
        </w:rPr>
        <w:t xml:space="preserve">כך, </w:t>
      </w:r>
      <w:r>
        <w:rPr>
          <w:rFonts w:hint="cs"/>
          <w:b w:val="0"/>
          <w:spacing w:val="0"/>
          <w:rtl/>
        </w:rPr>
        <w:t>תינתן</w:t>
      </w:r>
      <w:r w:rsidRPr="00894A12">
        <w:rPr>
          <w:b w:val="0"/>
          <w:spacing w:val="0"/>
          <w:rtl/>
        </w:rPr>
        <w:t xml:space="preserve"> הנחת כמות של 5% למי שמגיש</w:t>
      </w:r>
      <w:r>
        <w:rPr>
          <w:rFonts w:hint="cs"/>
          <w:b w:val="0"/>
          <w:spacing w:val="0"/>
          <w:rtl/>
        </w:rPr>
        <w:t xml:space="preserve"> בקשה להיתר לביצוע כמות של</w:t>
      </w:r>
      <w:r w:rsidRPr="00894A12">
        <w:rPr>
          <w:b w:val="0"/>
          <w:spacing w:val="0"/>
          <w:rtl/>
        </w:rPr>
        <w:t xml:space="preserve"> 6-15 </w:t>
      </w:r>
      <w:r>
        <w:rPr>
          <w:rFonts w:hint="cs"/>
          <w:b w:val="0"/>
          <w:spacing w:val="0"/>
          <w:rtl/>
        </w:rPr>
        <w:t>טיסות שכר</w:t>
      </w:r>
      <w:r w:rsidRPr="00894A12">
        <w:rPr>
          <w:b w:val="0"/>
          <w:spacing w:val="0"/>
          <w:rtl/>
        </w:rPr>
        <w:t xml:space="preserve"> לעומת</w:t>
      </w:r>
      <w:r>
        <w:rPr>
          <w:rFonts w:hint="cs"/>
          <w:b w:val="0"/>
          <w:spacing w:val="0"/>
          <w:rtl/>
        </w:rPr>
        <w:t xml:space="preserve"> מה שהיה נדרש לשלם על אותה כמות טיסות מי שיגיש בקשה לשני היתרים לביצוע</w:t>
      </w:r>
      <w:r w:rsidRPr="00894A12">
        <w:rPr>
          <w:b w:val="0"/>
          <w:spacing w:val="0"/>
          <w:rtl/>
        </w:rPr>
        <w:t xml:space="preserve"> 1-5 </w:t>
      </w:r>
      <w:r>
        <w:rPr>
          <w:rFonts w:hint="cs"/>
          <w:b w:val="0"/>
          <w:spacing w:val="0"/>
          <w:rtl/>
        </w:rPr>
        <w:t>טיסות שכר</w:t>
      </w:r>
      <w:r w:rsidRPr="00894A12">
        <w:rPr>
          <w:b w:val="0"/>
          <w:spacing w:val="0"/>
          <w:rtl/>
        </w:rPr>
        <w:t xml:space="preserve">. </w:t>
      </w:r>
      <w:r>
        <w:rPr>
          <w:rFonts w:hint="cs"/>
          <w:b w:val="0"/>
          <w:spacing w:val="0"/>
          <w:rtl/>
        </w:rPr>
        <w:t xml:space="preserve">בהתאם, </w:t>
      </w:r>
      <w:r w:rsidRPr="00894A12">
        <w:rPr>
          <w:b w:val="0"/>
          <w:spacing w:val="0"/>
          <w:rtl/>
        </w:rPr>
        <w:t xml:space="preserve">האגרה עבור 6-15 טיסות תחושב לפי הנוסחה הבאה: 2* </w:t>
      </w:r>
      <w:r>
        <w:rPr>
          <w:rFonts w:hint="cs"/>
          <w:b w:val="0"/>
          <w:spacing w:val="0"/>
          <w:rtl/>
        </w:rPr>
        <w:t>{</w:t>
      </w:r>
      <w:r w:rsidRPr="00894A12">
        <w:rPr>
          <w:b w:val="0"/>
          <w:spacing w:val="0"/>
          <w:rtl/>
        </w:rPr>
        <w:t>האגרה ל: 1-5 טיסות</w:t>
      </w:r>
      <w:r>
        <w:rPr>
          <w:rFonts w:hint="cs"/>
          <w:b w:val="0"/>
          <w:spacing w:val="0"/>
          <w:rtl/>
        </w:rPr>
        <w:t>}</w:t>
      </w:r>
      <w:r w:rsidRPr="00894A12">
        <w:rPr>
          <w:b w:val="0"/>
          <w:spacing w:val="0"/>
          <w:rtl/>
        </w:rPr>
        <w:t xml:space="preserve"> *0.95.</w:t>
      </w:r>
      <w:r>
        <w:rPr>
          <w:rFonts w:hint="cs"/>
          <w:b w:val="0"/>
          <w:spacing w:val="0"/>
          <w:rtl/>
        </w:rPr>
        <w:t xml:space="preserve">  </w:t>
      </w:r>
    </w:p>
    <w:p w:rsidR="00850DF2" w:rsidRDefault="00850DF2" w:rsidP="00850DF2">
      <w:pPr>
        <w:pStyle w:val="HeadDivreiHesber"/>
        <w:jc w:val="both"/>
        <w:rPr>
          <w:b w:val="0"/>
          <w:spacing w:val="0"/>
          <w:rtl/>
        </w:rPr>
      </w:pPr>
      <w:r>
        <w:rPr>
          <w:rFonts w:hint="cs"/>
          <w:b w:val="0"/>
          <w:spacing w:val="0"/>
          <w:rtl/>
        </w:rPr>
        <w:t xml:space="preserve">על בסיס אותו עיקרון, </w:t>
      </w:r>
      <w:r w:rsidRPr="00894A12">
        <w:rPr>
          <w:b w:val="0"/>
          <w:spacing w:val="0"/>
          <w:rtl/>
        </w:rPr>
        <w:t xml:space="preserve">הנחת כמות נוספת ומצטברת של 25% </w:t>
      </w:r>
      <w:r>
        <w:rPr>
          <w:rFonts w:hint="cs"/>
          <w:b w:val="0"/>
          <w:spacing w:val="0"/>
          <w:rtl/>
        </w:rPr>
        <w:t>תינתן</w:t>
      </w:r>
      <w:r w:rsidRPr="00894A12">
        <w:rPr>
          <w:b w:val="0"/>
          <w:spacing w:val="0"/>
          <w:rtl/>
        </w:rPr>
        <w:t xml:space="preserve"> במעבר לקטגוריה הבאה של 16-30</w:t>
      </w:r>
      <w:r>
        <w:rPr>
          <w:rFonts w:hint="cs"/>
          <w:b w:val="0"/>
          <w:spacing w:val="0"/>
          <w:rtl/>
        </w:rPr>
        <w:t xml:space="preserve"> טיסות שכר</w:t>
      </w:r>
      <w:r w:rsidRPr="00894A12">
        <w:rPr>
          <w:b w:val="0"/>
          <w:spacing w:val="0"/>
          <w:rtl/>
        </w:rPr>
        <w:t xml:space="preserve">. בהתאם, האגרה עבור </w:t>
      </w:r>
      <w:r>
        <w:rPr>
          <w:rFonts w:hint="cs"/>
          <w:b w:val="0"/>
          <w:spacing w:val="0"/>
          <w:rtl/>
        </w:rPr>
        <w:t>16</w:t>
      </w:r>
      <w:r w:rsidRPr="00894A12">
        <w:rPr>
          <w:b w:val="0"/>
          <w:spacing w:val="0"/>
          <w:rtl/>
        </w:rPr>
        <w:t>-</w:t>
      </w:r>
      <w:r>
        <w:rPr>
          <w:rFonts w:hint="cs"/>
          <w:b w:val="0"/>
          <w:spacing w:val="0"/>
          <w:rtl/>
        </w:rPr>
        <w:t>30</w:t>
      </w:r>
      <w:r w:rsidRPr="00894A12">
        <w:rPr>
          <w:b w:val="0"/>
          <w:spacing w:val="0"/>
          <w:rtl/>
        </w:rPr>
        <w:t xml:space="preserve"> טיסות תחושב לפי הנוסחה הבאה: </w:t>
      </w:r>
      <m:oMath>
        <m:sSup>
          <m:sSupPr>
            <m:ctrlPr>
              <w:rPr>
                <w:rFonts w:ascii="Cambria Math" w:hAnsi="Cambria Math"/>
                <w:b w:val="0"/>
                <w:spacing w:val="0"/>
              </w:rPr>
            </m:ctrlPr>
          </m:sSupPr>
          <m:e>
            <m:r>
              <m:rPr>
                <m:sty m:val="bi"/>
              </m:rPr>
              <w:rPr>
                <w:rFonts w:ascii="Cambria Math" w:hAnsi="Cambria Math"/>
                <w:spacing w:val="0"/>
              </w:rPr>
              <m:t>2</m:t>
            </m:r>
          </m:e>
          <m:sup>
            <m:r>
              <m:rPr>
                <m:sty m:val="bi"/>
              </m:rPr>
              <w:rPr>
                <w:rFonts w:ascii="Cambria Math" w:hAnsi="Cambria Math"/>
                <w:spacing w:val="0"/>
              </w:rPr>
              <m:t>2</m:t>
            </m:r>
          </m:sup>
        </m:sSup>
      </m:oMath>
      <w:r w:rsidRPr="00894A12">
        <w:rPr>
          <w:b w:val="0"/>
          <w:spacing w:val="0"/>
          <w:rtl/>
        </w:rPr>
        <w:t xml:space="preserve">* </w:t>
      </w:r>
      <w:r>
        <w:rPr>
          <w:rFonts w:hint="cs"/>
          <w:b w:val="0"/>
          <w:spacing w:val="0"/>
          <w:rtl/>
        </w:rPr>
        <w:t>{</w:t>
      </w:r>
      <w:r w:rsidRPr="00894A12">
        <w:rPr>
          <w:b w:val="0"/>
          <w:spacing w:val="0"/>
          <w:rtl/>
        </w:rPr>
        <w:t>האגרה ל: 1-5 טיסות</w:t>
      </w:r>
      <w:r>
        <w:rPr>
          <w:rFonts w:hint="cs"/>
          <w:b w:val="0"/>
          <w:spacing w:val="0"/>
          <w:rtl/>
        </w:rPr>
        <w:t>}</w:t>
      </w:r>
      <w:r w:rsidRPr="00894A12">
        <w:rPr>
          <w:b w:val="0"/>
          <w:spacing w:val="0"/>
          <w:rtl/>
        </w:rPr>
        <w:t xml:space="preserve"> *0.95</w:t>
      </w:r>
      <w:r>
        <w:rPr>
          <w:rFonts w:hint="cs"/>
          <w:b w:val="0"/>
          <w:spacing w:val="0"/>
          <w:rtl/>
        </w:rPr>
        <w:t>*0.75</w:t>
      </w:r>
      <w:r w:rsidRPr="00894A12">
        <w:rPr>
          <w:b w:val="0"/>
          <w:spacing w:val="0"/>
          <w:rtl/>
        </w:rPr>
        <w:t>.</w:t>
      </w:r>
      <w:r>
        <w:rPr>
          <w:rFonts w:hint="cs"/>
          <w:b w:val="0"/>
          <w:spacing w:val="0"/>
          <w:rtl/>
        </w:rPr>
        <w:t xml:space="preserve"> </w:t>
      </w:r>
    </w:p>
    <w:p w:rsidR="00850DF2" w:rsidRDefault="00850DF2" w:rsidP="00850DF2">
      <w:pPr>
        <w:pStyle w:val="HeadDivreiHesber"/>
        <w:jc w:val="both"/>
        <w:rPr>
          <w:b w:val="0"/>
          <w:spacing w:val="0"/>
          <w:rtl/>
        </w:rPr>
      </w:pPr>
      <w:r>
        <w:rPr>
          <w:rFonts w:hint="cs"/>
          <w:b w:val="0"/>
          <w:spacing w:val="0"/>
          <w:rtl/>
        </w:rPr>
        <w:t xml:space="preserve">על בסיס אותו עיקרון, </w:t>
      </w:r>
      <w:r w:rsidRPr="00894A12">
        <w:rPr>
          <w:b w:val="0"/>
          <w:spacing w:val="0"/>
          <w:rtl/>
        </w:rPr>
        <w:t xml:space="preserve">הנחת כמות נוספת ומצטברת של 25% ניתנת במעבר לקטגוריה </w:t>
      </w:r>
      <w:r>
        <w:rPr>
          <w:rFonts w:hint="cs"/>
          <w:b w:val="0"/>
          <w:spacing w:val="0"/>
          <w:rtl/>
        </w:rPr>
        <w:t xml:space="preserve">הבאה </w:t>
      </w:r>
      <w:r w:rsidRPr="00894A12">
        <w:rPr>
          <w:b w:val="0"/>
          <w:spacing w:val="0"/>
          <w:rtl/>
        </w:rPr>
        <w:t xml:space="preserve">של 30 </w:t>
      </w:r>
      <w:r w:rsidRPr="00894A12">
        <w:rPr>
          <w:b w:val="0"/>
          <w:spacing w:val="0"/>
          <w:rtl/>
        </w:rPr>
        <w:lastRenderedPageBreak/>
        <w:t>טיסות</w:t>
      </w:r>
      <w:r>
        <w:rPr>
          <w:rFonts w:hint="cs"/>
          <w:b w:val="0"/>
          <w:spacing w:val="0"/>
          <w:rtl/>
        </w:rPr>
        <w:t xml:space="preserve"> שכר </w:t>
      </w:r>
      <w:r w:rsidRPr="00894A12">
        <w:rPr>
          <w:b w:val="0"/>
          <w:spacing w:val="0"/>
          <w:rtl/>
        </w:rPr>
        <w:t xml:space="preserve"> ומעלה. </w:t>
      </w:r>
      <w:r w:rsidRPr="00DE4A02">
        <w:rPr>
          <w:b w:val="0"/>
          <w:spacing w:val="0"/>
          <w:rtl/>
        </w:rPr>
        <w:t xml:space="preserve">בהתאם, האגרה עבור </w:t>
      </w:r>
      <w:r w:rsidRPr="00DE4A02">
        <w:rPr>
          <w:rFonts w:hint="cs"/>
          <w:b w:val="0"/>
          <w:spacing w:val="0"/>
          <w:rtl/>
        </w:rPr>
        <w:t>16</w:t>
      </w:r>
      <w:r w:rsidRPr="00DE4A02">
        <w:rPr>
          <w:b w:val="0"/>
          <w:spacing w:val="0"/>
          <w:rtl/>
        </w:rPr>
        <w:t>-</w:t>
      </w:r>
      <w:r w:rsidRPr="00DE4A02">
        <w:rPr>
          <w:rFonts w:hint="cs"/>
          <w:b w:val="0"/>
          <w:spacing w:val="0"/>
          <w:rtl/>
        </w:rPr>
        <w:t>30</w:t>
      </w:r>
      <w:r w:rsidRPr="00DE4A02">
        <w:rPr>
          <w:b w:val="0"/>
          <w:spacing w:val="0"/>
          <w:rtl/>
        </w:rPr>
        <w:t xml:space="preserve"> טיסות תחושב לפי הנוסחה הבאה: </w:t>
      </w:r>
      <m:oMath>
        <m:sSup>
          <m:sSupPr>
            <m:ctrlPr>
              <w:rPr>
                <w:rFonts w:ascii="Cambria Math" w:hAnsi="Cambria Math"/>
                <w:b w:val="0"/>
                <w:spacing w:val="0"/>
              </w:rPr>
            </m:ctrlPr>
          </m:sSupPr>
          <m:e>
            <m:r>
              <m:rPr>
                <m:sty m:val="bi"/>
              </m:rPr>
              <w:rPr>
                <w:rFonts w:ascii="Cambria Math" w:hAnsi="Cambria Math"/>
                <w:spacing w:val="0"/>
              </w:rPr>
              <m:t>2</m:t>
            </m:r>
          </m:e>
          <m:sup>
            <m:r>
              <m:rPr>
                <m:sty m:val="bi"/>
              </m:rPr>
              <w:rPr>
                <w:rFonts w:ascii="Cambria Math" w:hAnsi="Cambria Math"/>
                <w:spacing w:val="0"/>
              </w:rPr>
              <m:t>3</m:t>
            </m:r>
          </m:sup>
        </m:sSup>
      </m:oMath>
      <w:r w:rsidRPr="00DE4A02">
        <w:rPr>
          <w:b w:val="0"/>
          <w:spacing w:val="0"/>
          <w:rtl/>
        </w:rPr>
        <w:t>* האגרה ל: 1-5 טיסות *0.95</w:t>
      </w:r>
      <w:r w:rsidRPr="00DE4A02">
        <w:rPr>
          <w:rFonts w:hint="cs"/>
          <w:b w:val="0"/>
          <w:spacing w:val="0"/>
          <w:rtl/>
        </w:rPr>
        <w:t>*0.75</w:t>
      </w:r>
      <w:r>
        <w:rPr>
          <w:rFonts w:hint="cs"/>
          <w:b w:val="0"/>
          <w:spacing w:val="0"/>
          <w:rtl/>
        </w:rPr>
        <w:t>*0.75</w:t>
      </w:r>
      <w:r w:rsidRPr="00DE4A02">
        <w:rPr>
          <w:rFonts w:hint="cs"/>
          <w:b w:val="0"/>
          <w:spacing w:val="0"/>
          <w:rtl/>
        </w:rPr>
        <w:t xml:space="preserve"> </w:t>
      </w:r>
      <w:r w:rsidRPr="00DE4A02">
        <w:rPr>
          <w:b w:val="0"/>
          <w:spacing w:val="0"/>
          <w:rtl/>
        </w:rPr>
        <w:t>.</w:t>
      </w:r>
    </w:p>
    <w:p w:rsidR="00850DF2" w:rsidRDefault="00850DF2" w:rsidP="00850DF2">
      <w:pPr>
        <w:pStyle w:val="HeadDivreiHesber"/>
        <w:jc w:val="both"/>
        <w:rPr>
          <w:b w:val="0"/>
          <w:spacing w:val="0"/>
          <w:rtl/>
        </w:rPr>
      </w:pPr>
      <w:r w:rsidRPr="007200B1">
        <w:rPr>
          <w:rFonts w:hint="cs"/>
          <w:b w:val="0"/>
          <w:spacing w:val="0"/>
          <w:rtl/>
        </w:rPr>
        <w:t>דרך חישוב זו תבטיח כי, בכל סיטואציה, יהיה תמריץ כלכלי משמעותי למבקש השירות לרכז פעילות ולבקש היתר אחד עבור מספר גבוה של טיסות, במקום לפצל את בקשותיו למספר רב של היתרים.</w:t>
      </w:r>
    </w:p>
    <w:p w:rsidR="00850DF2" w:rsidRPr="007200B1" w:rsidRDefault="00850DF2" w:rsidP="00275BBA">
      <w:pPr>
        <w:pStyle w:val="HeadDivreiHesber"/>
        <w:numPr>
          <w:ilvl w:val="0"/>
          <w:numId w:val="7"/>
        </w:numPr>
        <w:jc w:val="both"/>
        <w:rPr>
          <w:b w:val="0"/>
          <w:spacing w:val="0"/>
        </w:rPr>
      </w:pPr>
      <w:r w:rsidRPr="007200B1">
        <w:rPr>
          <w:rFonts w:hint="eastAsia"/>
          <w:b w:val="0"/>
          <w:spacing w:val="0"/>
          <w:u w:val="single"/>
          <w:rtl/>
        </w:rPr>
        <w:t>עידוד</w:t>
      </w:r>
      <w:r w:rsidRPr="007200B1">
        <w:rPr>
          <w:b w:val="0"/>
          <w:spacing w:val="0"/>
          <w:u w:val="single"/>
          <w:rtl/>
        </w:rPr>
        <w:t xml:space="preserve"> </w:t>
      </w:r>
      <w:r w:rsidRPr="007200B1">
        <w:rPr>
          <w:rFonts w:hint="eastAsia"/>
          <w:b w:val="0"/>
          <w:spacing w:val="0"/>
          <w:u w:val="single"/>
          <w:rtl/>
        </w:rPr>
        <w:t>הגשת</w:t>
      </w:r>
      <w:r w:rsidRPr="007200B1">
        <w:rPr>
          <w:b w:val="0"/>
          <w:spacing w:val="0"/>
          <w:u w:val="single"/>
          <w:rtl/>
        </w:rPr>
        <w:t xml:space="preserve"> </w:t>
      </w:r>
      <w:r w:rsidRPr="007200B1">
        <w:rPr>
          <w:rFonts w:hint="eastAsia"/>
          <w:b w:val="0"/>
          <w:spacing w:val="0"/>
          <w:u w:val="single"/>
          <w:rtl/>
        </w:rPr>
        <w:t>הבקשות</w:t>
      </w:r>
      <w:r w:rsidRPr="007200B1">
        <w:rPr>
          <w:b w:val="0"/>
          <w:spacing w:val="0"/>
          <w:u w:val="single"/>
          <w:rtl/>
        </w:rPr>
        <w:t xml:space="preserve"> </w:t>
      </w:r>
      <w:r w:rsidRPr="007200B1">
        <w:rPr>
          <w:rFonts w:hint="eastAsia"/>
          <w:b w:val="0"/>
          <w:spacing w:val="0"/>
          <w:u w:val="single"/>
          <w:rtl/>
        </w:rPr>
        <w:t>לטיסות</w:t>
      </w:r>
      <w:r w:rsidRPr="007200B1">
        <w:rPr>
          <w:b w:val="0"/>
          <w:spacing w:val="0"/>
          <w:u w:val="single"/>
          <w:rtl/>
        </w:rPr>
        <w:t xml:space="preserve"> </w:t>
      </w:r>
      <w:r w:rsidRPr="007200B1">
        <w:rPr>
          <w:rFonts w:hint="eastAsia"/>
          <w:b w:val="0"/>
          <w:spacing w:val="0"/>
          <w:u w:val="single"/>
          <w:rtl/>
        </w:rPr>
        <w:t>השכר</w:t>
      </w:r>
      <w:r w:rsidRPr="007200B1">
        <w:rPr>
          <w:b w:val="0"/>
          <w:spacing w:val="0"/>
          <w:u w:val="single"/>
          <w:rtl/>
        </w:rPr>
        <w:t xml:space="preserve"> </w:t>
      </w:r>
      <w:r w:rsidRPr="007200B1">
        <w:rPr>
          <w:rFonts w:hint="eastAsia"/>
          <w:b w:val="0"/>
          <w:spacing w:val="0"/>
          <w:u w:val="single"/>
          <w:rtl/>
        </w:rPr>
        <w:t>במועד</w:t>
      </w:r>
      <w:r w:rsidRPr="007200B1">
        <w:rPr>
          <w:b w:val="0"/>
          <w:spacing w:val="0"/>
          <w:u w:val="single"/>
          <w:rtl/>
        </w:rPr>
        <w:t xml:space="preserve"> </w:t>
      </w:r>
      <w:r w:rsidRPr="007200B1">
        <w:rPr>
          <w:rFonts w:hint="eastAsia"/>
          <w:b w:val="0"/>
          <w:spacing w:val="0"/>
          <w:u w:val="single"/>
          <w:rtl/>
        </w:rPr>
        <w:t>הקבוע</w:t>
      </w:r>
      <w:r w:rsidRPr="007200B1">
        <w:rPr>
          <w:b w:val="0"/>
          <w:spacing w:val="0"/>
          <w:u w:val="single"/>
          <w:rtl/>
        </w:rPr>
        <w:t xml:space="preserve"> </w:t>
      </w:r>
      <w:r w:rsidRPr="007200B1">
        <w:rPr>
          <w:rFonts w:hint="eastAsia"/>
          <w:b w:val="0"/>
          <w:spacing w:val="0"/>
          <w:u w:val="single"/>
          <w:rtl/>
        </w:rPr>
        <w:t>בתקנות</w:t>
      </w:r>
      <w:r w:rsidRPr="007200B1">
        <w:rPr>
          <w:b w:val="0"/>
          <w:spacing w:val="0"/>
          <w:u w:val="single"/>
          <w:rtl/>
        </w:rPr>
        <w:t xml:space="preserve"> </w:t>
      </w:r>
      <w:r w:rsidRPr="007200B1">
        <w:rPr>
          <w:rFonts w:hint="eastAsia"/>
          <w:b w:val="0"/>
          <w:spacing w:val="0"/>
          <w:u w:val="single"/>
          <w:rtl/>
        </w:rPr>
        <w:t>טיסות</w:t>
      </w:r>
      <w:r w:rsidRPr="007200B1">
        <w:rPr>
          <w:b w:val="0"/>
          <w:spacing w:val="0"/>
          <w:u w:val="single"/>
          <w:rtl/>
        </w:rPr>
        <w:t xml:space="preserve"> </w:t>
      </w:r>
      <w:r w:rsidRPr="007200B1">
        <w:rPr>
          <w:rFonts w:hint="eastAsia"/>
          <w:b w:val="0"/>
          <w:spacing w:val="0"/>
          <w:u w:val="single"/>
          <w:rtl/>
        </w:rPr>
        <w:t>השכר</w:t>
      </w:r>
      <w:r w:rsidRPr="007200B1">
        <w:rPr>
          <w:b w:val="0"/>
          <w:spacing w:val="0"/>
          <w:u w:val="single"/>
          <w:rtl/>
        </w:rPr>
        <w:t xml:space="preserve"> </w:t>
      </w:r>
      <w:r w:rsidRPr="007200B1">
        <w:rPr>
          <w:rFonts w:hint="eastAsia"/>
          <w:b w:val="0"/>
          <w:spacing w:val="0"/>
          <w:u w:val="single"/>
          <w:rtl/>
        </w:rPr>
        <w:t>ע</w:t>
      </w:r>
      <w:r w:rsidRPr="007200B1">
        <w:rPr>
          <w:b w:val="0"/>
          <w:spacing w:val="0"/>
          <w:u w:val="single"/>
          <w:rtl/>
        </w:rPr>
        <w:t xml:space="preserve">"י </w:t>
      </w:r>
      <w:r w:rsidRPr="007200B1">
        <w:rPr>
          <w:rFonts w:hint="eastAsia"/>
          <w:b w:val="0"/>
          <w:spacing w:val="0"/>
          <w:u w:val="single"/>
          <w:rtl/>
        </w:rPr>
        <w:t>הגדלת</w:t>
      </w:r>
      <w:r w:rsidRPr="007200B1">
        <w:rPr>
          <w:b w:val="0"/>
          <w:spacing w:val="0"/>
          <w:u w:val="single"/>
          <w:rtl/>
        </w:rPr>
        <w:t xml:space="preserve"> </w:t>
      </w:r>
      <w:r w:rsidRPr="007200B1">
        <w:rPr>
          <w:rFonts w:hint="eastAsia"/>
          <w:b w:val="0"/>
          <w:spacing w:val="0"/>
          <w:u w:val="single"/>
          <w:rtl/>
        </w:rPr>
        <w:t>הדיפרנציאציה</w:t>
      </w:r>
      <w:r w:rsidRPr="007200B1">
        <w:rPr>
          <w:b w:val="0"/>
          <w:spacing w:val="0"/>
          <w:u w:val="single"/>
          <w:rtl/>
        </w:rPr>
        <w:t xml:space="preserve"> </w:t>
      </w:r>
      <w:r w:rsidRPr="007200B1">
        <w:rPr>
          <w:rFonts w:hint="eastAsia"/>
          <w:b w:val="0"/>
          <w:spacing w:val="0"/>
          <w:u w:val="single"/>
          <w:rtl/>
        </w:rPr>
        <w:t>בין</w:t>
      </w:r>
      <w:r w:rsidRPr="007200B1">
        <w:rPr>
          <w:b w:val="0"/>
          <w:spacing w:val="0"/>
          <w:u w:val="single"/>
          <w:rtl/>
        </w:rPr>
        <w:t xml:space="preserve"> </w:t>
      </w:r>
      <w:r w:rsidRPr="007200B1">
        <w:rPr>
          <w:rFonts w:hint="eastAsia"/>
          <w:b w:val="0"/>
          <w:spacing w:val="0"/>
          <w:u w:val="single"/>
          <w:rtl/>
        </w:rPr>
        <w:t>סוגי</w:t>
      </w:r>
      <w:r w:rsidRPr="007200B1">
        <w:rPr>
          <w:b w:val="0"/>
          <w:spacing w:val="0"/>
          <w:u w:val="single"/>
          <w:rtl/>
        </w:rPr>
        <w:t xml:space="preserve"> </w:t>
      </w:r>
      <w:r w:rsidRPr="007200B1">
        <w:rPr>
          <w:rFonts w:hint="eastAsia"/>
          <w:b w:val="0"/>
          <w:spacing w:val="0"/>
          <w:u w:val="single"/>
          <w:rtl/>
        </w:rPr>
        <w:t>הטיפולים</w:t>
      </w:r>
      <w:r w:rsidRPr="007200B1">
        <w:rPr>
          <w:b w:val="0"/>
          <w:spacing w:val="0"/>
          <w:u w:val="single"/>
          <w:rtl/>
        </w:rPr>
        <w:t xml:space="preserve"> </w:t>
      </w:r>
      <w:r w:rsidRPr="007200B1">
        <w:rPr>
          <w:rFonts w:hint="eastAsia"/>
          <w:b w:val="0"/>
          <w:spacing w:val="0"/>
          <w:u w:val="single"/>
          <w:rtl/>
        </w:rPr>
        <w:t>השונים</w:t>
      </w:r>
      <w:r w:rsidRPr="007200B1">
        <w:rPr>
          <w:rFonts w:hint="cs"/>
          <w:b w:val="0"/>
          <w:spacing w:val="0"/>
          <w:rtl/>
        </w:rPr>
        <w:t xml:space="preserve">- </w:t>
      </w:r>
    </w:p>
    <w:p w:rsidR="00850DF2" w:rsidRPr="007200B1" w:rsidRDefault="00850DF2" w:rsidP="00850DF2">
      <w:pPr>
        <w:pStyle w:val="HeadDivreiHesber"/>
        <w:ind w:left="360"/>
        <w:jc w:val="both"/>
        <w:rPr>
          <w:b w:val="0"/>
          <w:spacing w:val="0"/>
          <w:rtl/>
        </w:rPr>
      </w:pPr>
      <w:r w:rsidRPr="007200B1">
        <w:rPr>
          <w:rFonts w:hint="cs"/>
          <w:b w:val="0"/>
          <w:spacing w:val="0"/>
          <w:rtl/>
        </w:rPr>
        <w:t>נוסח התקנות  הנוכחי קובע כי:</w:t>
      </w:r>
    </w:p>
    <w:tbl>
      <w:tblPr>
        <w:bidiVisual/>
        <w:tblW w:w="5000" w:type="pct"/>
        <w:tblLayout w:type="fixed"/>
        <w:tblCellMar>
          <w:top w:w="57" w:type="dxa"/>
          <w:left w:w="0" w:type="dxa"/>
          <w:bottom w:w="57" w:type="dxa"/>
          <w:right w:w="0" w:type="dxa"/>
        </w:tblCellMar>
        <w:tblLook w:val="01E0" w:firstRow="1" w:lastRow="1" w:firstColumn="1" w:lastColumn="1" w:noHBand="0" w:noVBand="0"/>
      </w:tblPr>
      <w:tblGrid>
        <w:gridCol w:w="276"/>
        <w:gridCol w:w="9363"/>
      </w:tblGrid>
      <w:tr w:rsidR="00850DF2" w:rsidRPr="007200B1" w:rsidTr="00C572CE">
        <w:trPr>
          <w:cantSplit/>
          <w:trHeight w:val="60"/>
        </w:trPr>
        <w:tc>
          <w:tcPr>
            <w:tcW w:w="143" w:type="pct"/>
          </w:tcPr>
          <w:p w:rsidR="00850DF2" w:rsidRPr="007200B1" w:rsidRDefault="00850DF2" w:rsidP="00C572CE">
            <w:pPr>
              <w:pStyle w:val="TableText"/>
              <w:tabs>
                <w:tab w:val="clear" w:pos="624"/>
              </w:tabs>
              <w:ind w:right="0"/>
              <w:jc w:val="both"/>
              <w:rPr>
                <w:i/>
                <w:iCs/>
              </w:rPr>
            </w:pPr>
          </w:p>
        </w:tc>
        <w:tc>
          <w:tcPr>
            <w:tcW w:w="4857" w:type="pct"/>
          </w:tcPr>
          <w:p w:rsidR="00850DF2" w:rsidRPr="007200B1" w:rsidRDefault="00850DF2" w:rsidP="00C572CE">
            <w:pPr>
              <w:pStyle w:val="TableBlock"/>
              <w:tabs>
                <w:tab w:val="clear" w:pos="624"/>
              </w:tabs>
              <w:rPr>
                <w:i/>
                <w:iCs/>
              </w:rPr>
            </w:pPr>
          </w:p>
          <w:p w:rsidR="00850DF2" w:rsidRPr="007200B1" w:rsidRDefault="00850DF2" w:rsidP="00C572CE">
            <w:pPr>
              <w:pStyle w:val="TableBlock"/>
              <w:tabs>
                <w:tab w:val="clear" w:pos="624"/>
              </w:tabs>
              <w:rPr>
                <w:i/>
                <w:iCs/>
                <w:rtl/>
              </w:rPr>
            </w:pPr>
            <w:r w:rsidRPr="007200B1">
              <w:rPr>
                <w:rFonts w:hint="cs"/>
                <w:i/>
                <w:iCs/>
                <w:rtl/>
              </w:rPr>
              <w:t>"טיפול מוקדם" - טיפול בבקשה שהגיעה לרשות במועד הקבוע בתקנה 5 לתקנות טיסות שכר, לפי העניין;</w:t>
            </w:r>
          </w:p>
          <w:p w:rsidR="00850DF2" w:rsidRPr="007200B1" w:rsidRDefault="00850DF2" w:rsidP="00C572CE">
            <w:pPr>
              <w:pStyle w:val="TableBlock"/>
              <w:tabs>
                <w:tab w:val="clear" w:pos="624"/>
              </w:tabs>
              <w:rPr>
                <w:i/>
                <w:iCs/>
                <w:rtl/>
              </w:rPr>
            </w:pPr>
            <w:r w:rsidRPr="007200B1">
              <w:rPr>
                <w:rFonts w:hint="cs"/>
                <w:i/>
                <w:iCs/>
                <w:rtl/>
              </w:rPr>
              <w:t>"טיפול רגיל" - טיפול בבקשה שהגיעה לרשות אחרי המועד הקבוע בתקנה 5 לתקנות טיסות שכר, אך שלושה ימים לפחות לפני המועד המתוכנן לטיסה הראשונה או לטיסה , לפי העניין;</w:t>
            </w:r>
          </w:p>
          <w:p w:rsidR="00850DF2" w:rsidRPr="007200B1" w:rsidRDefault="00850DF2" w:rsidP="00C572CE">
            <w:pPr>
              <w:pStyle w:val="TableBlock"/>
              <w:rPr>
                <w:i/>
                <w:iCs/>
                <w:rtl/>
              </w:rPr>
            </w:pPr>
            <w:r w:rsidRPr="007200B1">
              <w:rPr>
                <w:rFonts w:hint="cs"/>
                <w:i/>
                <w:iCs/>
                <w:rtl/>
              </w:rPr>
              <w:t>"טיפול דחוף" - טיפול בבקשה שהגיעה לרשות פחות משלושה ימים לפני המועד המתוכנן לטיסה הראשונה בסדרה או לטיסה, לפי העניין.</w:t>
            </w:r>
          </w:p>
          <w:p w:rsidR="00850DF2" w:rsidRPr="007200B1" w:rsidRDefault="00850DF2" w:rsidP="00C572CE">
            <w:pPr>
              <w:pStyle w:val="TableBlock"/>
              <w:rPr>
                <w:i/>
                <w:iCs/>
                <w:rtl/>
              </w:rPr>
            </w:pPr>
          </w:p>
          <w:p w:rsidR="00850DF2" w:rsidRPr="007200B1" w:rsidRDefault="00850DF2" w:rsidP="00C572CE">
            <w:pPr>
              <w:pStyle w:val="TableBlock"/>
              <w:rPr>
                <w:i/>
                <w:iCs/>
                <w:rtl/>
              </w:rPr>
            </w:pPr>
            <w:r w:rsidRPr="007200B1">
              <w:rPr>
                <w:rFonts w:hint="cs"/>
                <w:i/>
                <w:iCs/>
                <w:rtl/>
              </w:rPr>
              <w:t xml:space="preserve">תקנה 5 לתקנות טיסות שכר קובעת </w:t>
            </w:r>
            <w:r w:rsidRPr="007200B1">
              <w:rPr>
                <w:i/>
                <w:iCs/>
                <w:rtl/>
              </w:rPr>
              <w:t>–</w:t>
            </w:r>
            <w:r w:rsidRPr="007200B1">
              <w:rPr>
                <w:rFonts w:hint="cs"/>
                <w:i/>
                <w:iCs/>
                <w:rtl/>
              </w:rPr>
              <w:t xml:space="preserve"> </w:t>
            </w:r>
          </w:p>
          <w:p w:rsidR="00850DF2" w:rsidRPr="007200B1" w:rsidRDefault="00850DF2" w:rsidP="00C572CE">
            <w:pPr>
              <w:pStyle w:val="TableBlock"/>
              <w:rPr>
                <w:i/>
                <w:iCs/>
                <w:rtl/>
              </w:rPr>
            </w:pPr>
            <w:r w:rsidRPr="007200B1">
              <w:rPr>
                <w:rFonts w:hint="cs"/>
                <w:i/>
                <w:iCs/>
                <w:rtl/>
              </w:rPr>
              <w:t>"</w:t>
            </w:r>
          </w:p>
          <w:p w:rsidR="00850DF2" w:rsidRPr="007200B1" w:rsidRDefault="00850DF2" w:rsidP="00C572CE">
            <w:pPr>
              <w:pStyle w:val="TableBlock"/>
              <w:rPr>
                <w:i/>
                <w:iCs/>
                <w:rtl/>
              </w:rPr>
            </w:pPr>
            <w:r w:rsidRPr="007200B1">
              <w:rPr>
                <w:i/>
                <w:iCs/>
                <w:rtl/>
              </w:rPr>
              <w:t>א. בקשה למתן אישור להפעלת סידרה של טיסות שכר תוגש לאגף 30 ימים לפחות לפני מועד היציאה המתוכנן של הטיסה הראשונה בסידרה.</w:t>
            </w:r>
          </w:p>
          <w:p w:rsidR="00850DF2" w:rsidRPr="007200B1" w:rsidRDefault="00850DF2" w:rsidP="00C572CE">
            <w:pPr>
              <w:pStyle w:val="TableBlock"/>
              <w:rPr>
                <w:i/>
                <w:iCs/>
                <w:rtl/>
              </w:rPr>
            </w:pPr>
          </w:p>
          <w:p w:rsidR="00850DF2" w:rsidRPr="007200B1" w:rsidRDefault="00850DF2" w:rsidP="00C572CE">
            <w:pPr>
              <w:pStyle w:val="TableBlock"/>
              <w:rPr>
                <w:i/>
                <w:iCs/>
                <w:rtl/>
              </w:rPr>
            </w:pPr>
            <w:r w:rsidRPr="007200B1">
              <w:rPr>
                <w:i/>
                <w:iCs/>
                <w:rtl/>
              </w:rPr>
              <w:t>ב. בקשה למתן אישור להפעלת טיסת שכר או מספר טיסות שכר שאינן מהוות סידרה או לתוספת של עד 4 טיסות שכר שאינן מהוות סידרה או לתוספת של עד 4 טיסות שכר לסידרה שאושרה, תוגש לאגף ארבעה ימים לפחות לפני המועד המתוכנן לביצוע הטיסה, או הטיסה הראשונה, לפי הענין.</w:t>
            </w:r>
            <w:r w:rsidRPr="007200B1">
              <w:rPr>
                <w:rFonts w:hint="cs"/>
                <w:i/>
                <w:iCs/>
                <w:rtl/>
              </w:rPr>
              <w:t>..."</w:t>
            </w:r>
          </w:p>
          <w:p w:rsidR="00850DF2" w:rsidRPr="007200B1" w:rsidRDefault="00850DF2" w:rsidP="00C572CE">
            <w:pPr>
              <w:pStyle w:val="TableBlock"/>
              <w:rPr>
                <w:i/>
                <w:iCs/>
                <w:rtl/>
              </w:rPr>
            </w:pPr>
          </w:p>
        </w:tc>
      </w:tr>
    </w:tbl>
    <w:p w:rsidR="00850DF2" w:rsidRDefault="00850DF2" w:rsidP="00850DF2">
      <w:pPr>
        <w:pStyle w:val="HeadDivreiHesber"/>
        <w:jc w:val="both"/>
        <w:rPr>
          <w:b w:val="0"/>
          <w:spacing w:val="0"/>
          <w:u w:val="single"/>
          <w:rtl/>
        </w:rPr>
      </w:pPr>
      <w:r w:rsidRPr="007200B1">
        <w:rPr>
          <w:rFonts w:hint="cs"/>
          <w:b w:val="0"/>
          <w:spacing w:val="0"/>
          <w:rtl/>
        </w:rPr>
        <w:t xml:space="preserve">ניתוח התפלגות של מתן ההיתרים הנוכחית לטיסות שכר מתאפיין באחוז גבוה מאד של  היתרים שניתנו שלא בהתאם לתקנות השכר, כפי שניתן לראות </w:t>
      </w:r>
      <w:r>
        <w:rPr>
          <w:rFonts w:hint="cs"/>
          <w:b w:val="0"/>
          <w:spacing w:val="0"/>
          <w:rtl/>
        </w:rPr>
        <w:t>בלוח מספר 2 להלן</w:t>
      </w:r>
      <w:r w:rsidRPr="007200B1">
        <w:rPr>
          <w:rFonts w:hint="cs"/>
          <w:b w:val="0"/>
          <w:spacing w:val="0"/>
          <w:rtl/>
        </w:rPr>
        <w:t>:</w:t>
      </w:r>
    </w:p>
    <w:p w:rsidR="00850DF2" w:rsidRDefault="00850DF2" w:rsidP="00850DF2">
      <w:pPr>
        <w:pStyle w:val="HeadDivreiHesber"/>
        <w:ind w:left="360"/>
        <w:rPr>
          <w:b w:val="0"/>
          <w:spacing w:val="0"/>
          <w:u w:val="single"/>
          <w:rtl/>
        </w:rPr>
      </w:pPr>
      <w:r w:rsidRPr="007200B1">
        <w:rPr>
          <w:rFonts w:hint="cs"/>
          <w:b w:val="0"/>
          <w:spacing w:val="0"/>
          <w:u w:val="single"/>
          <w:rtl/>
        </w:rPr>
        <w:t>לוח מספר 2 - היתרים שהונפקו בגין תקנה 32 בשנת 201</w:t>
      </w:r>
      <w:r>
        <w:rPr>
          <w:rFonts w:hint="cs"/>
          <w:b w:val="0"/>
          <w:spacing w:val="0"/>
          <w:u w:val="single"/>
          <w:rtl/>
        </w:rPr>
        <w:t>4</w:t>
      </w:r>
    </w:p>
    <w:p w:rsidR="00850DF2" w:rsidRPr="007200B1" w:rsidRDefault="00850DF2" w:rsidP="00850DF2">
      <w:pPr>
        <w:pStyle w:val="HeadDivreiHesber"/>
        <w:ind w:left="360"/>
        <w:rPr>
          <w:b w:val="0"/>
          <w:spacing w:val="0"/>
          <w:u w:val="single"/>
          <w:rtl/>
        </w:rPr>
      </w:pPr>
      <w:r w:rsidRPr="00C572CE">
        <w:rPr>
          <w:noProof/>
          <w:szCs w:val="20"/>
          <w:lang w:eastAsia="en-US"/>
        </w:rPr>
        <w:lastRenderedPageBreak/>
        <w:drawing>
          <wp:inline distT="0" distB="0" distL="0" distR="0" wp14:anchorId="21E44846" wp14:editId="4DB57095">
            <wp:extent cx="3629025" cy="1362075"/>
            <wp:effectExtent l="0" t="0" r="9525" b="9525"/>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9025" cy="1362075"/>
                    </a:xfrm>
                    <a:prstGeom prst="rect">
                      <a:avLst/>
                    </a:prstGeom>
                    <a:noFill/>
                    <a:ln>
                      <a:noFill/>
                    </a:ln>
                  </pic:spPr>
                </pic:pic>
              </a:graphicData>
            </a:graphic>
          </wp:inline>
        </w:drawing>
      </w:r>
    </w:p>
    <w:p w:rsidR="00850DF2" w:rsidRPr="007200B1" w:rsidRDefault="00850DF2" w:rsidP="00850DF2">
      <w:pPr>
        <w:pStyle w:val="HeadDivreiHesber"/>
        <w:ind w:left="360"/>
        <w:rPr>
          <w:b w:val="0"/>
          <w:spacing w:val="0"/>
          <w:rtl/>
        </w:rPr>
      </w:pPr>
    </w:p>
    <w:p w:rsidR="00850DF2" w:rsidRPr="00215AB8" w:rsidRDefault="00850DF2" w:rsidP="00850DF2">
      <w:pPr>
        <w:pStyle w:val="HeadDivreiHesber"/>
        <w:ind w:left="360"/>
        <w:jc w:val="both"/>
        <w:rPr>
          <w:b w:val="0"/>
          <w:spacing w:val="0"/>
          <w:rtl/>
        </w:rPr>
      </w:pPr>
      <w:r w:rsidRPr="007200B1">
        <w:rPr>
          <w:rFonts w:hint="cs"/>
          <w:b w:val="0"/>
          <w:spacing w:val="0"/>
          <w:rtl/>
        </w:rPr>
        <w:t xml:space="preserve">ניתן לראות </w:t>
      </w:r>
      <w:r>
        <w:rPr>
          <w:rFonts w:hint="cs"/>
          <w:b w:val="0"/>
          <w:spacing w:val="0"/>
          <w:rtl/>
        </w:rPr>
        <w:t xml:space="preserve">מלוח מס' 2 לעיל </w:t>
      </w:r>
      <w:r w:rsidRPr="007200B1">
        <w:rPr>
          <w:rFonts w:hint="cs"/>
          <w:b w:val="0"/>
          <w:spacing w:val="0"/>
          <w:rtl/>
        </w:rPr>
        <w:t xml:space="preserve">כי כ-27% מכלל ההיתרים </w:t>
      </w:r>
      <w:r w:rsidRPr="001B7348">
        <w:rPr>
          <w:b w:val="0"/>
          <w:spacing w:val="0"/>
          <w:rtl/>
        </w:rPr>
        <w:t>שהונפקו בשנת 201</w:t>
      </w:r>
      <w:r>
        <w:rPr>
          <w:rFonts w:hint="cs"/>
          <w:b w:val="0"/>
          <w:spacing w:val="0"/>
          <w:rtl/>
        </w:rPr>
        <w:t>4</w:t>
      </w:r>
      <w:r w:rsidRPr="001B7348">
        <w:rPr>
          <w:b w:val="0"/>
          <w:spacing w:val="0"/>
          <w:rtl/>
        </w:rPr>
        <w:t xml:space="preserve"> </w:t>
      </w:r>
      <w:r w:rsidRPr="007200B1">
        <w:rPr>
          <w:rFonts w:hint="cs"/>
          <w:b w:val="0"/>
          <w:spacing w:val="0"/>
          <w:rtl/>
        </w:rPr>
        <w:t xml:space="preserve">ניתנו בגין בקשות להיתרים שלא בהתאם למועד הקבוע </w:t>
      </w:r>
      <w:r w:rsidRPr="00215AB8">
        <w:rPr>
          <w:rFonts w:hint="cs"/>
          <w:b w:val="0"/>
          <w:spacing w:val="0"/>
          <w:rtl/>
        </w:rPr>
        <w:t xml:space="preserve">בתקנות השכר וכי </w:t>
      </w:r>
      <w:r>
        <w:rPr>
          <w:rFonts w:hint="cs"/>
          <w:b w:val="0"/>
          <w:spacing w:val="0"/>
          <w:rtl/>
        </w:rPr>
        <w:t>לא פחות מ-170 היתרי הפעלה שהונפקו בשנת 2014 (</w:t>
      </w:r>
      <w:r w:rsidRPr="0058107B">
        <w:rPr>
          <w:b w:val="0"/>
          <w:spacing w:val="0"/>
          <w:rtl/>
        </w:rPr>
        <w:t>כ-15% מכלל ההיתרים שהונפקו</w:t>
      </w:r>
      <w:r>
        <w:rPr>
          <w:rFonts w:hint="cs"/>
          <w:b w:val="0"/>
          <w:spacing w:val="0"/>
          <w:rtl/>
        </w:rPr>
        <w:t xml:space="preserve"> באותה שנה)</w:t>
      </w:r>
      <w:r w:rsidRPr="0058107B">
        <w:rPr>
          <w:b w:val="0"/>
          <w:spacing w:val="0"/>
          <w:rtl/>
        </w:rPr>
        <w:t xml:space="preserve"> </w:t>
      </w:r>
      <w:r w:rsidRPr="00215AB8">
        <w:rPr>
          <w:rFonts w:hint="cs"/>
          <w:b w:val="0"/>
          <w:spacing w:val="0"/>
          <w:rtl/>
        </w:rPr>
        <w:t xml:space="preserve">הוגשו פחות משלושה ימים לפני הטיסה. במקרים רבים, בקשות </w:t>
      </w:r>
      <w:r>
        <w:rPr>
          <w:rFonts w:hint="cs"/>
          <w:b w:val="0"/>
          <w:spacing w:val="0"/>
          <w:rtl/>
        </w:rPr>
        <w:t xml:space="preserve">למתן היתר </w:t>
      </w:r>
      <w:r w:rsidRPr="00215AB8">
        <w:rPr>
          <w:rFonts w:hint="cs"/>
          <w:b w:val="0"/>
          <w:spacing w:val="0"/>
          <w:rtl/>
        </w:rPr>
        <w:t xml:space="preserve">הוגשו יום לפני הטיסה ואף באותו היום. </w:t>
      </w:r>
    </w:p>
    <w:p w:rsidR="00850DF2" w:rsidRPr="00215AB8" w:rsidRDefault="00850DF2" w:rsidP="00850DF2">
      <w:pPr>
        <w:pStyle w:val="HeadDivreiHesber"/>
        <w:ind w:left="360"/>
        <w:jc w:val="both"/>
        <w:rPr>
          <w:b w:val="0"/>
          <w:spacing w:val="0"/>
          <w:rtl/>
        </w:rPr>
      </w:pPr>
      <w:r w:rsidRPr="00215AB8">
        <w:rPr>
          <w:rFonts w:hint="cs"/>
          <w:b w:val="0"/>
          <w:spacing w:val="0"/>
          <w:rtl/>
        </w:rPr>
        <w:t xml:space="preserve">לפי מבנה האגרות הנוכחי, מי שמגיש לרשות בקשות לאישור טיסות "ברגע האחרון", במועד שאינו מהווה פרק זמן סביר מראש המאפשר לרשות בדיקה מעמיקה די זמן מראש,  נדרש לשלם אגרה בתעריף יחסית נמוך, באופן בלתי סביר. על שום כך, אין מניעה להגיש בקשות חריגות רבות, הגורמות לשיבוש סדרי העבודה התקינים של הרשות, שכן יש לפנות בתוך פרק זמן קצר מאוד משאבי כוח אדם לטובת בדיקת הבקשות החריגות, תוך סטייה משגרת העבודה.  </w:t>
      </w:r>
    </w:p>
    <w:p w:rsidR="00850DF2" w:rsidRPr="007200B1" w:rsidRDefault="00850DF2" w:rsidP="00850DF2">
      <w:pPr>
        <w:pStyle w:val="HeadDivreiHesber"/>
        <w:ind w:left="360"/>
        <w:jc w:val="both"/>
        <w:rPr>
          <w:b w:val="0"/>
          <w:spacing w:val="0"/>
          <w:rtl/>
        </w:rPr>
      </w:pPr>
      <w:r w:rsidRPr="00215AB8">
        <w:rPr>
          <w:rFonts w:hint="cs"/>
          <w:b w:val="0"/>
          <w:spacing w:val="0"/>
          <w:rtl/>
        </w:rPr>
        <w:t>כך, למשל,</w:t>
      </w:r>
      <w:r w:rsidRPr="007200B1">
        <w:rPr>
          <w:rFonts w:hint="cs"/>
          <w:b w:val="0"/>
          <w:spacing w:val="0"/>
          <w:rtl/>
        </w:rPr>
        <w:t xml:space="preserve"> מי שהגיש </w:t>
      </w:r>
      <w:r w:rsidRPr="007200B1">
        <w:rPr>
          <w:b w:val="0"/>
          <w:spacing w:val="0"/>
          <w:rtl/>
        </w:rPr>
        <w:t>בקשה</w:t>
      </w:r>
      <w:r w:rsidRPr="007200B1">
        <w:rPr>
          <w:rFonts w:hint="cs"/>
          <w:b w:val="0"/>
          <w:spacing w:val="0"/>
          <w:rtl/>
        </w:rPr>
        <w:t xml:space="preserve"> לפי המועד הקבוע בתקנות השכר לאישור 1-5 טיסות ישלם סך של 1320 ₪, בעוד </w:t>
      </w:r>
      <w:r>
        <w:rPr>
          <w:rFonts w:hint="cs"/>
          <w:b w:val="0"/>
          <w:spacing w:val="0"/>
          <w:rtl/>
        </w:rPr>
        <w:t>ש</w:t>
      </w:r>
      <w:r w:rsidRPr="007200B1">
        <w:rPr>
          <w:rFonts w:hint="cs"/>
          <w:b w:val="0"/>
          <w:spacing w:val="0"/>
          <w:rtl/>
        </w:rPr>
        <w:t>מי</w:t>
      </w:r>
      <w:r>
        <w:rPr>
          <w:rFonts w:hint="cs"/>
          <w:b w:val="0"/>
          <w:spacing w:val="0"/>
          <w:rtl/>
        </w:rPr>
        <w:t xml:space="preserve"> </w:t>
      </w:r>
      <w:r w:rsidRPr="007200B1">
        <w:rPr>
          <w:rFonts w:hint="cs"/>
          <w:b w:val="0"/>
          <w:spacing w:val="0"/>
          <w:rtl/>
        </w:rPr>
        <w:t>שהגיש בקשה זהה יום לפני הטיסה ישלם סך של 1980 ₪, 660 ₪ יותר בלבד. הדבר גורם להתנהגות המתוארת בלוח מספר 2 לעיל ולקושי רב בהתנהלות האגף</w:t>
      </w:r>
      <w:r>
        <w:rPr>
          <w:rFonts w:hint="cs"/>
          <w:b w:val="0"/>
          <w:spacing w:val="0"/>
          <w:rtl/>
        </w:rPr>
        <w:t xml:space="preserve">, </w:t>
      </w:r>
      <w:r w:rsidRPr="007200B1">
        <w:rPr>
          <w:rFonts w:hint="cs"/>
          <w:b w:val="0"/>
          <w:spacing w:val="0"/>
          <w:rtl/>
        </w:rPr>
        <w:t xml:space="preserve"> אשר מקבל חדשות לבקרים בקשות להיתרים </w:t>
      </w:r>
      <w:r>
        <w:rPr>
          <w:rFonts w:hint="cs"/>
          <w:b w:val="0"/>
          <w:spacing w:val="0"/>
          <w:rtl/>
        </w:rPr>
        <w:t>"</w:t>
      </w:r>
      <w:r w:rsidRPr="007200B1">
        <w:rPr>
          <w:rFonts w:hint="cs"/>
          <w:b w:val="0"/>
          <w:spacing w:val="0"/>
          <w:rtl/>
        </w:rPr>
        <w:t>ברגע האחרון</w:t>
      </w:r>
      <w:r>
        <w:rPr>
          <w:rFonts w:hint="cs"/>
          <w:b w:val="0"/>
          <w:spacing w:val="0"/>
          <w:rtl/>
        </w:rPr>
        <w:t>", והדבר משבש כאמור את פעילותו התקינה והתנהלותו</w:t>
      </w:r>
      <w:r w:rsidRPr="007200B1">
        <w:rPr>
          <w:rFonts w:hint="cs"/>
          <w:b w:val="0"/>
          <w:spacing w:val="0"/>
          <w:rtl/>
        </w:rPr>
        <w:t>.</w:t>
      </w:r>
    </w:p>
    <w:p w:rsidR="00850DF2" w:rsidRDefault="00850DF2" w:rsidP="00850DF2">
      <w:pPr>
        <w:pStyle w:val="HeadDivreiHesber"/>
        <w:ind w:left="360"/>
        <w:jc w:val="both"/>
        <w:rPr>
          <w:b w:val="0"/>
          <w:spacing w:val="0"/>
          <w:rtl/>
        </w:rPr>
      </w:pPr>
      <w:r w:rsidRPr="007200B1">
        <w:rPr>
          <w:rFonts w:hint="cs"/>
          <w:b w:val="0"/>
          <w:spacing w:val="0"/>
          <w:rtl/>
        </w:rPr>
        <w:t>משכך, מוצע לתקן את מבנה האגרות ולהגדיל בצורה משמעותית את הדיפרנציאציה בין סוגי הטיפולים השונים כמתואר בלוח מס' 1 לעיל. התעריף לטיפול "</w:t>
      </w:r>
      <w:r>
        <w:rPr>
          <w:rFonts w:hint="cs"/>
          <w:b w:val="0"/>
          <w:spacing w:val="0"/>
          <w:rtl/>
        </w:rPr>
        <w:t>דחוף</w:t>
      </w:r>
      <w:r w:rsidRPr="007200B1">
        <w:rPr>
          <w:rFonts w:hint="cs"/>
          <w:b w:val="0"/>
          <w:spacing w:val="0"/>
          <w:rtl/>
        </w:rPr>
        <w:t xml:space="preserve">" </w:t>
      </w:r>
      <w:r>
        <w:rPr>
          <w:rFonts w:hint="cs"/>
          <w:b w:val="0"/>
          <w:spacing w:val="0"/>
          <w:rtl/>
        </w:rPr>
        <w:t>כמפורט בטור א' לטבלה המופיעה בגוף התקנות</w:t>
      </w:r>
      <w:r w:rsidRPr="007200B1">
        <w:rPr>
          <w:rFonts w:hint="cs"/>
          <w:b w:val="0"/>
          <w:spacing w:val="0"/>
          <w:rtl/>
        </w:rPr>
        <w:t xml:space="preserve"> (לפי הגדרתו </w:t>
      </w:r>
      <w:r>
        <w:rPr>
          <w:rFonts w:hint="cs"/>
          <w:b w:val="0"/>
          <w:spacing w:val="0"/>
          <w:rtl/>
        </w:rPr>
        <w:t>בהצעת התיקון</w:t>
      </w:r>
      <w:r w:rsidRPr="007200B1">
        <w:rPr>
          <w:rFonts w:hint="cs"/>
          <w:b w:val="0"/>
          <w:spacing w:val="0"/>
          <w:rtl/>
        </w:rPr>
        <w:t>) יחושב כ-</w:t>
      </w:r>
      <w:r>
        <w:rPr>
          <w:rFonts w:hint="cs"/>
          <w:b w:val="0"/>
          <w:spacing w:val="0"/>
          <w:rtl/>
        </w:rPr>
        <w:t>75</w:t>
      </w:r>
      <w:r w:rsidRPr="007200B1">
        <w:rPr>
          <w:rFonts w:hint="cs"/>
          <w:b w:val="0"/>
          <w:spacing w:val="0"/>
          <w:rtl/>
        </w:rPr>
        <w:t>% מהתעריף לטיפול "</w:t>
      </w:r>
      <w:r>
        <w:rPr>
          <w:rFonts w:hint="cs"/>
          <w:b w:val="0"/>
          <w:spacing w:val="0"/>
          <w:rtl/>
        </w:rPr>
        <w:t>רגיל</w:t>
      </w:r>
      <w:r w:rsidRPr="007200B1">
        <w:rPr>
          <w:rFonts w:hint="cs"/>
          <w:b w:val="0"/>
          <w:spacing w:val="0"/>
          <w:rtl/>
        </w:rPr>
        <w:t xml:space="preserve">" </w:t>
      </w:r>
      <w:r w:rsidRPr="0058107B">
        <w:rPr>
          <w:b w:val="0"/>
          <w:spacing w:val="0"/>
          <w:rtl/>
        </w:rPr>
        <w:t>בכל קטגוריה של כמות טיסות</w:t>
      </w:r>
      <w:r w:rsidRPr="007200B1">
        <w:rPr>
          <w:rFonts w:hint="cs"/>
          <w:b w:val="0"/>
          <w:spacing w:val="0"/>
          <w:rtl/>
        </w:rPr>
        <w:t>. התעריף לטיפול "</w:t>
      </w:r>
      <w:r>
        <w:rPr>
          <w:rFonts w:hint="cs"/>
          <w:b w:val="0"/>
          <w:spacing w:val="0"/>
          <w:rtl/>
        </w:rPr>
        <w:t>חריג</w:t>
      </w:r>
      <w:r w:rsidRPr="007200B1">
        <w:rPr>
          <w:rFonts w:hint="cs"/>
          <w:b w:val="0"/>
          <w:spacing w:val="0"/>
          <w:rtl/>
        </w:rPr>
        <w:t xml:space="preserve">" (לפי הגדרתו </w:t>
      </w:r>
      <w:r>
        <w:rPr>
          <w:rFonts w:hint="cs"/>
          <w:b w:val="0"/>
          <w:spacing w:val="0"/>
          <w:rtl/>
        </w:rPr>
        <w:t>בהצעת התיקון</w:t>
      </w:r>
      <w:r w:rsidRPr="007200B1">
        <w:rPr>
          <w:rFonts w:hint="cs"/>
          <w:b w:val="0"/>
          <w:spacing w:val="0"/>
          <w:rtl/>
        </w:rPr>
        <w:t>) יחושב כ-</w:t>
      </w:r>
      <w:r>
        <w:rPr>
          <w:rFonts w:hint="cs"/>
          <w:b w:val="0"/>
          <w:spacing w:val="0"/>
          <w:rtl/>
        </w:rPr>
        <w:t>50</w:t>
      </w:r>
      <w:r w:rsidRPr="007200B1">
        <w:rPr>
          <w:rFonts w:hint="cs"/>
          <w:b w:val="0"/>
          <w:spacing w:val="0"/>
          <w:rtl/>
        </w:rPr>
        <w:t>% מהתעריף לטיפול "</w:t>
      </w:r>
      <w:r>
        <w:rPr>
          <w:rFonts w:hint="cs"/>
          <w:b w:val="0"/>
          <w:spacing w:val="0"/>
          <w:rtl/>
        </w:rPr>
        <w:t>דחוף</w:t>
      </w:r>
      <w:r w:rsidRPr="007200B1">
        <w:rPr>
          <w:rFonts w:hint="cs"/>
          <w:b w:val="0"/>
          <w:spacing w:val="0"/>
          <w:rtl/>
        </w:rPr>
        <w:t xml:space="preserve">" </w:t>
      </w:r>
      <w:r w:rsidRPr="0058107B">
        <w:rPr>
          <w:b w:val="0"/>
          <w:spacing w:val="0"/>
          <w:rtl/>
        </w:rPr>
        <w:t>בכל קטגוריה של כמות טיסות</w:t>
      </w:r>
      <w:r w:rsidRPr="007200B1">
        <w:rPr>
          <w:rFonts w:hint="cs"/>
          <w:b w:val="0"/>
          <w:spacing w:val="0"/>
          <w:rtl/>
        </w:rPr>
        <w:t xml:space="preserve">. </w:t>
      </w:r>
    </w:p>
    <w:p w:rsidR="00850DF2" w:rsidRPr="007200B1" w:rsidRDefault="00850DF2" w:rsidP="00275BBA">
      <w:pPr>
        <w:pStyle w:val="HeadDivreiHesber"/>
        <w:numPr>
          <w:ilvl w:val="0"/>
          <w:numId w:val="7"/>
        </w:numPr>
        <w:jc w:val="both"/>
        <w:rPr>
          <w:b w:val="0"/>
          <w:spacing w:val="0"/>
          <w:u w:val="single"/>
        </w:rPr>
      </w:pPr>
      <w:r w:rsidRPr="007200B1">
        <w:rPr>
          <w:b w:val="0"/>
          <w:spacing w:val="0"/>
          <w:u w:val="single"/>
          <w:rtl/>
        </w:rPr>
        <w:t>תיקון המונחים "טיפול מוקד</w:t>
      </w:r>
      <w:r w:rsidRPr="007200B1">
        <w:rPr>
          <w:rFonts w:hint="eastAsia"/>
          <w:b w:val="0"/>
          <w:spacing w:val="0"/>
          <w:u w:val="single"/>
          <w:rtl/>
        </w:rPr>
        <w:t>ם</w:t>
      </w:r>
      <w:r w:rsidRPr="007200B1">
        <w:rPr>
          <w:b w:val="0"/>
          <w:spacing w:val="0"/>
          <w:u w:val="single"/>
          <w:rtl/>
        </w:rPr>
        <w:t xml:space="preserve">", "טיפול רגיל" ו"טיפול דחוף" </w:t>
      </w:r>
      <w:r w:rsidRPr="007200B1">
        <w:rPr>
          <w:rFonts w:hint="eastAsia"/>
          <w:b w:val="0"/>
          <w:spacing w:val="0"/>
          <w:u w:val="single"/>
          <w:rtl/>
        </w:rPr>
        <w:t>למונחים</w:t>
      </w:r>
      <w:r w:rsidRPr="007200B1">
        <w:rPr>
          <w:b w:val="0"/>
          <w:spacing w:val="0"/>
          <w:u w:val="single"/>
          <w:rtl/>
        </w:rPr>
        <w:t xml:space="preserve"> "טיפול </w:t>
      </w:r>
      <w:r w:rsidRPr="007200B1">
        <w:rPr>
          <w:rFonts w:hint="eastAsia"/>
          <w:b w:val="0"/>
          <w:spacing w:val="0"/>
          <w:u w:val="single"/>
          <w:rtl/>
        </w:rPr>
        <w:t>רגיל</w:t>
      </w:r>
      <w:r w:rsidRPr="007200B1">
        <w:rPr>
          <w:b w:val="0"/>
          <w:spacing w:val="0"/>
          <w:u w:val="single"/>
          <w:rtl/>
        </w:rPr>
        <w:t xml:space="preserve">", "טיפול </w:t>
      </w:r>
      <w:r w:rsidRPr="007200B1">
        <w:rPr>
          <w:rFonts w:hint="eastAsia"/>
          <w:b w:val="0"/>
          <w:spacing w:val="0"/>
          <w:u w:val="single"/>
          <w:rtl/>
        </w:rPr>
        <w:t>דחוף</w:t>
      </w:r>
      <w:r w:rsidRPr="007200B1">
        <w:rPr>
          <w:b w:val="0"/>
          <w:spacing w:val="0"/>
          <w:u w:val="single"/>
          <w:rtl/>
        </w:rPr>
        <w:t xml:space="preserve">" </w:t>
      </w:r>
      <w:r w:rsidRPr="007200B1">
        <w:rPr>
          <w:rFonts w:hint="eastAsia"/>
          <w:b w:val="0"/>
          <w:spacing w:val="0"/>
          <w:u w:val="single"/>
          <w:rtl/>
        </w:rPr>
        <w:t>ו</w:t>
      </w:r>
      <w:r w:rsidRPr="007200B1">
        <w:rPr>
          <w:b w:val="0"/>
          <w:spacing w:val="0"/>
          <w:u w:val="single"/>
          <w:rtl/>
        </w:rPr>
        <w:t xml:space="preserve">-"טיפול </w:t>
      </w:r>
      <w:r w:rsidRPr="007200B1">
        <w:rPr>
          <w:rFonts w:hint="eastAsia"/>
          <w:b w:val="0"/>
          <w:spacing w:val="0"/>
          <w:u w:val="single"/>
          <w:rtl/>
        </w:rPr>
        <w:t>חריג</w:t>
      </w:r>
      <w:r w:rsidRPr="007200B1">
        <w:rPr>
          <w:b w:val="0"/>
          <w:spacing w:val="0"/>
          <w:u w:val="single"/>
          <w:rtl/>
        </w:rPr>
        <w:t xml:space="preserve">" </w:t>
      </w:r>
      <w:r w:rsidRPr="007200B1">
        <w:rPr>
          <w:rFonts w:hint="eastAsia"/>
          <w:b w:val="0"/>
          <w:spacing w:val="0"/>
          <w:u w:val="single"/>
          <w:rtl/>
        </w:rPr>
        <w:t>בהתאמה</w:t>
      </w:r>
      <w:r w:rsidRPr="007200B1">
        <w:rPr>
          <w:b w:val="0"/>
          <w:spacing w:val="0"/>
          <w:u w:val="single"/>
          <w:rtl/>
        </w:rPr>
        <w:t xml:space="preserve">  - </w:t>
      </w:r>
    </w:p>
    <w:p w:rsidR="00850DF2" w:rsidRDefault="00850DF2" w:rsidP="00850DF2">
      <w:pPr>
        <w:pStyle w:val="HeadDivreiHesber"/>
        <w:ind w:left="360"/>
        <w:jc w:val="both"/>
        <w:rPr>
          <w:b w:val="0"/>
          <w:spacing w:val="0"/>
          <w:rtl/>
        </w:rPr>
      </w:pPr>
      <w:r w:rsidRPr="007200B1">
        <w:rPr>
          <w:rFonts w:hint="cs"/>
          <w:b w:val="0"/>
          <w:spacing w:val="0"/>
          <w:rtl/>
        </w:rPr>
        <w:t xml:space="preserve">המינוח הנוכחי יוצר אבסורד לפיו עמידה בהוראות התקנות נחשבת ל"טיפול מוקדם" ואי עמידה בהוראות החוק נחשבת ל"טיפול רגיל". על מנת לעודד, גם מבחינה סמנטית, את מבקשי השירות לעמוד בהוראות תקנות השכר באשר למועדי ההגשה, מוצע לתקן את </w:t>
      </w:r>
      <w:r w:rsidRPr="007200B1">
        <w:rPr>
          <w:b w:val="0"/>
          <w:spacing w:val="0"/>
          <w:rtl/>
        </w:rPr>
        <w:t xml:space="preserve">המונחים "טיפול מוקדם", </w:t>
      </w:r>
      <w:r w:rsidRPr="007200B1">
        <w:rPr>
          <w:b w:val="0"/>
          <w:spacing w:val="0"/>
          <w:rtl/>
        </w:rPr>
        <w:lastRenderedPageBreak/>
        <w:t xml:space="preserve">"טיפול רגיל" ו"טיפול </w:t>
      </w:r>
      <w:r w:rsidRPr="007200B1">
        <w:rPr>
          <w:rFonts w:hint="cs"/>
          <w:b w:val="0"/>
          <w:spacing w:val="0"/>
          <w:rtl/>
        </w:rPr>
        <w:t xml:space="preserve"> </w:t>
      </w:r>
      <w:r w:rsidRPr="007200B1">
        <w:rPr>
          <w:b w:val="0"/>
          <w:spacing w:val="0"/>
          <w:rtl/>
        </w:rPr>
        <w:t xml:space="preserve">דחוף" למונחים "טיפול רגיל", "טיפול דחוף" ו-"טיפול חריג" בהתאמה </w:t>
      </w:r>
      <w:r w:rsidRPr="007200B1">
        <w:rPr>
          <w:rFonts w:hint="cs"/>
          <w:b w:val="0"/>
          <w:spacing w:val="0"/>
          <w:rtl/>
        </w:rPr>
        <w:t>.</w:t>
      </w:r>
    </w:p>
    <w:p w:rsidR="00850DF2" w:rsidRDefault="00850DF2" w:rsidP="00850DF2">
      <w:pPr>
        <w:pStyle w:val="HeadDivreiHesber"/>
        <w:ind w:left="360"/>
        <w:jc w:val="both"/>
        <w:rPr>
          <w:b w:val="0"/>
          <w:spacing w:val="0"/>
          <w:rtl/>
        </w:rPr>
      </w:pPr>
    </w:p>
    <w:p w:rsidR="00850DF2" w:rsidRDefault="00850DF2" w:rsidP="00850DF2">
      <w:pPr>
        <w:pStyle w:val="HeadDivreiHesber"/>
        <w:ind w:left="360"/>
        <w:jc w:val="both"/>
        <w:rPr>
          <w:b w:val="0"/>
          <w:spacing w:val="0"/>
          <w:rtl/>
        </w:rPr>
      </w:pPr>
    </w:p>
    <w:p w:rsidR="00275BBA" w:rsidRDefault="00275BBA" w:rsidP="00850DF2">
      <w:pPr>
        <w:pStyle w:val="HeadDivreiHesber"/>
        <w:ind w:left="360"/>
        <w:jc w:val="both"/>
        <w:rPr>
          <w:b w:val="0"/>
          <w:spacing w:val="0"/>
          <w:rtl/>
        </w:rPr>
      </w:pPr>
    </w:p>
    <w:p w:rsidR="00275BBA" w:rsidRDefault="00275BBA" w:rsidP="00850DF2">
      <w:pPr>
        <w:pStyle w:val="HeadDivreiHesber"/>
        <w:ind w:left="360"/>
        <w:jc w:val="both"/>
        <w:rPr>
          <w:b w:val="0"/>
          <w:spacing w:val="0"/>
          <w:rtl/>
        </w:rPr>
      </w:pPr>
    </w:p>
    <w:p w:rsidR="00275BBA" w:rsidRDefault="00275BBA" w:rsidP="00850DF2">
      <w:pPr>
        <w:pStyle w:val="HeadDivreiHesber"/>
        <w:ind w:left="360"/>
        <w:jc w:val="both"/>
        <w:rPr>
          <w:b w:val="0"/>
          <w:spacing w:val="0"/>
          <w:rtl/>
        </w:rPr>
      </w:pPr>
    </w:p>
    <w:p w:rsidR="00850DF2" w:rsidRPr="007200B1" w:rsidRDefault="00275BBA" w:rsidP="00275BBA">
      <w:pPr>
        <w:pStyle w:val="HeadDivreiHesber"/>
        <w:jc w:val="both"/>
        <w:rPr>
          <w:u w:val="single"/>
        </w:rPr>
      </w:pPr>
      <w:r>
        <w:rPr>
          <w:rFonts w:hint="cs"/>
          <w:u w:val="single"/>
          <w:rtl/>
        </w:rPr>
        <w:t xml:space="preserve">(4) </w:t>
      </w:r>
      <w:r w:rsidR="00850DF2" w:rsidRPr="007200B1">
        <w:rPr>
          <w:rFonts w:hint="eastAsia"/>
          <w:u w:val="single"/>
          <w:rtl/>
        </w:rPr>
        <w:t>השפעה</w:t>
      </w:r>
      <w:r w:rsidR="00850DF2" w:rsidRPr="007200B1">
        <w:rPr>
          <w:u w:val="single"/>
          <w:rtl/>
        </w:rPr>
        <w:t xml:space="preserve"> </w:t>
      </w:r>
      <w:r w:rsidR="00850DF2" w:rsidRPr="007200B1">
        <w:rPr>
          <w:rFonts w:hint="eastAsia"/>
          <w:u w:val="single"/>
          <w:rtl/>
        </w:rPr>
        <w:t>מוערכת</w:t>
      </w:r>
      <w:r w:rsidR="00850DF2" w:rsidRPr="007200B1">
        <w:rPr>
          <w:u w:val="single"/>
          <w:rtl/>
        </w:rPr>
        <w:t xml:space="preserve"> </w:t>
      </w:r>
      <w:r w:rsidR="00850DF2" w:rsidRPr="007200B1">
        <w:rPr>
          <w:rFonts w:hint="eastAsia"/>
          <w:u w:val="single"/>
          <w:rtl/>
        </w:rPr>
        <w:t>של</w:t>
      </w:r>
      <w:r w:rsidR="00850DF2" w:rsidRPr="007200B1">
        <w:rPr>
          <w:u w:val="single"/>
          <w:rtl/>
        </w:rPr>
        <w:t xml:space="preserve"> </w:t>
      </w:r>
      <w:r w:rsidR="00850DF2" w:rsidRPr="007200B1">
        <w:rPr>
          <w:rFonts w:hint="eastAsia"/>
          <w:u w:val="single"/>
          <w:rtl/>
        </w:rPr>
        <w:t>השינוי</w:t>
      </w:r>
      <w:r w:rsidR="00850DF2" w:rsidRPr="007200B1">
        <w:rPr>
          <w:u w:val="single"/>
          <w:rtl/>
        </w:rPr>
        <w:t xml:space="preserve"> </w:t>
      </w:r>
      <w:r w:rsidR="00850DF2" w:rsidRPr="007200B1">
        <w:rPr>
          <w:rFonts w:hint="eastAsia"/>
          <w:u w:val="single"/>
          <w:rtl/>
        </w:rPr>
        <w:t>האגרות</w:t>
      </w:r>
      <w:r w:rsidR="00850DF2" w:rsidRPr="007200B1">
        <w:rPr>
          <w:u w:val="single"/>
          <w:rtl/>
        </w:rPr>
        <w:t xml:space="preserve"> </w:t>
      </w:r>
      <w:r w:rsidR="00850DF2" w:rsidRPr="007200B1">
        <w:rPr>
          <w:rFonts w:hint="eastAsia"/>
          <w:u w:val="single"/>
          <w:rtl/>
        </w:rPr>
        <w:t>על</w:t>
      </w:r>
      <w:r w:rsidR="00850DF2" w:rsidRPr="007200B1">
        <w:rPr>
          <w:u w:val="single"/>
          <w:rtl/>
        </w:rPr>
        <w:t xml:space="preserve"> </w:t>
      </w:r>
      <w:r w:rsidR="00850DF2" w:rsidRPr="007200B1">
        <w:rPr>
          <w:rFonts w:hint="eastAsia"/>
          <w:u w:val="single"/>
          <w:rtl/>
        </w:rPr>
        <w:t>היקפי</w:t>
      </w:r>
      <w:r w:rsidR="00850DF2" w:rsidRPr="007200B1">
        <w:rPr>
          <w:u w:val="single"/>
          <w:rtl/>
        </w:rPr>
        <w:t xml:space="preserve"> </w:t>
      </w:r>
      <w:r w:rsidR="00850DF2" w:rsidRPr="007200B1">
        <w:rPr>
          <w:rFonts w:hint="eastAsia"/>
          <w:u w:val="single"/>
          <w:rtl/>
        </w:rPr>
        <w:t>הגבייה</w:t>
      </w:r>
      <w:r w:rsidR="00850DF2" w:rsidRPr="007200B1">
        <w:rPr>
          <w:u w:val="single"/>
          <w:rtl/>
        </w:rPr>
        <w:t xml:space="preserve"> </w:t>
      </w:r>
      <w:r w:rsidR="00850DF2" w:rsidRPr="007200B1">
        <w:rPr>
          <w:rFonts w:hint="eastAsia"/>
          <w:u w:val="single"/>
          <w:rtl/>
        </w:rPr>
        <w:t>והכנסות</w:t>
      </w:r>
      <w:r w:rsidR="00850DF2" w:rsidRPr="007200B1">
        <w:rPr>
          <w:u w:val="single"/>
          <w:rtl/>
        </w:rPr>
        <w:t xml:space="preserve"> </w:t>
      </w:r>
      <w:r w:rsidR="00850DF2" w:rsidRPr="007200B1">
        <w:rPr>
          <w:rFonts w:hint="eastAsia"/>
          <w:u w:val="single"/>
          <w:rtl/>
        </w:rPr>
        <w:t>רת</w:t>
      </w:r>
      <w:r w:rsidR="00850DF2" w:rsidRPr="007200B1">
        <w:rPr>
          <w:u w:val="single"/>
          <w:rtl/>
        </w:rPr>
        <w:t>"א:</w:t>
      </w:r>
    </w:p>
    <w:p w:rsidR="00850DF2" w:rsidRPr="007200B1" w:rsidRDefault="00850DF2" w:rsidP="00850DF2">
      <w:pPr>
        <w:pStyle w:val="HeadDivreiHesber"/>
        <w:ind w:left="360"/>
        <w:rPr>
          <w:b w:val="0"/>
          <w:spacing w:val="0"/>
          <w:u w:val="single"/>
        </w:rPr>
      </w:pPr>
      <w:r w:rsidRPr="00C572CE">
        <w:rPr>
          <w:noProof/>
          <w:szCs w:val="20"/>
          <w:lang w:eastAsia="en-US"/>
        </w:rPr>
        <w:drawing>
          <wp:anchor distT="0" distB="0" distL="114300" distR="114300" simplePos="0" relativeHeight="251659264" behindDoc="0" locked="0" layoutInCell="1" allowOverlap="1" wp14:anchorId="08BDF969" wp14:editId="7B15F10E">
            <wp:simplePos x="0" y="0"/>
            <wp:positionH relativeFrom="margin">
              <wp:posOffset>-446405</wp:posOffset>
            </wp:positionH>
            <wp:positionV relativeFrom="margin">
              <wp:posOffset>1174750</wp:posOffset>
            </wp:positionV>
            <wp:extent cx="6917690" cy="1628775"/>
            <wp:effectExtent l="0" t="0" r="0" b="9525"/>
            <wp:wrapSquare wrapText="bothSides"/>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17690" cy="1628775"/>
                    </a:xfrm>
                    <a:prstGeom prst="rect">
                      <a:avLst/>
                    </a:prstGeom>
                    <a:noFill/>
                    <a:ln>
                      <a:noFill/>
                    </a:ln>
                  </pic:spPr>
                </pic:pic>
              </a:graphicData>
            </a:graphic>
          </wp:anchor>
        </w:drawing>
      </w:r>
      <w:r w:rsidRPr="007200B1">
        <w:rPr>
          <w:rFonts w:hint="cs"/>
          <w:b w:val="0"/>
          <w:spacing w:val="0"/>
          <w:u w:val="single"/>
          <w:rtl/>
        </w:rPr>
        <w:t xml:space="preserve">לוח מספר 3 </w:t>
      </w:r>
      <w:r w:rsidRPr="007200B1">
        <w:rPr>
          <w:b w:val="0"/>
          <w:spacing w:val="0"/>
          <w:u w:val="single"/>
          <w:rtl/>
        </w:rPr>
        <w:t>–</w:t>
      </w:r>
      <w:r w:rsidRPr="007200B1">
        <w:rPr>
          <w:rFonts w:hint="cs"/>
          <w:b w:val="0"/>
          <w:spacing w:val="0"/>
          <w:u w:val="single"/>
          <w:rtl/>
        </w:rPr>
        <w:t xml:space="preserve"> השינוי המוצע ב</w:t>
      </w:r>
      <w:r w:rsidRPr="007200B1">
        <w:rPr>
          <w:b w:val="0"/>
          <w:spacing w:val="0"/>
          <w:u w:val="single"/>
          <w:rtl/>
        </w:rPr>
        <w:t xml:space="preserve">סכומי גבייה אגרות שכר (ללא שינוי התנהגות הנובע </w:t>
      </w:r>
      <w:r w:rsidRPr="007200B1">
        <w:rPr>
          <w:rFonts w:hint="cs"/>
          <w:b w:val="0"/>
          <w:spacing w:val="0"/>
          <w:u w:val="single"/>
          <w:rtl/>
        </w:rPr>
        <w:t>מ</w:t>
      </w:r>
      <w:r w:rsidRPr="007200B1">
        <w:rPr>
          <w:b w:val="0"/>
          <w:spacing w:val="0"/>
          <w:u w:val="single"/>
          <w:rtl/>
        </w:rPr>
        <w:t>הגדלת</w:t>
      </w:r>
      <w:r>
        <w:rPr>
          <w:rFonts w:hint="cs"/>
          <w:b w:val="0"/>
          <w:spacing w:val="0"/>
          <w:u w:val="single"/>
          <w:rtl/>
        </w:rPr>
        <w:t xml:space="preserve"> </w:t>
      </w:r>
      <w:r w:rsidRPr="007200B1">
        <w:rPr>
          <w:b w:val="0"/>
          <w:spacing w:val="0"/>
          <w:u w:val="single"/>
          <w:rtl/>
        </w:rPr>
        <w:t>התמריצים להגשת הבקשות להיתרים במועד הקבוע בחוק)</w:t>
      </w:r>
    </w:p>
    <w:p w:rsidR="00850DF2" w:rsidRDefault="00850DF2" w:rsidP="00850DF2">
      <w:pPr>
        <w:pStyle w:val="HeadDivreiHesber"/>
        <w:ind w:left="360"/>
        <w:rPr>
          <w:b w:val="0"/>
          <w:spacing w:val="0"/>
          <w:rtl/>
        </w:rPr>
      </w:pPr>
    </w:p>
    <w:p w:rsidR="00850DF2" w:rsidRPr="007200B1" w:rsidRDefault="00850DF2" w:rsidP="00850DF2">
      <w:pPr>
        <w:pStyle w:val="HeadDivreiHesber"/>
        <w:ind w:left="360"/>
        <w:jc w:val="both"/>
        <w:rPr>
          <w:b w:val="0"/>
          <w:spacing w:val="0"/>
          <w:rtl/>
        </w:rPr>
      </w:pPr>
      <w:r w:rsidRPr="007200B1">
        <w:rPr>
          <w:rFonts w:hint="cs"/>
          <w:b w:val="0"/>
          <w:spacing w:val="0"/>
          <w:rtl/>
        </w:rPr>
        <w:t>מטרת השינוי המוצע אינה להגדיל את הכנסות רשות התעופה האזרחית</w:t>
      </w:r>
      <w:r>
        <w:rPr>
          <w:rFonts w:hint="cs"/>
          <w:b w:val="0"/>
          <w:spacing w:val="0"/>
          <w:rtl/>
        </w:rPr>
        <w:t>.</w:t>
      </w:r>
    </w:p>
    <w:p w:rsidR="00850DF2" w:rsidRPr="007200B1" w:rsidRDefault="00850DF2" w:rsidP="00850DF2">
      <w:pPr>
        <w:pStyle w:val="HeadDivreiHesber"/>
        <w:ind w:left="360"/>
        <w:jc w:val="both"/>
        <w:rPr>
          <w:b w:val="0"/>
          <w:spacing w:val="0"/>
          <w:rtl/>
        </w:rPr>
      </w:pPr>
      <w:r w:rsidRPr="007200B1">
        <w:rPr>
          <w:rFonts w:hint="cs"/>
          <w:b w:val="0"/>
          <w:spacing w:val="0"/>
          <w:rtl/>
        </w:rPr>
        <w:t>בשנת 201</w:t>
      </w:r>
      <w:r>
        <w:rPr>
          <w:rFonts w:hint="cs"/>
          <w:b w:val="0"/>
          <w:spacing w:val="0"/>
          <w:rtl/>
        </w:rPr>
        <w:t>4</w:t>
      </w:r>
      <w:r w:rsidRPr="007200B1">
        <w:rPr>
          <w:rFonts w:hint="cs"/>
          <w:b w:val="0"/>
          <w:spacing w:val="0"/>
          <w:rtl/>
        </w:rPr>
        <w:t xml:space="preserve"> הסתכמו הכנסות רת"א מתקנה 32 בסך של כ-2.</w:t>
      </w:r>
      <w:r>
        <w:rPr>
          <w:rFonts w:hint="cs"/>
          <w:b w:val="0"/>
          <w:spacing w:val="0"/>
          <w:rtl/>
        </w:rPr>
        <w:t>8</w:t>
      </w:r>
      <w:r w:rsidRPr="007200B1">
        <w:rPr>
          <w:rFonts w:hint="cs"/>
          <w:b w:val="0"/>
          <w:spacing w:val="0"/>
          <w:rtl/>
        </w:rPr>
        <w:t xml:space="preserve"> מיליון ₪.  ניתן לראות כי, לכאורה, לפי המוצע </w:t>
      </w:r>
      <w:r w:rsidRPr="00C572CE">
        <w:rPr>
          <w:rFonts w:hint="eastAsia"/>
          <w:b w:val="0"/>
          <w:spacing w:val="0"/>
          <w:u w:val="single"/>
          <w:rtl/>
        </w:rPr>
        <w:t>ועל</w:t>
      </w:r>
      <w:r w:rsidRPr="00C572CE">
        <w:rPr>
          <w:b w:val="0"/>
          <w:spacing w:val="0"/>
          <w:u w:val="single"/>
          <w:rtl/>
        </w:rPr>
        <w:t xml:space="preserve"> </w:t>
      </w:r>
      <w:r w:rsidRPr="00C572CE">
        <w:rPr>
          <w:rFonts w:hint="eastAsia"/>
          <w:b w:val="0"/>
          <w:spacing w:val="0"/>
          <w:u w:val="single"/>
          <w:rtl/>
        </w:rPr>
        <w:t>סמך</w:t>
      </w:r>
      <w:r w:rsidRPr="00C572CE">
        <w:rPr>
          <w:b w:val="0"/>
          <w:spacing w:val="0"/>
          <w:u w:val="single"/>
          <w:rtl/>
        </w:rPr>
        <w:t xml:space="preserve"> </w:t>
      </w:r>
      <w:r w:rsidRPr="00C572CE">
        <w:rPr>
          <w:rFonts w:hint="eastAsia"/>
          <w:b w:val="0"/>
          <w:spacing w:val="0"/>
          <w:u w:val="single"/>
          <w:rtl/>
        </w:rPr>
        <w:t>התנהגות</w:t>
      </w:r>
      <w:r w:rsidRPr="00C572CE">
        <w:rPr>
          <w:b w:val="0"/>
          <w:spacing w:val="0"/>
          <w:u w:val="single"/>
          <w:rtl/>
        </w:rPr>
        <w:t xml:space="preserve"> </w:t>
      </w:r>
      <w:r w:rsidRPr="00C572CE">
        <w:rPr>
          <w:rFonts w:hint="eastAsia"/>
          <w:b w:val="0"/>
          <w:spacing w:val="0"/>
          <w:u w:val="single"/>
          <w:rtl/>
        </w:rPr>
        <w:t>קיימת</w:t>
      </w:r>
      <w:r w:rsidRPr="007200B1">
        <w:rPr>
          <w:rFonts w:hint="cs"/>
          <w:b w:val="0"/>
          <w:spacing w:val="0"/>
          <w:rtl/>
        </w:rPr>
        <w:t xml:space="preserve">, </w:t>
      </w:r>
      <w:r w:rsidRPr="007200B1">
        <w:rPr>
          <w:rFonts w:hint="eastAsia"/>
          <w:b w:val="0"/>
          <w:spacing w:val="0"/>
          <w:rtl/>
        </w:rPr>
        <w:t>הכנסות</w:t>
      </w:r>
      <w:r w:rsidRPr="007200B1">
        <w:rPr>
          <w:b w:val="0"/>
          <w:spacing w:val="0"/>
          <w:rtl/>
        </w:rPr>
        <w:t xml:space="preserve"> </w:t>
      </w:r>
      <w:r w:rsidRPr="007200B1">
        <w:rPr>
          <w:rFonts w:hint="eastAsia"/>
          <w:b w:val="0"/>
          <w:spacing w:val="0"/>
          <w:rtl/>
        </w:rPr>
        <w:t>רת</w:t>
      </w:r>
      <w:r w:rsidRPr="007200B1">
        <w:rPr>
          <w:b w:val="0"/>
          <w:spacing w:val="0"/>
          <w:rtl/>
        </w:rPr>
        <w:t xml:space="preserve">"א </w:t>
      </w:r>
      <w:r w:rsidRPr="007200B1">
        <w:rPr>
          <w:rFonts w:hint="eastAsia"/>
          <w:b w:val="0"/>
          <w:spacing w:val="0"/>
          <w:rtl/>
        </w:rPr>
        <w:t>מתקנה</w:t>
      </w:r>
      <w:r w:rsidRPr="007200B1">
        <w:rPr>
          <w:b w:val="0"/>
          <w:spacing w:val="0"/>
          <w:rtl/>
        </w:rPr>
        <w:t xml:space="preserve"> 32 </w:t>
      </w:r>
      <w:r w:rsidRPr="007200B1">
        <w:rPr>
          <w:rFonts w:hint="eastAsia"/>
          <w:b w:val="0"/>
          <w:spacing w:val="0"/>
          <w:rtl/>
        </w:rPr>
        <w:t>אמורות</w:t>
      </w:r>
      <w:r w:rsidRPr="007200B1">
        <w:rPr>
          <w:b w:val="0"/>
          <w:spacing w:val="0"/>
          <w:rtl/>
        </w:rPr>
        <w:t xml:space="preserve"> </w:t>
      </w:r>
      <w:r>
        <w:rPr>
          <w:rFonts w:hint="cs"/>
          <w:b w:val="0"/>
          <w:spacing w:val="0"/>
          <w:rtl/>
        </w:rPr>
        <w:t>להישאר באותן סדרי גודל.</w:t>
      </w:r>
    </w:p>
    <w:p w:rsidR="00850DF2" w:rsidRDefault="00850DF2" w:rsidP="00850DF2">
      <w:pPr>
        <w:pStyle w:val="HeadDivreiHesber"/>
        <w:ind w:left="360"/>
        <w:jc w:val="both"/>
        <w:rPr>
          <w:b w:val="0"/>
          <w:spacing w:val="0"/>
          <w:rtl/>
        </w:rPr>
      </w:pPr>
      <w:r w:rsidRPr="007200B1">
        <w:rPr>
          <w:rFonts w:hint="cs"/>
          <w:b w:val="0"/>
          <w:spacing w:val="0"/>
          <w:rtl/>
        </w:rPr>
        <w:t xml:space="preserve">עם זאת, הלוח הנ"ל משקף התנהגות קיימת ואינו לוקח בחשבון </w:t>
      </w:r>
      <w:r w:rsidRPr="007200B1">
        <w:rPr>
          <w:b w:val="0"/>
          <w:spacing w:val="0"/>
          <w:rtl/>
        </w:rPr>
        <w:t>שינוי</w:t>
      </w:r>
      <w:r w:rsidRPr="007200B1">
        <w:rPr>
          <w:rFonts w:hint="cs"/>
          <w:b w:val="0"/>
          <w:spacing w:val="0"/>
          <w:rtl/>
        </w:rPr>
        <w:t>י</w:t>
      </w:r>
      <w:r w:rsidRPr="007200B1">
        <w:rPr>
          <w:b w:val="0"/>
          <w:spacing w:val="0"/>
          <w:rtl/>
        </w:rPr>
        <w:t xml:space="preserve"> התנהגות הנובע</w:t>
      </w:r>
      <w:r w:rsidRPr="007200B1">
        <w:rPr>
          <w:rFonts w:hint="cs"/>
          <w:b w:val="0"/>
          <w:spacing w:val="0"/>
          <w:rtl/>
        </w:rPr>
        <w:t>ים</w:t>
      </w:r>
      <w:r w:rsidRPr="007200B1">
        <w:rPr>
          <w:b w:val="0"/>
          <w:spacing w:val="0"/>
          <w:rtl/>
        </w:rPr>
        <w:t xml:space="preserve"> מהגדלת התמריצים להגשת הבקשות להיתרים במועד הקבוע בחוק</w:t>
      </w:r>
      <w:r w:rsidRPr="007200B1">
        <w:rPr>
          <w:rFonts w:hint="cs"/>
          <w:b w:val="0"/>
          <w:spacing w:val="0"/>
          <w:rtl/>
        </w:rPr>
        <w:t xml:space="preserve">. </w:t>
      </w:r>
    </w:p>
    <w:p w:rsidR="00850DF2" w:rsidRPr="007200B1" w:rsidRDefault="00850DF2" w:rsidP="00850DF2">
      <w:pPr>
        <w:pStyle w:val="HeadDivreiHesber"/>
        <w:ind w:left="360"/>
        <w:jc w:val="both"/>
        <w:rPr>
          <w:b w:val="0"/>
          <w:spacing w:val="0"/>
          <w:rtl/>
        </w:rPr>
      </w:pPr>
      <w:r>
        <w:rPr>
          <w:rFonts w:hint="cs"/>
          <w:b w:val="0"/>
          <w:spacing w:val="0"/>
          <w:rtl/>
        </w:rPr>
        <w:t xml:space="preserve">בהסתכלות על החלוקה החדשה של סכומי האגרות והתפלגותן, </w:t>
      </w:r>
      <w:r w:rsidRPr="007200B1">
        <w:rPr>
          <w:rFonts w:hint="cs"/>
          <w:b w:val="0"/>
          <w:spacing w:val="0"/>
          <w:rtl/>
        </w:rPr>
        <w:t xml:space="preserve">בכל האמור לטיפול מוקדם, אשר מהווה את רוב התפלגות הבקשות ואף צפוי לגדול משמעותית בשל התמריץ הכלכלי הגלום בתיקון </w:t>
      </w:r>
      <w:r w:rsidRPr="007200B1">
        <w:rPr>
          <w:rFonts w:hint="cs"/>
          <w:b w:val="0"/>
          <w:spacing w:val="0"/>
          <w:rtl/>
        </w:rPr>
        <w:lastRenderedPageBreak/>
        <w:t>המוצע</w:t>
      </w:r>
      <w:r w:rsidRPr="007200B1">
        <w:rPr>
          <w:bCs/>
          <w:spacing w:val="0"/>
          <w:rtl/>
        </w:rPr>
        <w:t xml:space="preserve">, </w:t>
      </w:r>
      <w:r w:rsidRPr="007200B1">
        <w:rPr>
          <w:rFonts w:hint="eastAsia"/>
          <w:b w:val="0"/>
          <w:spacing w:val="0"/>
          <w:rtl/>
        </w:rPr>
        <w:t>המודל</w:t>
      </w:r>
      <w:r w:rsidRPr="007200B1">
        <w:rPr>
          <w:b w:val="0"/>
          <w:spacing w:val="0"/>
          <w:rtl/>
        </w:rPr>
        <w:t xml:space="preserve"> </w:t>
      </w:r>
      <w:r w:rsidRPr="007200B1">
        <w:rPr>
          <w:rFonts w:hint="eastAsia"/>
          <w:b w:val="0"/>
          <w:spacing w:val="0"/>
          <w:rtl/>
        </w:rPr>
        <w:t>החדש</w:t>
      </w:r>
      <w:r w:rsidRPr="007200B1">
        <w:rPr>
          <w:b w:val="0"/>
          <w:spacing w:val="0"/>
          <w:rtl/>
        </w:rPr>
        <w:t xml:space="preserve"> מקטין את ה</w:t>
      </w:r>
      <w:r w:rsidRPr="007200B1">
        <w:rPr>
          <w:rFonts w:hint="eastAsia"/>
          <w:b w:val="0"/>
          <w:spacing w:val="0"/>
          <w:rtl/>
        </w:rPr>
        <w:t>כנסות</w:t>
      </w:r>
      <w:r w:rsidRPr="007200B1">
        <w:rPr>
          <w:b w:val="0"/>
          <w:spacing w:val="0"/>
          <w:rtl/>
        </w:rPr>
        <w:t xml:space="preserve"> </w:t>
      </w:r>
      <w:r w:rsidRPr="007200B1">
        <w:rPr>
          <w:rFonts w:hint="eastAsia"/>
          <w:b w:val="0"/>
          <w:spacing w:val="0"/>
          <w:rtl/>
        </w:rPr>
        <w:t>הרשות</w:t>
      </w:r>
      <w:r w:rsidRPr="007200B1">
        <w:rPr>
          <w:b w:val="0"/>
          <w:spacing w:val="0"/>
          <w:rtl/>
        </w:rPr>
        <w:t xml:space="preserve"> בטווחים הנעים בין 11% ל-</w:t>
      </w:r>
      <w:r>
        <w:rPr>
          <w:rFonts w:hint="cs"/>
          <w:b w:val="0"/>
          <w:spacing w:val="0"/>
          <w:rtl/>
        </w:rPr>
        <w:t>40</w:t>
      </w:r>
      <w:r w:rsidRPr="007200B1">
        <w:rPr>
          <w:b w:val="0"/>
          <w:spacing w:val="0"/>
          <w:rtl/>
        </w:rPr>
        <w:t>%.</w:t>
      </w:r>
      <w:r w:rsidRPr="007200B1">
        <w:rPr>
          <w:rFonts w:hint="cs"/>
          <w:b w:val="0"/>
          <w:spacing w:val="0"/>
          <w:rtl/>
        </w:rPr>
        <w:t xml:space="preserve">  </w:t>
      </w:r>
    </w:p>
    <w:p w:rsidR="00850DF2" w:rsidRDefault="00850DF2" w:rsidP="00850DF2">
      <w:pPr>
        <w:pStyle w:val="HeadDivreiHesber"/>
        <w:ind w:left="360"/>
        <w:jc w:val="both"/>
        <w:rPr>
          <w:b w:val="0"/>
          <w:spacing w:val="0"/>
          <w:rtl/>
        </w:rPr>
      </w:pPr>
      <w:r>
        <w:rPr>
          <w:rFonts w:hint="cs"/>
          <w:b w:val="0"/>
          <w:spacing w:val="0"/>
          <w:rtl/>
        </w:rPr>
        <w:t>קיים אמנם</w:t>
      </w:r>
      <w:r w:rsidRPr="007200B1">
        <w:rPr>
          <w:b w:val="0"/>
          <w:spacing w:val="0"/>
          <w:rtl/>
        </w:rPr>
        <w:t xml:space="preserve"> גידול משמעותי בסכומי האגרות לטיפול דחוף </w:t>
      </w:r>
      <w:r>
        <w:rPr>
          <w:rFonts w:hint="cs"/>
          <w:b w:val="0"/>
          <w:spacing w:val="0"/>
          <w:rtl/>
        </w:rPr>
        <w:t>וחריג (במספרי טיסות נמוכים) אך כמות הבקשות הללו צפויה לקטון לאור הגדלת הדיפרנציאציה בין סכומי האגרות כתלות במועד הגשתן ובריכוז כמות הטיסות בהיתר</w:t>
      </w:r>
      <w:r w:rsidRPr="007200B1">
        <w:rPr>
          <w:rFonts w:hint="cs"/>
          <w:b w:val="0"/>
          <w:spacing w:val="0"/>
          <w:rtl/>
        </w:rPr>
        <w:t>.</w:t>
      </w:r>
    </w:p>
    <w:p w:rsidR="006C7D97" w:rsidRDefault="006C7D97" w:rsidP="00850DF2">
      <w:pPr>
        <w:pStyle w:val="HeadDivreiHesber"/>
        <w:ind w:left="360"/>
        <w:jc w:val="both"/>
        <w:rPr>
          <w:b w:val="0"/>
          <w:spacing w:val="0"/>
          <w:rtl/>
        </w:rPr>
      </w:pPr>
    </w:p>
    <w:p w:rsidR="00275BBA" w:rsidRDefault="00275BBA" w:rsidP="00850DF2">
      <w:pPr>
        <w:pStyle w:val="HeadDivreiHesber"/>
        <w:ind w:left="360"/>
        <w:jc w:val="both"/>
        <w:rPr>
          <w:b w:val="0"/>
          <w:spacing w:val="0"/>
          <w:rtl/>
        </w:rPr>
      </w:pPr>
    </w:p>
    <w:p w:rsidR="00275BBA" w:rsidRDefault="00275BBA" w:rsidP="00850DF2">
      <w:pPr>
        <w:pStyle w:val="HeadDivreiHesber"/>
        <w:ind w:left="360"/>
        <w:jc w:val="both"/>
        <w:rPr>
          <w:b w:val="0"/>
          <w:spacing w:val="0"/>
          <w:rtl/>
        </w:rPr>
      </w:pPr>
    </w:p>
    <w:p w:rsidR="00275BBA" w:rsidRDefault="00275BBA" w:rsidP="00850DF2">
      <w:pPr>
        <w:pStyle w:val="HeadDivreiHesber"/>
        <w:ind w:left="360"/>
        <w:jc w:val="both"/>
        <w:rPr>
          <w:b w:val="0"/>
          <w:spacing w:val="0"/>
          <w:rtl/>
        </w:rPr>
      </w:pPr>
    </w:p>
    <w:p w:rsidR="006C7D97" w:rsidRPr="00FD777E" w:rsidRDefault="006C7D97" w:rsidP="00FD777E">
      <w:pPr>
        <w:pStyle w:val="HeadDivreiHesber"/>
        <w:jc w:val="both"/>
        <w:rPr>
          <w:u w:val="single"/>
          <w:rtl/>
        </w:rPr>
      </w:pPr>
      <w:r w:rsidRPr="00FD777E">
        <w:rPr>
          <w:rFonts w:hint="eastAsia"/>
          <w:u w:val="single"/>
          <w:rtl/>
        </w:rPr>
        <w:t>ד</w:t>
      </w:r>
      <w:r w:rsidRPr="00FD777E">
        <w:rPr>
          <w:u w:val="single"/>
          <w:rtl/>
        </w:rPr>
        <w:t xml:space="preserve">. לסעיף 4 – </w:t>
      </w:r>
      <w:r w:rsidRPr="00FD777E">
        <w:rPr>
          <w:rFonts w:hint="eastAsia"/>
          <w:u w:val="single"/>
          <w:rtl/>
        </w:rPr>
        <w:t>הוספת</w:t>
      </w:r>
      <w:r w:rsidRPr="00FD777E">
        <w:rPr>
          <w:u w:val="single"/>
          <w:rtl/>
        </w:rPr>
        <w:t xml:space="preserve"> סעיף </w:t>
      </w:r>
      <w:r w:rsidRPr="00FD777E">
        <w:rPr>
          <w:rFonts w:hint="eastAsia"/>
          <w:u w:val="single"/>
          <w:rtl/>
        </w:rPr>
        <w:t>תחילה</w:t>
      </w:r>
    </w:p>
    <w:p w:rsidR="006C7D97" w:rsidRDefault="006C7D97" w:rsidP="00275BBA">
      <w:pPr>
        <w:pStyle w:val="HeadDivreiHesber"/>
        <w:ind w:left="360"/>
        <w:jc w:val="both"/>
        <w:rPr>
          <w:b w:val="0"/>
          <w:spacing w:val="0"/>
          <w:rtl/>
        </w:rPr>
      </w:pPr>
      <w:r>
        <w:rPr>
          <w:rFonts w:hint="cs"/>
          <w:b w:val="0"/>
          <w:spacing w:val="0"/>
          <w:rtl/>
        </w:rPr>
        <w:t xml:space="preserve">מוצע כי תקנות אלה תיכנסנה לתוקף משפטי שלושים ימים לאחר פרסומן ברשומות, שכן לדידה של רת"א יש צורך בהיערכות קצרת מועד לעניין זה, במובן זה שיש להזין את התעריפים החדשים המתוקנים למערכות הממוכנות </w:t>
      </w:r>
      <w:r w:rsidR="00275BBA">
        <w:rPr>
          <w:rFonts w:hint="cs"/>
          <w:b w:val="0"/>
          <w:spacing w:val="0"/>
          <w:rtl/>
        </w:rPr>
        <w:t>לאחר שהתיקון כאמור יפורסם, אם יתקבל בכנסת</w:t>
      </w:r>
      <w:r>
        <w:rPr>
          <w:rFonts w:hint="cs"/>
          <w:b w:val="0"/>
          <w:spacing w:val="0"/>
          <w:rtl/>
        </w:rPr>
        <w:t xml:space="preserve">.  </w:t>
      </w:r>
    </w:p>
    <w:p w:rsidR="006C7D97" w:rsidRDefault="006C7D97" w:rsidP="006C7D97">
      <w:pPr>
        <w:pStyle w:val="HeadDivreiHesber"/>
        <w:ind w:left="360"/>
        <w:jc w:val="both"/>
        <w:rPr>
          <w:b w:val="0"/>
          <w:spacing w:val="0"/>
          <w:rtl/>
        </w:rPr>
      </w:pPr>
      <w:r>
        <w:rPr>
          <w:rFonts w:hint="cs"/>
          <w:b w:val="0"/>
          <w:spacing w:val="0"/>
          <w:rtl/>
        </w:rPr>
        <w:t xml:space="preserve">כמו כן, מן ההגינות לעדכן את הציבור אודות התיקון. </w:t>
      </w:r>
    </w:p>
    <w:p w:rsidR="006C7D97" w:rsidRDefault="006C7D97" w:rsidP="006C7D97">
      <w:pPr>
        <w:pStyle w:val="HeadDivreiHesber"/>
        <w:ind w:left="360"/>
        <w:jc w:val="both"/>
        <w:rPr>
          <w:b w:val="0"/>
          <w:spacing w:val="0"/>
          <w:rtl/>
        </w:rPr>
      </w:pPr>
      <w:r>
        <w:rPr>
          <w:rFonts w:hint="cs"/>
          <w:b w:val="0"/>
          <w:spacing w:val="0"/>
          <w:rtl/>
        </w:rPr>
        <w:t xml:space="preserve">עם זאת, די בהתארגנות קצרה בהקשר זה ואין צורך בפרק זמן ארוך יותר. </w:t>
      </w:r>
    </w:p>
    <w:p w:rsidR="006C7D97" w:rsidRPr="007200B1" w:rsidRDefault="006C7D97" w:rsidP="00275BBA">
      <w:pPr>
        <w:pStyle w:val="HeadDivreiHesber"/>
        <w:ind w:left="360"/>
        <w:jc w:val="both"/>
        <w:rPr>
          <w:b w:val="0"/>
          <w:spacing w:val="0"/>
          <w:rtl/>
        </w:rPr>
      </w:pPr>
      <w:r>
        <w:rPr>
          <w:rFonts w:hint="cs"/>
          <w:b w:val="0"/>
          <w:spacing w:val="0"/>
          <w:rtl/>
        </w:rPr>
        <w:t xml:space="preserve">כידוע, בהתאם לסעיף 20.2(ב) להנחיית היועץ המשפטי לממשלה מספר 2.3100 בנושא חקיקת משנה: נוהל והנחיות, ברירת המחדל בחקיקה הינה כניסה לתוקף 30 ימים לאחר מועד הפרסום, ורק מקום שהוראת התחילה חורגת מהנחייה זו יש לפרט ולהעמיק את ההסבר.  </w:t>
      </w:r>
      <w:r w:rsidR="00275BBA">
        <w:rPr>
          <w:rFonts w:hint="cs"/>
          <w:b w:val="0"/>
          <w:spacing w:val="0"/>
          <w:rtl/>
        </w:rPr>
        <w:t xml:space="preserve"> </w:t>
      </w:r>
      <w:r>
        <w:rPr>
          <w:rFonts w:hint="cs"/>
          <w:b w:val="0"/>
          <w:spacing w:val="0"/>
          <w:rtl/>
        </w:rPr>
        <w:t xml:space="preserve">בהקשר זה, אין חריגה מן ההנחיה וסעיף התחילה עולה בקנה אחד עמה. </w:t>
      </w:r>
    </w:p>
    <w:p w:rsidR="00850DF2" w:rsidRDefault="00850DF2" w:rsidP="00850DF2">
      <w:pPr>
        <w:pStyle w:val="HeadDivreiHesber"/>
        <w:jc w:val="both"/>
        <w:rPr>
          <w:b w:val="0"/>
          <w:spacing w:val="0"/>
          <w:rtl/>
        </w:rPr>
      </w:pPr>
    </w:p>
    <w:p w:rsidR="006C7D97" w:rsidRPr="00850DF2" w:rsidRDefault="006C7D97" w:rsidP="00FD777E">
      <w:pPr>
        <w:pStyle w:val="ad"/>
        <w:ind w:left="360" w:firstLine="0"/>
      </w:pPr>
    </w:p>
    <w:sectPr w:rsidR="006C7D97" w:rsidRPr="00850DF2" w:rsidSect="00A76785">
      <w:headerReference w:type="default" r:id="rId11"/>
      <w:footerReference w:type="even" r:id="rId12"/>
      <w:footerReference w:type="default" r:id="rId13"/>
      <w:pgSz w:w="11907" w:h="16840" w:code="9"/>
      <w:pgMar w:top="1276"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378" w:rsidRDefault="008A0378" w:rsidP="00850DF2">
      <w:pPr>
        <w:spacing w:before="0" w:line="240" w:lineRule="auto"/>
      </w:pPr>
      <w:r>
        <w:separator/>
      </w:r>
    </w:p>
  </w:endnote>
  <w:endnote w:type="continuationSeparator" w:id="0">
    <w:p w:rsidR="008A0378" w:rsidRDefault="008A0378" w:rsidP="00850DF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642" w:rsidRDefault="00486161" w:rsidP="002213BB">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D15642" w:rsidRDefault="008A037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60275209"/>
      <w:docPartObj>
        <w:docPartGallery w:val="Page Numbers (Bottom of Page)"/>
        <w:docPartUnique/>
      </w:docPartObj>
    </w:sdtPr>
    <w:sdtEndPr/>
    <w:sdtContent>
      <w:p w:rsidR="00F64957" w:rsidRDefault="00486161">
        <w:pPr>
          <w:pStyle w:val="a8"/>
          <w:jc w:val="center"/>
          <w:rPr>
            <w:rtl/>
            <w:cs/>
          </w:rPr>
        </w:pPr>
        <w:r>
          <w:fldChar w:fldCharType="begin"/>
        </w:r>
        <w:r>
          <w:rPr>
            <w:rtl/>
            <w:cs/>
          </w:rPr>
          <w:instrText>PAGE   \* MERGEFORMAT</w:instrText>
        </w:r>
        <w:r>
          <w:fldChar w:fldCharType="separate"/>
        </w:r>
        <w:r w:rsidR="006909AA" w:rsidRPr="006909AA">
          <w:rPr>
            <w:noProof/>
            <w:rtl/>
            <w:lang w:val="he-IL"/>
          </w:rPr>
          <w:t>1</w:t>
        </w:r>
        <w:r>
          <w:fldChar w:fldCharType="end"/>
        </w:r>
      </w:p>
    </w:sdtContent>
  </w:sdt>
  <w:p w:rsidR="00D15642" w:rsidRDefault="008A037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378" w:rsidRDefault="008A0378" w:rsidP="00850DF2">
      <w:pPr>
        <w:spacing w:before="0" w:line="240" w:lineRule="auto"/>
      </w:pPr>
      <w:r>
        <w:separator/>
      </w:r>
    </w:p>
  </w:footnote>
  <w:footnote w:type="continuationSeparator" w:id="0">
    <w:p w:rsidR="008A0378" w:rsidRDefault="008A0378" w:rsidP="00850DF2">
      <w:pPr>
        <w:spacing w:before="0" w:line="240" w:lineRule="auto"/>
      </w:pPr>
      <w:r>
        <w:continuationSeparator/>
      </w:r>
    </w:p>
  </w:footnote>
  <w:footnote w:id="1">
    <w:p w:rsidR="00850DF2" w:rsidRDefault="00850DF2" w:rsidP="00850DF2">
      <w:pPr>
        <w:pStyle w:val="a3"/>
        <w:rPr>
          <w:rtl/>
        </w:rPr>
      </w:pPr>
      <w:r>
        <w:rPr>
          <w:rStyle w:val="a5"/>
        </w:rPr>
        <w:footnoteRef/>
      </w:r>
      <w:r>
        <w:rPr>
          <w:rtl/>
        </w:rPr>
        <w:t xml:space="preserve"> </w:t>
      </w:r>
      <w:r>
        <w:rPr>
          <w:rFonts w:hint="cs"/>
          <w:rtl/>
        </w:rPr>
        <w:t xml:space="preserve">ק"ת תשמ"ב, בעמ' 754 </w:t>
      </w:r>
    </w:p>
  </w:footnote>
  <w:footnote w:id="2">
    <w:p w:rsidR="00850DF2" w:rsidRPr="00D00E78" w:rsidRDefault="00850DF2" w:rsidP="00850DF2">
      <w:pPr>
        <w:pStyle w:val="a3"/>
        <w:rPr>
          <w:rtl/>
        </w:rPr>
      </w:pPr>
      <w:r w:rsidRPr="00D00E78">
        <w:rPr>
          <w:rStyle w:val="a5"/>
        </w:rPr>
        <w:footnoteRef/>
      </w:r>
      <w:r w:rsidRPr="00D00E78">
        <w:rPr>
          <w:rtl/>
        </w:rPr>
        <w:t xml:space="preserve"> </w:t>
      </w:r>
      <w:r w:rsidRPr="00D00E78">
        <w:rPr>
          <w:rFonts w:hint="cs"/>
          <w:rtl/>
        </w:rPr>
        <w:t>ס"ח התשכ"ג, בעמ' 104</w:t>
      </w:r>
    </w:p>
  </w:footnote>
  <w:footnote w:id="3">
    <w:p w:rsidR="00850DF2" w:rsidRDefault="00850DF2" w:rsidP="00850DF2">
      <w:pPr>
        <w:pStyle w:val="a3"/>
      </w:pPr>
      <w:r>
        <w:rPr>
          <w:rStyle w:val="a5"/>
        </w:rPr>
        <w:footnoteRef/>
      </w:r>
      <w:r>
        <w:rPr>
          <w:rtl/>
        </w:rPr>
        <w:t xml:space="preserve"> </w:t>
      </w:r>
      <w:r>
        <w:rPr>
          <w:rFonts w:hint="cs"/>
          <w:rtl/>
        </w:rPr>
        <w:t>ק"ת תשמ"ב, עמ' 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C01" w:rsidRDefault="00FD777E" w:rsidP="00FD777E">
    <w:pPr>
      <w:pStyle w:val="a6"/>
      <w:rPr>
        <w:rtl/>
        <w:cs/>
      </w:rPr>
    </w:pPr>
    <w:r>
      <w:rPr>
        <w:rFonts w:hint="cs"/>
        <w:color w:val="auto"/>
        <w:rtl/>
      </w:rPr>
      <w:t xml:space="preserve">תק </w:t>
    </w:r>
    <w:r w:rsidR="00486161">
      <w:rPr>
        <w:rFonts w:hint="cs"/>
        <w:color w:val="auto"/>
        <w:rtl/>
      </w:rPr>
      <w:t xml:space="preserve"> 32  דבהס </w:t>
    </w:r>
    <w:r>
      <w:rPr>
        <w:rFonts w:hint="cs"/>
        <w:color w:val="auto"/>
        <w:rtl/>
      </w:rPr>
      <w:t xml:space="preserve"> 210816</w:t>
    </w:r>
  </w:p>
  <w:p w:rsidR="00374C01" w:rsidRDefault="008A037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53EBD"/>
    <w:multiLevelType w:val="hybridMultilevel"/>
    <w:tmpl w:val="6C5A2702"/>
    <w:lvl w:ilvl="0" w:tplc="FE2CA83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51283F"/>
    <w:multiLevelType w:val="hybridMultilevel"/>
    <w:tmpl w:val="A9E8DECC"/>
    <w:lvl w:ilvl="0" w:tplc="8D6CD31E">
      <w:start w:val="2"/>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6C0A3E"/>
    <w:multiLevelType w:val="hybridMultilevel"/>
    <w:tmpl w:val="43E89CBE"/>
    <w:lvl w:ilvl="0" w:tplc="3AFA1C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422232"/>
    <w:multiLevelType w:val="hybridMultilevel"/>
    <w:tmpl w:val="5CC8FA98"/>
    <w:lvl w:ilvl="0" w:tplc="117889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4562E5"/>
    <w:multiLevelType w:val="hybridMultilevel"/>
    <w:tmpl w:val="8C1466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F5C4D81"/>
    <w:multiLevelType w:val="hybridMultilevel"/>
    <w:tmpl w:val="3B6E59B8"/>
    <w:lvl w:ilvl="0" w:tplc="4D3440E0">
      <w:start w:val="1"/>
      <w:numFmt w:val="hebrew1"/>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7B86B0B"/>
    <w:multiLevelType w:val="hybridMultilevel"/>
    <w:tmpl w:val="72209740"/>
    <w:lvl w:ilvl="0" w:tplc="12D254B8">
      <w:start w:val="49"/>
      <w:numFmt w:val="decimal"/>
      <w:lvlText w:val="(%1"/>
      <w:lvlJc w:val="left"/>
      <w:pPr>
        <w:ind w:left="795" w:hanging="435"/>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9785C00"/>
    <w:multiLevelType w:val="hybridMultilevel"/>
    <w:tmpl w:val="4470EC88"/>
    <w:lvl w:ilvl="0" w:tplc="6540CBF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DF2"/>
    <w:rsid w:val="0006050D"/>
    <w:rsid w:val="000C670E"/>
    <w:rsid w:val="001C5B37"/>
    <w:rsid w:val="00275BBA"/>
    <w:rsid w:val="003C4892"/>
    <w:rsid w:val="00486161"/>
    <w:rsid w:val="006909AA"/>
    <w:rsid w:val="006C7D97"/>
    <w:rsid w:val="00850DF2"/>
    <w:rsid w:val="008A0378"/>
    <w:rsid w:val="00992C35"/>
    <w:rsid w:val="00AF7AFD"/>
    <w:rsid w:val="00B20A0E"/>
    <w:rsid w:val="00C27BEB"/>
    <w:rsid w:val="00FD77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F2"/>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850DF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850DF2"/>
    <w:pPr>
      <w:ind w:right="0"/>
      <w:jc w:val="both"/>
    </w:pPr>
  </w:style>
  <w:style w:type="paragraph" w:styleId="a3">
    <w:name w:val="footnote text"/>
    <w:basedOn w:val="a"/>
    <w:link w:val="a4"/>
    <w:autoRedefine/>
    <w:semiHidden/>
    <w:rsid w:val="00850DF2"/>
    <w:pPr>
      <w:snapToGrid w:val="0"/>
      <w:spacing w:before="0" w:line="240" w:lineRule="auto"/>
      <w:ind w:left="227" w:hanging="227"/>
      <w:jc w:val="left"/>
    </w:pPr>
    <w:rPr>
      <w:rFonts w:ascii="Arial" w:eastAsia="Arial Unicode MS" w:hAnsi="Arial" w:cs="David"/>
      <w:snapToGrid w:val="0"/>
      <w:spacing w:val="0"/>
      <w:sz w:val="24"/>
      <w:szCs w:val="24"/>
    </w:rPr>
  </w:style>
  <w:style w:type="character" w:customStyle="1" w:styleId="a4">
    <w:name w:val="טקסט הערת שוליים תו"/>
    <w:basedOn w:val="a0"/>
    <w:link w:val="a3"/>
    <w:semiHidden/>
    <w:rsid w:val="00850DF2"/>
    <w:rPr>
      <w:rFonts w:ascii="Arial" w:eastAsia="Arial Unicode MS" w:hAnsi="Arial" w:cs="David"/>
      <w:snapToGrid w:val="0"/>
      <w:color w:val="000000"/>
      <w:sz w:val="24"/>
      <w:szCs w:val="24"/>
      <w:lang w:eastAsia="ja-JP"/>
    </w:rPr>
  </w:style>
  <w:style w:type="character" w:styleId="a5">
    <w:name w:val="footnote reference"/>
    <w:aliases w:val="Footnote Reference"/>
    <w:semiHidden/>
    <w:rsid w:val="00850DF2"/>
    <w:rPr>
      <w:vertAlign w:val="superscript"/>
    </w:rPr>
  </w:style>
  <w:style w:type="paragraph" w:customStyle="1" w:styleId="Hesber1st">
    <w:name w:val="Hesber 1st"/>
    <w:basedOn w:val="a"/>
    <w:rsid w:val="00850DF2"/>
    <w:pPr>
      <w:tabs>
        <w:tab w:val="left" w:pos="680"/>
        <w:tab w:val="left" w:pos="1020"/>
      </w:tabs>
      <w:snapToGrid w:val="0"/>
      <w:spacing w:before="0" w:line="360" w:lineRule="auto"/>
      <w:ind w:firstLine="0"/>
    </w:pPr>
    <w:rPr>
      <w:rFonts w:ascii="Arial" w:eastAsia="Arial Unicode MS" w:hAnsi="Arial" w:cs="David"/>
      <w:snapToGrid w:val="0"/>
      <w:spacing w:val="0"/>
      <w:sz w:val="20"/>
      <w:szCs w:val="26"/>
    </w:rPr>
  </w:style>
  <w:style w:type="paragraph" w:styleId="a6">
    <w:name w:val="header"/>
    <w:basedOn w:val="a"/>
    <w:link w:val="a7"/>
    <w:rsid w:val="00850DF2"/>
    <w:pPr>
      <w:tabs>
        <w:tab w:val="center" w:pos="4153"/>
        <w:tab w:val="right" w:pos="8306"/>
      </w:tabs>
    </w:pPr>
  </w:style>
  <w:style w:type="character" w:customStyle="1" w:styleId="a7">
    <w:name w:val="כותרת עליונה תו"/>
    <w:basedOn w:val="a0"/>
    <w:link w:val="a6"/>
    <w:rsid w:val="00850DF2"/>
    <w:rPr>
      <w:rFonts w:ascii="Hadasa Roso SL" w:eastAsia="MS Mincho" w:hAnsi="Hadasa Roso SL" w:cs="Hadasa Roso SL"/>
      <w:color w:val="000000"/>
      <w:spacing w:val="1"/>
      <w:sz w:val="17"/>
      <w:szCs w:val="17"/>
      <w:lang w:eastAsia="ja-JP"/>
    </w:rPr>
  </w:style>
  <w:style w:type="paragraph" w:styleId="a8">
    <w:name w:val="footer"/>
    <w:basedOn w:val="a"/>
    <w:link w:val="a9"/>
    <w:uiPriority w:val="99"/>
    <w:rsid w:val="00850DF2"/>
    <w:pPr>
      <w:tabs>
        <w:tab w:val="center" w:pos="4153"/>
        <w:tab w:val="right" w:pos="8306"/>
      </w:tabs>
    </w:pPr>
  </w:style>
  <w:style w:type="character" w:customStyle="1" w:styleId="a9">
    <w:name w:val="כותרת תחתונה תו"/>
    <w:basedOn w:val="a0"/>
    <w:link w:val="a8"/>
    <w:uiPriority w:val="99"/>
    <w:rsid w:val="00850DF2"/>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850DF2"/>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850DF2"/>
  </w:style>
  <w:style w:type="character" w:customStyle="1" w:styleId="TableText0">
    <w:name w:val="Table Text תו"/>
    <w:link w:val="TableText"/>
    <w:locked/>
    <w:rsid w:val="00850DF2"/>
    <w:rPr>
      <w:rFonts w:ascii="Arial" w:eastAsia="Arial Unicode MS" w:hAnsi="Arial" w:cs="David"/>
      <w:snapToGrid w:val="0"/>
      <w:color w:val="000000"/>
      <w:sz w:val="20"/>
      <w:szCs w:val="26"/>
      <w:lang w:eastAsia="ja-JP"/>
    </w:rPr>
  </w:style>
  <w:style w:type="character" w:customStyle="1" w:styleId="TableBlock0">
    <w:name w:val="Table Block תו"/>
    <w:link w:val="TableBlock"/>
    <w:locked/>
    <w:rsid w:val="00850DF2"/>
    <w:rPr>
      <w:rFonts w:ascii="Arial" w:eastAsia="Arial Unicode MS" w:hAnsi="Arial" w:cs="David"/>
      <w:snapToGrid w:val="0"/>
      <w:color w:val="000000"/>
      <w:sz w:val="20"/>
      <w:szCs w:val="26"/>
      <w:lang w:eastAsia="ja-JP"/>
    </w:rPr>
  </w:style>
  <w:style w:type="paragraph" w:styleId="ab">
    <w:name w:val="Balloon Text"/>
    <w:basedOn w:val="a"/>
    <w:link w:val="ac"/>
    <w:uiPriority w:val="99"/>
    <w:semiHidden/>
    <w:unhideWhenUsed/>
    <w:rsid w:val="00850DF2"/>
    <w:pPr>
      <w:spacing w:before="0" w:line="240" w:lineRule="auto"/>
    </w:pPr>
    <w:rPr>
      <w:rFonts w:ascii="Tahoma" w:hAnsi="Tahoma" w:cs="Tahoma"/>
      <w:sz w:val="16"/>
      <w:szCs w:val="16"/>
    </w:rPr>
  </w:style>
  <w:style w:type="character" w:customStyle="1" w:styleId="ac">
    <w:name w:val="טקסט בלונים תו"/>
    <w:basedOn w:val="a0"/>
    <w:link w:val="ab"/>
    <w:uiPriority w:val="99"/>
    <w:semiHidden/>
    <w:rsid w:val="00850DF2"/>
    <w:rPr>
      <w:rFonts w:ascii="Tahoma" w:eastAsia="MS Mincho" w:hAnsi="Tahoma" w:cs="Tahoma"/>
      <w:color w:val="000000"/>
      <w:spacing w:val="1"/>
      <w:sz w:val="16"/>
      <w:szCs w:val="16"/>
      <w:lang w:eastAsia="ja-JP"/>
    </w:rPr>
  </w:style>
  <w:style w:type="paragraph" w:styleId="ad">
    <w:name w:val="List Paragraph"/>
    <w:basedOn w:val="a"/>
    <w:uiPriority w:val="34"/>
    <w:qFormat/>
    <w:rsid w:val="006C7D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F2"/>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850DF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850DF2"/>
    <w:pPr>
      <w:ind w:right="0"/>
      <w:jc w:val="both"/>
    </w:pPr>
  </w:style>
  <w:style w:type="paragraph" w:styleId="a3">
    <w:name w:val="footnote text"/>
    <w:basedOn w:val="a"/>
    <w:link w:val="a4"/>
    <w:autoRedefine/>
    <w:semiHidden/>
    <w:rsid w:val="00850DF2"/>
    <w:pPr>
      <w:snapToGrid w:val="0"/>
      <w:spacing w:before="0" w:line="240" w:lineRule="auto"/>
      <w:ind w:left="227" w:hanging="227"/>
      <w:jc w:val="left"/>
    </w:pPr>
    <w:rPr>
      <w:rFonts w:ascii="Arial" w:eastAsia="Arial Unicode MS" w:hAnsi="Arial" w:cs="David"/>
      <w:snapToGrid w:val="0"/>
      <w:spacing w:val="0"/>
      <w:sz w:val="24"/>
      <w:szCs w:val="24"/>
    </w:rPr>
  </w:style>
  <w:style w:type="character" w:customStyle="1" w:styleId="a4">
    <w:name w:val="טקסט הערת שוליים תו"/>
    <w:basedOn w:val="a0"/>
    <w:link w:val="a3"/>
    <w:semiHidden/>
    <w:rsid w:val="00850DF2"/>
    <w:rPr>
      <w:rFonts w:ascii="Arial" w:eastAsia="Arial Unicode MS" w:hAnsi="Arial" w:cs="David"/>
      <w:snapToGrid w:val="0"/>
      <w:color w:val="000000"/>
      <w:sz w:val="24"/>
      <w:szCs w:val="24"/>
      <w:lang w:eastAsia="ja-JP"/>
    </w:rPr>
  </w:style>
  <w:style w:type="character" w:styleId="a5">
    <w:name w:val="footnote reference"/>
    <w:aliases w:val="Footnote Reference"/>
    <w:semiHidden/>
    <w:rsid w:val="00850DF2"/>
    <w:rPr>
      <w:vertAlign w:val="superscript"/>
    </w:rPr>
  </w:style>
  <w:style w:type="paragraph" w:customStyle="1" w:styleId="Hesber1st">
    <w:name w:val="Hesber 1st"/>
    <w:basedOn w:val="a"/>
    <w:rsid w:val="00850DF2"/>
    <w:pPr>
      <w:tabs>
        <w:tab w:val="left" w:pos="680"/>
        <w:tab w:val="left" w:pos="1020"/>
      </w:tabs>
      <w:snapToGrid w:val="0"/>
      <w:spacing w:before="0" w:line="360" w:lineRule="auto"/>
      <w:ind w:firstLine="0"/>
    </w:pPr>
    <w:rPr>
      <w:rFonts w:ascii="Arial" w:eastAsia="Arial Unicode MS" w:hAnsi="Arial" w:cs="David"/>
      <w:snapToGrid w:val="0"/>
      <w:spacing w:val="0"/>
      <w:sz w:val="20"/>
      <w:szCs w:val="26"/>
    </w:rPr>
  </w:style>
  <w:style w:type="paragraph" w:styleId="a6">
    <w:name w:val="header"/>
    <w:basedOn w:val="a"/>
    <w:link w:val="a7"/>
    <w:rsid w:val="00850DF2"/>
    <w:pPr>
      <w:tabs>
        <w:tab w:val="center" w:pos="4153"/>
        <w:tab w:val="right" w:pos="8306"/>
      </w:tabs>
    </w:pPr>
  </w:style>
  <w:style w:type="character" w:customStyle="1" w:styleId="a7">
    <w:name w:val="כותרת עליונה תו"/>
    <w:basedOn w:val="a0"/>
    <w:link w:val="a6"/>
    <w:rsid w:val="00850DF2"/>
    <w:rPr>
      <w:rFonts w:ascii="Hadasa Roso SL" w:eastAsia="MS Mincho" w:hAnsi="Hadasa Roso SL" w:cs="Hadasa Roso SL"/>
      <w:color w:val="000000"/>
      <w:spacing w:val="1"/>
      <w:sz w:val="17"/>
      <w:szCs w:val="17"/>
      <w:lang w:eastAsia="ja-JP"/>
    </w:rPr>
  </w:style>
  <w:style w:type="paragraph" w:styleId="a8">
    <w:name w:val="footer"/>
    <w:basedOn w:val="a"/>
    <w:link w:val="a9"/>
    <w:uiPriority w:val="99"/>
    <w:rsid w:val="00850DF2"/>
    <w:pPr>
      <w:tabs>
        <w:tab w:val="center" w:pos="4153"/>
        <w:tab w:val="right" w:pos="8306"/>
      </w:tabs>
    </w:pPr>
  </w:style>
  <w:style w:type="character" w:customStyle="1" w:styleId="a9">
    <w:name w:val="כותרת תחתונה תו"/>
    <w:basedOn w:val="a0"/>
    <w:link w:val="a8"/>
    <w:uiPriority w:val="99"/>
    <w:rsid w:val="00850DF2"/>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850DF2"/>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850DF2"/>
  </w:style>
  <w:style w:type="character" w:customStyle="1" w:styleId="TableText0">
    <w:name w:val="Table Text תו"/>
    <w:link w:val="TableText"/>
    <w:locked/>
    <w:rsid w:val="00850DF2"/>
    <w:rPr>
      <w:rFonts w:ascii="Arial" w:eastAsia="Arial Unicode MS" w:hAnsi="Arial" w:cs="David"/>
      <w:snapToGrid w:val="0"/>
      <w:color w:val="000000"/>
      <w:sz w:val="20"/>
      <w:szCs w:val="26"/>
      <w:lang w:eastAsia="ja-JP"/>
    </w:rPr>
  </w:style>
  <w:style w:type="character" w:customStyle="1" w:styleId="TableBlock0">
    <w:name w:val="Table Block תו"/>
    <w:link w:val="TableBlock"/>
    <w:locked/>
    <w:rsid w:val="00850DF2"/>
    <w:rPr>
      <w:rFonts w:ascii="Arial" w:eastAsia="Arial Unicode MS" w:hAnsi="Arial" w:cs="David"/>
      <w:snapToGrid w:val="0"/>
      <w:color w:val="000000"/>
      <w:sz w:val="20"/>
      <w:szCs w:val="26"/>
      <w:lang w:eastAsia="ja-JP"/>
    </w:rPr>
  </w:style>
  <w:style w:type="paragraph" w:styleId="ab">
    <w:name w:val="Balloon Text"/>
    <w:basedOn w:val="a"/>
    <w:link w:val="ac"/>
    <w:uiPriority w:val="99"/>
    <w:semiHidden/>
    <w:unhideWhenUsed/>
    <w:rsid w:val="00850DF2"/>
    <w:pPr>
      <w:spacing w:before="0" w:line="240" w:lineRule="auto"/>
    </w:pPr>
    <w:rPr>
      <w:rFonts w:ascii="Tahoma" w:hAnsi="Tahoma" w:cs="Tahoma"/>
      <w:sz w:val="16"/>
      <w:szCs w:val="16"/>
    </w:rPr>
  </w:style>
  <w:style w:type="character" w:customStyle="1" w:styleId="ac">
    <w:name w:val="טקסט בלונים תו"/>
    <w:basedOn w:val="a0"/>
    <w:link w:val="ab"/>
    <w:uiPriority w:val="99"/>
    <w:semiHidden/>
    <w:rsid w:val="00850DF2"/>
    <w:rPr>
      <w:rFonts w:ascii="Tahoma" w:eastAsia="MS Mincho" w:hAnsi="Tahoma" w:cs="Tahoma"/>
      <w:color w:val="000000"/>
      <w:spacing w:val="1"/>
      <w:sz w:val="16"/>
      <w:szCs w:val="16"/>
      <w:lang w:eastAsia="ja-JP"/>
    </w:rPr>
  </w:style>
  <w:style w:type="paragraph" w:styleId="ad">
    <w:name w:val="List Paragraph"/>
    <w:basedOn w:val="a"/>
    <w:uiPriority w:val="34"/>
    <w:qFormat/>
    <w:rsid w:val="006C7D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0664C2-35A4-4D84-BAC9-B83DC3298E75}"/>
</file>

<file path=customXml/itemProps2.xml><?xml version="1.0" encoding="utf-8"?>
<ds:datastoreItem xmlns:ds="http://schemas.openxmlformats.org/officeDocument/2006/customXml" ds:itemID="{0F4AB93B-D4A5-4253-8B37-30862C2D793C}"/>
</file>

<file path=customXml/itemProps3.xml><?xml version="1.0" encoding="utf-8"?>
<ds:datastoreItem xmlns:ds="http://schemas.openxmlformats.org/officeDocument/2006/customXml" ds:itemID="{D9C16C96-99F7-4CB0-9A89-29788BB29566}"/>
</file>

<file path=docProps/app.xml><?xml version="1.0" encoding="utf-8"?>
<Properties xmlns="http://schemas.openxmlformats.org/officeDocument/2006/extended-properties" xmlns:vt="http://schemas.openxmlformats.org/officeDocument/2006/docPropsVTypes">
  <Template>Normal</Template>
  <TotalTime>1</TotalTime>
  <Pages>10</Pages>
  <Words>2464</Words>
  <Characters>12325</Characters>
  <Application>Microsoft Office Word</Application>
  <DocSecurity>0</DocSecurity>
  <Lines>102</Lines>
  <Paragraphs>29</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14760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יבינה זכאי בראונר</dc:creator>
  <cp:lastModifiedBy>כוכי שבתאי</cp:lastModifiedBy>
  <cp:revision>2</cp:revision>
  <cp:lastPrinted>2016-08-21T06:10:00Z</cp:lastPrinted>
  <dcterms:created xsi:type="dcterms:W3CDTF">2017-03-15T12:50:00Z</dcterms:created>
  <dcterms:modified xsi:type="dcterms:W3CDTF">2017-03-15T12:50:00Z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2015769</vt:r8>
  </property>
</Properties>
</file>