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831523" w14:textId="77777777" w:rsidR="003830CA" w:rsidRPr="0000131B" w:rsidRDefault="003830CA" w:rsidP="003830CA">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571589</w:t>
      </w:r>
      <w:bookmarkEnd w:id="0"/>
    </w:p>
    <w:p w14:paraId="6ECECC6F" w14:textId="77777777" w:rsidR="003830CA" w:rsidRPr="00DB7060" w:rsidRDefault="003830CA" w:rsidP="003830CA">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0E85ADBF" w14:textId="77777777" w:rsidR="003830CA" w:rsidRPr="00F67051" w:rsidRDefault="003830CA" w:rsidP="003830CA">
      <w:pPr>
        <w:rPr>
          <w:rFonts w:cs="David"/>
          <w:b/>
          <w:bCs/>
          <w:sz w:val="26"/>
          <w:szCs w:val="26"/>
          <w:rtl/>
        </w:rPr>
      </w:pPr>
    </w:p>
    <w:p w14:paraId="39672FC2" w14:textId="433D3602" w:rsidR="003830CA" w:rsidRDefault="003830CA" w:rsidP="006F13E2">
      <w:pPr>
        <w:pStyle w:val="David"/>
        <w:spacing w:line="276" w:lineRule="auto"/>
        <w:ind w:left="3544"/>
        <w:rPr>
          <w:b/>
          <w:bCs/>
          <w:rtl/>
        </w:rPr>
      </w:pPr>
      <w:bookmarkStart w:id="2" w:name="LGS_Initiators_List"/>
      <w:r>
        <w:rPr>
          <w:b/>
          <w:bCs/>
          <w:rtl/>
        </w:rPr>
        <w:t>יוזמים:      חברי הכנסת</w:t>
      </w:r>
      <w:bookmarkEnd w:id="2"/>
      <w:r w:rsidRPr="00F67051">
        <w:rPr>
          <w:b/>
          <w:bCs/>
        </w:rPr>
        <w:tab/>
      </w:r>
      <w:bookmarkStart w:id="3" w:name="LGS_PM_Names"/>
      <w:r>
        <w:rPr>
          <w:rFonts w:hint="cs"/>
          <w:b/>
          <w:bCs/>
          <w:rtl/>
        </w:rPr>
        <w:t>מאיר כהן</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מירב בן ארי</w:t>
      </w:r>
      <w:bookmarkEnd w:id="3"/>
    </w:p>
    <w:p w14:paraId="46A0083B" w14:textId="5D616D76" w:rsidR="003830CA" w:rsidRPr="00CF1AA2" w:rsidRDefault="003830CA" w:rsidP="006F13E2">
      <w:pPr>
        <w:pStyle w:val="David"/>
        <w:spacing w:before="0" w:line="276" w:lineRule="auto"/>
        <w:ind w:left="3544"/>
        <w:rPr>
          <w:b/>
          <w:bCs/>
          <w:sz w:val="16"/>
          <w:szCs w:val="16"/>
          <w:rtl/>
        </w:rPr>
      </w:pPr>
      <w:bookmarkStart w:id="4" w:name="LGS_Join_List"/>
      <w:r>
        <w:rPr>
          <w:rtl/>
        </w:rPr>
        <w:t>______________________________________________</w:t>
      </w:r>
      <w:r>
        <w:br/>
      </w:r>
      <w:r>
        <w:rPr>
          <w:rtl/>
        </w:rPr>
        <w:t>מצטרפים: חברי הכנסת</w:t>
      </w:r>
      <w:bookmarkEnd w:id="4"/>
      <w:r w:rsidRPr="00CF1AA2">
        <w:rPr>
          <w:rFonts w:hint="cs"/>
          <w:rtl/>
        </w:rPr>
        <w:tab/>
      </w:r>
      <w:bookmarkStart w:id="5" w:name="LGS_PM_NamesJoin"/>
      <w:r>
        <w:rPr>
          <w:rFonts w:hint="cs"/>
          <w:rtl/>
        </w:rPr>
        <w:t>אורי מקלב</w:t>
      </w:r>
      <w:r>
        <w:br/>
      </w:r>
      <w:r>
        <w:rPr>
          <w:rFonts w:hint="cs"/>
          <w:rtl/>
        </w:rPr>
        <w:t xml:space="preserve"> </w:t>
      </w:r>
      <w:r>
        <w:tab/>
      </w:r>
      <w:r>
        <w:tab/>
      </w:r>
      <w:r>
        <w:tab/>
      </w:r>
      <w:r>
        <w:tab/>
      </w:r>
      <w:r>
        <w:rPr>
          <w:rFonts w:hint="cs"/>
          <w:rtl/>
        </w:rPr>
        <w:t>יואב קיש</w:t>
      </w:r>
      <w:r>
        <w:br/>
      </w:r>
      <w:r>
        <w:rPr>
          <w:rFonts w:hint="cs"/>
          <w:rtl/>
        </w:rPr>
        <w:t xml:space="preserve"> </w:t>
      </w:r>
      <w:r>
        <w:tab/>
      </w:r>
      <w:r>
        <w:tab/>
      </w:r>
      <w:r>
        <w:tab/>
      </w:r>
      <w:r>
        <w:tab/>
      </w:r>
      <w:r>
        <w:rPr>
          <w:rFonts w:hint="cs"/>
          <w:rtl/>
        </w:rPr>
        <w:t>יפעת שאשא ביטון</w:t>
      </w:r>
      <w:r>
        <w:br/>
      </w:r>
      <w:r>
        <w:rPr>
          <w:rFonts w:hint="cs"/>
          <w:rtl/>
        </w:rPr>
        <w:t xml:space="preserve"> </w:t>
      </w:r>
      <w:r>
        <w:tab/>
      </w:r>
      <w:r>
        <w:tab/>
      </w:r>
      <w:r>
        <w:tab/>
      </w:r>
      <w:r>
        <w:tab/>
      </w:r>
      <w:r>
        <w:rPr>
          <w:rFonts w:hint="cs"/>
          <w:rtl/>
        </w:rPr>
        <w:t>מיקי לוי</w:t>
      </w:r>
      <w:r>
        <w:br/>
      </w:r>
      <w:r>
        <w:rPr>
          <w:rFonts w:hint="cs"/>
          <w:rtl/>
        </w:rPr>
        <w:t xml:space="preserve"> </w:t>
      </w:r>
      <w:r>
        <w:tab/>
      </w:r>
      <w:r>
        <w:tab/>
      </w:r>
      <w:r>
        <w:tab/>
      </w:r>
      <w:r>
        <w:tab/>
      </w:r>
      <w:r>
        <w:rPr>
          <w:rFonts w:hint="cs"/>
          <w:rtl/>
        </w:rPr>
        <w:t>עליזה לביא</w:t>
      </w:r>
      <w:r>
        <w:br/>
      </w:r>
      <w:r>
        <w:rPr>
          <w:rFonts w:hint="cs"/>
          <w:rtl/>
        </w:rPr>
        <w:t xml:space="preserve"> </w:t>
      </w:r>
      <w:r>
        <w:tab/>
      </w:r>
      <w:r>
        <w:tab/>
      </w:r>
      <w:r>
        <w:tab/>
      </w:r>
      <w:r>
        <w:tab/>
      </w:r>
      <w:r>
        <w:rPr>
          <w:rFonts w:hint="cs"/>
          <w:rtl/>
        </w:rPr>
        <w:t>אלעזר שטרן</w:t>
      </w:r>
      <w:r>
        <w:br/>
      </w:r>
      <w:r>
        <w:rPr>
          <w:rFonts w:hint="cs"/>
          <w:rtl/>
        </w:rPr>
        <w:t xml:space="preserve"> </w:t>
      </w:r>
      <w:r>
        <w:tab/>
      </w:r>
      <w:r>
        <w:tab/>
      </w:r>
      <w:r>
        <w:tab/>
      </w:r>
      <w:r>
        <w:tab/>
      </w:r>
      <w:r>
        <w:rPr>
          <w:rFonts w:hint="cs"/>
          <w:rtl/>
        </w:rPr>
        <w:t>יוסי יונה</w:t>
      </w:r>
      <w:r>
        <w:br/>
      </w:r>
      <w:r>
        <w:rPr>
          <w:rFonts w:hint="cs"/>
          <w:rtl/>
        </w:rPr>
        <w:t xml:space="preserve"> </w:t>
      </w:r>
      <w:r>
        <w:tab/>
      </w:r>
      <w:r>
        <w:tab/>
      </w:r>
      <w:r>
        <w:tab/>
      </w:r>
      <w:r>
        <w:tab/>
      </w:r>
      <w:r>
        <w:rPr>
          <w:rFonts w:hint="cs"/>
          <w:rtl/>
        </w:rPr>
        <w:t>איל בן ראובן</w:t>
      </w:r>
      <w:r>
        <w:br/>
      </w:r>
      <w:r>
        <w:rPr>
          <w:rFonts w:hint="cs"/>
          <w:rtl/>
        </w:rPr>
        <w:t xml:space="preserve"> </w:t>
      </w:r>
      <w:r>
        <w:tab/>
      </w:r>
      <w:r>
        <w:tab/>
      </w:r>
      <w:r>
        <w:tab/>
      </w:r>
      <w:r>
        <w:tab/>
      </w:r>
      <w:r>
        <w:rPr>
          <w:rFonts w:hint="cs"/>
          <w:rtl/>
        </w:rPr>
        <w:t>יעקב פרי</w:t>
      </w:r>
      <w:r>
        <w:br/>
      </w:r>
      <w:r>
        <w:rPr>
          <w:rFonts w:hint="cs"/>
          <w:rtl/>
        </w:rPr>
        <w:t xml:space="preserve"> </w:t>
      </w:r>
      <w:r>
        <w:tab/>
      </w:r>
      <w:r>
        <w:tab/>
      </w:r>
      <w:r>
        <w:tab/>
      </w:r>
      <w:r>
        <w:tab/>
      </w:r>
      <w:r>
        <w:rPr>
          <w:rFonts w:hint="cs"/>
          <w:rtl/>
        </w:rPr>
        <w:t>יואל רזבוזוב</w:t>
      </w:r>
      <w:r>
        <w:br/>
      </w:r>
      <w:r>
        <w:rPr>
          <w:rFonts w:hint="cs"/>
          <w:rtl/>
        </w:rPr>
        <w:t xml:space="preserve"> </w:t>
      </w:r>
      <w:r>
        <w:tab/>
      </w:r>
      <w:r>
        <w:tab/>
      </w:r>
      <w:r>
        <w:tab/>
      </w:r>
      <w:r>
        <w:tab/>
      </w:r>
      <w:r>
        <w:rPr>
          <w:rFonts w:hint="cs"/>
          <w:rtl/>
        </w:rPr>
        <w:t>טלב אבו עראר</w:t>
      </w:r>
      <w:r>
        <w:br/>
      </w:r>
      <w:r>
        <w:rPr>
          <w:rFonts w:hint="cs"/>
          <w:rtl/>
        </w:rPr>
        <w:t xml:space="preserve"> </w:t>
      </w:r>
      <w:r>
        <w:tab/>
      </w:r>
      <w:r>
        <w:tab/>
      </w:r>
      <w:r>
        <w:tab/>
      </w:r>
      <w:r>
        <w:tab/>
      </w:r>
      <w:r>
        <w:rPr>
          <w:rFonts w:hint="cs"/>
          <w:rtl/>
        </w:rPr>
        <w:t>ענת ברקו</w:t>
      </w:r>
      <w:r>
        <w:br/>
      </w:r>
      <w:r>
        <w:rPr>
          <w:rFonts w:hint="cs"/>
          <w:rtl/>
        </w:rPr>
        <w:t xml:space="preserve"> </w:t>
      </w:r>
      <w:r>
        <w:tab/>
      </w:r>
      <w:r>
        <w:tab/>
      </w:r>
      <w:r>
        <w:tab/>
      </w:r>
      <w:r>
        <w:tab/>
      </w:r>
      <w:r>
        <w:rPr>
          <w:rFonts w:hint="cs"/>
          <w:rtl/>
        </w:rPr>
        <w:t>נחמן שי</w:t>
      </w:r>
      <w:r>
        <w:br/>
      </w:r>
      <w:r>
        <w:rPr>
          <w:rFonts w:hint="cs"/>
          <w:rtl/>
        </w:rPr>
        <w:t xml:space="preserve"> </w:t>
      </w:r>
      <w:r>
        <w:tab/>
      </w:r>
      <w:r>
        <w:tab/>
      </w:r>
      <w:r>
        <w:tab/>
      </w:r>
      <w:r>
        <w:tab/>
      </w:r>
      <w:r>
        <w:rPr>
          <w:rFonts w:hint="cs"/>
          <w:rtl/>
        </w:rPr>
        <w:t>מנואל טרכטנברג</w:t>
      </w:r>
      <w:r>
        <w:br/>
      </w:r>
      <w:r>
        <w:rPr>
          <w:rFonts w:hint="cs"/>
          <w:rtl/>
        </w:rPr>
        <w:t xml:space="preserve"> </w:t>
      </w:r>
      <w:r>
        <w:tab/>
      </w:r>
      <w:r>
        <w:tab/>
      </w:r>
      <w:r>
        <w:tab/>
      </w:r>
      <w:r>
        <w:tab/>
      </w:r>
      <w:r>
        <w:rPr>
          <w:rFonts w:hint="cs"/>
          <w:rtl/>
        </w:rPr>
        <w:t>מיכל רוזין</w:t>
      </w:r>
      <w:r>
        <w:br/>
      </w:r>
      <w:r>
        <w:rPr>
          <w:rFonts w:hint="cs"/>
          <w:rtl/>
        </w:rPr>
        <w:t xml:space="preserve"> </w:t>
      </w:r>
      <w:r>
        <w:tab/>
      </w:r>
      <w:r>
        <w:tab/>
      </w:r>
      <w:r>
        <w:tab/>
      </w:r>
      <w:r>
        <w:tab/>
      </w:r>
      <w:r>
        <w:rPr>
          <w:rFonts w:hint="cs"/>
          <w:rtl/>
        </w:rPr>
        <w:t>קסניה סבטלובה</w:t>
      </w:r>
      <w:r>
        <w:br/>
      </w:r>
      <w:r>
        <w:rPr>
          <w:rFonts w:hint="cs"/>
          <w:rtl/>
        </w:rPr>
        <w:t xml:space="preserve"> </w:t>
      </w:r>
      <w:r>
        <w:tab/>
      </w:r>
      <w:r>
        <w:tab/>
      </w:r>
      <w:r>
        <w:tab/>
      </w:r>
      <w:r>
        <w:tab/>
      </w:r>
      <w:r>
        <w:rPr>
          <w:rFonts w:hint="cs"/>
          <w:rtl/>
        </w:rPr>
        <w:t>יעל גרמן</w:t>
      </w:r>
      <w:r>
        <w:br/>
      </w:r>
      <w:r>
        <w:rPr>
          <w:rFonts w:hint="cs"/>
          <w:rtl/>
        </w:rPr>
        <w:t xml:space="preserve"> </w:t>
      </w:r>
      <w:r>
        <w:tab/>
      </w:r>
      <w:r>
        <w:tab/>
      </w:r>
      <w:r>
        <w:tab/>
      </w:r>
      <w:r>
        <w:tab/>
      </w:r>
      <w:r>
        <w:rPr>
          <w:rFonts w:hint="cs"/>
          <w:rtl/>
        </w:rPr>
        <w:t>איילת נחמיאס ורבין</w:t>
      </w:r>
      <w:r>
        <w:br/>
      </w:r>
      <w:r>
        <w:rPr>
          <w:rFonts w:hint="cs"/>
          <w:rtl/>
        </w:rPr>
        <w:t xml:space="preserve"> </w:t>
      </w:r>
      <w:r>
        <w:tab/>
      </w:r>
      <w:r>
        <w:tab/>
      </w:r>
      <w:r>
        <w:tab/>
      </w:r>
      <w:r>
        <w:tab/>
      </w:r>
      <w:r>
        <w:rPr>
          <w:rFonts w:hint="cs"/>
          <w:rtl/>
        </w:rPr>
        <w:t>חיים ילין</w:t>
      </w:r>
      <w:r>
        <w:br/>
      </w:r>
      <w:r>
        <w:rPr>
          <w:rFonts w:hint="cs"/>
          <w:rtl/>
        </w:rPr>
        <w:t xml:space="preserve"> </w:t>
      </w:r>
      <w:r>
        <w:tab/>
      </w:r>
      <w:r>
        <w:tab/>
      </w:r>
      <w:r>
        <w:tab/>
      </w:r>
      <w:r>
        <w:tab/>
      </w:r>
      <w:r>
        <w:rPr>
          <w:rFonts w:hint="cs"/>
          <w:rtl/>
        </w:rPr>
        <w:t>קארין אלהרר</w:t>
      </w:r>
      <w:r>
        <w:br/>
      </w:r>
      <w:r>
        <w:rPr>
          <w:rFonts w:hint="cs"/>
          <w:rtl/>
        </w:rPr>
        <w:t xml:space="preserve"> </w:t>
      </w:r>
      <w:r>
        <w:tab/>
      </w:r>
      <w:r>
        <w:tab/>
      </w:r>
      <w:r>
        <w:tab/>
      </w:r>
      <w:r>
        <w:tab/>
      </w:r>
      <w:r>
        <w:rPr>
          <w:rFonts w:hint="cs"/>
          <w:rtl/>
        </w:rPr>
        <w:t>מיקי רוזנטל</w:t>
      </w:r>
      <w:r>
        <w:br/>
      </w:r>
      <w:r>
        <w:rPr>
          <w:rFonts w:hint="cs"/>
          <w:rtl/>
        </w:rPr>
        <w:t xml:space="preserve"> </w:t>
      </w:r>
      <w:r>
        <w:tab/>
      </w:r>
      <w:r>
        <w:tab/>
      </w:r>
      <w:r>
        <w:tab/>
      </w:r>
      <w:r>
        <w:tab/>
      </w:r>
      <w:r>
        <w:rPr>
          <w:rFonts w:hint="cs"/>
          <w:rtl/>
        </w:rPr>
        <w:t>עאידה תומא סלימאן</w:t>
      </w:r>
      <w:bookmarkEnd w:id="5"/>
    </w:p>
    <w:p w14:paraId="0468A8B6" w14:textId="77777777" w:rsidR="003830CA" w:rsidRPr="00904591" w:rsidRDefault="003830CA" w:rsidP="003830CA">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3E1D0976" w14:textId="48048220" w:rsidR="003830CA" w:rsidRDefault="003830CA" w:rsidP="005921A7">
      <w:pPr>
        <w:pStyle w:val="David"/>
        <w:spacing w:before="0" w:line="240" w:lineRule="auto"/>
        <w:ind w:left="4984" w:firstLine="56"/>
        <w:rPr>
          <w:rtl/>
        </w:rPr>
      </w:pPr>
      <w:r>
        <w:t xml:space="preserve">                      </w:t>
      </w:r>
      <w:r w:rsidR="005921A7">
        <w:rPr>
          <w:rFonts w:hint="cs"/>
          <w:rtl/>
        </w:rPr>
        <w:t>פ/2554/20</w:t>
      </w:r>
    </w:p>
    <w:p w14:paraId="7B00C84F" w14:textId="77777777" w:rsidR="003830CA" w:rsidRPr="00F67051" w:rsidRDefault="003830CA" w:rsidP="003830CA">
      <w:pPr>
        <w:pStyle w:val="HeadHatzaotHok"/>
        <w:rPr>
          <w:rtl/>
        </w:rPr>
      </w:pPr>
      <w:bookmarkStart w:id="6" w:name="LGS_Subject"/>
      <w:r>
        <w:rPr>
          <w:rFonts w:hint="cs"/>
          <w:rtl/>
        </w:rPr>
        <w:t>הצעת חוק הכשרות המשפטית והאפוטרופסות (תיקון – הכרעה במחלוקות בין הורים בעניין הנתון לאפוטרופסותם), התשע"ו–2016</w:t>
      </w:r>
      <w:bookmarkEnd w:id="6"/>
    </w:p>
    <w:p w14:paraId="681173BC" w14:textId="77777777" w:rsidR="003830CA" w:rsidRDefault="003830CA" w:rsidP="003830C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3830CA" w14:paraId="44072C54" w14:textId="77777777" w:rsidTr="006F13E2">
        <w:trPr>
          <w:cantSplit/>
        </w:trPr>
        <w:tc>
          <w:tcPr>
            <w:tcW w:w="1871" w:type="dxa"/>
          </w:tcPr>
          <w:p w14:paraId="0091E903" w14:textId="77777777" w:rsidR="003830CA" w:rsidRDefault="003830CA" w:rsidP="00F23F34">
            <w:pPr>
              <w:pStyle w:val="TableSideHeading"/>
              <w:keepLines w:val="0"/>
              <w:rPr>
                <w:rtl/>
              </w:rPr>
            </w:pPr>
            <w:r>
              <w:rPr>
                <w:rFonts w:hint="cs"/>
                <w:rtl/>
              </w:rPr>
              <w:t>תיקון סעיף 19</w:t>
            </w:r>
          </w:p>
        </w:tc>
        <w:tc>
          <w:tcPr>
            <w:tcW w:w="624" w:type="dxa"/>
          </w:tcPr>
          <w:p w14:paraId="78A4D946" w14:textId="77777777" w:rsidR="003830CA" w:rsidRDefault="003830CA" w:rsidP="00F23F34">
            <w:pPr>
              <w:pStyle w:val="TableText"/>
              <w:keepLines w:val="0"/>
              <w:rPr>
                <w:rtl/>
              </w:rPr>
            </w:pPr>
            <w:r>
              <w:rPr>
                <w:rFonts w:hint="cs"/>
                <w:rtl/>
              </w:rPr>
              <w:t>1.</w:t>
            </w:r>
          </w:p>
        </w:tc>
        <w:tc>
          <w:tcPr>
            <w:tcW w:w="7143" w:type="dxa"/>
          </w:tcPr>
          <w:p w14:paraId="673053AE" w14:textId="77777777" w:rsidR="003830CA" w:rsidRPr="00B45AD3" w:rsidRDefault="003830CA" w:rsidP="006F13E2">
            <w:pPr>
              <w:pStyle w:val="TableBlock"/>
              <w:rPr>
                <w:rtl/>
              </w:rPr>
            </w:pPr>
            <w:r>
              <w:rPr>
                <w:rFonts w:hint="cs"/>
                <w:rtl/>
              </w:rPr>
              <w:t>בחוק הכשרות המשפטית והאפוטרופסות, התשכ"ב</w:t>
            </w:r>
            <w:r>
              <w:rPr>
                <w:rtl/>
              </w:rPr>
              <w:t>–</w:t>
            </w:r>
            <w:r>
              <w:rPr>
                <w:rFonts w:hint="cs"/>
                <w:rtl/>
              </w:rPr>
              <w:t>1962</w:t>
            </w:r>
            <w:r>
              <w:rPr>
                <w:rStyle w:val="a5"/>
                <w:rtl/>
              </w:rPr>
              <w:footnoteReference w:id="2"/>
            </w:r>
            <w:r>
              <w:rPr>
                <w:rFonts w:hint="cs"/>
                <w:rtl/>
              </w:rPr>
              <w:t xml:space="preserve">, הסיפה החל במילים "או יטיל את ההכרעה" </w:t>
            </w:r>
            <w:r>
              <w:rPr>
                <w:rtl/>
              </w:rPr>
              <w:t>–</w:t>
            </w:r>
            <w:r>
              <w:rPr>
                <w:rFonts w:hint="cs"/>
                <w:rtl/>
              </w:rPr>
              <w:t xml:space="preserve"> תימחק. </w:t>
            </w:r>
          </w:p>
        </w:tc>
      </w:tr>
    </w:tbl>
    <w:p w14:paraId="4101E8A8" w14:textId="77777777" w:rsidR="003830CA" w:rsidRPr="003830CA" w:rsidRDefault="003830CA" w:rsidP="003830CA">
      <w:pPr>
        <w:pStyle w:val="HeadDivreiHesber"/>
        <w:rPr>
          <w:rtl/>
        </w:rPr>
      </w:pPr>
      <w:r w:rsidRPr="003830CA">
        <w:rPr>
          <w:rFonts w:hint="cs"/>
          <w:rtl/>
        </w:rPr>
        <w:t>דברי הסבר</w:t>
      </w:r>
    </w:p>
    <w:p w14:paraId="0147498E" w14:textId="77777777" w:rsidR="003830CA" w:rsidRPr="003830CA" w:rsidRDefault="003830CA" w:rsidP="003830CA">
      <w:pPr>
        <w:pStyle w:val="Hesber"/>
        <w:rPr>
          <w:rtl/>
        </w:rPr>
      </w:pPr>
      <w:r w:rsidRPr="003830CA">
        <w:rPr>
          <w:rFonts w:hint="cs"/>
          <w:rtl/>
        </w:rPr>
        <w:t>סוגיית הוצאת ילדים מביתם והסדרי הראייה הן סוגיות מדממות בחברה הישראלית.</w:t>
      </w:r>
      <w:r w:rsidRPr="003830CA">
        <w:rPr>
          <w:rtl/>
        </w:rPr>
        <w:t xml:space="preserve"> </w:t>
      </w:r>
      <w:r w:rsidRPr="003830CA">
        <w:rPr>
          <w:rFonts w:hint="cs"/>
          <w:rtl/>
        </w:rPr>
        <w:t>ביולי 2013, שר הרווחה לשעבר חה"כ מאיר כהן, מינה ועדה ("ועדת סילמן")</w:t>
      </w:r>
      <w:r w:rsidRPr="003830CA">
        <w:rPr>
          <w:rtl/>
        </w:rPr>
        <w:t xml:space="preserve"> לבחינת מדיניות משרד הרווחה בנושא הוצאה של ילדים למסגרות חוץ ביתיות ונושא הסדרי ראייה, שפרסמה את המלצותיה בפברואר 2014. </w:t>
      </w:r>
      <w:r w:rsidRPr="003830CA">
        <w:rPr>
          <w:rFonts w:hint="cs"/>
          <w:rtl/>
        </w:rPr>
        <w:t xml:space="preserve">בין </w:t>
      </w:r>
      <w:r w:rsidRPr="003830CA">
        <w:rPr>
          <w:rFonts w:hint="cs"/>
          <w:rtl/>
        </w:rPr>
        <w:lastRenderedPageBreak/>
        <w:t xml:space="preserve">יתר מסקנות הועדה, </w:t>
      </w:r>
      <w:r w:rsidRPr="003830CA">
        <w:rPr>
          <w:rtl/>
        </w:rPr>
        <w:t>הועדה זיהתה שהשימוש המוגבר בסעיף 19 לחוק ה</w:t>
      </w:r>
      <w:r w:rsidRPr="003830CA">
        <w:rPr>
          <w:rFonts w:hint="cs"/>
          <w:rtl/>
        </w:rPr>
        <w:t>כשרות המשפטית והאפוטרופסות, התשכ"ב</w:t>
      </w:r>
      <w:r w:rsidRPr="003830CA">
        <w:rPr>
          <w:rtl/>
        </w:rPr>
        <w:t>–</w:t>
      </w:r>
      <w:r w:rsidRPr="003830CA">
        <w:rPr>
          <w:rFonts w:hint="cs"/>
          <w:rtl/>
        </w:rPr>
        <w:t xml:space="preserve">1962 (להלן </w:t>
      </w:r>
      <w:r w:rsidRPr="003830CA">
        <w:rPr>
          <w:rtl/>
        </w:rPr>
        <w:t>–</w:t>
      </w:r>
      <w:r w:rsidRPr="003830CA">
        <w:rPr>
          <w:rFonts w:hint="cs"/>
          <w:rtl/>
        </w:rPr>
        <w:t xml:space="preserve"> החוק),</w:t>
      </w:r>
      <w:r w:rsidRPr="003830CA">
        <w:rPr>
          <w:rtl/>
        </w:rPr>
        <w:t xml:space="preserve"> מחולל עימותים בעצימות גבוהה</w:t>
      </w:r>
      <w:r w:rsidRPr="003830CA">
        <w:rPr>
          <w:rFonts w:hint="cs"/>
          <w:rtl/>
        </w:rPr>
        <w:t xml:space="preserve"> סביב נושאים הנוגעים להסדרי הראייה בין ההורים</w:t>
      </w:r>
      <w:r w:rsidRPr="003830CA">
        <w:rPr>
          <w:rtl/>
        </w:rPr>
        <w:t xml:space="preserve">. </w:t>
      </w:r>
      <w:r w:rsidRPr="003830CA">
        <w:rPr>
          <w:rFonts w:hint="cs"/>
          <w:rtl/>
        </w:rPr>
        <w:t>בנוסף,</w:t>
      </w:r>
      <w:r w:rsidRPr="003830CA">
        <w:rPr>
          <w:rtl/>
        </w:rPr>
        <w:t xml:space="preserve"> הוועדה זיהתה עלייה חדה בשימוש בסעיף 19</w:t>
      </w:r>
      <w:r w:rsidRPr="003830CA">
        <w:rPr>
          <w:rFonts w:hint="cs"/>
          <w:rtl/>
        </w:rPr>
        <w:t>, מכ-3,000</w:t>
      </w:r>
      <w:r w:rsidRPr="003830CA">
        <w:rPr>
          <w:rtl/>
        </w:rPr>
        <w:t xml:space="preserve"> מקרים בשנה ל</w:t>
      </w:r>
      <w:r w:rsidRPr="003830CA">
        <w:rPr>
          <w:rFonts w:hint="cs"/>
          <w:rtl/>
        </w:rPr>
        <w:t>כ-</w:t>
      </w:r>
      <w:r w:rsidRPr="003830CA">
        <w:rPr>
          <w:rtl/>
        </w:rPr>
        <w:t xml:space="preserve">6,000 מקרים בשנה. </w:t>
      </w:r>
    </w:p>
    <w:p w14:paraId="26DD7BDE" w14:textId="77777777" w:rsidR="003830CA" w:rsidRPr="003830CA" w:rsidRDefault="003830CA" w:rsidP="003830CA">
      <w:pPr>
        <w:pStyle w:val="Hesber"/>
        <w:rPr>
          <w:rtl/>
        </w:rPr>
      </w:pPr>
      <w:r w:rsidRPr="003830CA">
        <w:rPr>
          <w:rtl/>
        </w:rPr>
        <w:t>סעיף</w:t>
      </w:r>
      <w:r w:rsidRPr="003830CA">
        <w:rPr>
          <w:rFonts w:hint="cs"/>
          <w:rtl/>
        </w:rPr>
        <w:t xml:space="preserve"> </w:t>
      </w:r>
      <w:r w:rsidRPr="003830CA">
        <w:rPr>
          <w:rtl/>
        </w:rPr>
        <w:t>19</w:t>
      </w:r>
      <w:r w:rsidRPr="003830CA">
        <w:rPr>
          <w:rFonts w:hint="cs"/>
          <w:rtl/>
        </w:rPr>
        <w:t xml:space="preserve"> לחוק,</w:t>
      </w:r>
      <w:r w:rsidRPr="003830CA">
        <w:rPr>
          <w:rtl/>
        </w:rPr>
        <w:t xml:space="preserve"> קובע בין היתר, כי אם ההורים אינם</w:t>
      </w:r>
      <w:r w:rsidRPr="003830CA">
        <w:rPr>
          <w:rFonts w:hint="cs"/>
          <w:rtl/>
        </w:rPr>
        <w:t xml:space="preserve"> </w:t>
      </w:r>
      <w:r w:rsidRPr="003830CA">
        <w:rPr>
          <w:rtl/>
        </w:rPr>
        <w:t>מסכימים בעניין הנתון לאפוטרופסותם, שאינו נוגע לרכוש</w:t>
      </w:r>
      <w:r w:rsidRPr="003830CA">
        <w:rPr>
          <w:rFonts w:hint="cs"/>
          <w:rtl/>
        </w:rPr>
        <w:t xml:space="preserve"> </w:t>
      </w:r>
      <w:r w:rsidRPr="003830CA">
        <w:rPr>
          <w:rtl/>
        </w:rPr>
        <w:t>הקטין, הם רשאים לפנות יחד לבית המשפט ובית המשפט,</w:t>
      </w:r>
      <w:r w:rsidRPr="003830CA">
        <w:rPr>
          <w:rFonts w:hint="cs"/>
          <w:rtl/>
        </w:rPr>
        <w:t xml:space="preserve"> </w:t>
      </w:r>
      <w:r w:rsidRPr="003830CA">
        <w:rPr>
          <w:rtl/>
        </w:rPr>
        <w:t>אם לא עלה בידו להביא לידי הסכמה ביניהם ואם ראה</w:t>
      </w:r>
      <w:r w:rsidRPr="003830CA">
        <w:rPr>
          <w:rFonts w:hint="cs"/>
          <w:rtl/>
        </w:rPr>
        <w:t xml:space="preserve"> </w:t>
      </w:r>
      <w:r w:rsidRPr="003830CA">
        <w:rPr>
          <w:rtl/>
        </w:rPr>
        <w:t>שיש מקום להכריע בדבר, יכריע בסכסוך או "יטיל את</w:t>
      </w:r>
      <w:r w:rsidRPr="003830CA">
        <w:rPr>
          <w:rFonts w:hint="cs"/>
          <w:rtl/>
        </w:rPr>
        <w:t xml:space="preserve"> </w:t>
      </w:r>
      <w:r w:rsidRPr="003830CA">
        <w:rPr>
          <w:rtl/>
        </w:rPr>
        <w:t>ההכרעה על מי שימצא לנכון". פעמים רבות בית המשפט מטיל את ההכרעה על העובד הסוציאלי לעניין סדרי דין, מה שמוביל לכך שהתסקיר</w:t>
      </w:r>
      <w:r w:rsidRPr="003830CA">
        <w:rPr>
          <w:rFonts w:hint="cs"/>
          <w:rtl/>
        </w:rPr>
        <w:t xml:space="preserve"> של העובד הסוציאלי</w:t>
      </w:r>
      <w:r w:rsidRPr="003830CA">
        <w:rPr>
          <w:rtl/>
        </w:rPr>
        <w:t xml:space="preserve"> הופך למעשה לפסיקה.</w:t>
      </w:r>
    </w:p>
    <w:p w14:paraId="19E5BEBB" w14:textId="77777777" w:rsidR="003830CA" w:rsidRPr="003830CA" w:rsidRDefault="003830CA" w:rsidP="003830CA">
      <w:pPr>
        <w:pStyle w:val="Hesber"/>
        <w:rPr>
          <w:rtl/>
        </w:rPr>
      </w:pPr>
      <w:r w:rsidRPr="003830CA">
        <w:rPr>
          <w:rtl/>
        </w:rPr>
        <w:t xml:space="preserve">תפקיד </w:t>
      </w:r>
      <w:r w:rsidRPr="003830CA">
        <w:rPr>
          <w:rFonts w:hint="cs"/>
          <w:rtl/>
        </w:rPr>
        <w:t>העובד הסוציאלי</w:t>
      </w:r>
      <w:r w:rsidRPr="003830CA">
        <w:rPr>
          <w:rtl/>
        </w:rPr>
        <w:t xml:space="preserve"> </w:t>
      </w:r>
      <w:r w:rsidRPr="003830CA">
        <w:rPr>
          <w:rFonts w:hint="cs"/>
          <w:rtl/>
        </w:rPr>
        <w:t>ל</w:t>
      </w:r>
      <w:r w:rsidRPr="003830CA">
        <w:rPr>
          <w:rtl/>
        </w:rPr>
        <w:t>עניין סדרי דין</w:t>
      </w:r>
      <w:r w:rsidRPr="003830CA">
        <w:rPr>
          <w:rFonts w:hint="cs"/>
          <w:rtl/>
        </w:rPr>
        <w:t xml:space="preserve"> הוא ל</w:t>
      </w:r>
      <w:r w:rsidRPr="003830CA">
        <w:rPr>
          <w:rtl/>
        </w:rPr>
        <w:t>הכין תסקיר ולהביא המלצות לפני בית המשפט</w:t>
      </w:r>
      <w:r w:rsidRPr="003830CA">
        <w:rPr>
          <w:rFonts w:hint="cs"/>
          <w:rtl/>
        </w:rPr>
        <w:t>.</w:t>
      </w:r>
      <w:r w:rsidRPr="003830CA">
        <w:rPr>
          <w:rtl/>
        </w:rPr>
        <w:t xml:space="preserve"> תפקיד בית המשפט </w:t>
      </w:r>
      <w:r w:rsidRPr="003830CA">
        <w:rPr>
          <w:rFonts w:hint="cs"/>
          <w:rtl/>
        </w:rPr>
        <w:t>הוא</w:t>
      </w:r>
      <w:r w:rsidRPr="003830CA">
        <w:rPr>
          <w:rtl/>
        </w:rPr>
        <w:t xml:space="preserve"> לחקור,</w:t>
      </w:r>
      <w:r w:rsidRPr="003830CA">
        <w:rPr>
          <w:rFonts w:hint="cs"/>
          <w:rtl/>
        </w:rPr>
        <w:t xml:space="preserve"> </w:t>
      </w:r>
      <w:r w:rsidRPr="003830CA">
        <w:rPr>
          <w:rtl/>
        </w:rPr>
        <w:t>לאפשר לכל הצדדים להביע את דעתם ולפסוק. העברת כובד האחריות לכתפי העובד הסוציאלי לעניין סדרי דין אינה במקומה שהרי העובד הסוציאלי אינו בתפקיד השופט</w:t>
      </w:r>
      <w:r w:rsidRPr="003830CA">
        <w:rPr>
          <w:rFonts w:hint="cs"/>
          <w:rtl/>
        </w:rPr>
        <w:t xml:space="preserve"> ו</w:t>
      </w:r>
      <w:r w:rsidRPr="003830CA">
        <w:rPr>
          <w:rtl/>
        </w:rPr>
        <w:t xml:space="preserve">הדבר הוא בבחינת נטל כבד. </w:t>
      </w:r>
      <w:r w:rsidRPr="003830CA">
        <w:rPr>
          <w:rFonts w:hint="cs"/>
          <w:rtl/>
        </w:rPr>
        <w:t xml:space="preserve">בנוסף לכך, פעמים רבות תפקידו של העובד הסוציאלי לעניין סדרי דין הוא ללוות את התסקיר ולפעול למימושו. העובד הסוציאלי עלול להתקשות מאוד בביצוע תפקיד זה, במקרים שאחד מהצדדים חש פגוע מתיאורו של העובד הסוציאלי את תפקודו ההורי בתסקיר. </w:t>
      </w:r>
    </w:p>
    <w:p w14:paraId="1DD2CB10" w14:textId="77777777" w:rsidR="003830CA" w:rsidRPr="003830CA" w:rsidRDefault="003830CA" w:rsidP="003830CA">
      <w:pPr>
        <w:pStyle w:val="Hesber"/>
        <w:rPr>
          <w:rtl/>
        </w:rPr>
      </w:pPr>
      <w:r w:rsidRPr="003830CA">
        <w:rPr>
          <w:rFonts w:hint="cs"/>
          <w:rtl/>
        </w:rPr>
        <w:t>הצעת החוק מבקשת להסדיר את סעיף 19 לחוק שעניינו "הכרעת בית המשפט" ולקבוע כי רק לבית המשפט תהיה הסמכות להכריע בעניינים הקשורים לקטין שהובאו לפניו. במילים אחרות,</w:t>
      </w:r>
      <w:r w:rsidRPr="003830CA">
        <w:rPr>
          <w:rtl/>
        </w:rPr>
        <w:t xml:space="preserve"> האחריות</w:t>
      </w:r>
      <w:r w:rsidRPr="003830CA">
        <w:rPr>
          <w:rFonts w:hint="cs"/>
          <w:rtl/>
        </w:rPr>
        <w:t xml:space="preserve"> </w:t>
      </w:r>
      <w:r w:rsidRPr="003830CA">
        <w:rPr>
          <w:rtl/>
        </w:rPr>
        <w:t>להכרעה השיפוטית היא בידי הערכאה השיפוטית.</w:t>
      </w:r>
      <w:r w:rsidRPr="003830CA">
        <w:rPr>
          <w:rFonts w:hint="cs"/>
          <w:rtl/>
        </w:rPr>
        <w:t xml:space="preserve"> </w:t>
      </w:r>
    </w:p>
    <w:p w14:paraId="3AC4ECB5" w14:textId="77777777" w:rsidR="003830CA" w:rsidRPr="003830CA" w:rsidRDefault="003830CA" w:rsidP="003830CA">
      <w:pPr>
        <w:pStyle w:val="Hesber"/>
        <w:rPr>
          <w:rtl/>
        </w:rPr>
      </w:pPr>
      <w:r w:rsidRPr="003830CA">
        <w:rPr>
          <w:rFonts w:hint="cs"/>
          <w:rtl/>
        </w:rPr>
        <w:t>הצעת חוק זו הונחה בעבר על שולחנה של הכנסת ונדונה בועדת החוקה, חוק ומשפט של הכנסת. בדיוני הועדה עלתה השאלה, האם לאחר ההכרעה בסכסוך, יוכל בית המשפט למנות גורם אחר שיפקח על היישום היום יומי של החלטתו. בעת ההכנה של הצעת החוק לקריאה ראשונה, יש חשיבות רבה להמשיך לדון בשאלה זו, על מנת ליצור מנגנון מיטבי ושלם להכרעה במחלוקות בין ההורים ולפיקוח על יישומה.</w:t>
      </w:r>
    </w:p>
    <w:p w14:paraId="2FB9AD51" w14:textId="46E578FF" w:rsidR="003830CA" w:rsidRDefault="003830CA" w:rsidP="008F5587">
      <w:pPr>
        <w:pStyle w:val="Hesber"/>
        <w:rPr>
          <w:rtl/>
        </w:rPr>
      </w:pPr>
      <w:r w:rsidRPr="003830CA">
        <w:rPr>
          <w:rFonts w:hint="cs"/>
          <w:rtl/>
        </w:rPr>
        <w:t>הצעות חוק זהות הונחו על שולחן הכנסת השמונה-עשרה על ידי חבר הכנסת דוד אזולאי (פ/1146/18)</w:t>
      </w:r>
      <w:bookmarkStart w:id="7" w:name="_GoBack"/>
      <w:bookmarkEnd w:id="7"/>
      <w:r w:rsidRPr="003830CA">
        <w:rPr>
          <w:rFonts w:hint="cs"/>
          <w:rtl/>
        </w:rPr>
        <w:t xml:space="preserve"> </w:t>
      </w:r>
      <w:r w:rsidR="008F5587">
        <w:rPr>
          <w:rFonts w:hint="cs"/>
          <w:rtl/>
        </w:rPr>
        <w:t>ו</w:t>
      </w:r>
      <w:r w:rsidR="008F5587" w:rsidRPr="003830CA">
        <w:rPr>
          <w:rFonts w:hint="cs"/>
          <w:rtl/>
        </w:rPr>
        <w:t xml:space="preserve">על שולחן הכנסת </w:t>
      </w:r>
      <w:r w:rsidRPr="003830CA">
        <w:rPr>
          <w:rFonts w:hint="cs"/>
          <w:rtl/>
        </w:rPr>
        <w:t>התשע-עשרה על ידי חבר הכנסת דוד אזולאי וקבוצת חברי הכנסת (פ/1568/19).</w:t>
      </w:r>
    </w:p>
    <w:p w14:paraId="507A738B" w14:textId="5C365032" w:rsidR="006F13E2" w:rsidRDefault="006F13E2" w:rsidP="003830CA">
      <w:pPr>
        <w:pStyle w:val="Hesber"/>
        <w:rPr>
          <w:rtl/>
        </w:rPr>
      </w:pPr>
    </w:p>
    <w:p w14:paraId="5A21C2AD" w14:textId="77777777" w:rsidR="006F13E2" w:rsidRDefault="006F13E2" w:rsidP="003830CA">
      <w:pPr>
        <w:pStyle w:val="Hesber"/>
        <w:rPr>
          <w:rtl/>
        </w:rPr>
      </w:pPr>
    </w:p>
    <w:p w14:paraId="23CC3088" w14:textId="77777777" w:rsidR="006F13E2" w:rsidRPr="00557D2C" w:rsidRDefault="006F13E2" w:rsidP="007D273A">
      <w:pPr>
        <w:pStyle w:val="Hesber"/>
        <w:rPr>
          <w:rtl/>
        </w:rPr>
      </w:pPr>
      <w:r w:rsidRPr="00557D2C">
        <w:rPr>
          <w:rtl/>
        </w:rPr>
        <w:t>---------------------------------</w:t>
      </w:r>
    </w:p>
    <w:p w14:paraId="6B6EA0FA" w14:textId="77777777" w:rsidR="006F13E2" w:rsidRPr="00557D2C" w:rsidRDefault="006F13E2" w:rsidP="007D273A">
      <w:pPr>
        <w:pStyle w:val="Hesber"/>
        <w:rPr>
          <w:rtl/>
        </w:rPr>
      </w:pPr>
      <w:r w:rsidRPr="00557D2C">
        <w:rPr>
          <w:rtl/>
        </w:rPr>
        <w:t>הוגשה ליו"ר הכנסת והסגנים</w:t>
      </w:r>
    </w:p>
    <w:p w14:paraId="0E229348" w14:textId="77777777" w:rsidR="006F13E2" w:rsidRPr="00557D2C" w:rsidRDefault="006F13E2" w:rsidP="007D273A">
      <w:pPr>
        <w:pStyle w:val="Hesber"/>
        <w:rPr>
          <w:rtl/>
        </w:rPr>
      </w:pPr>
      <w:r w:rsidRPr="00557D2C">
        <w:rPr>
          <w:rtl/>
        </w:rPr>
        <w:t>והונחה על שולחן הכנסת ביום</w:t>
      </w:r>
    </w:p>
    <w:p w14:paraId="06B413C5" w14:textId="54818828" w:rsidR="006F13E2" w:rsidRPr="003830CA" w:rsidRDefault="00E5580A" w:rsidP="00E5580A">
      <w:pPr>
        <w:pStyle w:val="Hesber"/>
        <w:rPr>
          <w:rtl/>
        </w:rPr>
      </w:pPr>
      <w:r>
        <w:rPr>
          <w:rFonts w:hint="cs"/>
          <w:rtl/>
        </w:rPr>
        <w:t>ט"ו</w:t>
      </w:r>
      <w:r w:rsidR="006F13E2">
        <w:rPr>
          <w:rFonts w:hint="cs"/>
          <w:rtl/>
        </w:rPr>
        <w:t xml:space="preserve"> בשבט התשע"ו</w:t>
      </w:r>
      <w:r w:rsidR="006F13E2" w:rsidRPr="00557D2C">
        <w:rPr>
          <w:rFonts w:hint="cs"/>
          <w:rtl/>
        </w:rPr>
        <w:t xml:space="preserve"> </w:t>
      </w:r>
      <w:r w:rsidR="006F13E2" w:rsidRPr="00557D2C">
        <w:rPr>
          <w:rtl/>
        </w:rPr>
        <w:t>–</w:t>
      </w:r>
      <w:r w:rsidR="006F13E2">
        <w:rPr>
          <w:rFonts w:hint="cs"/>
          <w:rtl/>
        </w:rPr>
        <w:t xml:space="preserve"> </w:t>
      </w:r>
      <w:r>
        <w:rPr>
          <w:rFonts w:hint="cs"/>
          <w:rtl/>
        </w:rPr>
        <w:t>25</w:t>
      </w:r>
      <w:r w:rsidR="006F13E2">
        <w:rPr>
          <w:rFonts w:hint="cs"/>
          <w:rtl/>
        </w:rPr>
        <w:t>.1.16</w:t>
      </w:r>
    </w:p>
    <w:p w14:paraId="4D42CE14" w14:textId="673012A4" w:rsidR="000B7768" w:rsidRPr="003830CA" w:rsidRDefault="000B7768" w:rsidP="003830CA">
      <w:pPr>
        <w:pStyle w:val="Hesber"/>
        <w:rPr>
          <w:rtl/>
        </w:rPr>
      </w:pPr>
    </w:p>
    <w:sectPr w:rsidR="000B7768" w:rsidRPr="003830CA" w:rsidSect="003F3866">
      <w:footerReference w:type="even" r:id="rId11"/>
      <w:footerReference w:type="default" r:id="rId12"/>
      <w:pgSz w:w="11907" w:h="16840" w:code="9"/>
      <w:pgMar w:top="709" w:right="1134" w:bottom="426"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8F5587">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13AB839" w14:textId="77777777" w:rsidR="003830CA" w:rsidRDefault="003830CA" w:rsidP="003830CA">
      <w:pPr>
        <w:pStyle w:val="a4"/>
        <w:rPr>
          <w:rtl/>
        </w:rPr>
      </w:pPr>
      <w:r>
        <w:rPr>
          <w:rStyle w:val="a5"/>
        </w:rPr>
        <w:footnoteRef/>
      </w:r>
      <w:r>
        <w:rPr>
          <w:rtl/>
        </w:rPr>
        <w:t xml:space="preserve"> </w:t>
      </w:r>
      <w:r>
        <w:rPr>
          <w:rFonts w:hint="cs"/>
          <w:rtl/>
        </w:rPr>
        <w:t>ס"ח התשכ"ב, עמ' 120.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233"/>
    <w:rsid w:val="0007681A"/>
    <w:rsid w:val="000A542E"/>
    <w:rsid w:val="000B69B9"/>
    <w:rsid w:val="000B7768"/>
    <w:rsid w:val="00102B6B"/>
    <w:rsid w:val="001052D4"/>
    <w:rsid w:val="0010644B"/>
    <w:rsid w:val="00113F42"/>
    <w:rsid w:val="001207F8"/>
    <w:rsid w:val="00121924"/>
    <w:rsid w:val="001279A8"/>
    <w:rsid w:val="0014195F"/>
    <w:rsid w:val="00152609"/>
    <w:rsid w:val="00153E1B"/>
    <w:rsid w:val="00183158"/>
    <w:rsid w:val="001A0623"/>
    <w:rsid w:val="001A1234"/>
    <w:rsid w:val="001A314F"/>
    <w:rsid w:val="001C23B0"/>
    <w:rsid w:val="001C4375"/>
    <w:rsid w:val="001C7800"/>
    <w:rsid w:val="001D7AAF"/>
    <w:rsid w:val="001F198A"/>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D28D2"/>
    <w:rsid w:val="002F1D80"/>
    <w:rsid w:val="002F2553"/>
    <w:rsid w:val="002F55FA"/>
    <w:rsid w:val="003232A2"/>
    <w:rsid w:val="00325C14"/>
    <w:rsid w:val="0036422C"/>
    <w:rsid w:val="003710F6"/>
    <w:rsid w:val="003830CA"/>
    <w:rsid w:val="00386E88"/>
    <w:rsid w:val="0039484B"/>
    <w:rsid w:val="00395E0B"/>
    <w:rsid w:val="00396585"/>
    <w:rsid w:val="003D6E38"/>
    <w:rsid w:val="003D74A0"/>
    <w:rsid w:val="003F3866"/>
    <w:rsid w:val="004033D8"/>
    <w:rsid w:val="004073F0"/>
    <w:rsid w:val="00412A7D"/>
    <w:rsid w:val="00416B4D"/>
    <w:rsid w:val="00417CFC"/>
    <w:rsid w:val="004478D3"/>
    <w:rsid w:val="00466E6C"/>
    <w:rsid w:val="004A06DC"/>
    <w:rsid w:val="004B24ED"/>
    <w:rsid w:val="004B6625"/>
    <w:rsid w:val="004D2D82"/>
    <w:rsid w:val="004D3876"/>
    <w:rsid w:val="004E4552"/>
    <w:rsid w:val="004E6CDF"/>
    <w:rsid w:val="00515F64"/>
    <w:rsid w:val="00521A6E"/>
    <w:rsid w:val="00553C9D"/>
    <w:rsid w:val="00562A66"/>
    <w:rsid w:val="00576249"/>
    <w:rsid w:val="005921A7"/>
    <w:rsid w:val="005B064E"/>
    <w:rsid w:val="005D51AE"/>
    <w:rsid w:val="005E0D17"/>
    <w:rsid w:val="0062674B"/>
    <w:rsid w:val="006363B2"/>
    <w:rsid w:val="00644940"/>
    <w:rsid w:val="006818A9"/>
    <w:rsid w:val="006A2D81"/>
    <w:rsid w:val="006C1D0D"/>
    <w:rsid w:val="006E6FE5"/>
    <w:rsid w:val="006F13E2"/>
    <w:rsid w:val="006F3792"/>
    <w:rsid w:val="006F4284"/>
    <w:rsid w:val="0070601E"/>
    <w:rsid w:val="00712C72"/>
    <w:rsid w:val="00735FE9"/>
    <w:rsid w:val="00763CAA"/>
    <w:rsid w:val="00765F66"/>
    <w:rsid w:val="0078664F"/>
    <w:rsid w:val="007918BE"/>
    <w:rsid w:val="007C3FA6"/>
    <w:rsid w:val="007D585A"/>
    <w:rsid w:val="007D5A12"/>
    <w:rsid w:val="007E59F9"/>
    <w:rsid w:val="00810BCD"/>
    <w:rsid w:val="00812C98"/>
    <w:rsid w:val="00814D92"/>
    <w:rsid w:val="0083181D"/>
    <w:rsid w:val="0083191A"/>
    <w:rsid w:val="00843EB2"/>
    <w:rsid w:val="00865572"/>
    <w:rsid w:val="00874BBC"/>
    <w:rsid w:val="00883E1D"/>
    <w:rsid w:val="00892135"/>
    <w:rsid w:val="00895449"/>
    <w:rsid w:val="00897879"/>
    <w:rsid w:val="008A6870"/>
    <w:rsid w:val="008B1AEA"/>
    <w:rsid w:val="008C2DDC"/>
    <w:rsid w:val="008C7516"/>
    <w:rsid w:val="008D0D0E"/>
    <w:rsid w:val="008E6EC7"/>
    <w:rsid w:val="008F0D63"/>
    <w:rsid w:val="008F1308"/>
    <w:rsid w:val="008F2C35"/>
    <w:rsid w:val="008F5587"/>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7061E"/>
    <w:rsid w:val="00A82CB7"/>
    <w:rsid w:val="00A942C1"/>
    <w:rsid w:val="00AA2F03"/>
    <w:rsid w:val="00AC36F7"/>
    <w:rsid w:val="00AC63A4"/>
    <w:rsid w:val="00AD239E"/>
    <w:rsid w:val="00AE4C65"/>
    <w:rsid w:val="00B10265"/>
    <w:rsid w:val="00B16A99"/>
    <w:rsid w:val="00B21211"/>
    <w:rsid w:val="00B35784"/>
    <w:rsid w:val="00B35819"/>
    <w:rsid w:val="00B671AC"/>
    <w:rsid w:val="00B733A7"/>
    <w:rsid w:val="00B75C91"/>
    <w:rsid w:val="00B818D1"/>
    <w:rsid w:val="00B975AD"/>
    <w:rsid w:val="00BC45FB"/>
    <w:rsid w:val="00BF148D"/>
    <w:rsid w:val="00C23B1A"/>
    <w:rsid w:val="00C310EB"/>
    <w:rsid w:val="00C70074"/>
    <w:rsid w:val="00C9176A"/>
    <w:rsid w:val="00CF1AA2"/>
    <w:rsid w:val="00D17774"/>
    <w:rsid w:val="00D63620"/>
    <w:rsid w:val="00D8410D"/>
    <w:rsid w:val="00D867D7"/>
    <w:rsid w:val="00DB7060"/>
    <w:rsid w:val="00DE3153"/>
    <w:rsid w:val="00E06736"/>
    <w:rsid w:val="00E1389E"/>
    <w:rsid w:val="00E13C27"/>
    <w:rsid w:val="00E33BBD"/>
    <w:rsid w:val="00E374F2"/>
    <w:rsid w:val="00E45103"/>
    <w:rsid w:val="00E5051E"/>
    <w:rsid w:val="00E5580A"/>
    <w:rsid w:val="00E55A60"/>
    <w:rsid w:val="00E62778"/>
    <w:rsid w:val="00E63D38"/>
    <w:rsid w:val="00E665B9"/>
    <w:rsid w:val="00EA01E6"/>
    <w:rsid w:val="00EA3DE8"/>
    <w:rsid w:val="00EA758F"/>
    <w:rsid w:val="00ED4A6F"/>
    <w:rsid w:val="00ED7C16"/>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A1B51ED-4FCD-4F6A-BF5A-EF2CE2A6A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13E2"/>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6F13E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F13E2"/>
    <w:rPr>
      <w:sz w:val="36"/>
      <w:szCs w:val="52"/>
    </w:rPr>
  </w:style>
  <w:style w:type="paragraph" w:customStyle="1" w:styleId="Cover3-Haknesset">
    <w:name w:val="Cover 3-Haknesset"/>
    <w:basedOn w:val="Cover1-Reshumot"/>
    <w:rsid w:val="006F13E2"/>
    <w:rPr>
      <w:b/>
      <w:bCs/>
      <w:spacing w:val="60"/>
    </w:rPr>
  </w:style>
  <w:style w:type="paragraph" w:customStyle="1" w:styleId="Cover4-Date">
    <w:name w:val="Cover 4-Date"/>
    <w:basedOn w:val="a"/>
    <w:rsid w:val="006F13E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6F13E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F13E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F13E2"/>
    <w:pPr>
      <w:spacing w:before="120" w:after="120"/>
    </w:pPr>
    <w:rPr>
      <w:color w:val="FF0000"/>
      <w:w w:val="80"/>
    </w:rPr>
  </w:style>
  <w:style w:type="paragraph" w:styleId="a3">
    <w:name w:val="endnote text"/>
    <w:basedOn w:val="a"/>
    <w:semiHidden/>
    <w:rsid w:val="006F13E2"/>
    <w:pPr>
      <w:ind w:left="227" w:hanging="227"/>
    </w:pPr>
    <w:rPr>
      <w:sz w:val="14"/>
      <w:szCs w:val="22"/>
    </w:rPr>
  </w:style>
  <w:style w:type="paragraph" w:customStyle="1" w:styleId="TableText">
    <w:name w:val="Table Text"/>
    <w:basedOn w:val="a"/>
    <w:rsid w:val="006F13E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F13E2"/>
  </w:style>
  <w:style w:type="paragraph" w:customStyle="1" w:styleId="TableBlock">
    <w:name w:val="Table Block"/>
    <w:basedOn w:val="TableText"/>
    <w:rsid w:val="006F13E2"/>
    <w:pPr>
      <w:ind w:right="0"/>
      <w:jc w:val="both"/>
    </w:pPr>
  </w:style>
  <w:style w:type="paragraph" w:customStyle="1" w:styleId="TableHead">
    <w:name w:val="Table Head"/>
    <w:basedOn w:val="TableText"/>
    <w:rsid w:val="006F13E2"/>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6F13E2"/>
  </w:style>
  <w:style w:type="paragraph" w:customStyle="1" w:styleId="Hesber">
    <w:name w:val="Hesber"/>
    <w:basedOn w:val="a"/>
    <w:rsid w:val="006F13E2"/>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6F13E2"/>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6F13E2"/>
    <w:rPr>
      <w:vertAlign w:val="superscript"/>
    </w:rPr>
  </w:style>
  <w:style w:type="paragraph" w:customStyle="1" w:styleId="HesberHeading">
    <w:name w:val="Hesber Heading"/>
    <w:basedOn w:val="Hesber"/>
    <w:rsid w:val="006F13E2"/>
    <w:pPr>
      <w:tabs>
        <w:tab w:val="left" w:pos="624"/>
        <w:tab w:val="left" w:pos="1247"/>
      </w:tabs>
      <w:ind w:firstLine="0"/>
    </w:pPr>
    <w:rPr>
      <w:b/>
      <w:bCs/>
    </w:rPr>
  </w:style>
  <w:style w:type="paragraph" w:customStyle="1" w:styleId="HesberWriters">
    <w:name w:val="Hesber Writers"/>
    <w:basedOn w:val="Hesber"/>
    <w:rsid w:val="006F13E2"/>
    <w:pPr>
      <w:spacing w:before="120" w:after="6000"/>
      <w:ind w:left="1418" w:firstLine="0"/>
      <w:jc w:val="right"/>
    </w:pPr>
    <w:rPr>
      <w:b/>
      <w:bCs/>
    </w:rPr>
  </w:style>
  <w:style w:type="paragraph" w:customStyle="1" w:styleId="Hesber1st">
    <w:name w:val="Hesber 1st"/>
    <w:basedOn w:val="Hesber"/>
    <w:rsid w:val="006F13E2"/>
    <w:pPr>
      <w:tabs>
        <w:tab w:val="left" w:pos="680"/>
        <w:tab w:val="left" w:pos="1020"/>
      </w:tabs>
      <w:ind w:firstLine="0"/>
    </w:pPr>
  </w:style>
  <w:style w:type="character" w:styleId="a6">
    <w:name w:val="endnote reference"/>
    <w:basedOn w:val="a0"/>
    <w:semiHidden/>
    <w:rsid w:val="006F13E2"/>
    <w:rPr>
      <w:vertAlign w:val="superscript"/>
    </w:rPr>
  </w:style>
  <w:style w:type="paragraph" w:customStyle="1" w:styleId="TableBlockOutdent">
    <w:name w:val="Table BlockOutdent"/>
    <w:basedOn w:val="TableBlock"/>
    <w:rsid w:val="006F13E2"/>
    <w:pPr>
      <w:ind w:left="624" w:hanging="624"/>
    </w:pPr>
  </w:style>
  <w:style w:type="paragraph" w:styleId="a7">
    <w:name w:val="header"/>
    <w:basedOn w:val="a"/>
    <w:rsid w:val="006F13E2"/>
    <w:pPr>
      <w:tabs>
        <w:tab w:val="center" w:pos="4153"/>
        <w:tab w:val="right" w:pos="8306"/>
      </w:tabs>
    </w:pPr>
  </w:style>
  <w:style w:type="paragraph" w:styleId="a8">
    <w:name w:val="footer"/>
    <w:basedOn w:val="a"/>
    <w:rsid w:val="006F13E2"/>
    <w:pPr>
      <w:tabs>
        <w:tab w:val="center" w:pos="4153"/>
        <w:tab w:val="right" w:pos="8306"/>
      </w:tabs>
    </w:pPr>
  </w:style>
  <w:style w:type="paragraph" w:customStyle="1" w:styleId="HeadDivreiHesber">
    <w:name w:val="Head DivreiHesber"/>
    <w:basedOn w:val="a"/>
    <w:rsid w:val="006F13E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6F13E2"/>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6F13E2"/>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purl.org/dc/terms/"/>
    <ds:schemaRef ds:uri="http://purl.org/dc/elements/1.1/"/>
    <ds:schemaRef ds:uri="http://purl.org/dc/dcmitype/"/>
    <ds:schemaRef ds:uri="http://schemas.microsoft.com/office/2006/metadata/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CD269777-7132-4DE5-860F-49FBE5728FD7}"/>
</file>

<file path=customXml/itemProps4.xml><?xml version="1.0" encoding="utf-8"?>
<ds:datastoreItem xmlns:ds="http://schemas.openxmlformats.org/officeDocument/2006/customXml" ds:itemID="{5F858133-A8DB-4EB0-AD42-263668D54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Pages>
  <Words>529</Words>
  <Characters>2646</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29</cp:revision>
  <cp:lastPrinted>2015-11-23T07:47:00Z</cp:lastPrinted>
  <dcterms:created xsi:type="dcterms:W3CDTF">2015-04-20T09:58:00Z</dcterms:created>
  <dcterms:modified xsi:type="dcterms:W3CDTF">2016-01-21T10:21:00Z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2015729</vt:r8>
  </property>
</Properties>
</file>