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1B7E" w:rsidRPr="00CC6F90" w:rsidRDefault="00C51B7E">
      <w:pPr>
        <w:pStyle w:val="7"/>
        <w:rPr>
          <w:rFonts w:hint="cs"/>
          <w:sz w:val="24"/>
          <w:szCs w:val="24"/>
          <w:rtl/>
        </w:rPr>
      </w:pPr>
      <w:bookmarkStart w:id="0" w:name="_GoBack"/>
      <w:bookmarkEnd w:id="0"/>
    </w:p>
    <w:p w:rsidR="00C51B7E" w:rsidRPr="00CC6F90" w:rsidRDefault="00C51B7E" w:rsidP="00CC6F90">
      <w:pPr>
        <w:tabs>
          <w:tab w:val="left" w:pos="6044"/>
        </w:tabs>
        <w:jc w:val="right"/>
        <w:rPr>
          <w:rFonts w:cs="David"/>
          <w:sz w:val="24"/>
          <w:szCs w:val="24"/>
          <w:rtl/>
        </w:rPr>
      </w:pPr>
      <w:r w:rsidRPr="00CC6F90">
        <w:rPr>
          <w:rFonts w:cs="David"/>
          <w:sz w:val="24"/>
          <w:szCs w:val="24"/>
          <w:rtl/>
        </w:rPr>
        <w:fldChar w:fldCharType="begin"/>
      </w:r>
      <w:r w:rsidRPr="00CC6F90">
        <w:rPr>
          <w:rFonts w:cs="David"/>
          <w:sz w:val="24"/>
          <w:szCs w:val="24"/>
          <w:rtl/>
        </w:rPr>
        <w:instrText xml:space="preserve"> </w:instrText>
      </w:r>
      <w:r w:rsidRPr="00CC6F90">
        <w:rPr>
          <w:rFonts w:cs="David"/>
          <w:sz w:val="24"/>
          <w:szCs w:val="24"/>
        </w:rPr>
        <w:instrText>CREATEDATE  \h \@ "dd MMMM yyyy" \* MERGEFORMAT</w:instrText>
      </w:r>
      <w:r w:rsidRPr="00CC6F90">
        <w:rPr>
          <w:rFonts w:cs="David"/>
          <w:sz w:val="24"/>
          <w:szCs w:val="24"/>
          <w:rtl/>
        </w:rPr>
        <w:instrText xml:space="preserve"> </w:instrText>
      </w:r>
      <w:r w:rsidRPr="00CC6F90">
        <w:rPr>
          <w:rFonts w:cs="David"/>
          <w:sz w:val="24"/>
          <w:szCs w:val="24"/>
          <w:rtl/>
        </w:rPr>
        <w:fldChar w:fldCharType="separate"/>
      </w:r>
      <w:r w:rsidR="00A9170F" w:rsidRPr="00CC6F90">
        <w:rPr>
          <w:rFonts w:cs="David"/>
          <w:noProof/>
          <w:sz w:val="24"/>
          <w:szCs w:val="24"/>
          <w:rtl/>
        </w:rPr>
        <w:t>‏</w:t>
      </w:r>
      <w:r w:rsidR="005666AF" w:rsidRPr="00CC6F90">
        <w:rPr>
          <w:rFonts w:cs="David" w:hint="eastAsia"/>
          <w:noProof/>
          <w:sz w:val="24"/>
          <w:szCs w:val="24"/>
          <w:rtl/>
        </w:rPr>
        <w:t>‏</w:t>
      </w:r>
      <w:r w:rsidRPr="00CC6F90">
        <w:rPr>
          <w:rFonts w:cs="David"/>
          <w:sz w:val="24"/>
          <w:szCs w:val="24"/>
          <w:rtl/>
        </w:rPr>
        <w:fldChar w:fldCharType="end"/>
      </w:r>
      <w:r w:rsidR="008A576E" w:rsidRPr="00CC6F90">
        <w:rPr>
          <w:rFonts w:cs="David" w:hint="cs"/>
          <w:sz w:val="24"/>
          <w:szCs w:val="24"/>
          <w:rtl/>
        </w:rPr>
        <w:t xml:space="preserve">                                                                           </w:t>
      </w:r>
      <w:bookmarkStart w:id="1" w:name="CreatedDateHeb"/>
      <w:r w:rsidR="00CD2E7E" w:rsidRPr="00CC6F90">
        <w:rPr>
          <w:rFonts w:cs="David"/>
          <w:sz w:val="24"/>
          <w:szCs w:val="24"/>
          <w:rtl/>
        </w:rPr>
        <w:t>ד' שבט תשע"ז</w:t>
      </w:r>
      <w:bookmarkEnd w:id="1"/>
    </w:p>
    <w:p w:rsidR="00C51B7E" w:rsidRPr="00CC6F90" w:rsidRDefault="008A576E" w:rsidP="00CC6F90">
      <w:pPr>
        <w:tabs>
          <w:tab w:val="left" w:pos="6044"/>
        </w:tabs>
        <w:jc w:val="right"/>
        <w:rPr>
          <w:rFonts w:cs="David"/>
          <w:sz w:val="24"/>
          <w:szCs w:val="24"/>
          <w:rtl/>
        </w:rPr>
      </w:pPr>
      <w:r w:rsidRPr="00CC6F90">
        <w:rPr>
          <w:rFonts w:cs="David" w:hint="cs"/>
          <w:sz w:val="24"/>
          <w:szCs w:val="24"/>
          <w:rtl/>
        </w:rPr>
        <w:t xml:space="preserve">                                                                           </w:t>
      </w:r>
      <w:bookmarkStart w:id="2" w:name="CreatedDateEng"/>
      <w:r w:rsidR="00CD2E7E" w:rsidRPr="00CC6F90">
        <w:rPr>
          <w:rFonts w:cs="David"/>
          <w:sz w:val="24"/>
          <w:szCs w:val="24"/>
          <w:rtl/>
        </w:rPr>
        <w:t>31/01/2017</w:t>
      </w:r>
      <w:bookmarkEnd w:id="2"/>
      <w:r w:rsidRPr="00CC6F90">
        <w:rPr>
          <w:rFonts w:cs="David" w:hint="cs"/>
          <w:sz w:val="24"/>
          <w:szCs w:val="24"/>
          <w:rtl/>
        </w:rPr>
        <w:t xml:space="preserve"> </w:t>
      </w:r>
    </w:p>
    <w:p w:rsidR="00C51B7E" w:rsidRPr="00CC6F90" w:rsidRDefault="00C51B7E">
      <w:pPr>
        <w:tabs>
          <w:tab w:val="left" w:pos="9184"/>
        </w:tabs>
        <w:jc w:val="right"/>
        <w:rPr>
          <w:rFonts w:cs="David"/>
          <w:sz w:val="24"/>
          <w:szCs w:val="24"/>
          <w:rtl/>
        </w:rPr>
      </w:pPr>
      <w:r w:rsidRPr="00CC6F90">
        <w:rPr>
          <w:rFonts w:cs="David" w:hint="cs"/>
          <w:sz w:val="24"/>
          <w:szCs w:val="24"/>
          <w:rtl/>
        </w:rPr>
        <w:t xml:space="preserve"> </w:t>
      </w:r>
      <w:r w:rsidRPr="00CC6F90">
        <w:rPr>
          <w:rFonts w:cs="David" w:hint="eastAsia"/>
          <w:sz w:val="24"/>
          <w:szCs w:val="24"/>
          <w:rtl/>
        </w:rPr>
        <w:t> </w:t>
      </w:r>
      <w:bookmarkStart w:id="3" w:name="Reference"/>
      <w:r w:rsidR="00CD2E7E" w:rsidRPr="00CC6F90">
        <w:rPr>
          <w:rFonts w:cs="David"/>
          <w:sz w:val="24"/>
          <w:szCs w:val="24"/>
          <w:rtl/>
        </w:rPr>
        <w:t>2017-0002-117</w:t>
      </w:r>
      <w:bookmarkEnd w:id="3"/>
    </w:p>
    <w:p w:rsidR="00C51B7E" w:rsidRPr="00CC6F90" w:rsidRDefault="00C51B7E">
      <w:pPr>
        <w:tabs>
          <w:tab w:val="left" w:pos="4830"/>
        </w:tabs>
        <w:rPr>
          <w:rFonts w:cs="David"/>
          <w:b/>
          <w:bCs/>
          <w:sz w:val="24"/>
          <w:szCs w:val="24"/>
          <w:rtl/>
        </w:rPr>
      </w:pPr>
      <w:r w:rsidRPr="00CC6F90">
        <w:rPr>
          <w:rFonts w:cs="David"/>
          <w:b/>
          <w:bCs/>
          <w:sz w:val="24"/>
          <w:szCs w:val="24"/>
          <w:rtl/>
        </w:rPr>
        <w:t>לכבוד</w:t>
      </w:r>
    </w:p>
    <w:p w:rsidR="00C51B7E" w:rsidRDefault="001140D0">
      <w:pPr>
        <w:rPr>
          <w:rFonts w:cs="David"/>
          <w:b/>
          <w:bCs/>
          <w:sz w:val="24"/>
          <w:szCs w:val="24"/>
          <w:rtl/>
        </w:rPr>
      </w:pPr>
      <w:r>
        <w:rPr>
          <w:rFonts w:cs="David" w:hint="cs"/>
          <w:b/>
          <w:bCs/>
          <w:sz w:val="24"/>
          <w:szCs w:val="24"/>
          <w:rtl/>
        </w:rPr>
        <w:t>מר יאיר פינס</w:t>
      </w:r>
    </w:p>
    <w:p w:rsidR="001140D0" w:rsidRDefault="004B2AB7">
      <w:pPr>
        <w:rPr>
          <w:rFonts w:cs="David"/>
          <w:b/>
          <w:bCs/>
          <w:sz w:val="24"/>
          <w:szCs w:val="24"/>
          <w:rtl/>
        </w:rPr>
      </w:pPr>
      <w:r>
        <w:rPr>
          <w:rFonts w:cs="David" w:hint="cs"/>
          <w:b/>
          <w:bCs/>
          <w:sz w:val="24"/>
          <w:szCs w:val="24"/>
          <w:rtl/>
        </w:rPr>
        <w:t xml:space="preserve">סגן </w:t>
      </w:r>
      <w:r w:rsidR="004F5609">
        <w:rPr>
          <w:rFonts w:cs="David" w:hint="cs"/>
          <w:b/>
          <w:bCs/>
          <w:sz w:val="24"/>
          <w:szCs w:val="24"/>
          <w:rtl/>
        </w:rPr>
        <w:t>ה</w:t>
      </w:r>
      <w:r>
        <w:rPr>
          <w:rFonts w:cs="David" w:hint="cs"/>
          <w:b/>
          <w:bCs/>
          <w:sz w:val="24"/>
          <w:szCs w:val="24"/>
          <w:rtl/>
        </w:rPr>
        <w:t xml:space="preserve">ממונה </w:t>
      </w:r>
      <w:r w:rsidR="001140D0">
        <w:rPr>
          <w:rFonts w:cs="David" w:hint="cs"/>
          <w:b/>
          <w:bCs/>
          <w:sz w:val="24"/>
          <w:szCs w:val="24"/>
          <w:rtl/>
        </w:rPr>
        <w:t>על התקציבים</w:t>
      </w:r>
    </w:p>
    <w:p w:rsidR="001140D0" w:rsidRPr="00CC6F90" w:rsidRDefault="001140D0">
      <w:pPr>
        <w:rPr>
          <w:rFonts w:cs="David"/>
          <w:b/>
          <w:bCs/>
          <w:sz w:val="24"/>
          <w:szCs w:val="24"/>
          <w:u w:val="single"/>
          <w:rtl/>
        </w:rPr>
      </w:pPr>
      <w:r>
        <w:rPr>
          <w:rFonts w:cs="David" w:hint="cs"/>
          <w:b/>
          <w:bCs/>
          <w:sz w:val="24"/>
          <w:szCs w:val="24"/>
          <w:rtl/>
        </w:rPr>
        <w:t>משרד האוצר</w:t>
      </w:r>
    </w:p>
    <w:p w:rsidR="00C51B7E" w:rsidRPr="00CC6F90" w:rsidRDefault="00C51B7E">
      <w:pPr>
        <w:rPr>
          <w:rFonts w:cs="David"/>
          <w:sz w:val="24"/>
          <w:szCs w:val="24"/>
          <w:rtl/>
        </w:rPr>
      </w:pPr>
    </w:p>
    <w:p w:rsidR="00C51B7E" w:rsidRPr="00CC6F90" w:rsidRDefault="00C51B7E">
      <w:pPr>
        <w:rPr>
          <w:rFonts w:cs="David"/>
          <w:sz w:val="24"/>
          <w:szCs w:val="24"/>
          <w:rtl/>
        </w:rPr>
      </w:pPr>
    </w:p>
    <w:p w:rsidR="00C51B7E" w:rsidRPr="00CC6F90" w:rsidRDefault="00C51B7E">
      <w:pPr>
        <w:rPr>
          <w:rFonts w:cs="David"/>
          <w:sz w:val="24"/>
          <w:szCs w:val="24"/>
        </w:rPr>
      </w:pPr>
      <w:r w:rsidRPr="00CC6F90">
        <w:rPr>
          <w:rFonts w:cs="David" w:hint="cs"/>
          <w:sz w:val="24"/>
          <w:szCs w:val="24"/>
          <w:rtl/>
        </w:rPr>
        <w:t>שלום רב,</w:t>
      </w:r>
    </w:p>
    <w:p w:rsidR="00C51B7E" w:rsidRPr="00CC6F90" w:rsidRDefault="00C51B7E">
      <w:pPr>
        <w:rPr>
          <w:rFonts w:cs="David"/>
          <w:sz w:val="24"/>
          <w:szCs w:val="24"/>
          <w:rtl/>
        </w:rPr>
      </w:pPr>
    </w:p>
    <w:p w:rsidR="00C51B7E" w:rsidRPr="00CC6F90" w:rsidRDefault="00C51B7E">
      <w:pPr>
        <w:rPr>
          <w:rFonts w:cs="David"/>
          <w:sz w:val="24"/>
          <w:szCs w:val="24"/>
        </w:rPr>
      </w:pPr>
    </w:p>
    <w:p w:rsidR="00AF7F54" w:rsidRDefault="00C51B7E">
      <w:pPr>
        <w:jc w:val="center"/>
        <w:rPr>
          <w:rFonts w:cs="David"/>
          <w:b/>
          <w:bCs/>
          <w:sz w:val="24"/>
          <w:szCs w:val="24"/>
          <w:u w:val="single"/>
          <w:rtl/>
        </w:rPr>
      </w:pPr>
      <w:r w:rsidRPr="00CC6F90">
        <w:rPr>
          <w:rFonts w:cs="David"/>
          <w:b/>
          <w:bCs/>
          <w:sz w:val="24"/>
          <w:szCs w:val="24"/>
          <w:rtl/>
        </w:rPr>
        <w:t>הנדון: </w:t>
      </w:r>
      <w:bookmarkStart w:id="4" w:name="Subject"/>
      <w:r w:rsidR="00CD2E7E" w:rsidRPr="00CC6F90">
        <w:rPr>
          <w:rFonts w:cs="David"/>
          <w:b/>
          <w:bCs/>
          <w:sz w:val="24"/>
          <w:szCs w:val="24"/>
          <w:u w:val="single"/>
          <w:rtl/>
        </w:rPr>
        <w:t>מדיניות משרד הרווחה בטיפול בזרים שאינם</w:t>
      </w:r>
      <w:r w:rsidR="00AF7F54">
        <w:rPr>
          <w:rFonts w:cs="David"/>
          <w:b/>
          <w:bCs/>
          <w:sz w:val="24"/>
          <w:szCs w:val="24"/>
          <w:u w:val="single"/>
          <w:rtl/>
        </w:rPr>
        <w:t xml:space="preserve"> ברי הרחקה לאור דוח מבקר המדינה</w:t>
      </w:r>
    </w:p>
    <w:p w:rsidR="00C51B7E" w:rsidRPr="00CC6F90" w:rsidRDefault="00CD2E7E">
      <w:pPr>
        <w:jc w:val="center"/>
        <w:rPr>
          <w:rFonts w:cs="David"/>
          <w:b/>
          <w:bCs/>
          <w:sz w:val="24"/>
          <w:szCs w:val="24"/>
        </w:rPr>
      </w:pPr>
      <w:r w:rsidRPr="00CC6F90">
        <w:rPr>
          <w:rFonts w:cs="David"/>
          <w:b/>
          <w:bCs/>
          <w:sz w:val="24"/>
          <w:szCs w:val="24"/>
          <w:u w:val="single"/>
          <w:rtl/>
        </w:rPr>
        <w:t xml:space="preserve">  צרכים והשלכות תקציביות</w:t>
      </w:r>
      <w:bookmarkEnd w:id="4"/>
    </w:p>
    <w:p w:rsidR="00C51B7E" w:rsidRPr="00CC6F90" w:rsidRDefault="00C51B7E">
      <w:pPr>
        <w:jc w:val="both"/>
        <w:rPr>
          <w:rFonts w:cs="David"/>
          <w:sz w:val="24"/>
          <w:szCs w:val="24"/>
        </w:rPr>
      </w:pPr>
    </w:p>
    <w:p w:rsidR="00C51B7E" w:rsidRPr="00CC6F90" w:rsidRDefault="00C51B7E">
      <w:pPr>
        <w:jc w:val="both"/>
        <w:rPr>
          <w:rFonts w:cs="David"/>
          <w:sz w:val="24"/>
          <w:szCs w:val="24"/>
        </w:rPr>
      </w:pPr>
    </w:p>
    <w:p w:rsidR="00CC6F90" w:rsidRPr="00CC6F90" w:rsidRDefault="00CC6F90" w:rsidP="00CC6F90">
      <w:pPr>
        <w:spacing w:line="276" w:lineRule="auto"/>
        <w:jc w:val="both"/>
        <w:rPr>
          <w:rFonts w:cs="David"/>
          <w:sz w:val="24"/>
          <w:szCs w:val="24"/>
        </w:rPr>
      </w:pPr>
      <w:r w:rsidRPr="00CC6F90">
        <w:rPr>
          <w:rFonts w:cs="David" w:hint="cs"/>
          <w:sz w:val="24"/>
          <w:szCs w:val="24"/>
          <w:rtl/>
        </w:rPr>
        <w:t xml:space="preserve">בעקבות דו"ח מבקר המדינה </w:t>
      </w:r>
      <w:r w:rsidRPr="00CC6F90">
        <w:rPr>
          <w:rFonts w:cs="David"/>
          <w:sz w:val="24"/>
          <w:szCs w:val="24"/>
          <w:rtl/>
        </w:rPr>
        <w:t>בנושא אוכלוסיית זרים השוהים בישראל וחוסים תחת הגדרת "זרים שאינם ברי הרחקה לעת הזאת" (דוח שנתי 64ג, התשע"ד- 2014)</w:t>
      </w:r>
      <w:r w:rsidRPr="00CC6F90">
        <w:rPr>
          <w:rFonts w:cs="David" w:hint="cs"/>
          <w:sz w:val="24"/>
          <w:szCs w:val="24"/>
          <w:rtl/>
        </w:rPr>
        <w:t>, מונה צוות עבודה משרדי לגיבוש מסמך מדיניות לטיפול באוכלוסיות שהוזכרו בדוח המבקר שבנדון.</w:t>
      </w:r>
    </w:p>
    <w:p w:rsidR="00D90D05" w:rsidRDefault="00D90D05" w:rsidP="00CC6F90">
      <w:pPr>
        <w:spacing w:line="276" w:lineRule="auto"/>
        <w:jc w:val="both"/>
        <w:rPr>
          <w:rFonts w:cs="David"/>
          <w:sz w:val="24"/>
          <w:szCs w:val="24"/>
          <w:rtl/>
        </w:rPr>
      </w:pPr>
    </w:p>
    <w:p w:rsidR="00CC6F90" w:rsidRDefault="00CC6F90" w:rsidP="00CC6F90">
      <w:pPr>
        <w:spacing w:line="276" w:lineRule="auto"/>
        <w:jc w:val="both"/>
        <w:rPr>
          <w:rFonts w:cs="David"/>
          <w:sz w:val="24"/>
          <w:szCs w:val="24"/>
          <w:rtl/>
        </w:rPr>
      </w:pPr>
      <w:r w:rsidRPr="00CC6F90">
        <w:rPr>
          <w:rFonts w:cs="David"/>
          <w:sz w:val="24"/>
          <w:szCs w:val="24"/>
          <w:rtl/>
        </w:rPr>
        <w:t xml:space="preserve">בראייה של מדיניות רווחה, </w:t>
      </w:r>
      <w:r w:rsidRPr="00CC6F90">
        <w:rPr>
          <w:rFonts w:cs="David" w:hint="cs"/>
          <w:sz w:val="24"/>
          <w:szCs w:val="24"/>
          <w:rtl/>
        </w:rPr>
        <w:t xml:space="preserve">הצוות סבר כי </w:t>
      </w:r>
      <w:r w:rsidRPr="00CC6F90">
        <w:rPr>
          <w:rFonts w:cs="David"/>
          <w:sz w:val="24"/>
          <w:szCs w:val="24"/>
          <w:rtl/>
        </w:rPr>
        <w:t>ההחלטה האמורה מבדילה את אוכלוסיית זרים שאינם ברי הרחקה מאוכלוסיות זרים אחרות</w:t>
      </w:r>
      <w:r w:rsidRPr="00CC6F90">
        <w:rPr>
          <w:rFonts w:cs="David" w:hint="cs"/>
          <w:sz w:val="24"/>
          <w:szCs w:val="24"/>
          <w:rtl/>
        </w:rPr>
        <w:t xml:space="preserve"> (תיירים, בעלי אשרות עבודה וחסרי מעמד אחרים)</w:t>
      </w:r>
      <w:r w:rsidRPr="00CC6F90">
        <w:rPr>
          <w:rFonts w:cs="David"/>
          <w:sz w:val="24"/>
          <w:szCs w:val="24"/>
          <w:rtl/>
        </w:rPr>
        <w:t xml:space="preserve"> שכן, בעוד שלגבי זרים אחרים גם אם הינם נתונים במצבים המצריכים שירותי רווחה ניתן לדרוש כי </w:t>
      </w:r>
      <w:r w:rsidRPr="00CC6F90">
        <w:rPr>
          <w:rFonts w:cs="David" w:hint="cs"/>
          <w:sz w:val="24"/>
          <w:szCs w:val="24"/>
          <w:rtl/>
        </w:rPr>
        <w:t>ישובו למדינת מוצאם, אליה אין מניעה לחזור, ויטופלו שם כדרך שמטופלים כל אזרחיה האחרים,</w:t>
      </w:r>
      <w:r w:rsidRPr="00CC6F90">
        <w:rPr>
          <w:rFonts w:cs="David"/>
          <w:sz w:val="24"/>
          <w:szCs w:val="24"/>
          <w:rtl/>
        </w:rPr>
        <w:t xml:space="preserve"> הרי שלגבי אוכלוסיי</w:t>
      </w:r>
      <w:r w:rsidRPr="00CC6F90">
        <w:rPr>
          <w:rFonts w:cs="David" w:hint="cs"/>
          <w:sz w:val="24"/>
          <w:szCs w:val="24"/>
          <w:rtl/>
        </w:rPr>
        <w:t>ת הזרים שאינם ברי הרחקה,</w:t>
      </w:r>
      <w:r w:rsidRPr="00CC6F90">
        <w:rPr>
          <w:rFonts w:cs="David"/>
          <w:sz w:val="24"/>
          <w:szCs w:val="24"/>
          <w:rtl/>
        </w:rPr>
        <w:t xml:space="preserve"> כבר נקבע כי בשלב זה ישנה מניעה</w:t>
      </w:r>
      <w:r w:rsidRPr="00CC6F90">
        <w:rPr>
          <w:rFonts w:cs="David" w:hint="cs"/>
          <w:sz w:val="24"/>
          <w:szCs w:val="24"/>
          <w:rtl/>
        </w:rPr>
        <w:t xml:space="preserve"> להחזירם למדינת מוצאם</w:t>
      </w:r>
      <w:r w:rsidRPr="00CC6F90">
        <w:rPr>
          <w:rFonts w:cs="David"/>
          <w:sz w:val="24"/>
          <w:szCs w:val="24"/>
          <w:rtl/>
        </w:rPr>
        <w:t xml:space="preserve"> ולפיכך, בשלב הב</w:t>
      </w:r>
      <w:r w:rsidR="00D90D05">
        <w:rPr>
          <w:rFonts w:cs="David"/>
          <w:sz w:val="24"/>
          <w:szCs w:val="24"/>
          <w:rtl/>
        </w:rPr>
        <w:t>יניים של שהותם בישראל, יש לשקול</w:t>
      </w:r>
      <w:r w:rsidRPr="00CC6F90">
        <w:rPr>
          <w:rFonts w:cs="David"/>
          <w:sz w:val="24"/>
          <w:szCs w:val="24"/>
          <w:rtl/>
        </w:rPr>
        <w:t xml:space="preserve"> אילו שירותי רווחה ניתן לספק להם ובאיזה אופן</w:t>
      </w:r>
      <w:r w:rsidRPr="00CC6F90">
        <w:rPr>
          <w:rFonts w:cs="David" w:hint="cs"/>
          <w:sz w:val="24"/>
          <w:szCs w:val="24"/>
          <w:rtl/>
        </w:rPr>
        <w:t xml:space="preserve"> והיקף</w:t>
      </w:r>
      <w:r w:rsidRPr="00CC6F90">
        <w:rPr>
          <w:rFonts w:cs="David"/>
          <w:sz w:val="24"/>
          <w:szCs w:val="24"/>
          <w:rtl/>
        </w:rPr>
        <w:t xml:space="preserve">. </w:t>
      </w:r>
    </w:p>
    <w:p w:rsidR="00AF7F54" w:rsidRPr="00CC6F90" w:rsidRDefault="00AF7F54" w:rsidP="00CC6F90">
      <w:pPr>
        <w:spacing w:line="276" w:lineRule="auto"/>
        <w:jc w:val="both"/>
        <w:rPr>
          <w:rFonts w:cs="David"/>
          <w:sz w:val="24"/>
          <w:szCs w:val="24"/>
          <w:rtl/>
        </w:rPr>
      </w:pPr>
    </w:p>
    <w:p w:rsidR="00CC6F90" w:rsidRPr="00CC6F90" w:rsidRDefault="00CC6F90" w:rsidP="00CC6F90">
      <w:pPr>
        <w:tabs>
          <w:tab w:val="center" w:pos="4592"/>
        </w:tabs>
        <w:spacing w:line="276" w:lineRule="auto"/>
        <w:jc w:val="both"/>
        <w:rPr>
          <w:rFonts w:cs="David"/>
          <w:sz w:val="24"/>
          <w:szCs w:val="24"/>
          <w:rtl/>
        </w:rPr>
      </w:pPr>
      <w:r w:rsidRPr="00CC6F90">
        <w:rPr>
          <w:rFonts w:cs="David" w:hint="cs"/>
          <w:sz w:val="24"/>
          <w:szCs w:val="24"/>
          <w:u w:val="single"/>
          <w:rtl/>
        </w:rPr>
        <w:t>הגדרה</w:t>
      </w:r>
      <w:r w:rsidRPr="00CC6F90">
        <w:rPr>
          <w:rFonts w:cs="David" w:hint="cs"/>
          <w:sz w:val="24"/>
          <w:szCs w:val="24"/>
          <w:rtl/>
        </w:rPr>
        <w:t xml:space="preserve">: </w:t>
      </w:r>
    </w:p>
    <w:p w:rsidR="00CC6F90" w:rsidRPr="00CC6F90" w:rsidRDefault="00CC6F90" w:rsidP="00CC6F90">
      <w:pPr>
        <w:tabs>
          <w:tab w:val="center" w:pos="4592"/>
        </w:tabs>
        <w:spacing w:line="276" w:lineRule="auto"/>
        <w:jc w:val="both"/>
        <w:rPr>
          <w:rFonts w:cs="David"/>
          <w:sz w:val="24"/>
          <w:szCs w:val="24"/>
          <w:rtl/>
        </w:rPr>
      </w:pPr>
      <w:r w:rsidRPr="00CC6F90">
        <w:rPr>
          <w:rFonts w:cs="David"/>
          <w:sz w:val="24"/>
          <w:szCs w:val="24"/>
          <w:rtl/>
        </w:rPr>
        <w:t xml:space="preserve">אוכלוסיית "זרים שאינם ברי הרחקה לעת הזאת" (להלן – זרים שאינם ברי הרחקה) היא אוכלוסייה אשר מטעמים כאלה או אחרים התקבלה לגביה החלטה, ע"י הגורמים הרלבנטיים במדינה, לפיה, בשלב זה, יש מניעה אובייקטיבית מלהרחיקה למדינת מוצאה. </w:t>
      </w:r>
      <w:r w:rsidRPr="00CC6F90">
        <w:rPr>
          <w:rFonts w:cs="David" w:hint="cs"/>
          <w:sz w:val="24"/>
          <w:szCs w:val="24"/>
          <w:rtl/>
        </w:rPr>
        <w:t xml:space="preserve">כאמור, הצוות דן מסמך זה מתייחס באופן מובחן למי שהוכר כחלק מאוכלוסיית "זרים שאינם ברי הרחקה", ואשר ניתן לזהותו באמצעות אשרה מסוג 2(א)5, שהונפקה לו על ידי רשות האוכלוסין בהתאם להוראות חוק הכניסה לישראל, התשי"ב </w:t>
      </w:r>
      <w:r w:rsidRPr="00CC6F90">
        <w:rPr>
          <w:rFonts w:cs="David"/>
          <w:sz w:val="24"/>
          <w:szCs w:val="24"/>
          <w:rtl/>
        </w:rPr>
        <w:t>–</w:t>
      </w:r>
      <w:r w:rsidRPr="00CC6F90">
        <w:rPr>
          <w:rFonts w:cs="David" w:hint="cs"/>
          <w:sz w:val="24"/>
          <w:szCs w:val="24"/>
          <w:rtl/>
        </w:rPr>
        <w:t xml:space="preserve"> 1952, בה צוין "שאינו בר הרחקה לעת הזאת".</w:t>
      </w:r>
    </w:p>
    <w:p w:rsidR="00CC6F90" w:rsidRPr="00CC6F90" w:rsidRDefault="00CC6F90" w:rsidP="00CC6F90">
      <w:pPr>
        <w:tabs>
          <w:tab w:val="center" w:pos="4592"/>
        </w:tabs>
        <w:spacing w:line="276" w:lineRule="auto"/>
        <w:jc w:val="both"/>
        <w:rPr>
          <w:rFonts w:cs="David"/>
          <w:sz w:val="24"/>
          <w:szCs w:val="24"/>
          <w:rtl/>
        </w:rPr>
      </w:pPr>
      <w:r w:rsidRPr="00CC6F90">
        <w:rPr>
          <w:rFonts w:cs="David" w:hint="cs"/>
          <w:sz w:val="24"/>
          <w:szCs w:val="24"/>
          <w:rtl/>
        </w:rPr>
        <w:t xml:space="preserve">לגבי אלה האוחזים בויזה מסוג זה, ננקטת מדיניות של "אי אכיפת איסור עבודה", אשר מאפשרת להם, הלכה למעשה, לעבוד ולכלכל את עצמם.  </w:t>
      </w:r>
    </w:p>
    <w:p w:rsidR="00CC6F90" w:rsidRPr="00CC6F90" w:rsidRDefault="00CC6F90" w:rsidP="00CC6F90">
      <w:pPr>
        <w:spacing w:line="276" w:lineRule="auto"/>
        <w:jc w:val="both"/>
        <w:rPr>
          <w:rFonts w:cs="David"/>
          <w:sz w:val="24"/>
          <w:szCs w:val="24"/>
          <w:rtl/>
        </w:rPr>
      </w:pPr>
      <w:r w:rsidRPr="00CC6F90">
        <w:rPr>
          <w:rFonts w:cs="David"/>
          <w:sz w:val="24"/>
          <w:szCs w:val="24"/>
          <w:rtl/>
        </w:rPr>
        <w:t xml:space="preserve">לצד ההמלצות, </w:t>
      </w:r>
      <w:r w:rsidRPr="00CC6F90">
        <w:rPr>
          <w:rFonts w:cs="David" w:hint="cs"/>
          <w:sz w:val="24"/>
          <w:szCs w:val="24"/>
          <w:rtl/>
        </w:rPr>
        <w:t>הצוות מיפה</w:t>
      </w:r>
      <w:r w:rsidRPr="00CC6F90">
        <w:rPr>
          <w:rFonts w:cs="David"/>
          <w:sz w:val="24"/>
          <w:szCs w:val="24"/>
          <w:rtl/>
        </w:rPr>
        <w:t xml:space="preserve"> חסמים </w:t>
      </w:r>
      <w:r w:rsidRPr="00CC6F90">
        <w:rPr>
          <w:rFonts w:cs="David" w:hint="cs"/>
          <w:sz w:val="24"/>
          <w:szCs w:val="24"/>
          <w:rtl/>
        </w:rPr>
        <w:t>מרכזיים נוספים בטיפול באוכלוסייה זו כפי שמפורטים במסמך.</w:t>
      </w:r>
    </w:p>
    <w:p w:rsidR="00CC6F90" w:rsidRPr="00AF7F54" w:rsidRDefault="00CC6F90" w:rsidP="00CC6F90">
      <w:pPr>
        <w:pStyle w:val="a7"/>
        <w:numPr>
          <w:ilvl w:val="0"/>
          <w:numId w:val="4"/>
        </w:numPr>
        <w:spacing w:line="276" w:lineRule="auto"/>
        <w:jc w:val="both"/>
        <w:rPr>
          <w:b/>
          <w:bCs/>
          <w:sz w:val="24"/>
          <w:u w:val="single"/>
          <w:rtl/>
        </w:rPr>
      </w:pPr>
      <w:r w:rsidRPr="00AF7F54">
        <w:rPr>
          <w:rFonts w:hint="cs"/>
          <w:b/>
          <w:bCs/>
          <w:sz w:val="24"/>
          <w:u w:val="single"/>
          <w:rtl/>
        </w:rPr>
        <w:t>נתונים</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על פי הנתונים, בישראל שוהים כיום, באופן בלתי חוקי, כ- 146,000 זרים, מתוכם כ-47,000 </w:t>
      </w:r>
      <w:r w:rsidRPr="00CC6F90">
        <w:rPr>
          <w:rFonts w:cs="David" w:hint="cs"/>
          <w:b/>
          <w:bCs/>
          <w:sz w:val="24"/>
          <w:szCs w:val="24"/>
          <w:rtl/>
        </w:rPr>
        <w:t>זרים שאינם ברי הרחקה (</w:t>
      </w:r>
      <w:r w:rsidRPr="00CC6F90">
        <w:rPr>
          <w:rFonts w:cs="David" w:hint="cs"/>
          <w:sz w:val="24"/>
          <w:szCs w:val="24"/>
          <w:rtl/>
        </w:rPr>
        <w:t>רובם מאריתריאה וסודן), שאליהם מתייחס מסמך זה. מספר זה כולל כ- 6,000 קטינים.</w:t>
      </w:r>
    </w:p>
    <w:p w:rsidR="00CC6F90" w:rsidRPr="00CC6F90" w:rsidRDefault="00CC6F90" w:rsidP="00CC6F90">
      <w:pPr>
        <w:tabs>
          <w:tab w:val="center" w:pos="4592"/>
        </w:tabs>
        <w:spacing w:line="276" w:lineRule="auto"/>
        <w:jc w:val="both"/>
        <w:rPr>
          <w:rFonts w:cs="David"/>
          <w:sz w:val="24"/>
          <w:szCs w:val="24"/>
          <w:rtl/>
        </w:rPr>
      </w:pPr>
    </w:p>
    <w:p w:rsidR="00CC6F90" w:rsidRPr="00AF7F54" w:rsidRDefault="00CC6F90" w:rsidP="00CC6F90">
      <w:pPr>
        <w:pStyle w:val="a7"/>
        <w:numPr>
          <w:ilvl w:val="0"/>
          <w:numId w:val="4"/>
        </w:numPr>
        <w:spacing w:line="276" w:lineRule="auto"/>
        <w:jc w:val="both"/>
        <w:rPr>
          <w:b/>
          <w:bCs/>
          <w:sz w:val="24"/>
          <w:u w:val="single"/>
          <w:rtl/>
        </w:rPr>
      </w:pPr>
      <w:r w:rsidRPr="00AF7F54">
        <w:rPr>
          <w:rFonts w:hint="cs"/>
          <w:b/>
          <w:bCs/>
          <w:sz w:val="24"/>
          <w:u w:val="single"/>
          <w:rtl/>
        </w:rPr>
        <w:t>אוכלוסיות היעד מקרב זרים שאינם ברי הרחקה שהצוות המליץ לתת להם מענה רווחתי</w:t>
      </w:r>
      <w:r w:rsidRPr="00AF7F54">
        <w:rPr>
          <w:rFonts w:hint="cs"/>
          <w:b/>
          <w:bCs/>
          <w:sz w:val="24"/>
          <w:rtl/>
        </w:rPr>
        <w:t xml:space="preserve"> (בזיקה לדוח המבקר)</w:t>
      </w:r>
    </w:p>
    <w:p w:rsidR="00CC6F90" w:rsidRPr="00CC6F90" w:rsidRDefault="00CC6F90" w:rsidP="00CC6F90">
      <w:pPr>
        <w:pStyle w:val="a7"/>
        <w:numPr>
          <w:ilvl w:val="0"/>
          <w:numId w:val="2"/>
        </w:numPr>
        <w:spacing w:line="276" w:lineRule="auto"/>
        <w:jc w:val="both"/>
        <w:rPr>
          <w:sz w:val="24"/>
        </w:rPr>
      </w:pPr>
      <w:r w:rsidRPr="00CC6F90">
        <w:rPr>
          <w:rFonts w:hint="cs"/>
          <w:sz w:val="24"/>
          <w:rtl/>
        </w:rPr>
        <w:t>קרבנות סחר ועבדות.</w:t>
      </w:r>
    </w:p>
    <w:p w:rsidR="00CC6F90" w:rsidRPr="00CC6F90" w:rsidRDefault="00CC6F90" w:rsidP="00CC6F90">
      <w:pPr>
        <w:pStyle w:val="a7"/>
        <w:numPr>
          <w:ilvl w:val="0"/>
          <w:numId w:val="2"/>
        </w:numPr>
        <w:spacing w:line="276" w:lineRule="auto"/>
        <w:jc w:val="both"/>
        <w:rPr>
          <w:sz w:val="24"/>
        </w:rPr>
      </w:pPr>
      <w:r w:rsidRPr="00CC6F90">
        <w:rPr>
          <w:rFonts w:hint="cs"/>
          <w:sz w:val="24"/>
          <w:rtl/>
        </w:rPr>
        <w:t>נשים נפגעות אלימות במשפחה.</w:t>
      </w:r>
    </w:p>
    <w:p w:rsidR="00CC6F90" w:rsidRPr="00CC6F90" w:rsidRDefault="00CC6F90" w:rsidP="00CC6F90">
      <w:pPr>
        <w:pStyle w:val="a7"/>
        <w:numPr>
          <w:ilvl w:val="0"/>
          <w:numId w:val="2"/>
        </w:numPr>
        <w:spacing w:line="276" w:lineRule="auto"/>
        <w:jc w:val="both"/>
        <w:rPr>
          <w:sz w:val="24"/>
        </w:rPr>
      </w:pPr>
      <w:r w:rsidRPr="00CC6F90">
        <w:rPr>
          <w:rFonts w:hint="cs"/>
          <w:sz w:val="24"/>
          <w:rtl/>
        </w:rPr>
        <w:t xml:space="preserve">אנשים בעלי מוגבלויות* כפי שהוגדרו באוכלוסיית היעד של משרד הרווחה </w:t>
      </w:r>
    </w:p>
    <w:p w:rsidR="00CC6F90" w:rsidRDefault="00CC6F90" w:rsidP="00CC6F90">
      <w:pPr>
        <w:pStyle w:val="a7"/>
        <w:numPr>
          <w:ilvl w:val="0"/>
          <w:numId w:val="2"/>
        </w:numPr>
        <w:spacing w:line="276" w:lineRule="auto"/>
        <w:jc w:val="both"/>
        <w:rPr>
          <w:sz w:val="24"/>
        </w:rPr>
      </w:pPr>
      <w:r w:rsidRPr="00CC6F90">
        <w:rPr>
          <w:rFonts w:hint="cs"/>
          <w:sz w:val="24"/>
          <w:rtl/>
        </w:rPr>
        <w:t>דרי רחוב.</w:t>
      </w:r>
    </w:p>
    <w:p w:rsidR="00CC6F90" w:rsidRDefault="00CC6F90" w:rsidP="00CC6F90">
      <w:pPr>
        <w:pStyle w:val="a7"/>
        <w:numPr>
          <w:ilvl w:val="0"/>
          <w:numId w:val="4"/>
        </w:numPr>
        <w:spacing w:line="276" w:lineRule="auto"/>
        <w:jc w:val="both"/>
        <w:rPr>
          <w:b/>
          <w:bCs/>
          <w:sz w:val="24"/>
          <w:u w:val="single"/>
        </w:rPr>
      </w:pPr>
      <w:r w:rsidRPr="00CC6F90">
        <w:rPr>
          <w:rFonts w:hint="cs"/>
          <w:b/>
          <w:bCs/>
          <w:sz w:val="24"/>
          <w:u w:val="single"/>
          <w:rtl/>
        </w:rPr>
        <w:lastRenderedPageBreak/>
        <w:t>חסמים</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אוכלוסיית הזרים חסרי המעמד הם נעדרי זכויות בתחום הדיור, קצבאות הביטוח הלאומי לסוגיהן- כמו הבטחת הכנסה וקצבאות ילדים, ביטוח בריאות ממלכתי, ועוד. </w:t>
      </w:r>
    </w:p>
    <w:p w:rsidR="00CC6F90" w:rsidRPr="00CC6F90" w:rsidRDefault="00CC6F90" w:rsidP="00CC6F90">
      <w:pPr>
        <w:spacing w:line="276" w:lineRule="auto"/>
        <w:jc w:val="both"/>
        <w:rPr>
          <w:rFonts w:cs="David"/>
          <w:sz w:val="24"/>
          <w:szCs w:val="24"/>
          <w:rtl/>
        </w:rPr>
      </w:pPr>
      <w:r w:rsidRPr="00CC6F90">
        <w:rPr>
          <w:rFonts w:cs="David" w:hint="cs"/>
          <w:sz w:val="24"/>
          <w:szCs w:val="24"/>
          <w:rtl/>
        </w:rPr>
        <w:t>שרותי הרווחה מעניקים טיפול פסיכוסוציאלי ומגוון שרותים על הרצף, החל מהקהילה ועד לחוץ ביתי כולל פעולות תיווך ומיצוי זכויות. עם זאת, הם אינם מחליפים את השרותים הניתנים על ידי מערכות ומשרדים אחרים, חלקם על פי חוק, המשיקים למשרד הרווחה, ההכרחיים לשיקום וסיוע.</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על רקע הנ"ל, ההערכה המקצועית היא כי אוכלוסיית הזרים הנזקקת היא בעלת פוטנציאל לסיכון גבוה אף יותר, ובהיעדר מערכות תמיכה וזכויות אחרות, מצויים בסיכון גבוה יותר לפתח מצוקות אקוטיות אחרות כגון עוני, חולי וחוסר תפקוד, נשים וגברים במעגל הזנות וכדומה. </w:t>
      </w:r>
    </w:p>
    <w:p w:rsidR="00CC6F90" w:rsidRPr="00CC6F90" w:rsidRDefault="00CC6F90" w:rsidP="00CC6F90">
      <w:pPr>
        <w:spacing w:line="276" w:lineRule="auto"/>
        <w:jc w:val="both"/>
        <w:rPr>
          <w:rFonts w:cs="David"/>
          <w:sz w:val="24"/>
          <w:szCs w:val="24"/>
        </w:rPr>
      </w:pPr>
      <w:r w:rsidRPr="00CC6F90">
        <w:rPr>
          <w:rFonts w:cs="David" w:hint="cs"/>
          <w:sz w:val="24"/>
          <w:szCs w:val="24"/>
          <w:rtl/>
        </w:rPr>
        <w:t xml:space="preserve">מיפוי החסמים המרכזיים: </w:t>
      </w:r>
    </w:p>
    <w:p w:rsidR="00CC6F90" w:rsidRPr="00CC6F90" w:rsidRDefault="00CC6F90" w:rsidP="00D90D05">
      <w:pPr>
        <w:pStyle w:val="a7"/>
        <w:numPr>
          <w:ilvl w:val="0"/>
          <w:numId w:val="3"/>
        </w:numPr>
        <w:spacing w:line="276" w:lineRule="auto"/>
        <w:ind w:left="395" w:hanging="283"/>
        <w:jc w:val="both"/>
        <w:rPr>
          <w:sz w:val="24"/>
        </w:rPr>
      </w:pPr>
      <w:r w:rsidRPr="00CC6F90">
        <w:rPr>
          <w:rFonts w:hint="cs"/>
          <w:sz w:val="24"/>
          <w:rtl/>
        </w:rPr>
        <w:t>היעדר ביטוח רפואי- היעדר זכאות לקבלת טיפול רפואי במרפ</w:t>
      </w:r>
      <w:r w:rsidR="00D90D05">
        <w:rPr>
          <w:rFonts w:hint="cs"/>
          <w:sz w:val="24"/>
          <w:rtl/>
        </w:rPr>
        <w:t xml:space="preserve">אות קופת חולים, ובכלל זה בדיקות </w:t>
      </w:r>
      <w:r w:rsidRPr="00CC6F90">
        <w:rPr>
          <w:rFonts w:hint="cs"/>
          <w:sz w:val="24"/>
          <w:rtl/>
        </w:rPr>
        <w:t xml:space="preserve">ותרופות. </w:t>
      </w:r>
    </w:p>
    <w:p w:rsidR="00CC6F90" w:rsidRPr="00CC6F90" w:rsidRDefault="00CC6F90" w:rsidP="00D90D05">
      <w:pPr>
        <w:pStyle w:val="a7"/>
        <w:numPr>
          <w:ilvl w:val="0"/>
          <w:numId w:val="3"/>
        </w:numPr>
        <w:spacing w:line="276" w:lineRule="auto"/>
        <w:ind w:left="395" w:hanging="283"/>
        <w:jc w:val="both"/>
        <w:rPr>
          <w:sz w:val="24"/>
        </w:rPr>
      </w:pPr>
      <w:r w:rsidRPr="00CC6F90">
        <w:rPr>
          <w:rFonts w:hint="cs"/>
          <w:sz w:val="24"/>
          <w:rtl/>
        </w:rPr>
        <w:t>היעדר זכאות להבטחת הכנסה ודמי קיום בסיסיים- אלה שאינם בעלי מסוגלות תעסוקתית- חווים מחסור חמור בדמי קיום בסיסיים.</w:t>
      </w:r>
    </w:p>
    <w:p w:rsidR="00CC6F90" w:rsidRPr="00CC6F90" w:rsidRDefault="00CC6F90" w:rsidP="00D90D05">
      <w:pPr>
        <w:pStyle w:val="a7"/>
        <w:numPr>
          <w:ilvl w:val="0"/>
          <w:numId w:val="3"/>
        </w:numPr>
        <w:spacing w:line="276" w:lineRule="auto"/>
        <w:ind w:left="395" w:hanging="283"/>
        <w:jc w:val="both"/>
        <w:rPr>
          <w:sz w:val="24"/>
        </w:rPr>
      </w:pPr>
      <w:r w:rsidRPr="00CC6F90">
        <w:rPr>
          <w:rFonts w:hint="cs"/>
          <w:sz w:val="24"/>
          <w:rtl/>
        </w:rPr>
        <w:t>סיוע בשכר דירה וזכאות לדיור ציבורי</w:t>
      </w:r>
    </w:p>
    <w:p w:rsidR="00CC6F90" w:rsidRPr="00CC6F90" w:rsidRDefault="00CC6F90" w:rsidP="00D90D05">
      <w:pPr>
        <w:pStyle w:val="a7"/>
        <w:numPr>
          <w:ilvl w:val="0"/>
          <w:numId w:val="3"/>
        </w:numPr>
        <w:spacing w:line="276" w:lineRule="auto"/>
        <w:ind w:left="395" w:hanging="283"/>
        <w:jc w:val="both"/>
        <w:rPr>
          <w:sz w:val="24"/>
          <w:rtl/>
        </w:rPr>
      </w:pPr>
      <w:r w:rsidRPr="00CC6F90">
        <w:rPr>
          <w:rFonts w:hint="cs"/>
          <w:sz w:val="24"/>
          <w:rtl/>
        </w:rPr>
        <w:t xml:space="preserve">השתלבות בעולם העבודה- הכשרה מקצועית וקידום. </w:t>
      </w:r>
    </w:p>
    <w:p w:rsidR="00CC6F90" w:rsidRPr="00CC6F90" w:rsidRDefault="00CC6F90" w:rsidP="00CC6F90">
      <w:pPr>
        <w:spacing w:line="276" w:lineRule="auto"/>
        <w:jc w:val="both"/>
        <w:rPr>
          <w:rFonts w:cs="David"/>
          <w:b/>
          <w:bCs/>
          <w:sz w:val="24"/>
          <w:szCs w:val="24"/>
          <w:u w:val="single"/>
          <w:rtl/>
        </w:rPr>
      </w:pPr>
    </w:p>
    <w:p w:rsidR="00CC6F90" w:rsidRDefault="00CC6F90" w:rsidP="00CC6F90">
      <w:pPr>
        <w:pStyle w:val="a7"/>
        <w:numPr>
          <w:ilvl w:val="0"/>
          <w:numId w:val="4"/>
        </w:numPr>
        <w:spacing w:line="276" w:lineRule="auto"/>
        <w:jc w:val="both"/>
        <w:rPr>
          <w:b/>
          <w:bCs/>
          <w:sz w:val="24"/>
        </w:rPr>
      </w:pPr>
      <w:r w:rsidRPr="00CC6F90">
        <w:rPr>
          <w:rFonts w:hint="cs"/>
          <w:b/>
          <w:bCs/>
          <w:sz w:val="24"/>
          <w:u w:val="single"/>
          <w:rtl/>
        </w:rPr>
        <w:t>דברי הסבר ופרוט</w:t>
      </w:r>
      <w:r w:rsidRPr="00CC6F90">
        <w:rPr>
          <w:rFonts w:hint="cs"/>
          <w:b/>
          <w:bCs/>
          <w:sz w:val="24"/>
          <w:rtl/>
        </w:rPr>
        <w:t>:</w:t>
      </w:r>
    </w:p>
    <w:p w:rsidR="00D90D05" w:rsidRPr="00CC6F90" w:rsidRDefault="00D90D05" w:rsidP="00D90D05">
      <w:pPr>
        <w:pStyle w:val="a7"/>
        <w:spacing w:line="276" w:lineRule="auto"/>
        <w:ind w:left="502"/>
        <w:jc w:val="both"/>
        <w:rPr>
          <w:b/>
          <w:bCs/>
          <w:sz w:val="24"/>
          <w:rtl/>
        </w:rPr>
      </w:pPr>
    </w:p>
    <w:p w:rsidR="00CC6F90" w:rsidRPr="00CC6F90" w:rsidRDefault="00CC6F90" w:rsidP="00CC6F90">
      <w:pPr>
        <w:numPr>
          <w:ilvl w:val="0"/>
          <w:numId w:val="1"/>
        </w:numPr>
        <w:spacing w:line="276" w:lineRule="auto"/>
        <w:jc w:val="both"/>
        <w:rPr>
          <w:rFonts w:cs="David"/>
          <w:b/>
          <w:bCs/>
          <w:sz w:val="24"/>
          <w:szCs w:val="24"/>
          <w:u w:val="single"/>
          <w:rtl/>
        </w:rPr>
      </w:pPr>
      <w:r w:rsidRPr="00CC6F90">
        <w:rPr>
          <w:rFonts w:cs="David" w:hint="cs"/>
          <w:b/>
          <w:bCs/>
          <w:sz w:val="24"/>
          <w:szCs w:val="24"/>
          <w:u w:val="single"/>
          <w:rtl/>
        </w:rPr>
        <w:t>קורבנות סחר ועבדות</w:t>
      </w:r>
    </w:p>
    <w:p w:rsidR="00CC6F90" w:rsidRPr="00CC6F90" w:rsidRDefault="00CC6F90" w:rsidP="00CC6F90">
      <w:pPr>
        <w:spacing w:line="276" w:lineRule="auto"/>
        <w:jc w:val="both"/>
        <w:rPr>
          <w:rFonts w:cs="David"/>
          <w:sz w:val="24"/>
          <w:szCs w:val="24"/>
          <w:rtl/>
        </w:rPr>
      </w:pPr>
      <w:r w:rsidRPr="00CC6F90">
        <w:rPr>
          <w:rFonts w:cs="David" w:hint="cs"/>
          <w:sz w:val="24"/>
          <w:szCs w:val="24"/>
          <w:rtl/>
        </w:rPr>
        <w:t>קרבנות סחר ועבדות שהוכרו והוגדרו ככאלה על ידי משטרת ישראל- ומופנים לטיפול במסגרות שהקים משרד הרווחה.</w:t>
      </w:r>
    </w:p>
    <w:p w:rsidR="00CC6F90" w:rsidRPr="00CC6F90" w:rsidRDefault="00CC6F90" w:rsidP="00CC6F90">
      <w:pPr>
        <w:spacing w:line="276" w:lineRule="auto"/>
        <w:jc w:val="both"/>
        <w:rPr>
          <w:rFonts w:cs="David"/>
          <w:sz w:val="24"/>
          <w:szCs w:val="24"/>
          <w:rtl/>
        </w:rPr>
      </w:pPr>
      <w:r w:rsidRPr="00CC6F90">
        <w:rPr>
          <w:rFonts w:cs="David" w:hint="cs"/>
          <w:sz w:val="24"/>
          <w:szCs w:val="24"/>
          <w:rtl/>
        </w:rPr>
        <w:t>כיום פועלים 2 מקלטים, אחד לנשים ואחד לגברים, בהם קרבנות הסחר יכולים לשהות עד שנה ובמסגרתם מקבלים מענים מגוונים ו-1 מרכז יום להמשך ליווי.</w:t>
      </w:r>
    </w:p>
    <w:p w:rsidR="00CC6F90" w:rsidRPr="00CC6F90" w:rsidRDefault="00CC6F90" w:rsidP="00CC6F90">
      <w:pPr>
        <w:spacing w:line="276" w:lineRule="auto"/>
        <w:jc w:val="both"/>
        <w:rPr>
          <w:rFonts w:cs="David"/>
          <w:b/>
          <w:bCs/>
          <w:sz w:val="24"/>
          <w:szCs w:val="24"/>
        </w:rPr>
      </w:pPr>
      <w:r w:rsidRPr="00CC6F90">
        <w:rPr>
          <w:rFonts w:cs="David" w:hint="cs"/>
          <w:b/>
          <w:bCs/>
          <w:sz w:val="24"/>
          <w:szCs w:val="24"/>
          <w:rtl/>
        </w:rPr>
        <w:t xml:space="preserve">הצוות ממליץ להרחיב הפעילות במרכז היום שתאפשר המשך ליווי בקהילה של כל בוגרי המקלטים ודירות המעבר. </w:t>
      </w:r>
    </w:p>
    <w:p w:rsidR="00CC6F90" w:rsidRPr="00CC6F90" w:rsidRDefault="00CC6F90" w:rsidP="00CC6F90">
      <w:pPr>
        <w:pStyle w:val="a7"/>
        <w:numPr>
          <w:ilvl w:val="0"/>
          <w:numId w:val="1"/>
        </w:numPr>
        <w:spacing w:line="276" w:lineRule="auto"/>
        <w:jc w:val="both"/>
        <w:rPr>
          <w:b/>
          <w:bCs/>
          <w:sz w:val="24"/>
          <w:u w:val="single"/>
          <w:rtl/>
        </w:rPr>
      </w:pPr>
      <w:r w:rsidRPr="00CC6F90">
        <w:rPr>
          <w:rFonts w:hint="cs"/>
          <w:b/>
          <w:bCs/>
          <w:sz w:val="24"/>
          <w:u w:val="single"/>
          <w:rtl/>
        </w:rPr>
        <w:t>נשים נפגעות אלימות מצד בני זוגן</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גם במצבי אלימות במשפחה, נדרשת מעטפת הניתנת על ידי מספר מערכות ומשרדים אחרים (כגון משרד השיכון, בט"ל, משרד התעסוקה ועוד), על מנת להוציא אנשים ממעגל האלימות. שרותי הרווחה בקהילה ובמקלטים כוללים סיוע וליווי רגשי בידי עובדים סוציאליים ואולם המציאות והידע המקצועי מלמדים כי אין די בכך בכדי להקטין את הסיכוי למניעת חזרתה של האשה למעגל האלימות. </w:t>
      </w:r>
    </w:p>
    <w:p w:rsidR="00CC6F90" w:rsidRPr="00CC6F90" w:rsidRDefault="00CC6F90" w:rsidP="00CC6F90">
      <w:pPr>
        <w:spacing w:line="276" w:lineRule="auto"/>
        <w:jc w:val="both"/>
        <w:rPr>
          <w:rFonts w:cs="David"/>
          <w:sz w:val="24"/>
          <w:szCs w:val="24"/>
          <w:rtl/>
        </w:rPr>
      </w:pPr>
      <w:r w:rsidRPr="00CC6F90">
        <w:rPr>
          <w:rFonts w:cs="David" w:hint="cs"/>
          <w:sz w:val="24"/>
          <w:szCs w:val="24"/>
          <w:rtl/>
        </w:rPr>
        <w:t>המלצת הצוות היא למתן שרות, במגבלות הקיימות, ב-2 מסלולים, דהיינו בקהילה ובמסגרות הגנה חוץ ביתיות.</w:t>
      </w:r>
    </w:p>
    <w:p w:rsidR="00CC6F90" w:rsidRPr="00CC6F90" w:rsidRDefault="00CC6F90" w:rsidP="00CC6F90">
      <w:pPr>
        <w:numPr>
          <w:ilvl w:val="0"/>
          <w:numId w:val="1"/>
        </w:numPr>
        <w:spacing w:line="276" w:lineRule="auto"/>
        <w:jc w:val="both"/>
        <w:rPr>
          <w:rFonts w:cs="David"/>
          <w:b/>
          <w:bCs/>
          <w:sz w:val="24"/>
          <w:szCs w:val="24"/>
          <w:u w:val="single"/>
          <w:rtl/>
        </w:rPr>
      </w:pPr>
      <w:r w:rsidRPr="00CC6F90">
        <w:rPr>
          <w:rFonts w:cs="David" w:hint="cs"/>
          <w:b/>
          <w:bCs/>
          <w:sz w:val="24"/>
          <w:szCs w:val="24"/>
          <w:u w:val="single"/>
          <w:rtl/>
        </w:rPr>
        <w:t xml:space="preserve">אנשים עם נכויות קשות חסרי יכולת תפקוד עצמאי בסיסי </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מדובר באנשים שעונים להגדרת אוכלוסיית היעד של אגף השיקום: אנשים עם נכות פיזית שאינם במצב סיעודי או סיעודי מורכב או תשושי נפש, אנשים עם עיוורון, אנשים עם חירשות - אשר בשל נכותם אינם יכולים לתפקד באופן עצמאי. </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באוכלוסייה זו נכללים אלה שהופכים לנכים בארץ או היו כבר בעת הגיעם לישראל, בעלי מוגבלות. בד"כ אוכלוסייה זו מגיעה לפתחם של שרותי הרווחה, סביב סוגיית סידור חוץ ביתי. </w:t>
      </w:r>
    </w:p>
    <w:p w:rsidR="00CC6F90" w:rsidRPr="00CC6F90" w:rsidRDefault="00CC6F90" w:rsidP="00CC6F90">
      <w:pPr>
        <w:numPr>
          <w:ilvl w:val="0"/>
          <w:numId w:val="1"/>
        </w:numPr>
        <w:spacing w:line="276" w:lineRule="auto"/>
        <w:jc w:val="both"/>
        <w:rPr>
          <w:rFonts w:cs="David"/>
          <w:b/>
          <w:bCs/>
          <w:sz w:val="24"/>
          <w:szCs w:val="24"/>
          <w:u w:val="single"/>
        </w:rPr>
      </w:pPr>
      <w:r w:rsidRPr="00CC6F90">
        <w:rPr>
          <w:rFonts w:cs="David" w:hint="cs"/>
          <w:b/>
          <w:bCs/>
          <w:sz w:val="24"/>
          <w:szCs w:val="24"/>
          <w:u w:val="single"/>
          <w:rtl/>
        </w:rPr>
        <w:t>דרי רחוב</w:t>
      </w:r>
    </w:p>
    <w:p w:rsidR="00CC6F90" w:rsidRPr="00CC6F90" w:rsidRDefault="00CC6F90" w:rsidP="00CC6F90">
      <w:pPr>
        <w:spacing w:line="276" w:lineRule="auto"/>
        <w:jc w:val="both"/>
        <w:rPr>
          <w:rFonts w:cs="David"/>
          <w:sz w:val="24"/>
          <w:szCs w:val="24"/>
          <w:rtl/>
        </w:rPr>
      </w:pPr>
      <w:r w:rsidRPr="00CC6F90">
        <w:rPr>
          <w:rFonts w:cs="David" w:hint="cs"/>
          <w:sz w:val="24"/>
          <w:szCs w:val="24"/>
          <w:rtl/>
        </w:rPr>
        <w:t>דר רחוב מוגדר כאדם הנמצא ברגע נתון במצוקה תפקודית שאינה מאפשרת לו חיים עצמאיים ואשר עונה לפרמטרים הקבועים בתע"ס, על כן מוצע לו, לפני הכל, קורת גג זמנית או מסגרת אחרת לקליטה חירומית תלוי במצב הרפואי והתפקודי וזאת על מנת למנוע תמותה ברחובות.</w:t>
      </w:r>
      <w:r w:rsidRPr="00CC6F90">
        <w:rPr>
          <w:rFonts w:cs="David"/>
          <w:sz w:val="24"/>
          <w:szCs w:val="24"/>
          <w:rtl/>
        </w:rPr>
        <w:t xml:space="preserve"> </w:t>
      </w:r>
      <w:r w:rsidRPr="00CC6F90">
        <w:rPr>
          <w:rFonts w:cs="David" w:hint="cs"/>
          <w:sz w:val="24"/>
          <w:szCs w:val="24"/>
          <w:rtl/>
        </w:rPr>
        <w:t xml:space="preserve">כמו כן, נדרש תהליך אינטנסיבי </w:t>
      </w:r>
      <w:r w:rsidRPr="00CC6F90">
        <w:rPr>
          <w:rFonts w:cs="David"/>
          <w:sz w:val="24"/>
          <w:szCs w:val="24"/>
          <w:rtl/>
        </w:rPr>
        <w:t xml:space="preserve">של מיצוי זכויות </w:t>
      </w:r>
      <w:r w:rsidRPr="00CC6F90">
        <w:rPr>
          <w:rFonts w:cs="David" w:hint="cs"/>
          <w:sz w:val="24"/>
          <w:szCs w:val="24"/>
          <w:rtl/>
        </w:rPr>
        <w:t>גם בשלב הראשון של הטיפול וגם בשלב המתקדם לקראת חזרה לחיים עצמאיים בקהילה.</w:t>
      </w:r>
      <w:r w:rsidRPr="00CC6F90">
        <w:rPr>
          <w:rFonts w:cs="David"/>
          <w:sz w:val="24"/>
          <w:szCs w:val="24"/>
          <w:rtl/>
        </w:rPr>
        <w:t xml:space="preserve"> </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לצד אוכלוסיית דרי הרחוב, העונים על ההגדרה האמורה מצויים מחוסרי הדיור. ככלל, </w:t>
      </w:r>
      <w:r w:rsidRPr="00CC6F90">
        <w:rPr>
          <w:rFonts w:cs="David" w:hint="cs"/>
          <w:b/>
          <w:bCs/>
          <w:sz w:val="24"/>
          <w:szCs w:val="24"/>
          <w:rtl/>
        </w:rPr>
        <w:t>מחוסרי דיור, ללא קשר למעמדם (או היעדרו) אינם מטופלים ע"י משרד הרווחה</w:t>
      </w:r>
      <w:r w:rsidRPr="00CC6F90">
        <w:rPr>
          <w:rFonts w:cs="David" w:hint="cs"/>
          <w:sz w:val="24"/>
          <w:szCs w:val="24"/>
          <w:rtl/>
        </w:rPr>
        <w:t xml:space="preserve">. </w:t>
      </w:r>
    </w:p>
    <w:p w:rsidR="00D90D05" w:rsidRPr="00CC6F90" w:rsidRDefault="00CC6F90" w:rsidP="00D90D05">
      <w:pPr>
        <w:spacing w:line="276" w:lineRule="auto"/>
        <w:jc w:val="both"/>
        <w:rPr>
          <w:rFonts w:cs="David"/>
          <w:sz w:val="24"/>
          <w:szCs w:val="24"/>
          <w:rtl/>
        </w:rPr>
      </w:pPr>
      <w:r w:rsidRPr="00CC6F90">
        <w:rPr>
          <w:rFonts w:cs="David" w:hint="cs"/>
          <w:sz w:val="24"/>
          <w:szCs w:val="24"/>
          <w:rtl/>
        </w:rPr>
        <w:lastRenderedPageBreak/>
        <w:t xml:space="preserve">לגבי ישראלים מקורות המימון בכל מסגרות הטיפול כוללים השתתפות המטופלים בעלויות המסגרת על בסיס זכאותם להבטחת הכנסה. כמו כן, בחלק מהמסגרות יש גם השתתפות של משרד הבינוי המעניק סיוע מיוחד בשכר דירה, נוסף על התקציב של משרד הרווחה שמועבר למסגרת על בסיס תעריף. </w:t>
      </w:r>
    </w:p>
    <w:p w:rsidR="00CC6F90" w:rsidRPr="00CC6F90" w:rsidRDefault="00CC6F90" w:rsidP="00CC6F90">
      <w:pPr>
        <w:numPr>
          <w:ilvl w:val="0"/>
          <w:numId w:val="1"/>
        </w:numPr>
        <w:spacing w:line="276" w:lineRule="auto"/>
        <w:jc w:val="both"/>
        <w:rPr>
          <w:rFonts w:cs="David"/>
          <w:b/>
          <w:bCs/>
          <w:sz w:val="24"/>
          <w:szCs w:val="24"/>
          <w:u w:val="single"/>
        </w:rPr>
      </w:pPr>
      <w:r w:rsidRPr="00CC6F90">
        <w:rPr>
          <w:rFonts w:cs="David" w:hint="cs"/>
          <w:b/>
          <w:bCs/>
          <w:sz w:val="24"/>
          <w:szCs w:val="24"/>
          <w:u w:val="single"/>
          <w:rtl/>
        </w:rPr>
        <w:t>קטינים חסרי מעמד</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המשרד מחויב למתן שרותי רווחה לקטינים בסיכון, אך לא תוקצב לצורך כך. </w:t>
      </w:r>
    </w:p>
    <w:p w:rsidR="00CC6F90" w:rsidRPr="00CC6F90" w:rsidRDefault="00CC6F90" w:rsidP="00CC6F90">
      <w:pPr>
        <w:spacing w:line="276" w:lineRule="auto"/>
        <w:jc w:val="both"/>
        <w:rPr>
          <w:rFonts w:cs="David"/>
          <w:sz w:val="24"/>
          <w:szCs w:val="24"/>
          <w:rtl/>
        </w:rPr>
      </w:pPr>
    </w:p>
    <w:p w:rsidR="00CC6F90" w:rsidRPr="00CC6F90" w:rsidRDefault="00CC6F90" w:rsidP="00CC6F90">
      <w:pPr>
        <w:spacing w:line="276" w:lineRule="auto"/>
        <w:jc w:val="both"/>
        <w:rPr>
          <w:rFonts w:cs="David"/>
          <w:b/>
          <w:bCs/>
          <w:sz w:val="24"/>
          <w:szCs w:val="24"/>
          <w:rtl/>
        </w:rPr>
      </w:pPr>
      <w:r w:rsidRPr="00CC6F90">
        <w:rPr>
          <w:rFonts w:cs="David" w:hint="cs"/>
          <w:b/>
          <w:bCs/>
          <w:sz w:val="24"/>
          <w:szCs w:val="24"/>
          <w:rtl/>
        </w:rPr>
        <w:t xml:space="preserve">אנו מציעים פיתוח או מתן מענים ושירותים בקהילה ובמסגרות החוץ ביתיות, הכל לפי מצבו התפקודי ורמת הסיכון של האדם. </w:t>
      </w:r>
    </w:p>
    <w:p w:rsidR="00CC6F90" w:rsidRPr="00CC6F90" w:rsidRDefault="00CC6F90" w:rsidP="00CC6F90">
      <w:pPr>
        <w:spacing w:line="276" w:lineRule="auto"/>
        <w:jc w:val="both"/>
        <w:rPr>
          <w:rFonts w:cs="David"/>
          <w:sz w:val="24"/>
          <w:szCs w:val="24"/>
          <w:rtl/>
        </w:rPr>
      </w:pPr>
      <w:r w:rsidRPr="00CC6F90">
        <w:rPr>
          <w:rFonts w:cs="David" w:hint="cs"/>
          <w:sz w:val="24"/>
          <w:szCs w:val="24"/>
          <w:rtl/>
        </w:rPr>
        <w:t xml:space="preserve">בטבלה להלן מפורטים השרותים המוצעים על ידינו כולל תקצובם. </w:t>
      </w:r>
    </w:p>
    <w:p w:rsidR="00CC6F90" w:rsidRPr="00CC6F90" w:rsidRDefault="00CC6F90" w:rsidP="00CC6F90">
      <w:pPr>
        <w:spacing w:line="276" w:lineRule="auto"/>
        <w:jc w:val="both"/>
        <w:rPr>
          <w:rFonts w:cs="David"/>
          <w:sz w:val="24"/>
          <w:szCs w:val="24"/>
          <w:rtl/>
        </w:rPr>
      </w:pPr>
    </w:p>
    <w:p w:rsidR="00CC6F90" w:rsidRDefault="00CC6F90" w:rsidP="00CC6F90">
      <w:pPr>
        <w:pStyle w:val="a7"/>
        <w:numPr>
          <w:ilvl w:val="0"/>
          <w:numId w:val="4"/>
        </w:numPr>
        <w:spacing w:line="276" w:lineRule="auto"/>
        <w:jc w:val="both"/>
        <w:rPr>
          <w:sz w:val="24"/>
          <w:u w:val="single"/>
        </w:rPr>
      </w:pPr>
      <w:r w:rsidRPr="00CC6F90">
        <w:rPr>
          <w:rFonts w:hint="cs"/>
          <w:b/>
          <w:bCs/>
          <w:sz w:val="24"/>
          <w:u w:val="single"/>
          <w:rtl/>
        </w:rPr>
        <w:t>סיכום:</w:t>
      </w:r>
    </w:p>
    <w:p w:rsidR="00D90D05" w:rsidRPr="00CC6F90" w:rsidRDefault="00D90D05" w:rsidP="00D90D05">
      <w:pPr>
        <w:pStyle w:val="a7"/>
        <w:spacing w:line="276" w:lineRule="auto"/>
        <w:ind w:left="502"/>
        <w:jc w:val="both"/>
        <w:rPr>
          <w:sz w:val="24"/>
          <w:u w:val="single"/>
          <w:rtl/>
        </w:rPr>
      </w:pPr>
    </w:p>
    <w:p w:rsidR="00CC6F90" w:rsidRPr="00CC6F90" w:rsidRDefault="00CC6F90" w:rsidP="00CC6F90">
      <w:pPr>
        <w:pStyle w:val="a7"/>
        <w:numPr>
          <w:ilvl w:val="0"/>
          <w:numId w:val="5"/>
        </w:numPr>
        <w:spacing w:line="276" w:lineRule="auto"/>
        <w:jc w:val="both"/>
        <w:rPr>
          <w:sz w:val="24"/>
          <w:rtl/>
        </w:rPr>
      </w:pPr>
      <w:r w:rsidRPr="00CC6F90">
        <w:rPr>
          <w:rFonts w:hint="cs"/>
          <w:sz w:val="24"/>
          <w:rtl/>
        </w:rPr>
        <w:t xml:space="preserve">מדובר בהערכות כלליות בלבד לאור העובדה שאין לנו די מידע לגבי היקפי הצרכים והאוכלוסיות הנזקקות. </w:t>
      </w:r>
    </w:p>
    <w:p w:rsidR="00CC6F90" w:rsidRPr="00CC6F90" w:rsidRDefault="00CC6F90" w:rsidP="00CC6F90">
      <w:pPr>
        <w:spacing w:line="276" w:lineRule="auto"/>
        <w:ind w:left="360"/>
        <w:jc w:val="both"/>
        <w:rPr>
          <w:rFonts w:cs="David"/>
          <w:sz w:val="24"/>
          <w:szCs w:val="24"/>
          <w:rtl/>
        </w:rPr>
      </w:pPr>
      <w:r w:rsidRPr="00CC6F90">
        <w:rPr>
          <w:rFonts w:cs="David" w:hint="cs"/>
          <w:sz w:val="24"/>
          <w:szCs w:val="24"/>
          <w:rtl/>
        </w:rPr>
        <w:t xml:space="preserve">תקציב משרד הרווחה כיום, עומד על 8 מיליארד ₪ לשנה, ומספר התושבים במדינה עומד על כ-8 מליון. לפי חישוב גס מדובר על השקעה בשרותי רווחה, בגובה של כ-1000 ₪ לתושב. על פי הערכה זו נדרש תקציב תוספתי של כ-45 מליון ₪ למתן שרותי רווחה לאוכלוסיית הזרים שאינם ברי הרחקה. גם החלטה למתן שרותים מצומצמים יותר ולקבוצות מסוימות בלבד, תדרוש תוספת של כ- 30 מליון ₪ לשנה לכל הפחות. זאת מבלי לכלול את המצוקות והצרכים הנוספים של קבוצות אוכלוסייה נוספות חסרות המעמד, שאינם נכללים באוכלוסיות שהוגדרו בדוח המבקר ובהמלצות הצוות. </w:t>
      </w:r>
    </w:p>
    <w:p w:rsidR="00CC6F90" w:rsidRPr="00CC6F90" w:rsidRDefault="00CC6F90" w:rsidP="00CC6F90">
      <w:pPr>
        <w:spacing w:line="276" w:lineRule="auto"/>
        <w:ind w:left="360"/>
        <w:jc w:val="both"/>
        <w:rPr>
          <w:rFonts w:cs="David"/>
          <w:b/>
          <w:bCs/>
          <w:sz w:val="24"/>
          <w:szCs w:val="24"/>
          <w:rtl/>
        </w:rPr>
      </w:pPr>
      <w:r w:rsidRPr="00CC6F90">
        <w:rPr>
          <w:rFonts w:cs="David" w:hint="cs"/>
          <w:b/>
          <w:bCs/>
          <w:sz w:val="24"/>
          <w:szCs w:val="24"/>
          <w:rtl/>
        </w:rPr>
        <w:t xml:space="preserve">יודגש כי המשרד יקח על עצמו להרחיב הטיפול והמענים אשר באחריותו לזרים שאינם ברי הרחקה, </w:t>
      </w:r>
      <w:r w:rsidRPr="00CC6F90">
        <w:rPr>
          <w:rFonts w:cs="David" w:hint="cs"/>
          <w:b/>
          <w:bCs/>
          <w:sz w:val="24"/>
          <w:szCs w:val="24"/>
          <w:u w:val="single"/>
          <w:rtl/>
        </w:rPr>
        <w:t>כפוף לתוספת תקציבית</w:t>
      </w:r>
      <w:r w:rsidRPr="00CC6F90">
        <w:rPr>
          <w:rFonts w:cs="David" w:hint="cs"/>
          <w:b/>
          <w:bCs/>
          <w:sz w:val="24"/>
          <w:szCs w:val="24"/>
          <w:rtl/>
        </w:rPr>
        <w:t xml:space="preserve"> וזאת מבלי לפגוע בשירותים הניתנים לתושבי ישראל.</w:t>
      </w:r>
    </w:p>
    <w:p w:rsidR="00CC6F90" w:rsidRPr="00CC6F90" w:rsidRDefault="00CC6F90" w:rsidP="00CC6F90">
      <w:pPr>
        <w:spacing w:line="276" w:lineRule="auto"/>
        <w:jc w:val="both"/>
        <w:rPr>
          <w:rFonts w:cs="David"/>
          <w:sz w:val="24"/>
          <w:szCs w:val="24"/>
          <w:rtl/>
        </w:rPr>
      </w:pPr>
    </w:p>
    <w:p w:rsidR="00CC6F90" w:rsidRDefault="00CC6F90" w:rsidP="00CC6F90">
      <w:pPr>
        <w:pStyle w:val="a7"/>
        <w:numPr>
          <w:ilvl w:val="0"/>
          <w:numId w:val="5"/>
        </w:numPr>
        <w:spacing w:line="276" w:lineRule="auto"/>
        <w:jc w:val="both"/>
        <w:rPr>
          <w:sz w:val="24"/>
        </w:rPr>
      </w:pPr>
      <w:r w:rsidRPr="00CC6F90">
        <w:rPr>
          <w:rFonts w:hint="cs"/>
          <w:b/>
          <w:bCs/>
          <w:sz w:val="24"/>
          <w:u w:val="single"/>
          <w:rtl/>
        </w:rPr>
        <w:t>טבלת ריכוז תקציב נדרש (על פי הערכות בלבד)</w:t>
      </w:r>
      <w:r w:rsidRPr="00CC6F90">
        <w:rPr>
          <w:rFonts w:hint="cs"/>
          <w:sz w:val="24"/>
          <w:rtl/>
        </w:rPr>
        <w:t>:</w:t>
      </w:r>
    </w:p>
    <w:p w:rsidR="00CC6F90" w:rsidRPr="00CC6F90" w:rsidRDefault="00CC6F90" w:rsidP="00CC6F90">
      <w:pPr>
        <w:pStyle w:val="a7"/>
        <w:spacing w:line="276" w:lineRule="auto"/>
        <w:ind w:left="360"/>
        <w:jc w:val="both"/>
        <w:rPr>
          <w:sz w:val="24"/>
        </w:rPr>
      </w:pPr>
    </w:p>
    <w:p w:rsidR="00CC6F90" w:rsidRPr="00CC6F90" w:rsidRDefault="00CC6F90" w:rsidP="00CC6F90">
      <w:pPr>
        <w:pStyle w:val="a7"/>
        <w:spacing w:line="276" w:lineRule="auto"/>
        <w:ind w:left="360"/>
        <w:jc w:val="both"/>
        <w:rPr>
          <w:sz w:val="24"/>
          <w:rtl/>
        </w:rPr>
      </w:pPr>
    </w:p>
    <w:tbl>
      <w:tblPr>
        <w:tblStyle w:val="a5"/>
        <w:bidiVisual/>
        <w:tblW w:w="10134" w:type="dxa"/>
        <w:jc w:val="center"/>
        <w:tblLook w:val="04A0" w:firstRow="1" w:lastRow="0" w:firstColumn="1" w:lastColumn="0" w:noHBand="0" w:noVBand="1"/>
      </w:tblPr>
      <w:tblGrid>
        <w:gridCol w:w="1665"/>
        <w:gridCol w:w="2717"/>
        <w:gridCol w:w="1985"/>
        <w:gridCol w:w="17"/>
        <w:gridCol w:w="1684"/>
        <w:gridCol w:w="17"/>
        <w:gridCol w:w="2032"/>
        <w:gridCol w:w="17"/>
      </w:tblGrid>
      <w:tr w:rsidR="00CC6F90" w:rsidRPr="00CC6F90" w:rsidTr="00CA4DEE">
        <w:trPr>
          <w:trHeight w:val="732"/>
          <w:tblHeader/>
          <w:jc w:val="center"/>
        </w:trPr>
        <w:tc>
          <w:tcPr>
            <w:tcW w:w="1665" w:type="dxa"/>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אוכלוסייה</w:t>
            </w:r>
          </w:p>
        </w:tc>
        <w:tc>
          <w:tcPr>
            <w:tcW w:w="2717" w:type="dxa"/>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המענה</w:t>
            </w:r>
          </w:p>
        </w:tc>
        <w:tc>
          <w:tcPr>
            <w:tcW w:w="2002" w:type="dxa"/>
            <w:gridSpan w:val="2"/>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עלות לאדם לחודש</w:t>
            </w:r>
          </w:p>
        </w:tc>
        <w:tc>
          <w:tcPr>
            <w:tcW w:w="1701" w:type="dxa"/>
            <w:gridSpan w:val="2"/>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הערכת היקף מטופלים לשנה</w:t>
            </w:r>
          </w:p>
        </w:tc>
        <w:tc>
          <w:tcPr>
            <w:tcW w:w="2049" w:type="dxa"/>
            <w:gridSpan w:val="2"/>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סה"כ תקציב נדרש</w:t>
            </w:r>
          </w:p>
        </w:tc>
      </w:tr>
      <w:tr w:rsidR="00CC6F90" w:rsidRPr="00CC6F90" w:rsidTr="00CA4DEE">
        <w:trPr>
          <w:trHeight w:val="841"/>
          <w:jc w:val="center"/>
        </w:trPr>
        <w:tc>
          <w:tcPr>
            <w:tcW w:w="1665" w:type="dxa"/>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קרבנות סחר ועבדות</w:t>
            </w: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הרחבת מרכז יום בתל אביב</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200</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400,000</w:t>
            </w:r>
          </w:p>
        </w:tc>
      </w:tr>
      <w:tr w:rsidR="00CC6F90" w:rsidRPr="00CC6F90" w:rsidTr="00CA4DEE">
        <w:trPr>
          <w:trHeight w:val="721"/>
          <w:jc w:val="center"/>
        </w:trPr>
        <w:tc>
          <w:tcPr>
            <w:tcW w:w="1665" w:type="dxa"/>
            <w:vMerge w:val="restart"/>
          </w:tcPr>
          <w:p w:rsidR="00CC6F90" w:rsidRPr="00CC6F90" w:rsidRDefault="00CC6F90" w:rsidP="00CA4DEE">
            <w:pPr>
              <w:spacing w:line="276" w:lineRule="auto"/>
              <w:jc w:val="center"/>
              <w:rPr>
                <w:rFonts w:cs="David"/>
                <w:b/>
                <w:bCs/>
                <w:sz w:val="24"/>
                <w:szCs w:val="24"/>
                <w:rtl/>
              </w:rPr>
            </w:pPr>
          </w:p>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נשים נפגעות אלימות במשפחה</w:t>
            </w: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מקלט ייעודי לנשים נפגעות אלימות או השמה במקלטים קיימים</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14,000 ₪</w:t>
            </w:r>
          </w:p>
          <w:p w:rsidR="00CC6F90" w:rsidRPr="00CC6F90" w:rsidRDefault="00CC6F90" w:rsidP="00CA4DEE">
            <w:pPr>
              <w:spacing w:line="276" w:lineRule="auto"/>
              <w:jc w:val="center"/>
              <w:rPr>
                <w:rFonts w:cs="David"/>
                <w:sz w:val="24"/>
                <w:szCs w:val="24"/>
                <w:rtl/>
              </w:rPr>
            </w:pP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24 נשים</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4,032,000</w:t>
            </w:r>
          </w:p>
        </w:tc>
      </w:tr>
      <w:tr w:rsidR="00CC6F90" w:rsidRPr="00CC6F90" w:rsidTr="00CA4DEE">
        <w:trPr>
          <w:trHeight w:val="144"/>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4 דירות מעבר בקהילה לנשים נפגעות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6,500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8 נשים</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624,000</w:t>
            </w:r>
          </w:p>
        </w:tc>
      </w:tr>
      <w:tr w:rsidR="00CC6F90" w:rsidRPr="00CC6F90" w:rsidTr="00CA4DEE">
        <w:trPr>
          <w:trHeight w:val="1301"/>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מענים בקהילה לנשים נפגעות אלימות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1,400 ₪ למשפחה</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100-120 משפחות</w:t>
            </w:r>
          </w:p>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 (4 רשויות)</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2,016,000</w:t>
            </w:r>
          </w:p>
        </w:tc>
      </w:tr>
      <w:tr w:rsidR="00CC6F90" w:rsidRPr="00CC6F90" w:rsidTr="00CA4DEE">
        <w:trPr>
          <w:trHeight w:val="360"/>
          <w:jc w:val="center"/>
        </w:trPr>
        <w:tc>
          <w:tcPr>
            <w:tcW w:w="1665" w:type="dxa"/>
            <w:vMerge w:val="restart"/>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בעלי נכויות / מוגבלויות</w:t>
            </w: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מסגרת דיור לנכים פיזית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14,000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20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3,360,000</w:t>
            </w:r>
          </w:p>
        </w:tc>
      </w:tr>
      <w:tr w:rsidR="00CC6F90" w:rsidRPr="00CC6F90" w:rsidTr="00CA4DEE">
        <w:trPr>
          <w:trHeight w:val="540"/>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מסגרת דיור לבעלי מוגבלות (לא פיזית)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9,000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20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2,160,000</w:t>
            </w:r>
          </w:p>
        </w:tc>
      </w:tr>
      <w:tr w:rsidR="00CC6F90" w:rsidRPr="00CC6F90" w:rsidTr="00CA4DEE">
        <w:trPr>
          <w:trHeight w:val="144"/>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מרכז יום לבעלי מוגבלות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5,500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80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5,280,000</w:t>
            </w:r>
          </w:p>
        </w:tc>
      </w:tr>
      <w:tr w:rsidR="00CC6F90" w:rsidRPr="00CC6F90" w:rsidTr="00CA4DEE">
        <w:trPr>
          <w:trHeight w:val="144"/>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תעסוקה תומכת לבעלי </w:t>
            </w:r>
            <w:r w:rsidRPr="00CC6F90">
              <w:rPr>
                <w:rFonts w:cs="David" w:hint="cs"/>
                <w:sz w:val="24"/>
                <w:szCs w:val="24"/>
                <w:rtl/>
              </w:rPr>
              <w:lastRenderedPageBreak/>
              <w:t>מוגבלות</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lastRenderedPageBreak/>
              <w:t>1,500 ₪</w:t>
            </w:r>
          </w:p>
          <w:p w:rsidR="00CC6F90" w:rsidRPr="00CC6F90" w:rsidRDefault="00CC6F90" w:rsidP="00CA4DEE">
            <w:pPr>
              <w:spacing w:line="276" w:lineRule="auto"/>
              <w:jc w:val="center"/>
              <w:rPr>
                <w:rFonts w:cs="David"/>
                <w:sz w:val="24"/>
                <w:szCs w:val="24"/>
                <w:rtl/>
              </w:rPr>
            </w:pP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lastRenderedPageBreak/>
              <w:t>80</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1,440,000</w:t>
            </w:r>
          </w:p>
        </w:tc>
      </w:tr>
      <w:tr w:rsidR="00CC6F90" w:rsidRPr="00CC6F90" w:rsidTr="00CA4DEE">
        <w:trPr>
          <w:trHeight w:val="721"/>
          <w:jc w:val="center"/>
        </w:trPr>
        <w:tc>
          <w:tcPr>
            <w:tcW w:w="1665" w:type="dxa"/>
            <w:vMerge w:val="restart"/>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דרי רחוב</w:t>
            </w: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בית משותף בקהילה לדרי רחוב כרוניים</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5,600 ₪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24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1,612,800</w:t>
            </w:r>
          </w:p>
        </w:tc>
      </w:tr>
      <w:tr w:rsidR="00CC6F90" w:rsidRPr="00CC6F90" w:rsidTr="00CA4DEE">
        <w:trPr>
          <w:trHeight w:val="540"/>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בית לחיים לדרי רחוב</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9,000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12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1,296,000</w:t>
            </w:r>
          </w:p>
        </w:tc>
      </w:tr>
      <w:tr w:rsidR="00CC6F90" w:rsidRPr="00CC6F90" w:rsidTr="00CA4DEE">
        <w:trPr>
          <w:trHeight w:val="144"/>
          <w:jc w:val="center"/>
        </w:trPr>
        <w:tc>
          <w:tcPr>
            <w:tcW w:w="1665" w:type="dxa"/>
            <w:vMerge/>
          </w:tcPr>
          <w:p w:rsidR="00CC6F90" w:rsidRPr="00CC6F90" w:rsidRDefault="00CC6F90" w:rsidP="00CA4DEE">
            <w:pPr>
              <w:spacing w:line="276" w:lineRule="auto"/>
              <w:jc w:val="both"/>
              <w:rPr>
                <w:rFonts w:cs="David"/>
                <w:sz w:val="24"/>
                <w:szCs w:val="24"/>
                <w:rtl/>
              </w:rPr>
            </w:pP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הוסטל שיקומי לדרי רחוב</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7,000 ₪</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12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1,008,000</w:t>
            </w:r>
          </w:p>
        </w:tc>
      </w:tr>
      <w:tr w:rsidR="00CC6F90" w:rsidRPr="00CC6F90" w:rsidTr="00CA4DEE">
        <w:trPr>
          <w:trHeight w:val="144"/>
          <w:jc w:val="center"/>
        </w:trPr>
        <w:tc>
          <w:tcPr>
            <w:tcW w:w="1665" w:type="dxa"/>
          </w:tcPr>
          <w:p w:rsidR="00CC6F90" w:rsidRPr="00CC6F90" w:rsidRDefault="00CC6F90" w:rsidP="00CA4DEE">
            <w:pPr>
              <w:spacing w:line="276" w:lineRule="auto"/>
              <w:jc w:val="center"/>
              <w:rPr>
                <w:rFonts w:cs="David"/>
                <w:sz w:val="24"/>
                <w:szCs w:val="24"/>
                <w:rtl/>
              </w:rPr>
            </w:pPr>
            <w:r w:rsidRPr="00CC6F90">
              <w:rPr>
                <w:rFonts w:ascii="Arial" w:hAnsi="Arial" w:cs="David" w:hint="cs"/>
                <w:b/>
                <w:bCs/>
                <w:color w:val="000000"/>
                <w:sz w:val="24"/>
                <w:szCs w:val="24"/>
                <w:rtl/>
              </w:rPr>
              <w:t>קטינים</w:t>
            </w:r>
          </w:p>
        </w:tc>
        <w:tc>
          <w:tcPr>
            <w:tcW w:w="2717" w:type="dxa"/>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שרותי רווחה </w:t>
            </w:r>
          </w:p>
        </w:tc>
        <w:tc>
          <w:tcPr>
            <w:tcW w:w="2002"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משתנה בהתאם לצורך</w:t>
            </w:r>
          </w:p>
        </w:tc>
        <w:tc>
          <w:tcPr>
            <w:tcW w:w="1701" w:type="dxa"/>
            <w:gridSpan w:val="2"/>
          </w:tcPr>
          <w:p w:rsidR="00CC6F90" w:rsidRPr="00CC6F90" w:rsidRDefault="00CC6F90" w:rsidP="00CA4DEE">
            <w:pPr>
              <w:spacing w:line="276" w:lineRule="auto"/>
              <w:jc w:val="center"/>
              <w:rPr>
                <w:rFonts w:cs="David"/>
                <w:sz w:val="24"/>
                <w:szCs w:val="24"/>
                <w:rtl/>
              </w:rPr>
            </w:pPr>
            <w:r w:rsidRPr="00CC6F90">
              <w:rPr>
                <w:rFonts w:cs="David" w:hint="cs"/>
                <w:sz w:val="24"/>
                <w:szCs w:val="24"/>
                <w:rtl/>
              </w:rPr>
              <w:t xml:space="preserve">500 </w:t>
            </w:r>
          </w:p>
        </w:tc>
        <w:tc>
          <w:tcPr>
            <w:tcW w:w="2049" w:type="dxa"/>
            <w:gridSpan w:val="2"/>
            <w:vAlign w:val="center"/>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5,000,000</w:t>
            </w:r>
          </w:p>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(לפי 1000 ₪ לאדם)</w:t>
            </w:r>
          </w:p>
        </w:tc>
      </w:tr>
      <w:tr w:rsidR="00CC6F90" w:rsidRPr="00CC6F90" w:rsidTr="00CA4DEE">
        <w:trPr>
          <w:gridAfter w:val="1"/>
          <w:wAfter w:w="17" w:type="dxa"/>
          <w:trHeight w:val="611"/>
          <w:jc w:val="center"/>
        </w:trPr>
        <w:tc>
          <w:tcPr>
            <w:tcW w:w="4382" w:type="dxa"/>
            <w:gridSpan w:val="2"/>
          </w:tcPr>
          <w:p w:rsidR="00CC6F90" w:rsidRPr="00CC6F90" w:rsidRDefault="00CC6F90" w:rsidP="00CA4DEE">
            <w:pPr>
              <w:spacing w:line="276" w:lineRule="auto"/>
              <w:jc w:val="center"/>
              <w:rPr>
                <w:rFonts w:ascii="Arial" w:hAnsi="Arial" w:cs="David"/>
                <w:b/>
                <w:bCs/>
                <w:color w:val="000000"/>
                <w:sz w:val="24"/>
                <w:szCs w:val="24"/>
                <w:rtl/>
              </w:rPr>
            </w:pPr>
            <w:r w:rsidRPr="00CC6F90">
              <w:rPr>
                <w:rFonts w:ascii="Arial" w:hAnsi="Arial" w:cs="David" w:hint="cs"/>
                <w:b/>
                <w:bCs/>
                <w:color w:val="000000"/>
                <w:sz w:val="24"/>
                <w:szCs w:val="24"/>
                <w:rtl/>
              </w:rPr>
              <w:t>הסעות לטיפולים רפואיים (מהמסגרות החוץ ביתיות)</w:t>
            </w:r>
          </w:p>
        </w:tc>
        <w:tc>
          <w:tcPr>
            <w:tcW w:w="1985" w:type="dxa"/>
          </w:tcPr>
          <w:p w:rsidR="00CC6F90" w:rsidRPr="00CC6F90" w:rsidRDefault="00CC6F90" w:rsidP="00CA4DEE">
            <w:pPr>
              <w:spacing w:line="276" w:lineRule="auto"/>
              <w:jc w:val="center"/>
              <w:rPr>
                <w:rFonts w:ascii="Arial" w:hAnsi="Arial" w:cs="David"/>
                <w:color w:val="000000"/>
                <w:sz w:val="24"/>
                <w:szCs w:val="24"/>
                <w:rtl/>
              </w:rPr>
            </w:pPr>
          </w:p>
        </w:tc>
        <w:tc>
          <w:tcPr>
            <w:tcW w:w="1701"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כ- 500</w:t>
            </w:r>
          </w:p>
        </w:tc>
        <w:tc>
          <w:tcPr>
            <w:tcW w:w="2049"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750,000</w:t>
            </w:r>
          </w:p>
        </w:tc>
      </w:tr>
      <w:tr w:rsidR="00CC6F90" w:rsidRPr="00CC6F90" w:rsidTr="00CA4DEE">
        <w:trPr>
          <w:gridAfter w:val="1"/>
          <w:wAfter w:w="17" w:type="dxa"/>
          <w:trHeight w:val="611"/>
          <w:jc w:val="center"/>
        </w:trPr>
        <w:tc>
          <w:tcPr>
            <w:tcW w:w="4382" w:type="dxa"/>
            <w:gridSpan w:val="2"/>
          </w:tcPr>
          <w:p w:rsidR="00CC6F90" w:rsidRPr="00CC6F90" w:rsidRDefault="00CC6F90" w:rsidP="00CA4DEE">
            <w:pPr>
              <w:spacing w:line="276" w:lineRule="auto"/>
              <w:jc w:val="center"/>
              <w:rPr>
                <w:rFonts w:ascii="Arial" w:hAnsi="Arial" w:cs="David"/>
                <w:b/>
                <w:bCs/>
                <w:color w:val="000000"/>
                <w:sz w:val="24"/>
                <w:szCs w:val="24"/>
              </w:rPr>
            </w:pPr>
            <w:r w:rsidRPr="00CC6F90">
              <w:rPr>
                <w:rFonts w:ascii="Arial" w:hAnsi="Arial" w:cs="David" w:hint="cs"/>
                <w:b/>
                <w:bCs/>
                <w:color w:val="000000"/>
                <w:sz w:val="24"/>
                <w:szCs w:val="24"/>
                <w:rtl/>
              </w:rPr>
              <w:t>גישור שפתי (תרגום)</w:t>
            </w:r>
          </w:p>
        </w:tc>
        <w:tc>
          <w:tcPr>
            <w:tcW w:w="1985" w:type="dxa"/>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120 שעה לשעה</w:t>
            </w:r>
          </w:p>
          <w:p w:rsidR="00CC6F90" w:rsidRPr="00CC6F90" w:rsidRDefault="00CC6F90" w:rsidP="00CA4DEE">
            <w:pPr>
              <w:spacing w:line="276" w:lineRule="auto"/>
              <w:jc w:val="center"/>
              <w:rPr>
                <w:rFonts w:ascii="Arial" w:hAnsi="Arial" w:cs="David"/>
                <w:b/>
                <w:bCs/>
                <w:color w:val="000000"/>
                <w:sz w:val="24"/>
                <w:szCs w:val="24"/>
                <w:rtl/>
              </w:rPr>
            </w:pPr>
            <w:r w:rsidRPr="00CC6F90">
              <w:rPr>
                <w:rFonts w:ascii="Arial" w:hAnsi="Arial" w:cs="David" w:hint="cs"/>
                <w:color w:val="000000"/>
                <w:sz w:val="24"/>
                <w:szCs w:val="24"/>
                <w:rtl/>
              </w:rPr>
              <w:t>4 שעות בממוצע לחודש לכל אדם</w:t>
            </w:r>
          </w:p>
          <w:p w:rsidR="00CC6F90" w:rsidRPr="00CC6F90" w:rsidRDefault="00CC6F90" w:rsidP="00CA4DEE">
            <w:pPr>
              <w:spacing w:line="276" w:lineRule="auto"/>
              <w:jc w:val="center"/>
              <w:rPr>
                <w:rFonts w:ascii="Arial" w:hAnsi="Arial" w:cs="David"/>
                <w:b/>
                <w:bCs/>
                <w:color w:val="000000"/>
                <w:sz w:val="24"/>
                <w:szCs w:val="24"/>
              </w:rPr>
            </w:pPr>
            <w:r w:rsidRPr="00CC6F90">
              <w:rPr>
                <w:rFonts w:ascii="Arial" w:hAnsi="Arial" w:cs="David" w:hint="cs"/>
                <w:b/>
                <w:bCs/>
                <w:color w:val="000000"/>
                <w:sz w:val="24"/>
                <w:szCs w:val="24"/>
                <w:rtl/>
              </w:rPr>
              <w:t>(48 שעות לאדם לשנה בממוצע)</w:t>
            </w:r>
          </w:p>
        </w:tc>
        <w:tc>
          <w:tcPr>
            <w:tcW w:w="1701" w:type="dxa"/>
            <w:gridSpan w:val="2"/>
          </w:tcPr>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כ- 500</w:t>
            </w:r>
          </w:p>
        </w:tc>
        <w:tc>
          <w:tcPr>
            <w:tcW w:w="2049"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2,880,000</w:t>
            </w:r>
          </w:p>
          <w:p w:rsidR="00CC6F90" w:rsidRPr="00CC6F90" w:rsidRDefault="00CC6F90" w:rsidP="00CA4DEE">
            <w:pPr>
              <w:spacing w:line="276" w:lineRule="auto"/>
              <w:jc w:val="center"/>
              <w:rPr>
                <w:rFonts w:ascii="Arial" w:hAnsi="Arial" w:cs="David"/>
                <w:color w:val="000000"/>
                <w:sz w:val="24"/>
                <w:szCs w:val="24"/>
              </w:rPr>
            </w:pPr>
            <w:r w:rsidRPr="00CC6F90">
              <w:rPr>
                <w:rFonts w:ascii="Arial" w:hAnsi="Arial" w:cs="David" w:hint="cs"/>
                <w:color w:val="000000"/>
                <w:sz w:val="24"/>
                <w:szCs w:val="24"/>
                <w:rtl/>
              </w:rPr>
              <w:t>(לפי 48 שבועות עבודה לשנה)</w:t>
            </w:r>
          </w:p>
        </w:tc>
      </w:tr>
      <w:tr w:rsidR="00CC6F90" w:rsidRPr="00CC6F90" w:rsidTr="00CA4DEE">
        <w:trPr>
          <w:gridAfter w:val="1"/>
          <w:wAfter w:w="17" w:type="dxa"/>
          <w:trHeight w:val="611"/>
          <w:jc w:val="center"/>
        </w:trPr>
        <w:tc>
          <w:tcPr>
            <w:tcW w:w="4382" w:type="dxa"/>
            <w:gridSpan w:val="2"/>
          </w:tcPr>
          <w:p w:rsidR="00CC6F90" w:rsidRPr="00CC6F90" w:rsidRDefault="00CC6F90" w:rsidP="00CA4DEE">
            <w:pPr>
              <w:spacing w:line="276" w:lineRule="auto"/>
              <w:jc w:val="center"/>
              <w:rPr>
                <w:rFonts w:ascii="Arial" w:hAnsi="Arial" w:cs="David"/>
                <w:b/>
                <w:bCs/>
                <w:color w:val="000000"/>
                <w:sz w:val="24"/>
                <w:szCs w:val="24"/>
                <w:rtl/>
              </w:rPr>
            </w:pPr>
            <w:r w:rsidRPr="00CC6F90">
              <w:rPr>
                <w:rFonts w:ascii="Arial" w:hAnsi="Arial" w:cs="David" w:hint="cs"/>
                <w:b/>
                <w:bCs/>
                <w:color w:val="000000"/>
                <w:sz w:val="24"/>
                <w:szCs w:val="24"/>
                <w:rtl/>
              </w:rPr>
              <w:t>כוח אדם ברשויות</w:t>
            </w:r>
          </w:p>
        </w:tc>
        <w:tc>
          <w:tcPr>
            <w:tcW w:w="1985" w:type="dxa"/>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150,000 ₪ לתקן עו"ס</w:t>
            </w:r>
          </w:p>
        </w:tc>
        <w:tc>
          <w:tcPr>
            <w:tcW w:w="1701"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50 תקנים</w:t>
            </w:r>
          </w:p>
        </w:tc>
        <w:tc>
          <w:tcPr>
            <w:tcW w:w="2049"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7,500,000</w:t>
            </w:r>
          </w:p>
        </w:tc>
      </w:tr>
      <w:tr w:rsidR="00CC6F90" w:rsidRPr="00CC6F90" w:rsidTr="00CA4DEE">
        <w:trPr>
          <w:trHeight w:val="611"/>
          <w:jc w:val="center"/>
        </w:trPr>
        <w:tc>
          <w:tcPr>
            <w:tcW w:w="8085" w:type="dxa"/>
            <w:gridSpan w:val="6"/>
          </w:tcPr>
          <w:p w:rsidR="00CC6F90" w:rsidRPr="00CC6F90" w:rsidRDefault="00CC6F90" w:rsidP="00CA4DEE">
            <w:pPr>
              <w:spacing w:line="276" w:lineRule="auto"/>
              <w:jc w:val="center"/>
              <w:rPr>
                <w:rFonts w:cs="David"/>
                <w:b/>
                <w:bCs/>
                <w:sz w:val="24"/>
                <w:szCs w:val="24"/>
                <w:rtl/>
              </w:rPr>
            </w:pPr>
            <w:r w:rsidRPr="00CC6F90">
              <w:rPr>
                <w:rFonts w:cs="David" w:hint="cs"/>
                <w:b/>
                <w:bCs/>
                <w:sz w:val="24"/>
                <w:szCs w:val="24"/>
                <w:rtl/>
              </w:rPr>
              <w:t>סה"כ תקציב נדרש (הערכות בלבד) לשנה</w:t>
            </w:r>
          </w:p>
        </w:tc>
        <w:tc>
          <w:tcPr>
            <w:tcW w:w="2049" w:type="dxa"/>
            <w:gridSpan w:val="2"/>
          </w:tcPr>
          <w:p w:rsidR="00CC6F90" w:rsidRPr="00CC6F90" w:rsidRDefault="00CC6F90" w:rsidP="00CA4DEE">
            <w:pPr>
              <w:spacing w:line="276" w:lineRule="auto"/>
              <w:jc w:val="center"/>
              <w:rPr>
                <w:rFonts w:ascii="Arial" w:hAnsi="Arial" w:cs="David"/>
                <w:color w:val="000000"/>
                <w:sz w:val="24"/>
                <w:szCs w:val="24"/>
                <w:rtl/>
              </w:rPr>
            </w:pPr>
            <w:r w:rsidRPr="00CC6F90">
              <w:rPr>
                <w:rFonts w:ascii="Arial" w:hAnsi="Arial" w:cs="David" w:hint="cs"/>
                <w:color w:val="000000"/>
                <w:sz w:val="24"/>
                <w:szCs w:val="24"/>
                <w:rtl/>
              </w:rPr>
              <w:t>כ- 39,300,000 ₪</w:t>
            </w:r>
          </w:p>
        </w:tc>
      </w:tr>
    </w:tbl>
    <w:p w:rsidR="00CC6F90" w:rsidRDefault="00CC6F90" w:rsidP="00CC6F90">
      <w:pPr>
        <w:spacing w:line="276" w:lineRule="auto"/>
        <w:jc w:val="both"/>
        <w:rPr>
          <w:rFonts w:cs="David"/>
          <w:sz w:val="24"/>
          <w:szCs w:val="24"/>
          <w:rtl/>
        </w:rPr>
      </w:pPr>
    </w:p>
    <w:p w:rsidR="009F6C8C" w:rsidRPr="00CC6F90" w:rsidRDefault="009F6C8C" w:rsidP="00CC6F90">
      <w:pPr>
        <w:spacing w:line="276" w:lineRule="auto"/>
        <w:jc w:val="both"/>
        <w:rPr>
          <w:rFonts w:cs="David"/>
          <w:sz w:val="24"/>
          <w:szCs w:val="24"/>
          <w:rtl/>
        </w:rPr>
      </w:pPr>
    </w:p>
    <w:p w:rsidR="00CC6F90" w:rsidRDefault="00CC6F90" w:rsidP="00CC6F90">
      <w:pPr>
        <w:pStyle w:val="a7"/>
        <w:numPr>
          <w:ilvl w:val="0"/>
          <w:numId w:val="5"/>
        </w:numPr>
        <w:spacing w:line="276" w:lineRule="auto"/>
        <w:jc w:val="both"/>
        <w:rPr>
          <w:sz w:val="24"/>
        </w:rPr>
      </w:pPr>
      <w:r w:rsidRPr="00CC6F90">
        <w:rPr>
          <w:rFonts w:hint="cs"/>
          <w:sz w:val="24"/>
          <w:rtl/>
        </w:rPr>
        <w:t>יתר על כן, נדרשת מדיניות ממשלתית כוללת, ובכוונת המשרד להוביל הקמת צוות בינמשרדי של כל המשרדים הרלבנטיי</w:t>
      </w:r>
      <w:r w:rsidRPr="00CC6F90">
        <w:rPr>
          <w:rFonts w:hint="eastAsia"/>
          <w:sz w:val="24"/>
          <w:rtl/>
        </w:rPr>
        <w:t>ם</w:t>
      </w:r>
      <w:r w:rsidRPr="00CC6F90">
        <w:rPr>
          <w:rFonts w:hint="cs"/>
          <w:sz w:val="24"/>
          <w:rtl/>
        </w:rPr>
        <w:t xml:space="preserve">, להסדרת הטיפול באוכלוסייה זו. </w:t>
      </w:r>
    </w:p>
    <w:p w:rsidR="009F6C8C" w:rsidRDefault="009F6C8C" w:rsidP="009F6C8C">
      <w:pPr>
        <w:pStyle w:val="a7"/>
        <w:spacing w:line="276" w:lineRule="auto"/>
        <w:ind w:left="360"/>
        <w:jc w:val="both"/>
        <w:rPr>
          <w:sz w:val="24"/>
        </w:rPr>
      </w:pPr>
    </w:p>
    <w:p w:rsidR="009F6C8C" w:rsidRPr="00CC6F90" w:rsidRDefault="009F6C8C" w:rsidP="00CC6F90">
      <w:pPr>
        <w:pStyle w:val="a7"/>
        <w:numPr>
          <w:ilvl w:val="0"/>
          <w:numId w:val="5"/>
        </w:numPr>
        <w:spacing w:line="276" w:lineRule="auto"/>
        <w:jc w:val="both"/>
        <w:rPr>
          <w:sz w:val="24"/>
          <w:rtl/>
        </w:rPr>
      </w:pPr>
      <w:r>
        <w:rPr>
          <w:rFonts w:hint="cs"/>
          <w:sz w:val="24"/>
          <w:rtl/>
        </w:rPr>
        <w:t>נודה לך אם תזמן בהקדם דיון שתכליתו למצוא פתרון הולם לאוכלוסיית הזרים שאינם ברי הרחקה והעמדת המשאבים הדרושים למימון השירותים שיינתנו לאוכלוסיה זו.</w:t>
      </w:r>
    </w:p>
    <w:p w:rsidR="00CC6F90" w:rsidRDefault="00CC6F90">
      <w:pPr>
        <w:jc w:val="both"/>
        <w:rPr>
          <w:rFonts w:cs="David"/>
          <w:sz w:val="24"/>
          <w:szCs w:val="24"/>
          <w:rtl/>
        </w:rPr>
      </w:pPr>
    </w:p>
    <w:p w:rsidR="00CC6F90" w:rsidRDefault="00CC6F90">
      <w:pPr>
        <w:jc w:val="both"/>
        <w:rPr>
          <w:rFonts w:cs="David"/>
          <w:sz w:val="24"/>
          <w:szCs w:val="24"/>
          <w:rtl/>
        </w:rPr>
      </w:pPr>
    </w:p>
    <w:p w:rsidR="009F6C8C" w:rsidRPr="00CC6F90" w:rsidRDefault="009F6C8C">
      <w:pPr>
        <w:jc w:val="both"/>
        <w:rPr>
          <w:rFonts w:cs="David"/>
          <w:sz w:val="24"/>
          <w:szCs w:val="24"/>
        </w:rPr>
      </w:pPr>
    </w:p>
    <w:p w:rsidR="00C51B7E" w:rsidRPr="00CC6F90" w:rsidRDefault="00C51B7E">
      <w:pPr>
        <w:jc w:val="both"/>
        <w:rPr>
          <w:rFonts w:cs="David"/>
          <w:sz w:val="24"/>
          <w:szCs w:val="24"/>
          <w:rtl/>
        </w:rPr>
      </w:pPr>
    </w:p>
    <w:p w:rsidR="00C51B7E" w:rsidRPr="00CC6F90" w:rsidRDefault="00C51B7E">
      <w:pPr>
        <w:tabs>
          <w:tab w:val="center" w:pos="6804"/>
        </w:tabs>
        <w:jc w:val="both"/>
        <w:rPr>
          <w:rFonts w:cs="David"/>
          <w:sz w:val="24"/>
          <w:szCs w:val="24"/>
          <w:rtl/>
        </w:rPr>
      </w:pPr>
      <w:r w:rsidRPr="00CC6F90">
        <w:rPr>
          <w:rFonts w:cs="David" w:hint="cs"/>
          <w:sz w:val="24"/>
          <w:szCs w:val="24"/>
          <w:rtl/>
        </w:rPr>
        <w:tab/>
      </w:r>
      <w:r w:rsidRPr="00CC6F90">
        <w:rPr>
          <w:rFonts w:cs="David"/>
          <w:sz w:val="24"/>
          <w:szCs w:val="24"/>
          <w:rtl/>
        </w:rPr>
        <w:t>ב ב ר כ ה ,</w:t>
      </w:r>
    </w:p>
    <w:p w:rsidR="00C51B7E" w:rsidRPr="00CC6F90" w:rsidRDefault="00C51B7E">
      <w:pPr>
        <w:tabs>
          <w:tab w:val="left" w:pos="5902"/>
          <w:tab w:val="center" w:pos="6804"/>
        </w:tabs>
        <w:jc w:val="center"/>
        <w:rPr>
          <w:rFonts w:cs="David"/>
          <w:b/>
          <w:sz w:val="24"/>
          <w:szCs w:val="24"/>
          <w:rtl/>
        </w:rPr>
      </w:pPr>
      <w:r w:rsidRPr="00CC6F90">
        <w:rPr>
          <w:rFonts w:cs="David"/>
          <w:b/>
          <w:sz w:val="24"/>
          <w:szCs w:val="24"/>
          <w:rtl/>
        </w:rPr>
        <w:tab/>
      </w:r>
    </w:p>
    <w:p w:rsidR="00C51B7E" w:rsidRPr="00CC6F90" w:rsidRDefault="00C51B7E">
      <w:pPr>
        <w:tabs>
          <w:tab w:val="center" w:pos="6804"/>
        </w:tabs>
        <w:rPr>
          <w:rFonts w:cs="David"/>
          <w:b/>
          <w:sz w:val="24"/>
          <w:szCs w:val="24"/>
          <w:rtl/>
        </w:rPr>
      </w:pPr>
      <w:r w:rsidRPr="00CC6F90">
        <w:rPr>
          <w:rFonts w:cs="David" w:hint="cs"/>
          <w:b/>
          <w:sz w:val="24"/>
          <w:szCs w:val="24"/>
          <w:rtl/>
        </w:rPr>
        <w:tab/>
      </w:r>
      <w:bookmarkStart w:id="5" w:name="SenderTitle"/>
      <w:r w:rsidR="00CD2E7E" w:rsidRPr="00CC6F90">
        <w:rPr>
          <w:rFonts w:cs="David"/>
          <w:b/>
          <w:sz w:val="24"/>
          <w:szCs w:val="24"/>
          <w:rtl/>
        </w:rPr>
        <w:t>ד"ר</w:t>
      </w:r>
      <w:bookmarkEnd w:id="5"/>
      <w:r w:rsidRPr="00CC6F90">
        <w:rPr>
          <w:rFonts w:cs="David" w:hint="cs"/>
          <w:b/>
          <w:sz w:val="24"/>
          <w:szCs w:val="24"/>
          <w:rtl/>
        </w:rPr>
        <w:t> </w:t>
      </w:r>
      <w:bookmarkStart w:id="6" w:name="SenderFname"/>
      <w:r w:rsidR="00CD2E7E" w:rsidRPr="00CC6F90">
        <w:rPr>
          <w:rFonts w:cs="David"/>
          <w:b/>
          <w:sz w:val="24"/>
          <w:szCs w:val="24"/>
          <w:rtl/>
        </w:rPr>
        <w:t>אביגדור</w:t>
      </w:r>
      <w:bookmarkEnd w:id="6"/>
      <w:r w:rsidRPr="00CC6F90">
        <w:rPr>
          <w:rFonts w:cs="David" w:hint="cs"/>
          <w:b/>
          <w:sz w:val="24"/>
          <w:szCs w:val="24"/>
          <w:rtl/>
        </w:rPr>
        <w:t> </w:t>
      </w:r>
      <w:bookmarkStart w:id="7" w:name="SenderLname"/>
      <w:r w:rsidR="00CD2E7E" w:rsidRPr="00CC6F90">
        <w:rPr>
          <w:rFonts w:cs="David"/>
          <w:b/>
          <w:sz w:val="24"/>
          <w:szCs w:val="24"/>
          <w:rtl/>
        </w:rPr>
        <w:t>קפלן</w:t>
      </w:r>
      <w:bookmarkEnd w:id="7"/>
    </w:p>
    <w:p w:rsidR="00C51B7E" w:rsidRPr="00CC6F90" w:rsidRDefault="00C51B7E">
      <w:pPr>
        <w:tabs>
          <w:tab w:val="center" w:pos="6804"/>
        </w:tabs>
        <w:rPr>
          <w:rFonts w:cs="David"/>
          <w:b/>
          <w:sz w:val="24"/>
          <w:szCs w:val="24"/>
          <w:rtl/>
        </w:rPr>
      </w:pPr>
      <w:r w:rsidRPr="00CC6F90">
        <w:rPr>
          <w:rFonts w:cs="David" w:hint="cs"/>
          <w:b/>
          <w:sz w:val="24"/>
          <w:szCs w:val="24"/>
          <w:rtl/>
        </w:rPr>
        <w:tab/>
      </w:r>
      <w:bookmarkStart w:id="8" w:name="SenderPosition"/>
      <w:r w:rsidR="00CD2E7E" w:rsidRPr="00CC6F90">
        <w:rPr>
          <w:rFonts w:cs="David"/>
          <w:b/>
          <w:sz w:val="24"/>
          <w:szCs w:val="24"/>
          <w:rtl/>
        </w:rPr>
        <w:t>המנהל הכללי</w:t>
      </w:r>
      <w:bookmarkEnd w:id="8"/>
    </w:p>
    <w:p w:rsidR="004B2AB7" w:rsidRDefault="004B2AB7">
      <w:pPr>
        <w:tabs>
          <w:tab w:val="left" w:pos="5902"/>
        </w:tabs>
        <w:ind w:left="612" w:hanging="612"/>
        <w:rPr>
          <w:rFonts w:cs="David"/>
          <w:b/>
          <w:sz w:val="24"/>
          <w:szCs w:val="24"/>
          <w:rtl/>
        </w:rPr>
      </w:pPr>
    </w:p>
    <w:p w:rsidR="00D90D05" w:rsidRDefault="00D90D05">
      <w:pPr>
        <w:tabs>
          <w:tab w:val="left" w:pos="5902"/>
        </w:tabs>
        <w:ind w:left="612" w:hanging="612"/>
        <w:rPr>
          <w:rFonts w:cs="David"/>
          <w:b/>
          <w:sz w:val="24"/>
          <w:szCs w:val="24"/>
          <w:rtl/>
        </w:rPr>
      </w:pPr>
    </w:p>
    <w:p w:rsidR="009F6C8C" w:rsidRDefault="009F6C8C" w:rsidP="00D90D05">
      <w:pPr>
        <w:tabs>
          <w:tab w:val="left" w:pos="5902"/>
        </w:tabs>
        <w:rPr>
          <w:rFonts w:cs="David"/>
          <w:b/>
          <w:sz w:val="24"/>
          <w:szCs w:val="24"/>
          <w:rtl/>
        </w:rPr>
      </w:pPr>
    </w:p>
    <w:p w:rsidR="009F6C8C" w:rsidRPr="00CC6F90" w:rsidRDefault="009F6C8C" w:rsidP="00D90D05">
      <w:pPr>
        <w:tabs>
          <w:tab w:val="left" w:pos="5902"/>
        </w:tabs>
        <w:rPr>
          <w:rFonts w:cs="David"/>
          <w:b/>
          <w:sz w:val="24"/>
          <w:szCs w:val="24"/>
          <w:rtl/>
        </w:rPr>
      </w:pPr>
    </w:p>
    <w:p w:rsidR="004B2AB7" w:rsidRDefault="00C51B7E">
      <w:pPr>
        <w:tabs>
          <w:tab w:val="left" w:pos="990"/>
        </w:tabs>
        <w:ind w:left="90"/>
        <w:rPr>
          <w:rFonts w:cs="David"/>
          <w:sz w:val="24"/>
          <w:szCs w:val="24"/>
          <w:rtl/>
        </w:rPr>
      </w:pPr>
      <w:r w:rsidRPr="00CC6F90">
        <w:rPr>
          <w:rFonts w:cs="David"/>
          <w:sz w:val="24"/>
          <w:szCs w:val="24"/>
          <w:rtl/>
        </w:rPr>
        <w:t>העתק:</w:t>
      </w:r>
      <w:r w:rsidRPr="00CC6F90">
        <w:rPr>
          <w:rFonts w:cs="David" w:hint="cs"/>
          <w:sz w:val="24"/>
          <w:szCs w:val="24"/>
          <w:rtl/>
        </w:rPr>
        <w:t xml:space="preserve"> </w:t>
      </w:r>
      <w:bookmarkStart w:id="9" w:name="CopysFullInfuSpasLine"/>
      <w:r w:rsidRPr="00CC6F90">
        <w:rPr>
          <w:rFonts w:cs="David" w:hint="cs"/>
          <w:sz w:val="24"/>
          <w:szCs w:val="24"/>
          <w:rtl/>
        </w:rPr>
        <w:t xml:space="preserve"> </w:t>
      </w:r>
      <w:r w:rsidR="00B229B3">
        <w:rPr>
          <w:rFonts w:cs="David" w:hint="cs"/>
          <w:sz w:val="24"/>
          <w:szCs w:val="24"/>
          <w:rtl/>
        </w:rPr>
        <w:t>ח"כ חיים כץ, שר עבודה, הרווחה והשירותים החברתיים</w:t>
      </w:r>
    </w:p>
    <w:p w:rsidR="004B2AB7" w:rsidRDefault="004B2AB7" w:rsidP="004B2AB7">
      <w:pPr>
        <w:tabs>
          <w:tab w:val="left" w:pos="990"/>
        </w:tabs>
        <w:ind w:left="820"/>
        <w:rPr>
          <w:rFonts w:cs="David"/>
          <w:sz w:val="24"/>
          <w:szCs w:val="24"/>
          <w:rtl/>
        </w:rPr>
      </w:pPr>
      <w:r>
        <w:rPr>
          <w:rFonts w:cs="David" w:hint="cs"/>
          <w:sz w:val="24"/>
          <w:szCs w:val="24"/>
          <w:rtl/>
        </w:rPr>
        <w:t>ח"כ קארין אלהרר, יו"ר הועדה ל</w:t>
      </w:r>
      <w:r w:rsidR="00AA0C24">
        <w:rPr>
          <w:rFonts w:cs="David" w:hint="cs"/>
          <w:sz w:val="24"/>
          <w:szCs w:val="24"/>
          <w:rtl/>
        </w:rPr>
        <w:t xml:space="preserve">ענייני </w:t>
      </w:r>
      <w:r>
        <w:rPr>
          <w:rFonts w:cs="David" w:hint="cs"/>
          <w:sz w:val="24"/>
          <w:szCs w:val="24"/>
          <w:rtl/>
        </w:rPr>
        <w:t>ביקורת המדינה</w:t>
      </w:r>
    </w:p>
    <w:p w:rsidR="00A83A69" w:rsidRDefault="004B2AB7" w:rsidP="004B2AB7">
      <w:pPr>
        <w:tabs>
          <w:tab w:val="left" w:pos="990"/>
        </w:tabs>
        <w:ind w:left="820"/>
        <w:rPr>
          <w:rFonts w:cs="David"/>
          <w:sz w:val="24"/>
          <w:szCs w:val="24"/>
          <w:rtl/>
        </w:rPr>
      </w:pPr>
      <w:r>
        <w:rPr>
          <w:rFonts w:cs="David" w:hint="cs"/>
          <w:sz w:val="24"/>
          <w:szCs w:val="24"/>
          <w:rtl/>
        </w:rPr>
        <w:t>ח"כ אלי אלאלוף, יו"ר ועדת העבודה, הרווחה והבריאות</w:t>
      </w:r>
      <w:r w:rsidR="00C51B7E" w:rsidRPr="00CC6F90">
        <w:rPr>
          <w:rFonts w:cs="David" w:hint="cs"/>
          <w:sz w:val="24"/>
          <w:szCs w:val="24"/>
          <w:rtl/>
        </w:rPr>
        <w:t xml:space="preserve">  </w:t>
      </w:r>
      <w:bookmarkEnd w:id="9"/>
    </w:p>
    <w:p w:rsidR="00A83A69" w:rsidRPr="00CC6F90" w:rsidRDefault="00A83A69" w:rsidP="00A83A69">
      <w:pPr>
        <w:tabs>
          <w:tab w:val="left" w:pos="820"/>
        </w:tabs>
        <w:ind w:left="90"/>
        <w:rPr>
          <w:rFonts w:cs="David"/>
          <w:sz w:val="24"/>
          <w:szCs w:val="24"/>
          <w:rtl/>
        </w:rPr>
      </w:pPr>
      <w:r>
        <w:rPr>
          <w:rFonts w:cs="David" w:hint="cs"/>
          <w:sz w:val="24"/>
          <w:szCs w:val="24"/>
          <w:rtl/>
        </w:rPr>
        <w:t xml:space="preserve">              מר אהוד פראוור, סמנכ"ל ממשל וחברה, משרד ראש הממשלה</w:t>
      </w:r>
    </w:p>
    <w:p w:rsidR="004B2AB7" w:rsidRDefault="004B2AB7" w:rsidP="004B2AB7">
      <w:pPr>
        <w:tabs>
          <w:tab w:val="left" w:pos="820"/>
        </w:tabs>
        <w:ind w:left="90"/>
        <w:rPr>
          <w:rFonts w:cs="David"/>
          <w:sz w:val="24"/>
          <w:szCs w:val="24"/>
          <w:rtl/>
        </w:rPr>
      </w:pPr>
      <w:r>
        <w:rPr>
          <w:rFonts w:cs="David" w:hint="cs"/>
          <w:sz w:val="24"/>
          <w:szCs w:val="24"/>
          <w:rtl/>
        </w:rPr>
        <w:tab/>
        <w:t>גב' איריס פלורנטין, סמנכ"לית בכירה ומנהלת אגף לשירותים חברתיים ואישיים</w:t>
      </w:r>
    </w:p>
    <w:p w:rsidR="00245937" w:rsidRDefault="004B2AB7" w:rsidP="004B2AB7">
      <w:pPr>
        <w:tabs>
          <w:tab w:val="left" w:pos="820"/>
        </w:tabs>
        <w:ind w:left="90"/>
        <w:rPr>
          <w:rFonts w:cs="David"/>
          <w:sz w:val="24"/>
          <w:szCs w:val="24"/>
          <w:rtl/>
        </w:rPr>
      </w:pPr>
      <w:r>
        <w:rPr>
          <w:rFonts w:cs="David" w:hint="cs"/>
          <w:sz w:val="24"/>
          <w:szCs w:val="24"/>
          <w:rtl/>
        </w:rPr>
        <w:tab/>
        <w:t>מר חנן פריצקי, מנהל אגף בכיר תקצוב וכלכלה</w:t>
      </w:r>
    </w:p>
    <w:p w:rsidR="00734A09" w:rsidRPr="00CC6F90" w:rsidRDefault="00734A09" w:rsidP="00A83A69">
      <w:pPr>
        <w:tabs>
          <w:tab w:val="left" w:pos="820"/>
        </w:tabs>
        <w:ind w:left="90"/>
        <w:rPr>
          <w:rFonts w:cs="David"/>
          <w:sz w:val="24"/>
          <w:szCs w:val="24"/>
          <w:rtl/>
        </w:rPr>
      </w:pPr>
      <w:r>
        <w:rPr>
          <w:rFonts w:cs="David" w:hint="cs"/>
          <w:sz w:val="24"/>
          <w:szCs w:val="24"/>
          <w:rtl/>
        </w:rPr>
        <w:tab/>
      </w:r>
    </w:p>
    <w:sectPr w:rsidR="00734A09" w:rsidRPr="00CC6F90" w:rsidSect="00A918AF">
      <w:headerReference w:type="default" r:id="rId7"/>
      <w:footerReference w:type="default" r:id="rId8"/>
      <w:endnotePr>
        <w:numFmt w:val="lowerLetter"/>
      </w:endnotePr>
      <w:pgSz w:w="11906" w:h="16838" w:code="9"/>
      <w:pgMar w:top="1985" w:right="1361" w:bottom="1531" w:left="1361" w:header="510" w:footer="284"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8EE" w:rsidRDefault="008148EE">
      <w:r>
        <w:separator/>
      </w:r>
    </w:p>
  </w:endnote>
  <w:endnote w:type="continuationSeparator" w:id="0">
    <w:p w:rsidR="008148EE" w:rsidRDefault="0081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70F" w:rsidRPr="008E0FFD" w:rsidRDefault="00A9170F" w:rsidP="00711A56">
    <w:pPr>
      <w:pStyle w:val="a4"/>
      <w:jc w:val="center"/>
      <w:rPr>
        <w:rFonts w:ascii="Arial" w:hAnsi="Arial" w:cs="Arial"/>
        <w:color w:val="000080"/>
        <w:sz w:val="18"/>
        <w:szCs w:val="18"/>
      </w:rPr>
    </w:pPr>
    <w:r w:rsidRPr="008E0FFD">
      <w:rPr>
        <w:rFonts w:ascii="Arial" w:hAnsi="Arial" w:cs="Arial" w:hint="cs"/>
        <w:color w:val="000080"/>
        <w:sz w:val="18"/>
        <w:szCs w:val="18"/>
        <w:rtl/>
      </w:rPr>
      <w:t xml:space="preserve">רחוב קפלן 2 ירושלים, טלפון: 02-6752520 פקס: 02-5632541  דואר אלקטרוני </w:t>
    </w:r>
    <w:hyperlink r:id="rId1" w:history="1">
      <w:r w:rsidRPr="008E0FFD">
        <w:rPr>
          <w:rStyle w:val="Hyperlink"/>
          <w:rFonts w:ascii="Arial" w:hAnsi="Arial" w:cs="Arial"/>
          <w:color w:val="000080"/>
          <w:sz w:val="18"/>
          <w:szCs w:val="18"/>
        </w:rPr>
        <w:t>mankal@molsa.gov.il</w:t>
      </w:r>
    </w:hyperlink>
  </w:p>
  <w:p w:rsidR="00C51B7E" w:rsidRPr="00A9170F" w:rsidRDefault="008148EE" w:rsidP="00A9170F">
    <w:pPr>
      <w:pStyle w:val="a4"/>
      <w:jc w:val="center"/>
      <w:rPr>
        <w:rFonts w:ascii="Arial" w:hAnsi="Arial" w:cs="Arial"/>
        <w:color w:val="000080"/>
        <w:sz w:val="18"/>
        <w:szCs w:val="18"/>
        <w:rtl/>
      </w:rPr>
    </w:pPr>
    <w:hyperlink r:id="rId2" w:history="1">
      <w:r w:rsidR="00A9170F" w:rsidRPr="008E0FFD">
        <w:rPr>
          <w:rStyle w:val="Hyperlink"/>
          <w:rFonts w:ascii="Arial" w:hAnsi="Arial" w:cs="Arial"/>
          <w:color w:val="000080"/>
          <w:sz w:val="18"/>
          <w:szCs w:val="18"/>
        </w:rPr>
        <w:t>www.molsa.gov.il</w:t>
      </w:r>
    </w:hyperlink>
    <w:r w:rsidR="00A9170F" w:rsidRPr="008E0FFD">
      <w:rPr>
        <w:rFonts w:ascii="Arial" w:hAnsi="Arial" w:cs="Arial"/>
        <w:color w:val="000080"/>
        <w:sz w:val="18"/>
        <w:szCs w:val="18"/>
      </w:rPr>
      <w:t xml:space="preserve"> </w:t>
    </w:r>
    <w:hyperlink r:id="rId3" w:history="1"/>
    <w:r w:rsidR="00A9170F" w:rsidRPr="008E0FFD">
      <w:rPr>
        <w:rFonts w:ascii="Arial" w:hAnsi="Arial" w:cs="Arial" w:hint="cs"/>
        <w:color w:val="000080"/>
        <w:sz w:val="18"/>
        <w:szCs w:val="18"/>
        <w:rtl/>
      </w:rPr>
      <w:t xml:space="preserve"> </w:t>
    </w:r>
    <w:r w:rsidR="00A9170F" w:rsidRPr="008E0FFD">
      <w:rPr>
        <w:rFonts w:ascii="Arial" w:hAnsi="Arial" w:cs="Arial"/>
        <w:color w:val="000080"/>
        <w:sz w:val="18"/>
        <w:szCs w:val="18"/>
        <w:rtl/>
      </w:rPr>
      <w:t>–</w:t>
    </w:r>
    <w:r w:rsidR="00A9170F" w:rsidRPr="008E0FFD">
      <w:rPr>
        <w:rFonts w:ascii="Arial" w:hAnsi="Arial" w:cs="Arial" w:hint="cs"/>
        <w:color w:val="000080"/>
        <w:sz w:val="18"/>
        <w:szCs w:val="18"/>
        <w:rtl/>
      </w:rPr>
      <w:t xml:space="preserve"> אתר משרד הרווחה   </w:t>
    </w:r>
    <w:r w:rsidR="00A9170F" w:rsidRPr="008E0FFD">
      <w:rPr>
        <w:color w:val="000080"/>
        <w:sz w:val="18"/>
        <w:szCs w:val="18"/>
      </w:rPr>
      <w:object w:dxaOrig="2235" w:dyaOrig="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18pt" o:ole="">
          <v:imagedata r:id="rId4" o:title=""/>
        </v:shape>
        <o:OLEObject Type="Embed" ProgID="MSPhotoEd.3" ShapeID="_x0000_i1025" DrawAspect="Content" ObjectID="_1551426249" r:id="rId5"/>
      </w:object>
    </w:r>
    <w:r w:rsidR="00A9170F" w:rsidRPr="008E0FFD">
      <w:rPr>
        <w:rFonts w:ascii="Arial" w:hAnsi="Arial" w:cs="Arial" w:hint="cs"/>
        <w:color w:val="000080"/>
        <w:sz w:val="18"/>
        <w:szCs w:val="18"/>
        <w:rtl/>
      </w:rPr>
      <w:t xml:space="preserve">   </w:t>
    </w:r>
    <w:hyperlink r:id="rId6" w:history="1">
      <w:r w:rsidR="00A9170F" w:rsidRPr="008E0FFD">
        <w:rPr>
          <w:rStyle w:val="Hyperlink"/>
          <w:rFonts w:ascii="Arial" w:hAnsi="Arial" w:cs="Arial"/>
          <w:color w:val="000080"/>
          <w:sz w:val="18"/>
          <w:szCs w:val="18"/>
        </w:rPr>
        <w:t>www.gov.il</w:t>
      </w:r>
    </w:hyperlink>
    <w:r w:rsidR="00A9170F" w:rsidRPr="008E0FFD">
      <w:rPr>
        <w:rFonts w:ascii="Arial" w:hAnsi="Arial" w:cs="Arial" w:hint="cs"/>
        <w:color w:val="000080"/>
        <w:sz w:val="18"/>
        <w:szCs w:val="18"/>
        <w:rtl/>
      </w:rPr>
      <w:t xml:space="preserve"> </w:t>
    </w:r>
    <w:r w:rsidR="00A9170F" w:rsidRPr="008E0FFD">
      <w:rPr>
        <w:rFonts w:ascii="Arial" w:hAnsi="Arial" w:cs="Arial"/>
        <w:color w:val="000080"/>
        <w:sz w:val="18"/>
        <w:szCs w:val="18"/>
        <w:rtl/>
      </w:rPr>
      <w:t>–</w:t>
    </w:r>
    <w:r w:rsidR="00A9170F">
      <w:rPr>
        <w:rFonts w:ascii="Arial" w:hAnsi="Arial" w:cs="Arial" w:hint="cs"/>
        <w:color w:val="000080"/>
        <w:sz w:val="18"/>
        <w:szCs w:val="18"/>
        <w:rtl/>
      </w:rPr>
      <w:t xml:space="preserve"> אתר ממשל זמין</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8EE" w:rsidRDefault="008148EE">
      <w:r>
        <w:separator/>
      </w:r>
    </w:p>
  </w:footnote>
  <w:footnote w:type="continuationSeparator" w:id="0">
    <w:p w:rsidR="008148EE" w:rsidRDefault="00814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9573" w:type="dxa"/>
      <w:tblLook w:val="01E0" w:firstRow="1" w:lastRow="1" w:firstColumn="1" w:lastColumn="1" w:noHBand="0" w:noVBand="0"/>
    </w:tblPr>
    <w:tblGrid>
      <w:gridCol w:w="1833"/>
      <w:gridCol w:w="6120"/>
      <w:gridCol w:w="1620"/>
    </w:tblGrid>
    <w:tr w:rsidR="00C51B7E" w:rsidTr="00FD074C">
      <w:tc>
        <w:tcPr>
          <w:tcW w:w="1833" w:type="dxa"/>
          <w:shd w:val="clear" w:color="auto" w:fill="auto"/>
        </w:tcPr>
        <w:p w:rsidR="00C51B7E" w:rsidRDefault="00A32E14">
          <w:pPr>
            <w:pStyle w:val="a3"/>
            <w:rPr>
              <w:rtl/>
            </w:rPr>
          </w:pPr>
          <w:r>
            <w:rPr>
              <w:noProof/>
              <w:rtl/>
              <w:lang w:eastAsia="en-US"/>
            </w:rPr>
            <w:drawing>
              <wp:anchor distT="0" distB="0" distL="114300" distR="114300" simplePos="0" relativeHeight="251657216" behindDoc="0" locked="0" layoutInCell="1" allowOverlap="1">
                <wp:simplePos x="0" y="0"/>
                <wp:positionH relativeFrom="column">
                  <wp:posOffset>338455</wp:posOffset>
                </wp:positionH>
                <wp:positionV relativeFrom="paragraph">
                  <wp:posOffset>22225</wp:posOffset>
                </wp:positionV>
                <wp:extent cx="610235" cy="685800"/>
                <wp:effectExtent l="0" t="0" r="0" b="0"/>
                <wp:wrapNone/>
                <wp:docPr id="46"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235" cy="685800"/>
                        </a:xfrm>
                        <a:prstGeom prst="rect">
                          <a:avLst/>
                        </a:prstGeom>
                        <a:noFill/>
                      </pic:spPr>
                    </pic:pic>
                  </a:graphicData>
                </a:graphic>
                <wp14:sizeRelH relativeFrom="page">
                  <wp14:pctWidth>0</wp14:pctWidth>
                </wp14:sizeRelH>
                <wp14:sizeRelV relativeFrom="page">
                  <wp14:pctHeight>0</wp14:pctHeight>
                </wp14:sizeRelV>
              </wp:anchor>
            </w:drawing>
          </w:r>
        </w:p>
        <w:p w:rsidR="00C51B7E" w:rsidRPr="00217211" w:rsidRDefault="00C51B7E">
          <w:pPr>
            <w:rPr>
              <w:rtl/>
            </w:rPr>
          </w:pPr>
        </w:p>
        <w:p w:rsidR="00C51B7E" w:rsidRDefault="00C51B7E">
          <w:pPr>
            <w:rPr>
              <w:rtl/>
            </w:rPr>
          </w:pPr>
        </w:p>
      </w:tc>
      <w:tc>
        <w:tcPr>
          <w:tcW w:w="6120" w:type="dxa"/>
          <w:shd w:val="clear" w:color="auto" w:fill="auto"/>
        </w:tcPr>
        <w:p w:rsidR="00C51B7E" w:rsidRDefault="00C51B7E">
          <w:pPr>
            <w:pStyle w:val="a3"/>
            <w:rPr>
              <w:rtl/>
            </w:rPr>
          </w:pPr>
        </w:p>
        <w:p w:rsidR="00C51B7E" w:rsidRPr="00FD074C" w:rsidRDefault="00C51B7E" w:rsidP="00F51E3A">
          <w:pPr>
            <w:jc w:val="center"/>
            <w:rPr>
              <w:rFonts w:ascii="Arial" w:hAnsi="Arial" w:cs="Arial"/>
              <w:b/>
              <w:bCs/>
              <w:color w:val="333399"/>
              <w:sz w:val="36"/>
              <w:szCs w:val="36"/>
              <w:rtl/>
            </w:rPr>
          </w:pPr>
          <w:r w:rsidRPr="00FD074C">
            <w:rPr>
              <w:rFonts w:ascii="Arial" w:hAnsi="Arial" w:cs="Arial"/>
              <w:b/>
              <w:bCs/>
              <w:color w:val="333399"/>
              <w:sz w:val="36"/>
              <w:szCs w:val="36"/>
              <w:rtl/>
            </w:rPr>
            <w:t>מדינת ישראל</w:t>
          </w:r>
        </w:p>
        <w:p w:rsidR="00C51B7E" w:rsidRPr="00FD074C" w:rsidRDefault="00C51B7E" w:rsidP="00F51E3A">
          <w:pPr>
            <w:jc w:val="center"/>
            <w:rPr>
              <w:rFonts w:ascii="Arial" w:hAnsi="Arial" w:cs="Arial"/>
              <w:b/>
              <w:bCs/>
              <w:color w:val="333399"/>
              <w:sz w:val="32"/>
              <w:szCs w:val="32"/>
              <w:rtl/>
            </w:rPr>
          </w:pPr>
          <w:r w:rsidRPr="00FD074C">
            <w:rPr>
              <w:rFonts w:ascii="Arial" w:hAnsi="Arial" w:cs="Arial"/>
              <w:b/>
              <w:bCs/>
              <w:color w:val="333399"/>
              <w:sz w:val="32"/>
              <w:szCs w:val="32"/>
              <w:rtl/>
            </w:rPr>
            <w:t xml:space="preserve">משרד </w:t>
          </w:r>
          <w:r w:rsidR="00F51E3A">
            <w:rPr>
              <w:rFonts w:ascii="Arial" w:hAnsi="Arial" w:cs="Arial" w:hint="cs"/>
              <w:b/>
              <w:bCs/>
              <w:color w:val="333399"/>
              <w:sz w:val="32"/>
              <w:szCs w:val="32"/>
              <w:rtl/>
            </w:rPr>
            <w:t xml:space="preserve">העבודה, </w:t>
          </w:r>
          <w:r w:rsidRPr="00FD074C">
            <w:rPr>
              <w:rFonts w:ascii="Arial" w:hAnsi="Arial" w:cs="Arial"/>
              <w:b/>
              <w:bCs/>
              <w:color w:val="333399"/>
              <w:sz w:val="32"/>
              <w:szCs w:val="32"/>
              <w:rtl/>
            </w:rPr>
            <w:t>הרווחה</w:t>
          </w:r>
          <w:r w:rsidR="00861705" w:rsidRPr="00FD074C">
            <w:rPr>
              <w:rFonts w:ascii="Arial" w:hAnsi="Arial" w:cs="Arial" w:hint="cs"/>
              <w:b/>
              <w:bCs/>
              <w:color w:val="333399"/>
              <w:sz w:val="32"/>
              <w:szCs w:val="32"/>
              <w:rtl/>
            </w:rPr>
            <w:t xml:space="preserve"> והשירותים החברתיים</w:t>
          </w:r>
        </w:p>
        <w:p w:rsidR="00C51B7E" w:rsidRPr="00FD074C" w:rsidRDefault="00C51B7E" w:rsidP="00F51E3A">
          <w:pPr>
            <w:jc w:val="center"/>
            <w:rPr>
              <w:rFonts w:ascii="Arial" w:hAnsi="Arial" w:cs="Arial"/>
              <w:b/>
              <w:bCs/>
              <w:color w:val="333399"/>
              <w:sz w:val="30"/>
              <w:szCs w:val="30"/>
              <w:rtl/>
            </w:rPr>
          </w:pPr>
          <w:r w:rsidRPr="00FD074C">
            <w:rPr>
              <w:rFonts w:ascii="Arial" w:hAnsi="Arial" w:cs="Arial"/>
              <w:b/>
              <w:bCs/>
              <w:color w:val="333399"/>
              <w:sz w:val="32"/>
              <w:szCs w:val="32"/>
              <w:rtl/>
            </w:rPr>
            <w:t>לשכת המנהל הכללי</w:t>
          </w:r>
        </w:p>
      </w:tc>
      <w:tc>
        <w:tcPr>
          <w:tcW w:w="1620" w:type="dxa"/>
          <w:shd w:val="clear" w:color="auto" w:fill="auto"/>
        </w:tcPr>
        <w:p w:rsidR="00C51B7E" w:rsidRDefault="00A32E14" w:rsidP="00FD074C">
          <w:pPr>
            <w:pStyle w:val="a3"/>
            <w:tabs>
              <w:tab w:val="clear" w:pos="8306"/>
              <w:tab w:val="right" w:pos="8104"/>
            </w:tabs>
            <w:rPr>
              <w:rtl/>
            </w:rPr>
          </w:pPr>
          <w:r>
            <w:rPr>
              <w:noProof/>
              <w:rtl/>
              <w:lang w:eastAsia="en-US"/>
            </w:rPr>
            <mc:AlternateContent>
              <mc:Choice Requires="wpg">
                <w:drawing>
                  <wp:anchor distT="0" distB="0" distL="114300" distR="114300" simplePos="0" relativeHeight="251658240" behindDoc="1" locked="0" layoutInCell="1" allowOverlap="1">
                    <wp:simplePos x="0" y="0"/>
                    <wp:positionH relativeFrom="column">
                      <wp:posOffset>-194945</wp:posOffset>
                    </wp:positionH>
                    <wp:positionV relativeFrom="paragraph">
                      <wp:posOffset>19050</wp:posOffset>
                    </wp:positionV>
                    <wp:extent cx="1144905" cy="956310"/>
                    <wp:effectExtent l="0" t="0" r="2540" b="0"/>
                    <wp:wrapNone/>
                    <wp:docPr id="1"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4905" cy="956310"/>
                              <a:chOff x="3164" y="2880"/>
                              <a:chExt cx="1803" cy="1506"/>
                            </a:xfrm>
                          </wpg:grpSpPr>
                          <wpg:grpSp>
                            <wpg:cNvPr id="2" name="Group 61"/>
                            <wpg:cNvGrpSpPr>
                              <a:grpSpLocks noChangeAspect="1"/>
                            </wpg:cNvGrpSpPr>
                            <wpg:grpSpPr bwMode="auto">
                              <a:xfrm>
                                <a:off x="3414" y="2880"/>
                                <a:ext cx="1307" cy="1233"/>
                                <a:chOff x="1457" y="326"/>
                                <a:chExt cx="2846" cy="2686"/>
                              </a:xfrm>
                            </wpg:grpSpPr>
                            <wps:wsp>
                              <wps:cNvPr id="3" name="Freeform 62"/>
                              <wps:cNvSpPr>
                                <a:spLocks noChangeAspect="1"/>
                              </wps:cNvSpPr>
                              <wps:spPr bwMode="auto">
                                <a:xfrm>
                                  <a:off x="1457" y="1099"/>
                                  <a:ext cx="1430" cy="1909"/>
                                </a:xfrm>
                                <a:custGeom>
                                  <a:avLst/>
                                  <a:gdLst>
                                    <a:gd name="T0" fmla="*/ 245 w 249"/>
                                    <a:gd name="T1" fmla="*/ 175 h 332"/>
                                    <a:gd name="T2" fmla="*/ 247 w 249"/>
                                    <a:gd name="T3" fmla="*/ 196 h 332"/>
                                    <a:gd name="T4" fmla="*/ 247 w 249"/>
                                    <a:gd name="T5" fmla="*/ 216 h 332"/>
                                    <a:gd name="T6" fmla="*/ 247 w 249"/>
                                    <a:gd name="T7" fmla="*/ 238 h 332"/>
                                    <a:gd name="T8" fmla="*/ 249 w 249"/>
                                    <a:gd name="T9" fmla="*/ 259 h 332"/>
                                    <a:gd name="T10" fmla="*/ 249 w 249"/>
                                    <a:gd name="T11" fmla="*/ 277 h 332"/>
                                    <a:gd name="T12" fmla="*/ 247 w 249"/>
                                    <a:gd name="T13" fmla="*/ 295 h 332"/>
                                    <a:gd name="T14" fmla="*/ 247 w 249"/>
                                    <a:gd name="T15" fmla="*/ 314 h 332"/>
                                    <a:gd name="T16" fmla="*/ 247 w 249"/>
                                    <a:gd name="T17" fmla="*/ 332 h 332"/>
                                    <a:gd name="T18" fmla="*/ 245 w 249"/>
                                    <a:gd name="T19" fmla="*/ 301 h 332"/>
                                    <a:gd name="T20" fmla="*/ 241 w 249"/>
                                    <a:gd name="T21" fmla="*/ 271 h 332"/>
                                    <a:gd name="T22" fmla="*/ 237 w 249"/>
                                    <a:gd name="T23" fmla="*/ 242 h 332"/>
                                    <a:gd name="T24" fmla="*/ 229 w 249"/>
                                    <a:gd name="T25" fmla="*/ 214 h 332"/>
                                    <a:gd name="T26" fmla="*/ 220 w 249"/>
                                    <a:gd name="T27" fmla="*/ 187 h 332"/>
                                    <a:gd name="T28" fmla="*/ 208 w 249"/>
                                    <a:gd name="T29" fmla="*/ 161 h 332"/>
                                    <a:gd name="T30" fmla="*/ 196 w 249"/>
                                    <a:gd name="T31" fmla="*/ 137 h 332"/>
                                    <a:gd name="T32" fmla="*/ 182 w 249"/>
                                    <a:gd name="T33" fmla="*/ 114 h 332"/>
                                    <a:gd name="T34" fmla="*/ 165 w 249"/>
                                    <a:gd name="T35" fmla="*/ 94 h 332"/>
                                    <a:gd name="T36" fmla="*/ 147 w 249"/>
                                    <a:gd name="T37" fmla="*/ 76 h 332"/>
                                    <a:gd name="T38" fmla="*/ 127 w 249"/>
                                    <a:gd name="T39" fmla="*/ 61 h 332"/>
                                    <a:gd name="T40" fmla="*/ 104 w 249"/>
                                    <a:gd name="T41" fmla="*/ 47 h 332"/>
                                    <a:gd name="T42" fmla="*/ 82 w 249"/>
                                    <a:gd name="T43" fmla="*/ 39 h 332"/>
                                    <a:gd name="T44" fmla="*/ 55 w 249"/>
                                    <a:gd name="T45" fmla="*/ 33 h 332"/>
                                    <a:gd name="T46" fmla="*/ 29 w 249"/>
                                    <a:gd name="T47" fmla="*/ 29 h 332"/>
                                    <a:gd name="T48" fmla="*/ 0 w 249"/>
                                    <a:gd name="T49" fmla="*/ 31 h 332"/>
                                    <a:gd name="T50" fmla="*/ 12 w 249"/>
                                    <a:gd name="T51" fmla="*/ 21 h 332"/>
                                    <a:gd name="T52" fmla="*/ 27 w 249"/>
                                    <a:gd name="T53" fmla="*/ 13 h 332"/>
                                    <a:gd name="T54" fmla="*/ 43 w 249"/>
                                    <a:gd name="T55" fmla="*/ 6 h 332"/>
                                    <a:gd name="T56" fmla="*/ 61 w 249"/>
                                    <a:gd name="T57" fmla="*/ 2 h 332"/>
                                    <a:gd name="T58" fmla="*/ 82 w 249"/>
                                    <a:gd name="T59" fmla="*/ 0 h 332"/>
                                    <a:gd name="T60" fmla="*/ 100 w 249"/>
                                    <a:gd name="T61" fmla="*/ 2 h 332"/>
                                    <a:gd name="T62" fmla="*/ 121 w 249"/>
                                    <a:gd name="T63" fmla="*/ 6 h 332"/>
                                    <a:gd name="T64" fmla="*/ 141 w 249"/>
                                    <a:gd name="T65" fmla="*/ 13 h 332"/>
                                    <a:gd name="T66" fmla="*/ 161 w 249"/>
                                    <a:gd name="T67" fmla="*/ 23 h 332"/>
                                    <a:gd name="T68" fmla="*/ 180 w 249"/>
                                    <a:gd name="T69" fmla="*/ 35 h 332"/>
                                    <a:gd name="T70" fmla="*/ 196 w 249"/>
                                    <a:gd name="T71" fmla="*/ 51 h 332"/>
                                    <a:gd name="T72" fmla="*/ 210 w 249"/>
                                    <a:gd name="T73" fmla="*/ 69 h 332"/>
                                    <a:gd name="T74" fmla="*/ 225 w 249"/>
                                    <a:gd name="T75" fmla="*/ 92 h 332"/>
                                    <a:gd name="T76" fmla="*/ 235 w 249"/>
                                    <a:gd name="T77" fmla="*/ 116 h 332"/>
                                    <a:gd name="T78" fmla="*/ 241 w 249"/>
                                    <a:gd name="T79" fmla="*/ 145 h 332"/>
                                    <a:gd name="T80" fmla="*/ 245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45" y="175"/>
                                      </a:moveTo>
                                      <a:lnTo>
                                        <a:pt x="247" y="196"/>
                                      </a:lnTo>
                                      <a:lnTo>
                                        <a:pt x="247" y="216"/>
                                      </a:lnTo>
                                      <a:lnTo>
                                        <a:pt x="247" y="238"/>
                                      </a:lnTo>
                                      <a:lnTo>
                                        <a:pt x="249" y="259"/>
                                      </a:lnTo>
                                      <a:lnTo>
                                        <a:pt x="249" y="277"/>
                                      </a:lnTo>
                                      <a:lnTo>
                                        <a:pt x="247" y="295"/>
                                      </a:lnTo>
                                      <a:lnTo>
                                        <a:pt x="247" y="314"/>
                                      </a:lnTo>
                                      <a:lnTo>
                                        <a:pt x="247" y="332"/>
                                      </a:lnTo>
                                      <a:lnTo>
                                        <a:pt x="245" y="301"/>
                                      </a:lnTo>
                                      <a:lnTo>
                                        <a:pt x="241" y="271"/>
                                      </a:lnTo>
                                      <a:lnTo>
                                        <a:pt x="237" y="242"/>
                                      </a:lnTo>
                                      <a:lnTo>
                                        <a:pt x="229" y="214"/>
                                      </a:lnTo>
                                      <a:lnTo>
                                        <a:pt x="220" y="187"/>
                                      </a:lnTo>
                                      <a:lnTo>
                                        <a:pt x="208" y="161"/>
                                      </a:lnTo>
                                      <a:lnTo>
                                        <a:pt x="196" y="137"/>
                                      </a:lnTo>
                                      <a:lnTo>
                                        <a:pt x="182" y="114"/>
                                      </a:lnTo>
                                      <a:lnTo>
                                        <a:pt x="165" y="94"/>
                                      </a:lnTo>
                                      <a:lnTo>
                                        <a:pt x="147" y="76"/>
                                      </a:lnTo>
                                      <a:lnTo>
                                        <a:pt x="127" y="61"/>
                                      </a:lnTo>
                                      <a:lnTo>
                                        <a:pt x="104" y="47"/>
                                      </a:lnTo>
                                      <a:lnTo>
                                        <a:pt x="82" y="39"/>
                                      </a:lnTo>
                                      <a:lnTo>
                                        <a:pt x="55" y="33"/>
                                      </a:lnTo>
                                      <a:lnTo>
                                        <a:pt x="29" y="29"/>
                                      </a:lnTo>
                                      <a:lnTo>
                                        <a:pt x="0" y="31"/>
                                      </a:lnTo>
                                      <a:lnTo>
                                        <a:pt x="12" y="21"/>
                                      </a:lnTo>
                                      <a:lnTo>
                                        <a:pt x="27" y="13"/>
                                      </a:lnTo>
                                      <a:lnTo>
                                        <a:pt x="43" y="6"/>
                                      </a:lnTo>
                                      <a:lnTo>
                                        <a:pt x="61" y="2"/>
                                      </a:lnTo>
                                      <a:lnTo>
                                        <a:pt x="82" y="0"/>
                                      </a:lnTo>
                                      <a:lnTo>
                                        <a:pt x="100" y="2"/>
                                      </a:lnTo>
                                      <a:lnTo>
                                        <a:pt x="121" y="6"/>
                                      </a:lnTo>
                                      <a:lnTo>
                                        <a:pt x="141" y="13"/>
                                      </a:lnTo>
                                      <a:lnTo>
                                        <a:pt x="161" y="23"/>
                                      </a:lnTo>
                                      <a:lnTo>
                                        <a:pt x="180" y="35"/>
                                      </a:lnTo>
                                      <a:lnTo>
                                        <a:pt x="196" y="51"/>
                                      </a:lnTo>
                                      <a:lnTo>
                                        <a:pt x="210" y="69"/>
                                      </a:lnTo>
                                      <a:lnTo>
                                        <a:pt x="225" y="92"/>
                                      </a:lnTo>
                                      <a:lnTo>
                                        <a:pt x="235" y="116"/>
                                      </a:lnTo>
                                      <a:lnTo>
                                        <a:pt x="241" y="145"/>
                                      </a:lnTo>
                                      <a:lnTo>
                                        <a:pt x="245"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63"/>
                              <wps:cNvSpPr>
                                <a:spLocks noChangeAspect="1"/>
                              </wps:cNvSpPr>
                              <wps:spPr bwMode="auto">
                                <a:xfrm>
                                  <a:off x="2875" y="1103"/>
                                  <a:ext cx="1428" cy="1909"/>
                                </a:xfrm>
                                <a:custGeom>
                                  <a:avLst/>
                                  <a:gdLst>
                                    <a:gd name="T0" fmla="*/ 2 w 249"/>
                                    <a:gd name="T1" fmla="*/ 175 h 332"/>
                                    <a:gd name="T2" fmla="*/ 0 w 249"/>
                                    <a:gd name="T3" fmla="*/ 196 h 332"/>
                                    <a:gd name="T4" fmla="*/ 0 w 249"/>
                                    <a:gd name="T5" fmla="*/ 216 h 332"/>
                                    <a:gd name="T6" fmla="*/ 0 w 249"/>
                                    <a:gd name="T7" fmla="*/ 238 h 332"/>
                                    <a:gd name="T8" fmla="*/ 0 w 249"/>
                                    <a:gd name="T9" fmla="*/ 259 h 332"/>
                                    <a:gd name="T10" fmla="*/ 0 w 249"/>
                                    <a:gd name="T11" fmla="*/ 277 h 332"/>
                                    <a:gd name="T12" fmla="*/ 0 w 249"/>
                                    <a:gd name="T13" fmla="*/ 295 h 332"/>
                                    <a:gd name="T14" fmla="*/ 0 w 249"/>
                                    <a:gd name="T15" fmla="*/ 314 h 332"/>
                                    <a:gd name="T16" fmla="*/ 0 w 249"/>
                                    <a:gd name="T17" fmla="*/ 332 h 332"/>
                                    <a:gd name="T18" fmla="*/ 2 w 249"/>
                                    <a:gd name="T19" fmla="*/ 301 h 332"/>
                                    <a:gd name="T20" fmla="*/ 6 w 249"/>
                                    <a:gd name="T21" fmla="*/ 271 h 332"/>
                                    <a:gd name="T22" fmla="*/ 12 w 249"/>
                                    <a:gd name="T23" fmla="*/ 242 h 332"/>
                                    <a:gd name="T24" fmla="*/ 18 w 249"/>
                                    <a:gd name="T25" fmla="*/ 214 h 332"/>
                                    <a:gd name="T26" fmla="*/ 28 w 249"/>
                                    <a:gd name="T27" fmla="*/ 187 h 332"/>
                                    <a:gd name="T28" fmla="*/ 39 w 249"/>
                                    <a:gd name="T29" fmla="*/ 161 h 332"/>
                                    <a:gd name="T30" fmla="*/ 51 w 249"/>
                                    <a:gd name="T31" fmla="*/ 137 h 332"/>
                                    <a:gd name="T32" fmla="*/ 65 w 249"/>
                                    <a:gd name="T33" fmla="*/ 114 h 332"/>
                                    <a:gd name="T34" fmla="*/ 81 w 249"/>
                                    <a:gd name="T35" fmla="*/ 94 h 332"/>
                                    <a:gd name="T36" fmla="*/ 100 w 249"/>
                                    <a:gd name="T37" fmla="*/ 76 h 332"/>
                                    <a:gd name="T38" fmla="*/ 120 w 249"/>
                                    <a:gd name="T39" fmla="*/ 61 h 332"/>
                                    <a:gd name="T40" fmla="*/ 143 w 249"/>
                                    <a:gd name="T41" fmla="*/ 47 h 332"/>
                                    <a:gd name="T42" fmla="*/ 167 w 249"/>
                                    <a:gd name="T43" fmla="*/ 39 h 332"/>
                                    <a:gd name="T44" fmla="*/ 192 w 249"/>
                                    <a:gd name="T45" fmla="*/ 33 h 332"/>
                                    <a:gd name="T46" fmla="*/ 218 w 249"/>
                                    <a:gd name="T47" fmla="*/ 29 h 332"/>
                                    <a:gd name="T48" fmla="*/ 249 w 249"/>
                                    <a:gd name="T49" fmla="*/ 31 h 332"/>
                                    <a:gd name="T50" fmla="*/ 234 w 249"/>
                                    <a:gd name="T51" fmla="*/ 21 h 332"/>
                                    <a:gd name="T52" fmla="*/ 220 w 249"/>
                                    <a:gd name="T53" fmla="*/ 13 h 332"/>
                                    <a:gd name="T54" fmla="*/ 204 w 249"/>
                                    <a:gd name="T55" fmla="*/ 6 h 332"/>
                                    <a:gd name="T56" fmla="*/ 186 w 249"/>
                                    <a:gd name="T57" fmla="*/ 2 h 332"/>
                                    <a:gd name="T58" fmla="*/ 165 w 249"/>
                                    <a:gd name="T59" fmla="*/ 0 h 332"/>
                                    <a:gd name="T60" fmla="*/ 147 w 249"/>
                                    <a:gd name="T61" fmla="*/ 2 h 332"/>
                                    <a:gd name="T62" fmla="*/ 126 w 249"/>
                                    <a:gd name="T63" fmla="*/ 6 h 332"/>
                                    <a:gd name="T64" fmla="*/ 106 w 249"/>
                                    <a:gd name="T65" fmla="*/ 13 h 332"/>
                                    <a:gd name="T66" fmla="*/ 88 w 249"/>
                                    <a:gd name="T67" fmla="*/ 23 h 332"/>
                                    <a:gd name="T68" fmla="*/ 69 w 249"/>
                                    <a:gd name="T69" fmla="*/ 35 h 332"/>
                                    <a:gd name="T70" fmla="*/ 51 w 249"/>
                                    <a:gd name="T71" fmla="*/ 51 h 332"/>
                                    <a:gd name="T72" fmla="*/ 37 w 249"/>
                                    <a:gd name="T73" fmla="*/ 69 h 332"/>
                                    <a:gd name="T74" fmla="*/ 22 w 249"/>
                                    <a:gd name="T75" fmla="*/ 92 h 332"/>
                                    <a:gd name="T76" fmla="*/ 12 w 249"/>
                                    <a:gd name="T77" fmla="*/ 116 h 332"/>
                                    <a:gd name="T78" fmla="*/ 6 w 249"/>
                                    <a:gd name="T79" fmla="*/ 145 h 332"/>
                                    <a:gd name="T80" fmla="*/ 2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 y="175"/>
                                      </a:moveTo>
                                      <a:lnTo>
                                        <a:pt x="0" y="196"/>
                                      </a:lnTo>
                                      <a:lnTo>
                                        <a:pt x="0" y="216"/>
                                      </a:lnTo>
                                      <a:lnTo>
                                        <a:pt x="0" y="238"/>
                                      </a:lnTo>
                                      <a:lnTo>
                                        <a:pt x="0" y="259"/>
                                      </a:lnTo>
                                      <a:lnTo>
                                        <a:pt x="0" y="277"/>
                                      </a:lnTo>
                                      <a:lnTo>
                                        <a:pt x="0" y="295"/>
                                      </a:lnTo>
                                      <a:lnTo>
                                        <a:pt x="0" y="314"/>
                                      </a:lnTo>
                                      <a:lnTo>
                                        <a:pt x="0" y="332"/>
                                      </a:lnTo>
                                      <a:lnTo>
                                        <a:pt x="2" y="301"/>
                                      </a:lnTo>
                                      <a:lnTo>
                                        <a:pt x="6" y="271"/>
                                      </a:lnTo>
                                      <a:lnTo>
                                        <a:pt x="12" y="242"/>
                                      </a:lnTo>
                                      <a:lnTo>
                                        <a:pt x="18" y="214"/>
                                      </a:lnTo>
                                      <a:lnTo>
                                        <a:pt x="28" y="187"/>
                                      </a:lnTo>
                                      <a:lnTo>
                                        <a:pt x="39" y="161"/>
                                      </a:lnTo>
                                      <a:lnTo>
                                        <a:pt x="51" y="137"/>
                                      </a:lnTo>
                                      <a:lnTo>
                                        <a:pt x="65" y="114"/>
                                      </a:lnTo>
                                      <a:lnTo>
                                        <a:pt x="81" y="94"/>
                                      </a:lnTo>
                                      <a:lnTo>
                                        <a:pt x="100" y="76"/>
                                      </a:lnTo>
                                      <a:lnTo>
                                        <a:pt x="120" y="61"/>
                                      </a:lnTo>
                                      <a:lnTo>
                                        <a:pt x="143" y="47"/>
                                      </a:lnTo>
                                      <a:lnTo>
                                        <a:pt x="167" y="39"/>
                                      </a:lnTo>
                                      <a:lnTo>
                                        <a:pt x="192" y="33"/>
                                      </a:lnTo>
                                      <a:lnTo>
                                        <a:pt x="218" y="29"/>
                                      </a:lnTo>
                                      <a:lnTo>
                                        <a:pt x="249" y="31"/>
                                      </a:lnTo>
                                      <a:lnTo>
                                        <a:pt x="234" y="21"/>
                                      </a:lnTo>
                                      <a:lnTo>
                                        <a:pt x="220" y="13"/>
                                      </a:lnTo>
                                      <a:lnTo>
                                        <a:pt x="204" y="6"/>
                                      </a:lnTo>
                                      <a:lnTo>
                                        <a:pt x="186" y="2"/>
                                      </a:lnTo>
                                      <a:lnTo>
                                        <a:pt x="165" y="0"/>
                                      </a:lnTo>
                                      <a:lnTo>
                                        <a:pt x="147" y="2"/>
                                      </a:lnTo>
                                      <a:lnTo>
                                        <a:pt x="126" y="6"/>
                                      </a:lnTo>
                                      <a:lnTo>
                                        <a:pt x="106" y="13"/>
                                      </a:lnTo>
                                      <a:lnTo>
                                        <a:pt x="88" y="23"/>
                                      </a:lnTo>
                                      <a:lnTo>
                                        <a:pt x="69" y="35"/>
                                      </a:lnTo>
                                      <a:lnTo>
                                        <a:pt x="51" y="51"/>
                                      </a:lnTo>
                                      <a:lnTo>
                                        <a:pt x="37" y="69"/>
                                      </a:lnTo>
                                      <a:lnTo>
                                        <a:pt x="22" y="92"/>
                                      </a:lnTo>
                                      <a:lnTo>
                                        <a:pt x="12" y="116"/>
                                      </a:lnTo>
                                      <a:lnTo>
                                        <a:pt x="6" y="145"/>
                                      </a:lnTo>
                                      <a:lnTo>
                                        <a:pt x="2"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4"/>
                              <wps:cNvSpPr>
                                <a:spLocks noChangeAspect="1"/>
                              </wps:cNvSpPr>
                              <wps:spPr bwMode="auto">
                                <a:xfrm>
                                  <a:off x="2402" y="326"/>
                                  <a:ext cx="599" cy="828"/>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5"/>
                              <wps:cNvSpPr>
                                <a:spLocks noChangeAspect="1"/>
                              </wps:cNvSpPr>
                              <wps:spPr bwMode="auto">
                                <a:xfrm flipH="1">
                                  <a:off x="2757" y="326"/>
                                  <a:ext cx="597" cy="828"/>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6"/>
                              <wps:cNvSpPr>
                                <a:spLocks noChangeAspect="1"/>
                              </wps:cNvSpPr>
                              <wps:spPr bwMode="auto">
                                <a:xfrm rot="7184191">
                                  <a:off x="3520" y="1593"/>
                                  <a:ext cx="599" cy="829"/>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67"/>
                              <wps:cNvSpPr>
                                <a:spLocks noChangeAspect="1"/>
                              </wps:cNvSpPr>
                              <wps:spPr bwMode="auto">
                                <a:xfrm rot="7184191" flipH="1">
                                  <a:off x="3350" y="1895"/>
                                  <a:ext cx="597" cy="829"/>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68"/>
                              <wps:cNvSpPr>
                                <a:spLocks noChangeAspect="1"/>
                              </wps:cNvSpPr>
                              <wps:spPr bwMode="auto">
                                <a:xfrm rot="79209236">
                                  <a:off x="1807" y="1899"/>
                                  <a:ext cx="598" cy="829"/>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69"/>
                              <wps:cNvSpPr>
                                <a:spLocks noChangeAspect="1"/>
                              </wps:cNvSpPr>
                              <wps:spPr bwMode="auto">
                                <a:xfrm rot="14409236" flipH="1">
                                  <a:off x="1627" y="1600"/>
                                  <a:ext cx="597" cy="828"/>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 name="Text Box 70"/>
                            <wps:cNvSpPr txBox="1">
                              <a:spLocks noChangeAspect="1" noChangeArrowheads="1"/>
                            </wps:cNvSpPr>
                            <wps:spPr bwMode="auto">
                              <a:xfrm>
                                <a:off x="3164" y="4037"/>
                                <a:ext cx="1803" cy="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6F4A" w:rsidRPr="00E432C7" w:rsidRDefault="00506F4A" w:rsidP="00506F4A">
                                  <w:pPr>
                                    <w:autoSpaceDE w:val="0"/>
                                    <w:autoSpaceDN w:val="0"/>
                                    <w:adjustRightInd w:val="0"/>
                                    <w:jc w:val="center"/>
                                    <w:rPr>
                                      <w:rFonts w:ascii="Arial" w:hAnsi="Arial" w:cs="Arial"/>
                                      <w:color w:val="000000"/>
                                    </w:rPr>
                                  </w:pPr>
                                  <w:r w:rsidRPr="00E432C7">
                                    <w:rPr>
                                      <w:rFonts w:ascii="Arial" w:hAnsi="Arial" w:cs="Arial"/>
                                      <w:b/>
                                      <w:bCs/>
                                      <w:color w:val="000080"/>
                                      <w:rtl/>
                                    </w:rPr>
                                    <w:t>הלב פתוח לרווחה</w:t>
                                  </w:r>
                                </w:p>
                              </w:txbxContent>
                            </wps:txbx>
                            <wps:bodyPr rot="0" vert="horz" wrap="square" lIns="88697" tIns="44348" rIns="88697" bIns="44348"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left:0;text-align:left;margin-left:-15.35pt;margin-top:1.5pt;width:90.15pt;height:75.3pt;z-index:-251658240" coordorigin="3164,2880" coordsize="1803,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">
                    <v:group id="Group 61" o:spid="_x0000_s1027" style="position:absolute;left:3414;top:2880;width:1307;height:1233" coordorigin="1457,326" coordsize="2846,26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shape id="Freeform 62" o:spid="_x0000_s1028" style="position:absolute;left:1457;top:1099;width:1430;height:190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dKcMA&#10;AADaAAAADwAAAGRycy9kb3ducmV2LnhtbESP0WoCMRRE34X+Q7iFvkjNqqCyGqUKog8KrfYDLpvr&#10;buzmZklSd/17Uyj4OMzMGWax6mwtbuSDcaxgOMhAEBdOGy4VfJ+37zMQISJrrB2TgjsFWC1fegvM&#10;tWv5i26nWIoE4ZCjgirGJpcyFBVZDAPXECfv4rzFmKQvpfbYJrit5SjLJtKi4bRQYUObioqf069V&#10;MPV3+tyOTDu8Xib99fGwM7OwU+rttfuYg4jUxWf4v73XCsbwdyXd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rdKcMAAADaAAAADwAAAAAAAAAAAAAAAACYAgAAZHJzL2Rv&#10;d25yZXYueG1sUEsFBgAAAAAEAAQA9QAAAIgDAAAAAA==&#10;" path="m245,175r2,21l247,216r,22l249,259r,18l247,295r,19l247,332r-2,-31l241,271r-4,-29l229,214r-9,-27l208,161,196,137,182,114,165,94,147,76,127,61,104,47,82,39,55,33,29,29,,31,12,21,27,13,43,6,61,2,82,r18,2l121,6r20,7l161,23r19,12l196,51r14,18l225,92r10,24l241,145r4,30xe" fillcolor="#2b0e72" stroked="f">
                        <v:path arrowok="t" o:connecttype="custom" o:connectlocs="1407,1006;1419,1127;1419,1242;1419,1369;1430,1489;1430,1593;1419,1696;1419,1806;1419,1909;1407,1731;1384,1558;1361,1392;1315,1231;1263,1075;1195,926;1126,788;1045,656;948,541;844,437;729,351;597,270;471,224;316,190;167,167;0,178;69,121;155,75;247,35;350,12;471,0;574,12;695,35;810,75;925,132;1034,201;1126,293;1206,397;1292,529;1350,667;1384,834;1407,1006" o:connectangles="0,0,0,0,0,0,0,0,0,0,0,0,0,0,0,0,0,0,0,0,0,0,0,0,0,0,0,0,0,0,0,0,0,0,0,0,0,0,0,0,0"/>
                        <o:lock v:ext="edit" aspectratio="t"/>
                      </v:shape>
                      <v:shape id="Freeform 63" o:spid="_x0000_s1029" style="position:absolute;left:2875;top:1103;width:1428;height:190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NFXcMA&#10;AADaAAAADwAAAGRycy9kb3ducmV2LnhtbESP0WoCMRRE34X+Q7iFvkjNKqKyGqUKog8KrfYDLpvr&#10;buzmZklSd/17Uyj4OMzMGWax6mwtbuSDcaxgOMhAEBdOGy4VfJ+37zMQISJrrB2TgjsFWC1fegvM&#10;tWv5i26nWIoE4ZCjgirGJpcyFBVZDAPXECfv4rzFmKQvpfbYJrit5SjLJtKi4bRQYUObioqf069V&#10;MPV3+tyOTDu8Xib99fGwM7OwU+rttfuYg4jUxWf4v73XCsbwdyXd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NFXcMAAADaAAAADwAAAAAAAAAAAAAAAACYAgAAZHJzL2Rv&#10;d25yZXYueG1sUEsFBgAAAAAEAAQA9QAAAIgDAAAAAA==&#10;" path="m2,175l,196r,20l,238r,21l,277r,18l,314r,18l2,301,6,271r6,-29l18,214,28,187,39,161,51,137,65,114,81,94,100,76,120,61,143,47r24,-8l192,33r26,-4l249,31,234,21,220,13,204,6,186,2,165,,147,2,126,6r-20,7l88,23,69,35,51,51,37,69,22,92,12,116,6,145,2,175xe" fillcolor="#2b0e72" stroked="f">
                        <v:path arrowok="t" o:connecttype="custom" o:connectlocs="11,1006;0,1127;0,1242;0,1369;0,1489;0,1593;0,1696;0,1806;0,1909;11,1731;34,1558;69,1392;103,1231;161,1075;224,926;292,788;373,656;465,541;573,437;688,351;820,270;958,224;1101,190;1250,167;1428,178;1342,121;1262,75;1170,35;1067,12;946,0;843,12;723,35;608,75;505,132;396,201;292,293;212,397;126,529;69,667;34,834;11,1006" o:connectangles="0,0,0,0,0,0,0,0,0,0,0,0,0,0,0,0,0,0,0,0,0,0,0,0,0,0,0,0,0,0,0,0,0,0,0,0,0,0,0,0,0"/>
                        <o:lock v:ext="edit" aspectratio="t"/>
                      </v:shape>
                      <v:shape id="Freeform 64" o:spid="_x0000_s1030" style="position:absolute;left:2402;top:326;width:599;height:828;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CXMMA&#10;AADaAAAADwAAAGRycy9kb3ducmV2LnhtbESPwWrDMBBE74X+g9hAL6WR0ySmOFFCW2jwMbb7AYu1&#10;tU2slZGU2O3XV4FAjsPMvGG2+8n04kLOd5YVLOYJCOLa6o4bBd/V18sbCB+QNfaWScEvedjvHh+2&#10;mGk7ckGXMjQiQthnqKANYcik9HVLBv3cDsTR+7HOYIjSNVI7HCPc9PI1SVJpsOO40OJAny3Vp/Js&#10;FJzyalnl4+rZNeWh+CgO6fEvTZV6mk3vGxCBpnAP39q5VrCG65V4A+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nCXMMAAADaAAAADwAAAAAAAAAAAAAAAACYAgAAZHJzL2Rv&#10;d25yZXYueG1sUEsFBgAAAAAEAAQA9QAAAIgDAAAAAA==&#10;" path="m84,l,143r45,l106,39,84,xe" fillcolor="#2b0e72" stroked="f">
                        <v:path arrowok="t" o:connecttype="custom" o:connectlocs="475,0;0,828;254,828;599,226;475,0" o:connectangles="0,0,0,0,0"/>
                        <o:lock v:ext="edit" aspectratio="t"/>
                      </v:shape>
                      <v:shape id="Freeform 65" o:spid="_x0000_s1031" style="position:absolute;left:2757;top:326;width:597;height:828;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rw8sQA&#10;AADaAAAADwAAAGRycy9kb3ducmV2LnhtbESPT2vCQBTE7wW/w/IEb3WjYCrRVUJA8CK0aS+9PbPP&#10;JJh9G7KbP/rpu4VCj8PM/IbZHyfTiIE6V1tWsFpGIIgLq2suFXx9nl63IJxH1thYJgUPcnA8zF72&#10;mGg78gcNuS9FgLBLUEHlfZtI6YqKDLqlbYmDd7OdQR9kV0rd4RjgppHrKIqlwZrDQoUtZRUV97w3&#10;CrLL5t6v1tf39HrTmPXfzVv6PCm1mE/pDoSnyf+H/9pnrSCG3yvhBs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q8PLEAAAA2gAAAA8AAAAAAAAAAAAAAAAAmAIAAGRycy9k&#10;b3ducmV2LnhtbFBLBQYAAAAABAAEAPUAAACJAwAAAAA=&#10;" path="m84,l,143r45,l106,39,84,xe" fillcolor="#2b0e72" stroked="f">
                        <v:path arrowok="t" o:connecttype="custom" o:connectlocs="473,0;0,828;253,828;597,226;473,0" o:connectangles="0,0,0,0,0"/>
                        <o:lock v:ext="edit" aspectratio="t"/>
                      </v:shape>
                      <v:shape id="Freeform 66" o:spid="_x0000_s1032" style="position:absolute;left:3520;top:1593;width:599;height:829;rotation:784705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VmEsMA&#10;AADaAAAADwAAAGRycy9kb3ducmV2LnhtbESPQWvCQBSE70L/w/IK3nTTCFVS12BLA6Intb2/Zl+T&#10;0OzbkF3N6q/vCoLHYWa+YZZ5MK04U+8aywpepgkI4tLqhisFX8disgDhPLLG1jIpuJCDfPU0WmKm&#10;7cB7Oh98JSKEXYYKau+7TEpX1mTQTW1HHL1f2xv0UfaV1D0OEW5amSbJqzTYcFyosaOPmsq/w8lE&#10;Srgms/QSPovdNq2+N9uf93UxV2r8HNZvIDwF/wjf2xutYA63K/EG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VmEsMAAADaAAAADwAAAAAAAAAAAAAAAACYAgAAZHJzL2Rv&#10;d25yZXYueG1sUEsFBgAAAAAEAAQA9QAAAIgDAAAAAA==&#10;" path="m84,l,143r45,l106,39,84,xe" fillcolor="#2b0e72" stroked="f">
                        <v:path arrowok="t" o:connecttype="custom" o:connectlocs="475,0;0,829;254,829;599,226;475,0" o:connectangles="0,0,0,0,0"/>
                        <o:lock v:ext="edit" aspectratio="t"/>
                      </v:shape>
                      <v:shape id="Freeform 67" o:spid="_x0000_s1033" style="position:absolute;left:3350;top:1895;width:597;height:829;rotation:-784705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yScAA&#10;AADaAAAADwAAAGRycy9kb3ducmV2LnhtbERPy2rCQBTdF/yH4Qrd1YmhlJI6SisxuIqo/YBL5poE&#10;M3dCZvLy651FocvDeW92k2nEQJ2rLStYryIQxIXVNZcKfq+Ht08QziNrbCyTgpkc7LaLlw0m2o58&#10;puHiSxFC2CWooPK+TaR0RUUG3cq2xIG72c6gD7Arpe5wDOGmkXEUfUiDNYeGClvaV1TcL71RsM/1&#10;4yeNT4/7/J5m2TjneX/rlXpdTt9fIDxN/l/85z5qBWFruBJugN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3+yScAAAADaAAAADwAAAAAAAAAAAAAAAACYAgAAZHJzL2Rvd25y&#10;ZXYueG1sUEsFBgAAAAAEAAQA9QAAAIUDAAAAAA==&#10;" path="m84,l,143r45,l106,39,84,xe" fillcolor="#2b0e72" stroked="f">
                        <v:path arrowok="t" o:connecttype="custom" o:connectlocs="473,0;0,829;253,829;597,226;473,0" o:connectangles="0,0,0,0,0"/>
                        <o:lock v:ext="edit" aspectratio="t"/>
                      </v:shape>
                      <v:shape id="Freeform 68" o:spid="_x0000_s1034" style="position:absolute;left:1807;top:1899;width:598;height:829;rotation:-785423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uQr4A&#10;AADaAAAADwAAAGRycy9kb3ducmV2LnhtbESPzQ7BQBSF9xLvMLkSO6YshDJEJBKW6MbupnO1pXOn&#10;OkPL0xuJxPLk/Hw5i1VrSvGk2hWWFYyGEQji1OqCMwXJaTuYgnAeWWNpmRS8yMFq2e0sMNa24QM9&#10;jz4TYYRdjApy76tYSpfmZNANbUUcvIutDfog60zqGpswbko5jqKJNFhwIORY0San9HZ8mMDdny+T&#10;R/J+Xe9Ne2i2m5t/7xOl+r12PQfhqfX/8K+90wpm8L0Sb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P/bkK+AAAA2gAAAA8AAAAAAAAAAAAAAAAAmAIAAGRycy9kb3ducmV2&#10;LnhtbFBLBQYAAAAABAAEAPUAAACDAwAAAAA=&#10;" path="m84,l,143r45,l106,39,84,xe" fillcolor="#2b0e72" stroked="f">
                        <v:path arrowok="t" o:connecttype="custom" o:connectlocs="474,0;0,829;254,829;598,226;474,0" o:connectangles="0,0,0,0,0"/>
                        <o:lock v:ext="edit" aspectratio="t"/>
                      </v:shape>
                      <v:shape id="Freeform 69" o:spid="_x0000_s1035" style="position:absolute;left:1627;top:1600;width:597;height:828;rotation:785423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CdUsQA&#10;AADbAAAADwAAAGRycy9kb3ducmV2LnhtbESPS2vDQAyE74H+h0WF3uJ1WgjFydqEQOnj5jwKvQmv&#10;Ypt4tca7id3++ugQ6E1iRjOf1sXkOnWlIbSeDSySFBRx5W3LtYHD/m3+CipEZIudZzLwSwGK/GG2&#10;xsz6kUu67mKtJIRDhgaaGPtM61A15DAkvicW7eQHh1HWodZ2wFHCXaef03SpHbYsDQ32tG2oOu8u&#10;zkBZvm/c1yXE/Ys7Tvb0/bn8G3+MeXqcNitQkab4b75ff1jBF3r5RQb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AnVLEAAAA2wAAAA8AAAAAAAAAAAAAAAAAmAIAAGRycy9k&#10;b3ducmV2LnhtbFBLBQYAAAAABAAEAPUAAACJAwAAAAA=&#10;" path="m84,l,143r45,l106,39,84,xe" fillcolor="#2b0e72" stroked="f">
                        <v:path arrowok="t" o:connecttype="custom" o:connectlocs="473,0;0,828;253,828;597,226;473,0" o:connectangles="0,0,0,0,0"/>
                        <o:lock v:ext="edit" aspectratio="t"/>
                      </v:shape>
                    </v:group>
                    <v:shapetype id="_x0000_t202" coordsize="21600,21600" o:spt="202" path="m,l,21600r21600,l21600,xe">
                      <v:stroke joinstyle="miter"/>
                      <v:path gradientshapeok="t" o:connecttype="rect"/>
                    </v:shapetype>
                    <v:shape id="Text Box 70" o:spid="_x0000_s1036" type="#_x0000_t202" style="position:absolute;left:3164;top:4037;width:1803;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yz6MAA&#10;AADbAAAADwAAAGRycy9kb3ducmV2LnhtbERPTYvCMBC9C/6HMMJeRFP3sLjVKCoICl7siuehGZtq&#10;M6lNrPXfm4WFvc3jfc582dlKtNT40rGCyTgBQZw7XXKh4PSzHU1B+ICssXJMCl7kYbno9+aYavfk&#10;I7VZKEQMYZ+iAhNCnUrpc0MW/djVxJG7uMZiiLAppG7wGcNtJT+T5EtaLDk2GKxpYyi/ZQ+r4Lw3&#10;VUbt9F4fvk/+PLyuuTx2Sn0MutUMRKAu/Iv/3Dsd50/g95d4gF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nyz6MAAAADbAAAADwAAAAAAAAAAAAAAAACYAgAAZHJzL2Rvd25y&#10;ZXYueG1sUEsFBgAAAAAEAAQA9QAAAIUDAAAAAA==&#10;" filled="f" stroked="f">
                      <o:lock v:ext="edit" aspectratio="t"/>
                      <v:textbox inset="2.46381mm,1.2319mm,2.46381mm,1.2319mm">
                        <w:txbxContent>
                          <w:p w:rsidR="00506F4A" w:rsidRPr="00E432C7" w:rsidRDefault="00506F4A" w:rsidP="00506F4A">
                            <w:pPr>
                              <w:autoSpaceDE w:val="0"/>
                              <w:autoSpaceDN w:val="0"/>
                              <w:adjustRightInd w:val="0"/>
                              <w:jc w:val="center"/>
                              <w:rPr>
                                <w:rFonts w:ascii="Arial" w:hAnsi="Arial" w:cs="Arial"/>
                                <w:color w:val="000000"/>
                              </w:rPr>
                            </w:pPr>
                            <w:r w:rsidRPr="00E432C7">
                              <w:rPr>
                                <w:rFonts w:ascii="Arial" w:hAnsi="Arial" w:cs="Arial"/>
                                <w:b/>
                                <w:bCs/>
                                <w:color w:val="000080"/>
                                <w:rtl/>
                              </w:rPr>
                              <w:t>הלב פתוח לרווחה</w:t>
                            </w:r>
                          </w:p>
                        </w:txbxContent>
                      </v:textbox>
                    </v:shape>
                  </v:group>
                </w:pict>
              </mc:Fallback>
            </mc:AlternateContent>
          </w:r>
          <w:r w:rsidR="00C51B7E">
            <w:rPr>
              <w:rFonts w:hint="cs"/>
              <w:rtl/>
            </w:rPr>
            <w:t xml:space="preserve">  </w:t>
          </w:r>
        </w:p>
      </w:tc>
    </w:tr>
  </w:tbl>
  <w:p w:rsidR="00C51B7E" w:rsidRPr="00991CE1" w:rsidRDefault="00C51B7E" w:rsidP="00991CE1">
    <w:pPr>
      <w:pStyle w:val="a3"/>
      <w:jc w:val="right"/>
      <w:rPr>
        <w:rFonts w:ascii="Arial" w:hAnsi="Arial" w:cs="Arial"/>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E702C"/>
    <w:multiLevelType w:val="hybridMultilevel"/>
    <w:tmpl w:val="053AE7F0"/>
    <w:lvl w:ilvl="0" w:tplc="690A2C20">
      <w:start w:val="1"/>
      <w:numFmt w:val="decimal"/>
      <w:lvlText w:val="%1."/>
      <w:lvlJc w:val="left"/>
      <w:pPr>
        <w:ind w:left="360" w:hanging="360"/>
      </w:pPr>
      <w:rPr>
        <w:rFonts w:hint="default"/>
        <w:b w:val="0"/>
        <w:bCs w:val="0"/>
        <w:color w:val="auto"/>
        <w:sz w:val="24"/>
        <w:szCs w:val="2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410E6C58"/>
    <w:multiLevelType w:val="hybridMultilevel"/>
    <w:tmpl w:val="F1028D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CB90DB6"/>
    <w:multiLevelType w:val="hybridMultilevel"/>
    <w:tmpl w:val="6FAE0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C5020C"/>
    <w:multiLevelType w:val="hybridMultilevel"/>
    <w:tmpl w:val="3CA29728"/>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6CB7022A"/>
    <w:multiLevelType w:val="hybridMultilevel"/>
    <w:tmpl w:val="C470BA2A"/>
    <w:lvl w:ilvl="0" w:tplc="4B28A83E">
      <w:start w:val="1"/>
      <w:numFmt w:val="hebrew1"/>
      <w:lvlText w:val="%1."/>
      <w:lvlJc w:val="center"/>
      <w:pPr>
        <w:ind w:left="502" w:hanging="360"/>
      </w:pPr>
      <w:rPr>
        <w:rFonts w:cs="David" w:hint="cs"/>
        <w:b/>
        <w:bCs/>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A56"/>
    <w:rsid w:val="001140D0"/>
    <w:rsid w:val="001D13C9"/>
    <w:rsid w:val="002300BB"/>
    <w:rsid w:val="0023051D"/>
    <w:rsid w:val="00240869"/>
    <w:rsid w:val="00245250"/>
    <w:rsid w:val="00245937"/>
    <w:rsid w:val="00275743"/>
    <w:rsid w:val="002A0C48"/>
    <w:rsid w:val="00342CAF"/>
    <w:rsid w:val="003D7F31"/>
    <w:rsid w:val="003E2202"/>
    <w:rsid w:val="00470311"/>
    <w:rsid w:val="004B2AB7"/>
    <w:rsid w:val="004F5609"/>
    <w:rsid w:val="00506F4A"/>
    <w:rsid w:val="005666AF"/>
    <w:rsid w:val="005B33F6"/>
    <w:rsid w:val="005B362D"/>
    <w:rsid w:val="005C393F"/>
    <w:rsid w:val="005F3219"/>
    <w:rsid w:val="006172AB"/>
    <w:rsid w:val="006E2889"/>
    <w:rsid w:val="00711A56"/>
    <w:rsid w:val="00734A09"/>
    <w:rsid w:val="007402E2"/>
    <w:rsid w:val="00755C10"/>
    <w:rsid w:val="007E6657"/>
    <w:rsid w:val="008148EE"/>
    <w:rsid w:val="0083088E"/>
    <w:rsid w:val="00861705"/>
    <w:rsid w:val="00863FF6"/>
    <w:rsid w:val="008A576E"/>
    <w:rsid w:val="00900ECF"/>
    <w:rsid w:val="00945239"/>
    <w:rsid w:val="00962EC8"/>
    <w:rsid w:val="00991CE1"/>
    <w:rsid w:val="00992B03"/>
    <w:rsid w:val="009B2110"/>
    <w:rsid w:val="009C27B7"/>
    <w:rsid w:val="009F6C8C"/>
    <w:rsid w:val="00A05FB7"/>
    <w:rsid w:val="00A32E14"/>
    <w:rsid w:val="00A83A69"/>
    <w:rsid w:val="00A87BD5"/>
    <w:rsid w:val="00A9170F"/>
    <w:rsid w:val="00A918AF"/>
    <w:rsid w:val="00AA0C24"/>
    <w:rsid w:val="00AA473C"/>
    <w:rsid w:val="00AA62E1"/>
    <w:rsid w:val="00AD5945"/>
    <w:rsid w:val="00AF7F54"/>
    <w:rsid w:val="00B229B3"/>
    <w:rsid w:val="00B626F1"/>
    <w:rsid w:val="00BE3B36"/>
    <w:rsid w:val="00C51B7E"/>
    <w:rsid w:val="00CC6F90"/>
    <w:rsid w:val="00CD2E7E"/>
    <w:rsid w:val="00D20BAF"/>
    <w:rsid w:val="00D41F1B"/>
    <w:rsid w:val="00D51767"/>
    <w:rsid w:val="00D76627"/>
    <w:rsid w:val="00D90D05"/>
    <w:rsid w:val="00E32086"/>
    <w:rsid w:val="00E8396D"/>
    <w:rsid w:val="00EB42C9"/>
    <w:rsid w:val="00EF1333"/>
    <w:rsid w:val="00F33BF7"/>
    <w:rsid w:val="00F51E3A"/>
    <w:rsid w:val="00FD074C"/>
    <w:rsid w:val="00FF2558"/>
    <w:rsid w:val="00FF75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66199B8-4C00-46DC-8E18-AF4B8BC6E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Miriam"/>
      <w:lang w:eastAsia="he-IL"/>
    </w:rPr>
  </w:style>
  <w:style w:type="paragraph" w:styleId="7">
    <w:name w:val="heading 7"/>
    <w:basedOn w:val="a"/>
    <w:next w:val="a"/>
    <w:qFormat/>
    <w:pPr>
      <w:keepNext/>
      <w:tabs>
        <w:tab w:val="left" w:pos="6521"/>
      </w:tabs>
      <w:outlineLvl w:val="6"/>
    </w:pPr>
    <w:rPr>
      <w:rFonts w:cs="David"/>
      <w:szCs w:val="28"/>
    </w:rPr>
  </w:style>
  <w:style w:type="paragraph" w:styleId="8">
    <w:name w:val="heading 8"/>
    <w:basedOn w:val="a"/>
    <w:next w:val="a"/>
    <w:qFormat/>
    <w:pPr>
      <w:keepNext/>
      <w:outlineLvl w:val="7"/>
    </w:pPr>
    <w:rPr>
      <w:rFonts w:cs="David"/>
      <w:b/>
      <w:bCs/>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character" w:styleId="Hyperlink">
    <w:name w:val="Hyperlink"/>
    <w:rPr>
      <w:color w:val="0000FF"/>
      <w:u w:val="single"/>
    </w:rPr>
  </w:style>
  <w:style w:type="table" w:styleId="a5">
    <w:name w:val="Table Grid"/>
    <w:basedOn w:val="a1"/>
    <w:pPr>
      <w:bidi/>
    </w:pPr>
    <w:rPr>
      <w:rFonts w:cs="Miri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ocument Map"/>
    <w:basedOn w:val="a"/>
    <w:semiHidden/>
    <w:pPr>
      <w:shd w:val="clear" w:color="auto" w:fill="000080"/>
    </w:pPr>
    <w:rPr>
      <w:rFonts w:ascii="Tahoma" w:hAnsi="Tahoma" w:cs="Tahoma"/>
    </w:rPr>
  </w:style>
  <w:style w:type="paragraph" w:styleId="a7">
    <w:name w:val="List Paragraph"/>
    <w:basedOn w:val="a"/>
    <w:uiPriority w:val="34"/>
    <w:qFormat/>
    <w:rsid w:val="00CC6F90"/>
    <w:pPr>
      <w:ind w:left="720"/>
      <w:contextualSpacing/>
    </w:pPr>
    <w:rPr>
      <w:rFonts w:cs="David"/>
      <w:sz w:val="23"/>
      <w:szCs w:val="24"/>
      <w:lang w:eastAsia="en-US"/>
    </w:rPr>
  </w:style>
  <w:style w:type="paragraph" w:styleId="a8">
    <w:name w:val="Balloon Text"/>
    <w:basedOn w:val="a"/>
    <w:link w:val="a9"/>
    <w:semiHidden/>
    <w:unhideWhenUsed/>
    <w:rsid w:val="00470311"/>
    <w:rPr>
      <w:rFonts w:ascii="Tahoma" w:hAnsi="Tahoma" w:cs="Tahoma"/>
      <w:sz w:val="18"/>
      <w:szCs w:val="18"/>
    </w:rPr>
  </w:style>
  <w:style w:type="character" w:customStyle="1" w:styleId="a9">
    <w:name w:val="טקסט בלונים תו"/>
    <w:basedOn w:val="a0"/>
    <w:link w:val="a8"/>
    <w:semiHidden/>
    <w:rsid w:val="00470311"/>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molsa.gov.il" TargetMode="External"/><Relationship Id="rId2" Type="http://schemas.openxmlformats.org/officeDocument/2006/relationships/hyperlink" Target="http://www.molsa.gov.il" TargetMode="External"/><Relationship Id="rId1" Type="http://schemas.openxmlformats.org/officeDocument/2006/relationships/hyperlink" Target="mailto:mankal@molsa.gov.il" TargetMode="External"/><Relationship Id="rId6" Type="http://schemas.openxmlformats.org/officeDocument/2006/relationships/hyperlink" Target="http://www.gov.il" TargetMode="External"/><Relationship Id="rId5" Type="http://schemas.openxmlformats.org/officeDocument/2006/relationships/oleObject" Target="embeddings/oleObject1.bin"/><Relationship Id="rId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CCC6F8-57DB-4D06-ACDE-2BE5FF89D346}"/>
</file>

<file path=customXml/itemProps2.xml><?xml version="1.0" encoding="utf-8"?>
<ds:datastoreItem xmlns:ds="http://schemas.openxmlformats.org/officeDocument/2006/customXml" ds:itemID="{CF08BF9D-1780-42F0-926D-4319CFDC801B}"/>
</file>

<file path=customXml/itemProps3.xml><?xml version="1.0" encoding="utf-8"?>
<ds:datastoreItem xmlns:ds="http://schemas.openxmlformats.org/officeDocument/2006/customXml" ds:itemID="{E7F25E7C-EB46-4ABC-A0C8-53625542DEB9}"/>
</file>

<file path=docProps/app.xml><?xml version="1.0" encoding="utf-8"?>
<Properties xmlns="http://schemas.openxmlformats.org/officeDocument/2006/extended-properties" xmlns:vt="http://schemas.openxmlformats.org/officeDocument/2006/docPropsVTypes">
  <Template>Normal</Template>
  <TotalTime>1</TotalTime>
  <Pages>4</Pages>
  <Words>905</Words>
  <Characters>7247</Characters>
  <Application>Microsoft Office Word</Application>
  <DocSecurity>0</DocSecurity>
  <Lines>7247</Lines>
  <Paragraphs>741</Paragraphs>
  <ScaleCrop>false</ScaleCrop>
  <HeadingPairs>
    <vt:vector size="2" baseType="variant">
      <vt:variant>
        <vt:lpstr>שם</vt:lpstr>
      </vt:variant>
      <vt:variant>
        <vt:i4>1</vt:i4>
      </vt:variant>
    </vt:vector>
  </HeadingPairs>
  <TitlesOfParts>
    <vt:vector size="1" baseType="lpstr">
      <vt:lpstr>בס"ד</vt:lpstr>
    </vt:vector>
  </TitlesOfParts>
  <Company>MOLSA</Company>
  <LinksUpToDate>false</LinksUpToDate>
  <CharactersWithSpaces>7411</CharactersWithSpaces>
  <SharedDoc>false</SharedDoc>
  <HLinks>
    <vt:vector size="24" baseType="variant">
      <vt:variant>
        <vt:i4>8126589</vt:i4>
      </vt:variant>
      <vt:variant>
        <vt:i4>12</vt:i4>
      </vt:variant>
      <vt:variant>
        <vt:i4>0</vt:i4>
      </vt:variant>
      <vt:variant>
        <vt:i4>5</vt:i4>
      </vt:variant>
      <vt:variant>
        <vt:lpwstr>http://www.gov.il/</vt:lpwstr>
      </vt:variant>
      <vt:variant>
        <vt:lpwstr/>
      </vt:variant>
      <vt:variant>
        <vt:i4>1835087</vt:i4>
      </vt:variant>
      <vt:variant>
        <vt:i4>6</vt:i4>
      </vt:variant>
      <vt:variant>
        <vt:i4>0</vt:i4>
      </vt:variant>
      <vt:variant>
        <vt:i4>5</vt:i4>
      </vt:variant>
      <vt:variant>
        <vt:lpwstr>http://www.molsa.gov.il/</vt:lpwstr>
      </vt:variant>
      <vt:variant>
        <vt:lpwstr/>
      </vt:variant>
      <vt:variant>
        <vt:i4>1835087</vt:i4>
      </vt:variant>
      <vt:variant>
        <vt:i4>3</vt:i4>
      </vt:variant>
      <vt:variant>
        <vt:i4>0</vt:i4>
      </vt:variant>
      <vt:variant>
        <vt:i4>5</vt:i4>
      </vt:variant>
      <vt:variant>
        <vt:lpwstr>http://www.molsa.gov.il/</vt:lpwstr>
      </vt:variant>
      <vt:variant>
        <vt:lpwstr/>
      </vt:variant>
      <vt:variant>
        <vt:i4>6225972</vt:i4>
      </vt:variant>
      <vt:variant>
        <vt:i4>0</vt:i4>
      </vt:variant>
      <vt:variant>
        <vt:i4>0</vt:i4>
      </vt:variant>
      <vt:variant>
        <vt:i4>5</vt:i4>
      </vt:variant>
      <vt:variant>
        <vt:lpwstr>mailto:mankal@molsa.gov.il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לי קטקוב</dc:creator>
  <cp:lastModifiedBy>חנה יוסף</cp:lastModifiedBy>
  <cp:revision>2</cp:revision>
  <cp:lastPrinted>2017-03-19T08:56:00Z</cp:lastPrinted>
  <dcterms:created xsi:type="dcterms:W3CDTF">2017-03-19T08:58:00Z</dcterms:created>
  <dcterms:modified xsi:type="dcterms:W3CDTF">2017-03-19T08:58:00Z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2014479</vt:r8>
  </property>
</Properties>
</file>