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EA4" w:rsidRDefault="006B7EA4">
      <w:pPr>
        <w:rPr>
          <w:rFonts w:cs="David" w:hint="cs"/>
          <w:rtl/>
        </w:rPr>
      </w:pPr>
    </w:p>
    <w:p w:rsidR="000A6C59" w:rsidRPr="006B7EA4" w:rsidRDefault="00724CCA" w:rsidP="00724CCA">
      <w:pPr>
        <w:jc w:val="right"/>
        <w:rPr>
          <w:rFonts w:cs="David"/>
          <w:rtl/>
        </w:rPr>
      </w:pPr>
      <w:r>
        <w:rPr>
          <w:rFonts w:cs="David" w:hint="cs"/>
          <w:rtl/>
        </w:rPr>
        <w:t>19</w:t>
      </w:r>
      <w:r w:rsidR="006B7EA4">
        <w:rPr>
          <w:rFonts w:cs="David" w:hint="cs"/>
          <w:rtl/>
        </w:rPr>
        <w:t xml:space="preserve"> </w:t>
      </w:r>
      <w:r>
        <w:rPr>
          <w:rFonts w:cs="David" w:hint="cs"/>
          <w:rtl/>
        </w:rPr>
        <w:t>במרץ</w:t>
      </w:r>
      <w:r w:rsidR="006B7EA4">
        <w:rPr>
          <w:rFonts w:cs="David" w:hint="cs"/>
          <w:rtl/>
        </w:rPr>
        <w:t xml:space="preserve"> </w:t>
      </w:r>
      <w:r>
        <w:rPr>
          <w:rFonts w:cs="David" w:hint="cs"/>
          <w:rtl/>
        </w:rPr>
        <w:t>2017</w:t>
      </w:r>
    </w:p>
    <w:p w:rsidR="006B7EA4" w:rsidRPr="006B7EA4" w:rsidRDefault="006B7EA4">
      <w:pPr>
        <w:rPr>
          <w:rFonts w:cs="David"/>
          <w:rtl/>
        </w:rPr>
      </w:pPr>
      <w:r w:rsidRPr="006B7EA4">
        <w:rPr>
          <w:rFonts w:cs="David" w:hint="cs"/>
          <w:rtl/>
        </w:rPr>
        <w:t>לכבוד</w:t>
      </w:r>
    </w:p>
    <w:p w:rsidR="00A75219" w:rsidRDefault="00A75219">
      <w:pPr>
        <w:rPr>
          <w:rFonts w:cs="David" w:hint="cs"/>
          <w:rtl/>
        </w:rPr>
      </w:pPr>
      <w:r>
        <w:rPr>
          <w:rFonts w:cs="David" w:hint="cs"/>
          <w:rtl/>
        </w:rPr>
        <w:t>ח"כ ניסן סלומינסקי, יו"ר</w:t>
      </w:r>
    </w:p>
    <w:p w:rsidR="006B7EA4" w:rsidRPr="006B7EA4" w:rsidRDefault="00A75219">
      <w:pPr>
        <w:rPr>
          <w:rFonts w:cs="David"/>
          <w:rtl/>
        </w:rPr>
      </w:pPr>
      <w:r>
        <w:rPr>
          <w:rFonts w:cs="David" w:hint="cs"/>
          <w:rtl/>
        </w:rPr>
        <w:t>ועדת חוקה, חוק ומשפט</w:t>
      </w:r>
    </w:p>
    <w:p w:rsidR="006B7EA4" w:rsidRPr="006B7EA4" w:rsidRDefault="00A75219">
      <w:pPr>
        <w:rPr>
          <w:rFonts w:cs="David"/>
          <w:u w:val="single"/>
          <w:rtl/>
        </w:rPr>
      </w:pPr>
      <w:r>
        <w:rPr>
          <w:rFonts w:cs="David" w:hint="cs"/>
          <w:u w:val="single"/>
          <w:rtl/>
        </w:rPr>
        <w:t>הכנסת</w:t>
      </w:r>
    </w:p>
    <w:p w:rsidR="006B7EA4" w:rsidRPr="006B7EA4" w:rsidRDefault="006B7EA4">
      <w:pPr>
        <w:rPr>
          <w:rFonts w:cs="David"/>
          <w:rtl/>
        </w:rPr>
      </w:pPr>
    </w:p>
    <w:p w:rsidR="006B7EA4" w:rsidRPr="006B7EA4" w:rsidRDefault="006B7EA4">
      <w:pPr>
        <w:rPr>
          <w:rFonts w:cs="David"/>
          <w:rtl/>
        </w:rPr>
      </w:pPr>
      <w:r w:rsidRPr="006B7EA4">
        <w:rPr>
          <w:rFonts w:cs="David" w:hint="cs"/>
          <w:rtl/>
        </w:rPr>
        <w:t>שלום רב,</w:t>
      </w:r>
    </w:p>
    <w:p w:rsidR="006B7EA4" w:rsidRPr="006B7EA4" w:rsidRDefault="006B7EA4">
      <w:pPr>
        <w:rPr>
          <w:rFonts w:cs="David"/>
          <w:rtl/>
        </w:rPr>
      </w:pPr>
    </w:p>
    <w:p w:rsidR="006B7EA4" w:rsidRPr="006B7EA4" w:rsidRDefault="006B7EA4" w:rsidP="00A75219">
      <w:pPr>
        <w:jc w:val="center"/>
        <w:rPr>
          <w:rFonts w:cs="David"/>
          <w:b/>
          <w:bCs/>
          <w:u w:val="single"/>
          <w:rtl/>
        </w:rPr>
      </w:pPr>
      <w:r w:rsidRPr="006B7EA4">
        <w:rPr>
          <w:rFonts w:cs="David" w:hint="cs"/>
          <w:rtl/>
        </w:rPr>
        <w:t xml:space="preserve">הנדון: </w:t>
      </w:r>
      <w:r w:rsidR="00A75219">
        <w:rPr>
          <w:rFonts w:cs="David" w:hint="cs"/>
          <w:b/>
          <w:bCs/>
          <w:u w:val="single"/>
          <w:rtl/>
        </w:rPr>
        <w:t>עמדת</w:t>
      </w:r>
      <w:r w:rsidRPr="006B7EA4">
        <w:rPr>
          <w:rFonts w:cs="David" w:hint="cs"/>
          <w:b/>
          <w:bCs/>
          <w:u w:val="single"/>
          <w:rtl/>
        </w:rPr>
        <w:t xml:space="preserve"> האגודה לזכויות האזרח </w:t>
      </w:r>
      <w:r w:rsidR="00A75219">
        <w:rPr>
          <w:rFonts w:cs="David" w:hint="cs"/>
          <w:b/>
          <w:bCs/>
          <w:u w:val="single"/>
          <w:rtl/>
        </w:rPr>
        <w:t xml:space="preserve"> - שכירות הוגנת</w:t>
      </w:r>
    </w:p>
    <w:p w:rsidR="00A75219" w:rsidRDefault="00A75219" w:rsidP="00320BF9">
      <w:pPr>
        <w:pStyle w:val="a8"/>
        <w:numPr>
          <w:ilvl w:val="0"/>
          <w:numId w:val="1"/>
        </w:numPr>
        <w:spacing w:before="120" w:line="360" w:lineRule="auto"/>
        <w:contextualSpacing w:val="0"/>
        <w:jc w:val="both"/>
        <w:rPr>
          <w:rFonts w:ascii="Arial" w:hAnsi="Arial" w:cs="David" w:hint="cs"/>
        </w:rPr>
      </w:pPr>
      <w:r>
        <w:rPr>
          <w:rFonts w:ascii="Arial" w:hAnsi="Arial" w:cs="David" w:hint="cs"/>
          <w:rtl/>
        </w:rPr>
        <w:t>לאור הצעות החוק הרבות והעדר נוסח אחיד ומתוקן, תובא להלן התייחסות עקרונית של האגודה לזכויות האזרח ל</w:t>
      </w:r>
      <w:r w:rsidR="00320BF9">
        <w:rPr>
          <w:rFonts w:ascii="Arial" w:hAnsi="Arial" w:cs="David" w:hint="cs"/>
          <w:rtl/>
        </w:rPr>
        <w:t>כמה מה</w:t>
      </w:r>
      <w:r>
        <w:rPr>
          <w:rFonts w:ascii="Arial" w:hAnsi="Arial" w:cs="David" w:hint="cs"/>
          <w:rtl/>
        </w:rPr>
        <w:t xml:space="preserve">סוגיות המרכזיות, כאשר האגודה תוסיף ותתייחס באופן פרטני לסעיפים </w:t>
      </w:r>
      <w:r w:rsidR="00320BF9">
        <w:rPr>
          <w:rFonts w:ascii="Arial" w:hAnsi="Arial" w:cs="David" w:hint="cs"/>
          <w:rtl/>
        </w:rPr>
        <w:t>לקראת הדיונים בהם</w:t>
      </w:r>
      <w:r>
        <w:rPr>
          <w:rFonts w:ascii="Arial" w:hAnsi="Arial" w:cs="David" w:hint="cs"/>
          <w:rtl/>
        </w:rPr>
        <w:t xml:space="preserve">. </w:t>
      </w:r>
    </w:p>
    <w:p w:rsidR="003654AF" w:rsidRPr="00905D83" w:rsidRDefault="00093B70" w:rsidP="00320BF9">
      <w:pPr>
        <w:pStyle w:val="a8"/>
        <w:numPr>
          <w:ilvl w:val="0"/>
          <w:numId w:val="1"/>
        </w:numPr>
        <w:spacing w:before="120" w:line="360" w:lineRule="auto"/>
        <w:contextualSpacing w:val="0"/>
        <w:jc w:val="both"/>
        <w:rPr>
          <w:rFonts w:ascii="Arial" w:hAnsi="Arial" w:cs="David"/>
        </w:rPr>
      </w:pPr>
      <w:r w:rsidRPr="00905D83">
        <w:rPr>
          <w:rFonts w:ascii="Arial" w:hAnsi="Arial" w:cs="David" w:hint="cs"/>
          <w:rtl/>
        </w:rPr>
        <w:t xml:space="preserve">האגודה מברכת על הכוונה להסדיר את שוק השכירות. אנו רואים בכך ניסיון </w:t>
      </w:r>
      <w:r w:rsidR="00320BF9">
        <w:rPr>
          <w:rFonts w:ascii="Arial" w:hAnsi="Arial" w:cs="David" w:hint="cs"/>
          <w:rtl/>
        </w:rPr>
        <w:t xml:space="preserve">ראוי </w:t>
      </w:r>
      <w:r w:rsidRPr="00905D83">
        <w:rPr>
          <w:rFonts w:ascii="Arial" w:hAnsi="Arial" w:cs="David" w:hint="cs"/>
          <w:rtl/>
        </w:rPr>
        <w:t xml:space="preserve">לאזן טוב יותר בין זכות הקניין של בעל הנכס לבין הזכות לדיור נאות של השוכר. כלומר </w:t>
      </w:r>
      <w:r w:rsidRPr="00905D83">
        <w:rPr>
          <w:rFonts w:ascii="Arial" w:hAnsi="Arial" w:cs="David"/>
          <w:rtl/>
        </w:rPr>
        <w:t>–</w:t>
      </w:r>
      <w:r w:rsidRPr="00905D83">
        <w:rPr>
          <w:rFonts w:ascii="Arial" w:hAnsi="Arial" w:cs="David" w:hint="cs"/>
          <w:rtl/>
        </w:rPr>
        <w:t xml:space="preserve"> איזון </w:t>
      </w:r>
      <w:r w:rsidR="003654AF" w:rsidRPr="00905D83">
        <w:rPr>
          <w:rFonts w:ascii="Arial" w:hAnsi="Arial" w:cs="David" w:hint="cs"/>
          <w:rtl/>
        </w:rPr>
        <w:t>אופקי</w:t>
      </w:r>
      <w:r w:rsidRPr="00905D83">
        <w:rPr>
          <w:rFonts w:ascii="Arial" w:hAnsi="Arial" w:cs="David" w:hint="cs"/>
          <w:rtl/>
        </w:rPr>
        <w:t xml:space="preserve"> בין זכויות</w:t>
      </w:r>
      <w:r w:rsidR="004C24B3" w:rsidRPr="00905D83">
        <w:rPr>
          <w:rFonts w:ascii="Arial" w:hAnsi="Arial" w:cs="David" w:hint="cs"/>
          <w:rtl/>
        </w:rPr>
        <w:t xml:space="preserve"> שוות מעמד</w:t>
      </w:r>
      <w:r w:rsidRPr="00905D83">
        <w:rPr>
          <w:rFonts w:ascii="Arial" w:hAnsi="Arial" w:cs="David" w:hint="cs"/>
          <w:rtl/>
        </w:rPr>
        <w:t xml:space="preserve">. </w:t>
      </w:r>
      <w:r w:rsidR="003654AF" w:rsidRPr="00905D83">
        <w:rPr>
          <w:rFonts w:ascii="Arial" w:hAnsi="Arial" w:cs="David" w:hint="cs"/>
          <w:rtl/>
        </w:rPr>
        <w:t>גם אם נסתכל על האיזון האנכי, בין זכות הקניין לאינטרסים שהחוק נועד להגן עליהם, א</w:t>
      </w:r>
      <w:r w:rsidR="00506ACD">
        <w:rPr>
          <w:rFonts w:ascii="Arial" w:hAnsi="Arial" w:cs="David" w:hint="cs"/>
          <w:rtl/>
        </w:rPr>
        <w:t xml:space="preserve">נו סבורים כי מדובר באיזון ראוי וכי הפגיעה היא </w:t>
      </w:r>
      <w:r w:rsidR="003654AF" w:rsidRPr="00905D83">
        <w:rPr>
          <w:rFonts w:ascii="Arial" w:hAnsi="Arial" w:cs="David" w:hint="cs"/>
          <w:rtl/>
        </w:rPr>
        <w:t xml:space="preserve">לתכלית ראויה </w:t>
      </w:r>
      <w:r w:rsidR="00506ACD">
        <w:rPr>
          <w:rFonts w:ascii="Arial" w:hAnsi="Arial" w:cs="David" w:hint="cs"/>
          <w:rtl/>
        </w:rPr>
        <w:t>ולמען</w:t>
      </w:r>
      <w:r w:rsidR="003654AF" w:rsidRPr="00905D83">
        <w:rPr>
          <w:rFonts w:ascii="Arial" w:hAnsi="Arial" w:cs="David" w:hint="cs"/>
          <w:rtl/>
        </w:rPr>
        <w:t xml:space="preserve"> אינטרס ציבורי לגיטימי.</w:t>
      </w:r>
    </w:p>
    <w:p w:rsidR="002D5EF7" w:rsidRDefault="002D5EF7" w:rsidP="008F2F6E">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אף שבתודעה הציבורית שוק השכירות מזוהה לא פעם עם סטודנטים וצעירים, </w:t>
      </w:r>
      <w:r w:rsidR="004C24B3">
        <w:rPr>
          <w:rFonts w:ascii="Arial" w:hAnsi="Arial" w:cs="David" w:hint="cs"/>
          <w:rtl/>
        </w:rPr>
        <w:t>נבקש לה</w:t>
      </w:r>
      <w:r>
        <w:rPr>
          <w:rFonts w:ascii="Arial" w:hAnsi="Arial" w:cs="David" w:hint="cs"/>
          <w:rtl/>
        </w:rPr>
        <w:t>דגיש</w:t>
      </w:r>
      <w:r w:rsidR="004C24B3">
        <w:rPr>
          <w:rFonts w:ascii="Arial" w:hAnsi="Arial" w:cs="David" w:hint="cs"/>
          <w:rtl/>
        </w:rPr>
        <w:t xml:space="preserve"> כי מתוך כ-400,000 משקי בית ששוכרים דירה בשוק ה</w:t>
      </w:r>
      <w:r>
        <w:rPr>
          <w:rFonts w:ascii="Arial" w:hAnsi="Arial" w:cs="David" w:hint="cs"/>
          <w:rtl/>
        </w:rPr>
        <w:t>שכירות ה</w:t>
      </w:r>
      <w:r w:rsidR="004C24B3">
        <w:rPr>
          <w:rFonts w:ascii="Arial" w:hAnsi="Arial" w:cs="David" w:hint="cs"/>
          <w:rtl/>
        </w:rPr>
        <w:t>פרטי</w:t>
      </w:r>
      <w:r>
        <w:rPr>
          <w:rFonts w:ascii="Arial" w:hAnsi="Arial" w:cs="David" w:hint="cs"/>
          <w:rtl/>
        </w:rPr>
        <w:t>ת</w:t>
      </w:r>
      <w:r w:rsidR="004C24B3">
        <w:rPr>
          <w:rFonts w:ascii="Arial" w:hAnsi="Arial" w:cs="David" w:hint="cs"/>
          <w:rtl/>
        </w:rPr>
        <w:t xml:space="preserve">, כ-150,000 הם זכאי משרד הבינוי, המצליחים לשכור דירה רק בזכות סיוע כולל </w:t>
      </w:r>
      <w:r w:rsidR="008F2F6E">
        <w:rPr>
          <w:rFonts w:ascii="Arial" w:hAnsi="Arial" w:cs="David" w:hint="cs"/>
          <w:rtl/>
        </w:rPr>
        <w:t xml:space="preserve">בסך </w:t>
      </w:r>
      <w:r w:rsidR="004C24B3">
        <w:rPr>
          <w:rFonts w:ascii="Arial" w:hAnsi="Arial" w:cs="David" w:hint="cs"/>
          <w:rtl/>
        </w:rPr>
        <w:t>מיליארד וחצי ₪</w:t>
      </w:r>
      <w:r w:rsidR="00C717E0">
        <w:rPr>
          <w:rFonts w:ascii="Arial" w:hAnsi="Arial" w:cs="David" w:hint="cs"/>
          <w:rtl/>
        </w:rPr>
        <w:t xml:space="preserve"> מדי שנה</w:t>
      </w:r>
      <w:r w:rsidR="004C24B3">
        <w:rPr>
          <w:rFonts w:ascii="Arial" w:hAnsi="Arial" w:cs="David" w:hint="cs"/>
          <w:rtl/>
        </w:rPr>
        <w:t xml:space="preserve">. מכאן שקרוב ל-40% ממשקי הבית השוכרים דירה הם בעלי הכנסה נמוכה, </w:t>
      </w:r>
      <w:r>
        <w:rPr>
          <w:rFonts w:ascii="Arial" w:hAnsi="Arial" w:cs="David" w:hint="cs"/>
          <w:rtl/>
        </w:rPr>
        <w:t>ובאופן כללי ניתן לומר כי שוק השכירות הוא השוק המספק פתרון דיור בעיקר למשפחות בעלות הכנסה בינונית ונמוכה, ומכאן שלהסדרת השוק חשיבות מכרעת למימוש זכותן לדיור.</w:t>
      </w:r>
    </w:p>
    <w:p w:rsidR="002D5EF7" w:rsidRDefault="002D5EF7" w:rsidP="00F639B0">
      <w:pPr>
        <w:pStyle w:val="a8"/>
        <w:numPr>
          <w:ilvl w:val="0"/>
          <w:numId w:val="1"/>
        </w:numPr>
        <w:spacing w:before="120" w:line="360" w:lineRule="auto"/>
        <w:contextualSpacing w:val="0"/>
        <w:jc w:val="both"/>
        <w:rPr>
          <w:rFonts w:ascii="Arial" w:hAnsi="Arial" w:cs="David"/>
        </w:rPr>
      </w:pPr>
      <w:r>
        <w:rPr>
          <w:rFonts w:ascii="Arial" w:hAnsi="Arial" w:cs="David" w:hint="cs"/>
          <w:rtl/>
        </w:rPr>
        <w:t>מכאן גם נדרשת</w:t>
      </w:r>
      <w:r w:rsidR="007A46E4">
        <w:rPr>
          <w:rFonts w:ascii="Arial" w:hAnsi="Arial" w:cs="David" w:hint="cs"/>
          <w:rtl/>
        </w:rPr>
        <w:t xml:space="preserve"> הבנה</w:t>
      </w:r>
      <w:r w:rsidR="00F639B0">
        <w:rPr>
          <w:rFonts w:ascii="Arial" w:hAnsi="Arial" w:cs="David" w:hint="cs"/>
          <w:rtl/>
        </w:rPr>
        <w:t xml:space="preserve"> לכך,</w:t>
      </w:r>
      <w:r w:rsidR="007A46E4">
        <w:rPr>
          <w:rFonts w:ascii="Arial" w:hAnsi="Arial" w:cs="David" w:hint="cs"/>
          <w:rtl/>
        </w:rPr>
        <w:t xml:space="preserve"> שהצרכים של משפחות אלו</w:t>
      </w:r>
      <w:r w:rsidR="00F639B0">
        <w:rPr>
          <w:rFonts w:ascii="Arial" w:hAnsi="Arial" w:cs="David" w:hint="cs"/>
          <w:rtl/>
        </w:rPr>
        <w:t>, בניגוד לצעירים,</w:t>
      </w:r>
      <w:r w:rsidR="007A46E4">
        <w:rPr>
          <w:rFonts w:ascii="Arial" w:hAnsi="Arial" w:cs="David" w:hint="cs"/>
          <w:rtl/>
        </w:rPr>
        <w:t xml:space="preserve"> אינם</w:t>
      </w:r>
      <w:r>
        <w:rPr>
          <w:rFonts w:ascii="Arial" w:hAnsi="Arial" w:cs="David" w:hint="cs"/>
          <w:rtl/>
        </w:rPr>
        <w:t xml:space="preserve"> מגורים </w:t>
      </w:r>
      <w:r w:rsidR="007A46E4">
        <w:rPr>
          <w:rFonts w:ascii="Arial" w:hAnsi="Arial" w:cs="David" w:hint="cs"/>
          <w:rtl/>
        </w:rPr>
        <w:t>לתקופה זמנית ומוגבלת בחייהם</w:t>
      </w:r>
      <w:r>
        <w:rPr>
          <w:rFonts w:ascii="Arial" w:hAnsi="Arial" w:cs="David" w:hint="cs"/>
          <w:rtl/>
        </w:rPr>
        <w:t xml:space="preserve"> בתנאי</w:t>
      </w:r>
      <w:r w:rsidR="007A46E4">
        <w:rPr>
          <w:rFonts w:ascii="Arial" w:hAnsi="Arial" w:cs="David" w:hint="cs"/>
          <w:rtl/>
        </w:rPr>
        <w:t xml:space="preserve"> שכירות</w:t>
      </w:r>
      <w:r>
        <w:rPr>
          <w:rFonts w:ascii="Arial" w:hAnsi="Arial" w:cs="David" w:hint="cs"/>
          <w:rtl/>
        </w:rPr>
        <w:t xml:space="preserve"> הגיוניים וסבירים</w:t>
      </w:r>
      <w:r w:rsidR="007A46E4">
        <w:rPr>
          <w:rFonts w:ascii="Arial" w:hAnsi="Arial" w:cs="David" w:hint="cs"/>
          <w:rtl/>
        </w:rPr>
        <w:t xml:space="preserve"> עד שירכשו דירה</w:t>
      </w:r>
      <w:r>
        <w:rPr>
          <w:rFonts w:ascii="Arial" w:hAnsi="Arial" w:cs="David" w:hint="cs"/>
          <w:rtl/>
        </w:rPr>
        <w:t xml:space="preserve">, אלא ששוק השכירות מהווה עבורן חלופה קבועה </w:t>
      </w:r>
      <w:r w:rsidR="00F639B0">
        <w:rPr>
          <w:rFonts w:ascii="Arial" w:hAnsi="Arial" w:cs="David" w:hint="cs"/>
          <w:rtl/>
        </w:rPr>
        <w:t>לכל ימי חייהם</w:t>
      </w:r>
      <w:r>
        <w:rPr>
          <w:rFonts w:ascii="Arial" w:hAnsi="Arial" w:cs="David" w:hint="cs"/>
          <w:rtl/>
        </w:rPr>
        <w:t>, וכי אין להן יכולת להיכנס לשוק הבעלות בשל היעדר הון עצמי.</w:t>
      </w:r>
    </w:p>
    <w:p w:rsidR="00E303C0" w:rsidRDefault="00E303C0" w:rsidP="00E303C0">
      <w:pPr>
        <w:pStyle w:val="a8"/>
        <w:numPr>
          <w:ilvl w:val="0"/>
          <w:numId w:val="1"/>
        </w:numPr>
        <w:spacing w:before="120" w:line="360" w:lineRule="auto"/>
        <w:contextualSpacing w:val="0"/>
        <w:jc w:val="both"/>
        <w:rPr>
          <w:rFonts w:ascii="Arial" w:hAnsi="Arial" w:cs="David"/>
        </w:rPr>
      </w:pPr>
      <w:r>
        <w:rPr>
          <w:rFonts w:ascii="Arial" w:hAnsi="Arial" w:cs="David" w:hint="cs"/>
          <w:rtl/>
        </w:rPr>
        <w:t>עוד יודגש כי לאור המגמה של ממשלות ישראל בעשרים השנה האחרונות של צמצום והפרטה של הדיור הציבורי ומעבר למודלים של התבססות על שוק השכירות הפרטית להספקת דיור, הרי קיימת חשיבות הולכת וגוברת לרגולציה הדוקה על שוק זה, כדי להבטיח נגישות לדיור ותנאי דיור נאותים.</w:t>
      </w:r>
    </w:p>
    <w:p w:rsidR="00721150" w:rsidRPr="003D0925" w:rsidRDefault="003D0925" w:rsidP="009B10D1">
      <w:pPr>
        <w:spacing w:before="120" w:line="360" w:lineRule="auto"/>
        <w:jc w:val="both"/>
        <w:rPr>
          <w:rFonts w:ascii="Arial" w:hAnsi="Arial" w:cs="David"/>
          <w:b/>
          <w:bCs/>
          <w:u w:val="single"/>
          <w:rtl/>
        </w:rPr>
      </w:pPr>
      <w:r w:rsidRPr="003D0925">
        <w:rPr>
          <w:rFonts w:ascii="Arial" w:hAnsi="Arial" w:cs="David" w:hint="cs"/>
          <w:b/>
          <w:bCs/>
          <w:u w:val="single"/>
          <w:rtl/>
        </w:rPr>
        <w:t>מחיר השכירות הראשונית והעלאת שכר הדירה</w:t>
      </w:r>
    </w:p>
    <w:p w:rsidR="00B165B6" w:rsidRPr="00B165B6" w:rsidRDefault="00D67FA8" w:rsidP="00185634">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בהצעה הליברלית ביותר מבין ההצעות, </w:t>
      </w:r>
      <w:r w:rsidR="003D0925" w:rsidRPr="00B165B6">
        <w:rPr>
          <w:rFonts w:ascii="Arial" w:hAnsi="Arial" w:cs="David" w:hint="cs"/>
          <w:rtl/>
        </w:rPr>
        <w:t xml:space="preserve">המודל המוצע הוא מודל של פיקוח על העלאת שכר דירה לתקופה קצרה יחסית של 3 שנים ללא פיקוח על שכר הדירה הראשוני שייקבע בהתאם לביקושים ולמו"מ בין המשכיר והשוכר. </w:t>
      </w:r>
      <w:r w:rsidR="00F53181">
        <w:rPr>
          <w:rFonts w:ascii="Arial" w:hAnsi="Arial" w:cs="David" w:hint="cs"/>
          <w:rtl/>
        </w:rPr>
        <w:t xml:space="preserve">כמו כן מוצע בחלק מההצעות להאריך החוזים לשלוש שנים. </w:t>
      </w:r>
      <w:r w:rsidR="003D0925" w:rsidRPr="00B165B6">
        <w:rPr>
          <w:rFonts w:ascii="Arial" w:hAnsi="Arial" w:cs="David" w:hint="cs"/>
          <w:rtl/>
        </w:rPr>
        <w:t>מודל זה מבקש בעיקר להתמודד עם כשל השוק ש</w:t>
      </w:r>
      <w:r w:rsidR="008F7C60" w:rsidRPr="00B165B6">
        <w:rPr>
          <w:rFonts w:ascii="Arial" w:hAnsi="Arial" w:cs="David" w:hint="cs"/>
          <w:rtl/>
        </w:rPr>
        <w:t>בו המשכיר מנצל חולשתו של השוכר בשלב חידוש החוזה, בשוק שבו עלויות מעבר גבוהות לצד היעדר חשש למציאת שוכר חלופי.</w:t>
      </w:r>
      <w:r w:rsidR="003D0925" w:rsidRPr="00B165B6">
        <w:rPr>
          <w:rFonts w:ascii="Arial" w:hAnsi="Arial" w:cs="David" w:hint="cs"/>
          <w:rtl/>
        </w:rPr>
        <w:t xml:space="preserve"> </w:t>
      </w:r>
      <w:r w:rsidR="008F7C60" w:rsidRPr="00B165B6">
        <w:rPr>
          <w:rFonts w:ascii="Arial" w:hAnsi="Arial" w:cs="David" w:hint="cs"/>
          <w:rtl/>
        </w:rPr>
        <w:t xml:space="preserve">בנקודה זו, חלקן </w:t>
      </w:r>
      <w:r w:rsidR="004B5305">
        <w:rPr>
          <w:rFonts w:ascii="Arial" w:hAnsi="Arial" w:cs="David" w:hint="cs"/>
          <w:rtl/>
        </w:rPr>
        <w:t xml:space="preserve">הגדול </w:t>
      </w:r>
      <w:r w:rsidR="008F7C60" w:rsidRPr="00B165B6">
        <w:rPr>
          <w:rFonts w:ascii="Arial" w:hAnsi="Arial" w:cs="David" w:hint="cs"/>
          <w:rtl/>
        </w:rPr>
        <w:t xml:space="preserve">של עלויות המעבר, במובנן הרחב, מושתות לא פעם על השוכר, שייעשה </w:t>
      </w:r>
      <w:proofErr w:type="spellStart"/>
      <w:r w:rsidR="008F7C60" w:rsidRPr="00B165B6">
        <w:rPr>
          <w:rFonts w:ascii="Arial" w:hAnsi="Arial" w:cs="David" w:hint="cs"/>
          <w:rtl/>
        </w:rPr>
        <w:t>הכל</w:t>
      </w:r>
      <w:proofErr w:type="spellEnd"/>
      <w:r w:rsidR="008F7C60" w:rsidRPr="00B165B6">
        <w:rPr>
          <w:rFonts w:ascii="Arial" w:hAnsi="Arial" w:cs="David" w:hint="cs"/>
          <w:rtl/>
        </w:rPr>
        <w:t xml:space="preserve"> להימנע ממעבר דירה, המהווה לעיתים שינוי דרמטי בחייו. </w:t>
      </w:r>
      <w:r w:rsidR="004B5305">
        <w:rPr>
          <w:rFonts w:ascii="Arial" w:hAnsi="Arial" w:cs="David" w:hint="cs"/>
          <w:rtl/>
        </w:rPr>
        <w:t xml:space="preserve">בנסיבות אלו מצליחים משכירים להעלות את דמי השכירות מעבר למה שהיו עשויים לקבל </w:t>
      </w:r>
      <w:r w:rsidR="00B165B6" w:rsidRPr="00B165B6">
        <w:rPr>
          <w:rFonts w:ascii="Arial" w:hAnsi="Arial" w:cs="David" w:hint="cs"/>
          <w:rtl/>
        </w:rPr>
        <w:t xml:space="preserve">לפי תנאי השוק. </w:t>
      </w:r>
      <w:r w:rsidR="008F7C60" w:rsidRPr="00B165B6">
        <w:rPr>
          <w:rFonts w:ascii="Arial" w:hAnsi="Arial" w:cs="David" w:hint="cs"/>
          <w:rtl/>
        </w:rPr>
        <w:t xml:space="preserve">דבר זה </w:t>
      </w:r>
      <w:r w:rsidR="00B165B6" w:rsidRPr="00B165B6">
        <w:rPr>
          <w:rFonts w:ascii="Arial" w:hAnsi="Arial" w:cs="David" w:hint="cs"/>
          <w:rtl/>
        </w:rPr>
        <w:t xml:space="preserve">אף עשוי </w:t>
      </w:r>
      <w:r>
        <w:rPr>
          <w:rFonts w:ascii="Arial" w:hAnsi="Arial" w:cs="David" w:hint="cs"/>
          <w:rtl/>
        </w:rPr>
        <w:t>"</w:t>
      </w:r>
      <w:r w:rsidR="00B165B6" w:rsidRPr="00B165B6">
        <w:rPr>
          <w:rFonts w:ascii="Arial" w:hAnsi="Arial" w:cs="David" w:hint="cs"/>
          <w:rtl/>
        </w:rPr>
        <w:t>לתדלק</w:t>
      </w:r>
      <w:r>
        <w:rPr>
          <w:rFonts w:ascii="Arial" w:hAnsi="Arial" w:cs="David" w:hint="cs"/>
          <w:rtl/>
        </w:rPr>
        <w:t>"</w:t>
      </w:r>
      <w:r w:rsidR="00B165B6" w:rsidRPr="00B165B6">
        <w:rPr>
          <w:rFonts w:ascii="Arial" w:hAnsi="Arial" w:cs="David" w:hint="cs"/>
          <w:rtl/>
        </w:rPr>
        <w:t xml:space="preserve"> את מחירי השכירות, ולהעלות אותם באופן חד ומהיר יותר מהעלייה הטבעית והרגילה </w:t>
      </w:r>
      <w:r w:rsidR="00B165B6">
        <w:rPr>
          <w:rFonts w:ascii="Arial" w:hAnsi="Arial" w:cs="David" w:hint="cs"/>
          <w:rtl/>
        </w:rPr>
        <w:t xml:space="preserve">הנגזרת מהשינויים בביקוש ובהיצע. לא פעם מועדי חידוש החוזה אף נקבעים לתקופה של ביקוש גבוה, למשל </w:t>
      </w:r>
      <w:r w:rsidR="00B165B6">
        <w:rPr>
          <w:rFonts w:ascii="Arial" w:hAnsi="Arial" w:cs="David"/>
          <w:rtl/>
        </w:rPr>
        <w:t>–</w:t>
      </w:r>
      <w:r w:rsidR="00B165B6">
        <w:rPr>
          <w:rFonts w:ascii="Arial" w:hAnsi="Arial" w:cs="David" w:hint="cs"/>
          <w:rtl/>
        </w:rPr>
        <w:t xml:space="preserve"> בקיץ לפני תחילת שנת הלימודים</w:t>
      </w:r>
      <w:r w:rsidR="00185634">
        <w:rPr>
          <w:rFonts w:ascii="Arial" w:hAnsi="Arial" w:cs="David" w:hint="cs"/>
          <w:rtl/>
        </w:rPr>
        <w:t xml:space="preserve"> </w:t>
      </w:r>
      <w:r w:rsidR="00185634">
        <w:rPr>
          <w:rFonts w:ascii="Arial" w:hAnsi="Arial" w:cs="David"/>
          <w:rtl/>
        </w:rPr>
        <w:t>–</w:t>
      </w:r>
      <w:r w:rsidR="004B5305">
        <w:rPr>
          <w:rFonts w:ascii="Arial" w:hAnsi="Arial" w:cs="David" w:hint="cs"/>
          <w:rtl/>
        </w:rPr>
        <w:t xml:space="preserve"> </w:t>
      </w:r>
      <w:r w:rsidR="00B165B6">
        <w:rPr>
          <w:rFonts w:ascii="Arial" w:hAnsi="Arial" w:cs="David" w:hint="cs"/>
          <w:rtl/>
        </w:rPr>
        <w:t>באופן שמצמצם עוד יותר את כוח המ</w:t>
      </w:r>
      <w:r w:rsidR="004B5305">
        <w:rPr>
          <w:rFonts w:ascii="Arial" w:hAnsi="Arial" w:cs="David" w:hint="cs"/>
          <w:rtl/>
        </w:rPr>
        <w:t>י</w:t>
      </w:r>
      <w:r w:rsidR="00B165B6">
        <w:rPr>
          <w:rFonts w:ascii="Arial" w:hAnsi="Arial" w:cs="David" w:hint="cs"/>
          <w:rtl/>
        </w:rPr>
        <w:t>ק</w:t>
      </w:r>
      <w:r w:rsidR="004B5305">
        <w:rPr>
          <w:rFonts w:ascii="Arial" w:hAnsi="Arial" w:cs="David" w:hint="cs"/>
          <w:rtl/>
        </w:rPr>
        <w:t>ו</w:t>
      </w:r>
      <w:r w:rsidR="00B165B6">
        <w:rPr>
          <w:rFonts w:ascii="Arial" w:hAnsi="Arial" w:cs="David" w:hint="cs"/>
          <w:rtl/>
        </w:rPr>
        <w:t xml:space="preserve">ח של השוכר. </w:t>
      </w:r>
    </w:p>
    <w:p w:rsidR="00B165B6" w:rsidRDefault="00B165B6" w:rsidP="00307527">
      <w:pPr>
        <w:pStyle w:val="a8"/>
        <w:numPr>
          <w:ilvl w:val="0"/>
          <w:numId w:val="1"/>
        </w:numPr>
        <w:spacing w:before="120" w:line="360" w:lineRule="auto"/>
        <w:contextualSpacing w:val="0"/>
        <w:jc w:val="both"/>
        <w:rPr>
          <w:rFonts w:ascii="Arial" w:hAnsi="Arial" w:cs="David"/>
        </w:rPr>
      </w:pPr>
      <w:r>
        <w:rPr>
          <w:rFonts w:ascii="Arial" w:hAnsi="Arial" w:cs="David" w:hint="cs"/>
          <w:rtl/>
        </w:rPr>
        <w:t>חשוב</w:t>
      </w:r>
      <w:r w:rsidR="004B5305">
        <w:rPr>
          <w:rFonts w:ascii="Arial" w:hAnsi="Arial" w:cs="David" w:hint="cs"/>
          <w:rtl/>
        </w:rPr>
        <w:t>, אפוא,</w:t>
      </w:r>
      <w:r>
        <w:rPr>
          <w:rFonts w:ascii="Arial" w:hAnsi="Arial" w:cs="David" w:hint="cs"/>
          <w:rtl/>
        </w:rPr>
        <w:t xml:space="preserve"> שהמחוקק ייתן דעתו לכשל שוק זה, </w:t>
      </w:r>
      <w:r w:rsidR="00307527">
        <w:rPr>
          <w:rFonts w:ascii="Arial" w:hAnsi="Arial" w:cs="David" w:hint="cs"/>
          <w:rtl/>
        </w:rPr>
        <w:t xml:space="preserve">ויצמצם את נזקיו באמצעות </w:t>
      </w:r>
      <w:r>
        <w:rPr>
          <w:rFonts w:ascii="Arial" w:hAnsi="Arial" w:cs="David" w:hint="cs"/>
          <w:rtl/>
        </w:rPr>
        <w:t xml:space="preserve">הגבלה </w:t>
      </w:r>
      <w:r w:rsidR="00307527">
        <w:rPr>
          <w:rFonts w:ascii="Arial" w:hAnsi="Arial" w:cs="David" w:hint="cs"/>
          <w:rtl/>
        </w:rPr>
        <w:t xml:space="preserve">של </w:t>
      </w:r>
      <w:r>
        <w:rPr>
          <w:rFonts w:ascii="Arial" w:hAnsi="Arial" w:cs="David" w:hint="cs"/>
          <w:rtl/>
        </w:rPr>
        <w:t>שכר הדירה ל</w:t>
      </w:r>
      <w:r w:rsidR="00307527">
        <w:rPr>
          <w:rFonts w:ascii="Arial" w:hAnsi="Arial" w:cs="David" w:hint="cs"/>
          <w:rtl/>
        </w:rPr>
        <w:t xml:space="preserve">משך </w:t>
      </w:r>
      <w:r>
        <w:rPr>
          <w:rFonts w:ascii="Arial" w:hAnsi="Arial" w:cs="David" w:hint="cs"/>
          <w:rtl/>
        </w:rPr>
        <w:t xml:space="preserve">תקופת מסוימת. </w:t>
      </w:r>
      <w:r w:rsidR="00307527">
        <w:rPr>
          <w:rFonts w:ascii="Arial" w:hAnsi="Arial" w:cs="David" w:hint="cs"/>
          <w:rtl/>
        </w:rPr>
        <w:t xml:space="preserve">כמובן שאין מניעה </w:t>
      </w:r>
      <w:r>
        <w:rPr>
          <w:rFonts w:ascii="Arial" w:hAnsi="Arial" w:cs="David" w:hint="cs"/>
          <w:rtl/>
        </w:rPr>
        <w:t xml:space="preserve">לשחרר את הדירה מההגבלה </w:t>
      </w:r>
      <w:r w:rsidR="00307527">
        <w:rPr>
          <w:rFonts w:ascii="Arial" w:hAnsi="Arial" w:cs="David" w:hint="cs"/>
          <w:rtl/>
        </w:rPr>
        <w:t xml:space="preserve">בחלוף </w:t>
      </w:r>
      <w:r>
        <w:rPr>
          <w:rFonts w:ascii="Arial" w:hAnsi="Arial" w:cs="David" w:hint="cs"/>
          <w:rtl/>
        </w:rPr>
        <w:t>תקופה</w:t>
      </w:r>
      <w:r w:rsidR="00307527">
        <w:rPr>
          <w:rFonts w:ascii="Arial" w:hAnsi="Arial" w:cs="David" w:hint="cs"/>
          <w:rtl/>
        </w:rPr>
        <w:t xml:space="preserve"> קצובה</w:t>
      </w:r>
      <w:r>
        <w:rPr>
          <w:rFonts w:ascii="Arial" w:hAnsi="Arial" w:cs="David" w:hint="cs"/>
          <w:rtl/>
        </w:rPr>
        <w:t xml:space="preserve">, כדי לא ליצור מצב בו שכר הדירה </w:t>
      </w:r>
      <w:r w:rsidR="00307527">
        <w:rPr>
          <w:rFonts w:ascii="Arial" w:hAnsi="Arial" w:cs="David" w:hint="cs"/>
          <w:rtl/>
        </w:rPr>
        <w:t xml:space="preserve">חורג באורח </w:t>
      </w:r>
      <w:r>
        <w:rPr>
          <w:rFonts w:ascii="Arial" w:hAnsi="Arial" w:cs="David" w:hint="cs"/>
          <w:rtl/>
        </w:rPr>
        <w:t>מהותי משכר הדירה הריאלי</w:t>
      </w:r>
      <w:r w:rsidR="00905D83">
        <w:rPr>
          <w:rFonts w:ascii="Arial" w:hAnsi="Arial" w:cs="David" w:hint="cs"/>
          <w:rtl/>
        </w:rPr>
        <w:t>, דבר שעלול לגרום לעיוותים אחרים</w:t>
      </w:r>
      <w:r>
        <w:rPr>
          <w:rFonts w:ascii="Arial" w:hAnsi="Arial" w:cs="David" w:hint="cs"/>
          <w:rtl/>
        </w:rPr>
        <w:t xml:space="preserve">. </w:t>
      </w:r>
    </w:p>
    <w:p w:rsidR="00B165B6" w:rsidRDefault="00F53181" w:rsidP="00D67FA8">
      <w:pPr>
        <w:pStyle w:val="a8"/>
        <w:numPr>
          <w:ilvl w:val="0"/>
          <w:numId w:val="1"/>
        </w:numPr>
        <w:spacing w:before="120" w:line="360" w:lineRule="auto"/>
        <w:contextualSpacing w:val="0"/>
        <w:jc w:val="both"/>
        <w:rPr>
          <w:rFonts w:ascii="Arial" w:hAnsi="Arial" w:cs="David"/>
        </w:rPr>
      </w:pPr>
      <w:r>
        <w:rPr>
          <w:rFonts w:ascii="Arial" w:hAnsi="Arial" w:cs="David" w:hint="cs"/>
          <w:b/>
          <w:bCs/>
          <w:rtl/>
        </w:rPr>
        <w:t xml:space="preserve">אולם </w:t>
      </w:r>
      <w:r w:rsidR="00B165B6" w:rsidRPr="00B11D8A">
        <w:rPr>
          <w:rFonts w:ascii="Arial" w:hAnsi="Arial" w:cs="David" w:hint="cs"/>
          <w:b/>
          <w:bCs/>
          <w:rtl/>
        </w:rPr>
        <w:t>יש מקום לקבוע תקופה ארוכה יותר של הג</w:t>
      </w:r>
      <w:r w:rsidR="00B11D8A">
        <w:rPr>
          <w:rFonts w:ascii="Arial" w:hAnsi="Arial" w:cs="David" w:hint="cs"/>
          <w:b/>
          <w:bCs/>
          <w:rtl/>
        </w:rPr>
        <w:t>נה מ</w:t>
      </w:r>
      <w:r w:rsidR="00AB6C85">
        <w:rPr>
          <w:rFonts w:ascii="Arial" w:hAnsi="Arial" w:cs="David" w:hint="cs"/>
          <w:b/>
          <w:bCs/>
          <w:rtl/>
        </w:rPr>
        <w:t xml:space="preserve">פני </w:t>
      </w:r>
      <w:r w:rsidR="00B11D8A">
        <w:rPr>
          <w:rFonts w:ascii="Arial" w:hAnsi="Arial" w:cs="David" w:hint="cs"/>
          <w:b/>
          <w:bCs/>
          <w:rtl/>
        </w:rPr>
        <w:t>עלייה חדה בשכר הדירה</w:t>
      </w:r>
      <w:r w:rsidR="009F19CA">
        <w:rPr>
          <w:rFonts w:ascii="Arial" w:hAnsi="Arial" w:cs="David" w:hint="cs"/>
          <w:b/>
          <w:bCs/>
          <w:rtl/>
        </w:rPr>
        <w:t xml:space="preserve"> מאשר שלוש שנים</w:t>
      </w:r>
      <w:r w:rsidR="00B165B6">
        <w:rPr>
          <w:rFonts w:ascii="Arial" w:hAnsi="Arial" w:cs="David" w:hint="cs"/>
          <w:rtl/>
        </w:rPr>
        <w:t xml:space="preserve">. לעמדתנו תקופה </w:t>
      </w:r>
      <w:r w:rsidR="00905D83">
        <w:rPr>
          <w:rFonts w:ascii="Arial" w:hAnsi="Arial" w:cs="David" w:hint="cs"/>
          <w:rtl/>
        </w:rPr>
        <w:t>ארוכה יותר</w:t>
      </w:r>
      <w:r w:rsidR="00B165B6">
        <w:rPr>
          <w:rFonts w:ascii="Arial" w:hAnsi="Arial" w:cs="David" w:hint="cs"/>
          <w:rtl/>
        </w:rPr>
        <w:t xml:space="preserve"> תיתן מענה טוב יותר לצורך של משפחות ביציבות במגורים, </w:t>
      </w:r>
      <w:r w:rsidR="00AB6C85">
        <w:rPr>
          <w:rFonts w:ascii="Arial" w:hAnsi="Arial" w:cs="David" w:hint="cs"/>
          <w:rtl/>
        </w:rPr>
        <w:t xml:space="preserve">תמנע </w:t>
      </w:r>
      <w:r w:rsidR="00B165B6">
        <w:rPr>
          <w:rFonts w:ascii="Arial" w:hAnsi="Arial" w:cs="David" w:hint="cs"/>
          <w:rtl/>
        </w:rPr>
        <w:t>מעברי דירה תכופים</w:t>
      </w:r>
      <w:r w:rsidR="00AB6C85">
        <w:rPr>
          <w:rFonts w:ascii="Arial" w:hAnsi="Arial" w:cs="David" w:hint="cs"/>
          <w:rtl/>
        </w:rPr>
        <w:t>, ותרסן האצת מחירים מלאכותית</w:t>
      </w:r>
      <w:r w:rsidR="00B165B6">
        <w:rPr>
          <w:rFonts w:ascii="Arial" w:hAnsi="Arial" w:cs="David" w:hint="cs"/>
          <w:rtl/>
        </w:rPr>
        <w:t xml:space="preserve">. </w:t>
      </w:r>
      <w:r w:rsidR="00D56485">
        <w:rPr>
          <w:rFonts w:ascii="Arial" w:hAnsi="Arial" w:cs="David" w:hint="cs"/>
          <w:rtl/>
        </w:rPr>
        <w:t xml:space="preserve">אמנם, </w:t>
      </w:r>
      <w:r w:rsidR="00B165B6">
        <w:rPr>
          <w:rFonts w:ascii="Arial" w:hAnsi="Arial" w:cs="David" w:hint="cs"/>
          <w:rtl/>
        </w:rPr>
        <w:t xml:space="preserve">בתזכיר החוק </w:t>
      </w:r>
      <w:r w:rsidR="00D67FA8">
        <w:rPr>
          <w:rFonts w:ascii="Arial" w:hAnsi="Arial" w:cs="David" w:hint="cs"/>
          <w:rtl/>
        </w:rPr>
        <w:t xml:space="preserve">מטעם הממשלה </w:t>
      </w:r>
      <w:r w:rsidR="00D56485">
        <w:rPr>
          <w:rFonts w:ascii="Arial" w:hAnsi="Arial" w:cs="David" w:hint="cs"/>
          <w:rtl/>
        </w:rPr>
        <w:t>נ</w:t>
      </w:r>
      <w:r w:rsidR="00D67FA8">
        <w:rPr>
          <w:rFonts w:ascii="Arial" w:hAnsi="Arial" w:cs="David" w:hint="cs"/>
          <w:rtl/>
        </w:rPr>
        <w:t>טען</w:t>
      </w:r>
      <w:r w:rsidR="00D56485">
        <w:rPr>
          <w:rFonts w:ascii="Arial" w:hAnsi="Arial" w:cs="David" w:hint="cs"/>
          <w:rtl/>
        </w:rPr>
        <w:t>, ש</w:t>
      </w:r>
      <w:r w:rsidR="00B165B6">
        <w:rPr>
          <w:rFonts w:ascii="Arial" w:hAnsi="Arial" w:cs="David" w:hint="cs"/>
          <w:rtl/>
        </w:rPr>
        <w:t>הנתונים שעמדו בפני הצוות</w:t>
      </w:r>
      <w:r w:rsidR="00722A58">
        <w:rPr>
          <w:rFonts w:ascii="Arial" w:hAnsi="Arial" w:cs="David" w:hint="cs"/>
          <w:rtl/>
        </w:rPr>
        <w:t>,</w:t>
      </w:r>
      <w:r w:rsidR="00B165B6">
        <w:rPr>
          <w:rFonts w:ascii="Arial" w:hAnsi="Arial" w:cs="David" w:hint="cs"/>
          <w:rtl/>
        </w:rPr>
        <w:t xml:space="preserve"> </w:t>
      </w:r>
      <w:r w:rsidR="00722A58">
        <w:rPr>
          <w:rFonts w:ascii="Arial" w:hAnsi="Arial" w:cs="David" w:hint="cs"/>
          <w:rtl/>
        </w:rPr>
        <w:t xml:space="preserve">שגיבש את ההסדר המוצע, הצביעו על כך שחוזים רבים נמשכים </w:t>
      </w:r>
      <w:r w:rsidR="00B165B6">
        <w:rPr>
          <w:rFonts w:ascii="Arial" w:hAnsi="Arial" w:cs="David" w:hint="cs"/>
          <w:rtl/>
        </w:rPr>
        <w:t>שלוש שנים</w:t>
      </w:r>
      <w:r w:rsidR="00905D83">
        <w:rPr>
          <w:rFonts w:ascii="Arial" w:hAnsi="Arial" w:cs="David" w:hint="cs"/>
          <w:rtl/>
        </w:rPr>
        <w:t xml:space="preserve">, </w:t>
      </w:r>
      <w:r w:rsidR="00722A58">
        <w:rPr>
          <w:rFonts w:ascii="Arial" w:hAnsi="Arial" w:cs="David" w:hint="cs"/>
          <w:rtl/>
        </w:rPr>
        <w:t>ו</w:t>
      </w:r>
      <w:r w:rsidR="00905D83">
        <w:rPr>
          <w:rFonts w:ascii="Arial" w:hAnsi="Arial" w:cs="David" w:hint="cs"/>
          <w:rtl/>
        </w:rPr>
        <w:t xml:space="preserve">אולם </w:t>
      </w:r>
      <w:r w:rsidR="00AB6C85">
        <w:rPr>
          <w:rFonts w:ascii="Arial" w:hAnsi="Arial" w:cs="David" w:hint="cs"/>
          <w:rtl/>
        </w:rPr>
        <w:t>נראה ש</w:t>
      </w:r>
      <w:r w:rsidR="00905D83">
        <w:rPr>
          <w:rFonts w:ascii="Arial" w:hAnsi="Arial" w:cs="David" w:hint="cs"/>
          <w:rtl/>
        </w:rPr>
        <w:t>נתונים אל</w:t>
      </w:r>
      <w:r w:rsidR="00AB6C85">
        <w:rPr>
          <w:rFonts w:ascii="Arial" w:hAnsi="Arial" w:cs="David" w:hint="cs"/>
          <w:rtl/>
        </w:rPr>
        <w:t>ה</w:t>
      </w:r>
      <w:r w:rsidR="00905D83">
        <w:rPr>
          <w:rFonts w:ascii="Arial" w:hAnsi="Arial" w:cs="David" w:hint="cs"/>
          <w:rtl/>
        </w:rPr>
        <w:t xml:space="preserve"> מייצגים </w:t>
      </w:r>
      <w:r w:rsidR="00AB6C85">
        <w:rPr>
          <w:rFonts w:ascii="Arial" w:hAnsi="Arial" w:cs="David" w:hint="cs"/>
          <w:rtl/>
        </w:rPr>
        <w:t xml:space="preserve">רק </w:t>
      </w:r>
      <w:r w:rsidR="00905D83">
        <w:rPr>
          <w:rFonts w:ascii="Arial" w:hAnsi="Arial" w:cs="David" w:hint="cs"/>
          <w:rtl/>
        </w:rPr>
        <w:t>סוג מסוים של שוכרים</w:t>
      </w:r>
      <w:r w:rsidR="00722A58">
        <w:rPr>
          <w:rFonts w:ascii="Arial" w:hAnsi="Arial" w:cs="David" w:hint="cs"/>
          <w:rtl/>
        </w:rPr>
        <w:t xml:space="preserve"> </w:t>
      </w:r>
      <w:r w:rsidR="00722A58">
        <w:rPr>
          <w:rFonts w:ascii="Arial" w:hAnsi="Arial" w:cs="David"/>
          <w:rtl/>
        </w:rPr>
        <w:t>–</w:t>
      </w:r>
      <w:r w:rsidR="00722A58">
        <w:rPr>
          <w:rFonts w:ascii="Arial" w:hAnsi="Arial" w:cs="David" w:hint="cs"/>
          <w:rtl/>
        </w:rPr>
        <w:t xml:space="preserve"> צעירים שנמצאים בראשית דרכם העצמאית</w:t>
      </w:r>
      <w:r w:rsidR="00905D83">
        <w:rPr>
          <w:rFonts w:ascii="Arial" w:hAnsi="Arial" w:cs="David" w:hint="cs"/>
          <w:rtl/>
        </w:rPr>
        <w:t xml:space="preserve">. קשישים למשל, שגרים בשכירות, </w:t>
      </w:r>
      <w:r w:rsidR="00722A58">
        <w:rPr>
          <w:rFonts w:ascii="Arial" w:hAnsi="Arial" w:cs="David" w:hint="cs"/>
          <w:rtl/>
        </w:rPr>
        <w:t xml:space="preserve">אינם נהנים מגמישות </w:t>
      </w:r>
      <w:r w:rsidR="00905D83">
        <w:rPr>
          <w:rFonts w:ascii="Arial" w:hAnsi="Arial" w:cs="David" w:hint="cs"/>
          <w:rtl/>
        </w:rPr>
        <w:t xml:space="preserve">במעבר דירה. הם יתקשו למצוא דירה חלופית, וההכנסה שלהם גם היא קשיחה ולא משתנה. </w:t>
      </w:r>
    </w:p>
    <w:p w:rsidR="00B11D8A" w:rsidRPr="00B11D8A" w:rsidRDefault="00722A58" w:rsidP="00185634">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עוד </w:t>
      </w:r>
      <w:r w:rsidR="007E6679">
        <w:rPr>
          <w:rFonts w:ascii="Arial" w:hAnsi="Arial" w:cs="David" w:hint="cs"/>
          <w:rtl/>
        </w:rPr>
        <w:t xml:space="preserve">ראוי לתת את הדעת למחיר ההשכרה הראשוני, שכן מחיר ההשכרה הראשוני </w:t>
      </w:r>
      <w:r>
        <w:rPr>
          <w:rFonts w:ascii="Arial" w:hAnsi="Arial" w:cs="David" w:hint="cs"/>
          <w:rtl/>
        </w:rPr>
        <w:t xml:space="preserve">מהווה </w:t>
      </w:r>
      <w:r w:rsidR="007E6679">
        <w:rPr>
          <w:rFonts w:ascii="Arial" w:hAnsi="Arial" w:cs="David" w:hint="cs"/>
          <w:rtl/>
        </w:rPr>
        <w:t xml:space="preserve">גם הוא </w:t>
      </w:r>
      <w:r>
        <w:rPr>
          <w:rFonts w:ascii="Arial" w:hAnsi="Arial" w:cs="David" w:hint="cs"/>
          <w:rtl/>
        </w:rPr>
        <w:t xml:space="preserve">גורם מכריע בהתנהלות השוק, והגבלתו היא </w:t>
      </w:r>
      <w:r w:rsidR="007E6679">
        <w:rPr>
          <w:rFonts w:ascii="Arial" w:hAnsi="Arial" w:cs="David" w:hint="cs"/>
          <w:rtl/>
        </w:rPr>
        <w:t>חיוני</w:t>
      </w:r>
      <w:r>
        <w:rPr>
          <w:rFonts w:ascii="Arial" w:hAnsi="Arial" w:cs="David" w:hint="cs"/>
          <w:rtl/>
        </w:rPr>
        <w:t>ת</w:t>
      </w:r>
      <w:r w:rsidR="007E6679">
        <w:rPr>
          <w:rFonts w:ascii="Arial" w:hAnsi="Arial" w:cs="David" w:hint="cs"/>
          <w:rtl/>
        </w:rPr>
        <w:t xml:space="preserve"> למימוש הזכות לדיור</w:t>
      </w:r>
      <w:r w:rsidR="00B11D8A">
        <w:rPr>
          <w:rFonts w:ascii="Arial" w:hAnsi="Arial" w:cs="David" w:hint="cs"/>
          <w:rtl/>
        </w:rPr>
        <w:t xml:space="preserve">. </w:t>
      </w:r>
      <w:r w:rsidR="00B11D8A" w:rsidRPr="00B11D8A">
        <w:rPr>
          <w:rFonts w:ascii="Arial" w:hAnsi="Arial" w:cs="David" w:hint="cs"/>
          <w:rtl/>
        </w:rPr>
        <w:t xml:space="preserve">אנו מציעים כי דמי השכירות הראשונים ייקבעו באופן חופשי אך </w:t>
      </w:r>
      <w:r w:rsidR="00B11D8A">
        <w:rPr>
          <w:rFonts w:ascii="Arial" w:hAnsi="Arial" w:cs="David" w:hint="cs"/>
          <w:rtl/>
        </w:rPr>
        <w:t xml:space="preserve">תהיה </w:t>
      </w:r>
      <w:r>
        <w:rPr>
          <w:rFonts w:ascii="Arial" w:hAnsi="Arial" w:cs="David" w:hint="cs"/>
          <w:rtl/>
        </w:rPr>
        <w:t xml:space="preserve">הגבלה </w:t>
      </w:r>
      <w:r w:rsidR="00B11D8A">
        <w:rPr>
          <w:rFonts w:ascii="Arial" w:hAnsi="Arial" w:cs="David" w:hint="cs"/>
          <w:rtl/>
        </w:rPr>
        <w:t>רכה יחסית</w:t>
      </w:r>
      <w:r w:rsidR="00185634">
        <w:rPr>
          <w:rFonts w:ascii="Arial" w:hAnsi="Arial" w:cs="David" w:hint="cs"/>
          <w:rtl/>
        </w:rPr>
        <w:t xml:space="preserve"> לדמי שכירות "סבירים", כאשר</w:t>
      </w:r>
      <w:r w:rsidR="00B11D8A" w:rsidRPr="00B11D8A">
        <w:rPr>
          <w:rFonts w:ascii="Arial" w:hAnsi="Arial" w:cs="David" w:hint="cs"/>
          <w:rtl/>
        </w:rPr>
        <w:t xml:space="preserve"> מוצע גם כי יפורסם מדד אובייקטיבי, אשר יאפשר לצדדים לדעת מהם דמי השכירות הסבירים.</w:t>
      </w:r>
    </w:p>
    <w:p w:rsidR="00B11D8A" w:rsidRDefault="00B11D8A" w:rsidP="00DF2134">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לחלופין, מוצע לפתח מנגנון של תמרוץ לשכר דירה הוגן, באמצעות </w:t>
      </w:r>
      <w:r w:rsidR="009C26FB">
        <w:rPr>
          <w:rFonts w:ascii="Arial" w:hAnsi="Arial" w:cs="David" w:hint="cs"/>
          <w:rtl/>
        </w:rPr>
        <w:t>תיקון ה</w:t>
      </w:r>
      <w:r>
        <w:rPr>
          <w:rFonts w:ascii="Arial" w:hAnsi="Arial" w:cs="David" w:hint="cs"/>
          <w:rtl/>
        </w:rPr>
        <w:t xml:space="preserve">מנגנון </w:t>
      </w:r>
      <w:r w:rsidR="009C26FB">
        <w:rPr>
          <w:rFonts w:ascii="Arial" w:hAnsi="Arial" w:cs="David" w:hint="cs"/>
          <w:rtl/>
        </w:rPr>
        <w:t xml:space="preserve">הקיים של </w:t>
      </w:r>
      <w:r>
        <w:rPr>
          <w:rFonts w:ascii="Arial" w:hAnsi="Arial" w:cs="David" w:hint="cs"/>
          <w:rtl/>
        </w:rPr>
        <w:t xml:space="preserve">פטור ממס הכנסה, באופן שמעניק הפטור </w:t>
      </w:r>
      <w:r w:rsidR="009C26FB">
        <w:rPr>
          <w:rFonts w:ascii="Arial" w:hAnsi="Arial" w:cs="David" w:hint="cs"/>
          <w:rtl/>
        </w:rPr>
        <w:t xml:space="preserve">רק </w:t>
      </w:r>
      <w:r>
        <w:rPr>
          <w:rFonts w:ascii="Arial" w:hAnsi="Arial" w:cs="David" w:hint="cs"/>
          <w:rtl/>
        </w:rPr>
        <w:t>לסכום שנחשב סביר</w:t>
      </w:r>
      <w:r w:rsidR="00C717E0">
        <w:rPr>
          <w:rFonts w:ascii="Arial" w:hAnsi="Arial" w:cs="David" w:hint="cs"/>
          <w:rtl/>
        </w:rPr>
        <w:t xml:space="preserve"> לסוג הדירה והמיקום שלה,</w:t>
      </w:r>
      <w:r>
        <w:rPr>
          <w:rFonts w:ascii="Arial" w:hAnsi="Arial" w:cs="David" w:hint="cs"/>
          <w:rtl/>
        </w:rPr>
        <w:t xml:space="preserve"> וכל סכום שמעליו ימוסה.</w:t>
      </w:r>
    </w:p>
    <w:p w:rsidR="00905D83" w:rsidRDefault="00B11D8A" w:rsidP="00B11D8A">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בנוסף לאמור לעיל, מחובתה של הממשלה לפתח כלים נוספים לדיור בר-השגה, </w:t>
      </w:r>
      <w:r w:rsidR="00F639B0">
        <w:rPr>
          <w:rFonts w:ascii="Arial" w:hAnsi="Arial" w:cs="David" w:hint="cs"/>
          <w:rtl/>
        </w:rPr>
        <w:t xml:space="preserve">באמצעות דיור ציבורי, </w:t>
      </w:r>
      <w:r>
        <w:rPr>
          <w:rFonts w:ascii="Arial" w:hAnsi="Arial" w:cs="David" w:hint="cs"/>
          <w:rtl/>
        </w:rPr>
        <w:t>באמצעות פיתוח שוק שכירות ארוכת טווח ו</w:t>
      </w:r>
      <w:r w:rsidR="00F639B0">
        <w:rPr>
          <w:rFonts w:ascii="Arial" w:hAnsi="Arial" w:cs="David" w:hint="cs"/>
          <w:rtl/>
        </w:rPr>
        <w:t>ב</w:t>
      </w:r>
      <w:r>
        <w:rPr>
          <w:rFonts w:ascii="Arial" w:hAnsi="Arial" w:cs="David" w:hint="cs"/>
          <w:rtl/>
        </w:rPr>
        <w:t>הישג יד</w:t>
      </w:r>
      <w:r w:rsidR="00F639B0">
        <w:rPr>
          <w:rFonts w:ascii="Arial" w:hAnsi="Arial" w:cs="David" w:hint="cs"/>
          <w:rtl/>
        </w:rPr>
        <w:t xml:space="preserve"> ועוד</w:t>
      </w:r>
      <w:r>
        <w:rPr>
          <w:rFonts w:ascii="Arial" w:hAnsi="Arial" w:cs="David" w:hint="cs"/>
          <w:rtl/>
        </w:rPr>
        <w:t>.</w:t>
      </w:r>
      <w:r w:rsidR="007E6679">
        <w:rPr>
          <w:rFonts w:ascii="Arial" w:hAnsi="Arial" w:cs="David" w:hint="cs"/>
          <w:rtl/>
        </w:rPr>
        <w:t xml:space="preserve"> </w:t>
      </w:r>
    </w:p>
    <w:p w:rsidR="00B11D8A" w:rsidRPr="00980F7C" w:rsidRDefault="00980F7C" w:rsidP="00980F7C">
      <w:pPr>
        <w:spacing w:before="120" w:line="360" w:lineRule="auto"/>
        <w:jc w:val="both"/>
        <w:rPr>
          <w:rFonts w:ascii="Arial" w:hAnsi="Arial" w:cs="David"/>
          <w:b/>
          <w:bCs/>
          <w:u w:val="single"/>
        </w:rPr>
      </w:pPr>
      <w:r w:rsidRPr="00980F7C">
        <w:rPr>
          <w:rFonts w:ascii="Arial" w:hAnsi="Arial" w:cs="David" w:hint="cs"/>
          <w:b/>
          <w:bCs/>
          <w:u w:val="single"/>
          <w:rtl/>
        </w:rPr>
        <w:t>פיקדונות וערבויות</w:t>
      </w:r>
    </w:p>
    <w:p w:rsidR="00980F7C" w:rsidRDefault="000E09B5" w:rsidP="00DF2134">
      <w:pPr>
        <w:pStyle w:val="a8"/>
        <w:numPr>
          <w:ilvl w:val="0"/>
          <w:numId w:val="1"/>
        </w:numPr>
        <w:spacing w:before="120" w:line="360" w:lineRule="auto"/>
        <w:contextualSpacing w:val="0"/>
        <w:jc w:val="both"/>
        <w:rPr>
          <w:rFonts w:ascii="Arial" w:hAnsi="Arial" w:cs="David"/>
        </w:rPr>
      </w:pPr>
      <w:r>
        <w:rPr>
          <w:rFonts w:ascii="Arial" w:hAnsi="Arial" w:cs="David" w:hint="cs"/>
          <w:rtl/>
        </w:rPr>
        <w:t>ד</w:t>
      </w:r>
      <w:r w:rsidR="00980F7C">
        <w:rPr>
          <w:rFonts w:ascii="Arial" w:hAnsi="Arial" w:cs="David" w:hint="cs"/>
          <w:rtl/>
        </w:rPr>
        <w:t xml:space="preserve">רישה מוגזמת לפיקדונות וערבויות הינה חסם משמעותי ביותר, לעיתים בלתי עביר, לנגישות לשוק השכירות עבור משפחות מעוטות הכנסה. כלומר </w:t>
      </w:r>
      <w:r w:rsidR="00980F7C">
        <w:rPr>
          <w:rFonts w:ascii="Arial" w:hAnsi="Arial" w:cs="David"/>
          <w:rtl/>
        </w:rPr>
        <w:t>–</w:t>
      </w:r>
      <w:r w:rsidR="00980F7C">
        <w:rPr>
          <w:rFonts w:ascii="Arial" w:hAnsi="Arial" w:cs="David" w:hint="cs"/>
          <w:rtl/>
        </w:rPr>
        <w:t xml:space="preserve"> גם אם יש לה</w:t>
      </w:r>
      <w:r w:rsidR="00B925CB">
        <w:rPr>
          <w:rFonts w:ascii="Arial" w:hAnsi="Arial" w:cs="David" w:hint="cs"/>
          <w:rtl/>
        </w:rPr>
        <w:t>ן</w:t>
      </w:r>
      <w:r w:rsidR="00980F7C">
        <w:rPr>
          <w:rFonts w:ascii="Arial" w:hAnsi="Arial" w:cs="David" w:hint="cs"/>
          <w:rtl/>
        </w:rPr>
        <w:t xml:space="preserve"> את היכולת, העצמאית או באמצעות סיוע, לעמוד בתשלומים שוטפים, היעדר נזילות מונעת מה</w:t>
      </w:r>
      <w:r w:rsidR="00B925CB">
        <w:rPr>
          <w:rFonts w:ascii="Arial" w:hAnsi="Arial" w:cs="David" w:hint="cs"/>
          <w:rtl/>
        </w:rPr>
        <w:t>ן</w:t>
      </w:r>
      <w:r w:rsidR="00980F7C">
        <w:rPr>
          <w:rFonts w:ascii="Arial" w:hAnsi="Arial" w:cs="David" w:hint="cs"/>
          <w:rtl/>
        </w:rPr>
        <w:t xml:space="preserve"> לגייס מראש סכום משמעותי לפיקדון או לצורך ערבות בנקאית ובפועל חוסמת את אפשרויות המגורים העומדות בפניהם. </w:t>
      </w:r>
      <w:r>
        <w:rPr>
          <w:rFonts w:ascii="Arial" w:hAnsi="Arial" w:cs="David" w:hint="cs"/>
          <w:rtl/>
        </w:rPr>
        <w:t xml:space="preserve">לעיתים משמעות הדבר הוא שהמקום היחיד שבהן אותן משפחות יוכלו לשכור דירה הוא בריכוזי עוני, או מקומות בביקוש נמוך מאוד, </w:t>
      </w:r>
      <w:r w:rsidR="009C26FB">
        <w:rPr>
          <w:rFonts w:ascii="Arial" w:hAnsi="Arial" w:cs="David" w:hint="cs"/>
          <w:rtl/>
        </w:rPr>
        <w:t xml:space="preserve">שבהם אין </w:t>
      </w:r>
      <w:r>
        <w:rPr>
          <w:rFonts w:ascii="Arial" w:hAnsi="Arial" w:cs="David" w:hint="cs"/>
          <w:rtl/>
        </w:rPr>
        <w:t xml:space="preserve">למשכירים מה להפסיד, </w:t>
      </w:r>
      <w:r w:rsidR="009C26FB">
        <w:rPr>
          <w:rFonts w:ascii="Arial" w:hAnsi="Arial" w:cs="David" w:hint="cs"/>
          <w:rtl/>
        </w:rPr>
        <w:t>ו</w:t>
      </w:r>
      <w:r>
        <w:rPr>
          <w:rFonts w:ascii="Arial" w:hAnsi="Arial" w:cs="David" w:hint="cs"/>
          <w:rtl/>
        </w:rPr>
        <w:t xml:space="preserve">ללא נגישות לתעסוקה, ולעיתים בדירות </w:t>
      </w:r>
      <w:r w:rsidR="00B925CB">
        <w:rPr>
          <w:rFonts w:ascii="Arial" w:hAnsi="Arial" w:cs="David" w:hint="cs"/>
          <w:rtl/>
        </w:rPr>
        <w:t>שאינן</w:t>
      </w:r>
      <w:r>
        <w:rPr>
          <w:rFonts w:ascii="Arial" w:hAnsi="Arial" w:cs="David" w:hint="cs"/>
          <w:rtl/>
        </w:rPr>
        <w:t xml:space="preserve"> ראויות למגורים</w:t>
      </w:r>
      <w:r w:rsidR="00980F7C">
        <w:rPr>
          <w:rFonts w:ascii="Arial" w:hAnsi="Arial" w:cs="David" w:hint="cs"/>
          <w:rtl/>
        </w:rPr>
        <w:t xml:space="preserve">. </w:t>
      </w:r>
    </w:p>
    <w:p w:rsidR="00980F7C" w:rsidRPr="00185634" w:rsidRDefault="00B925CB" w:rsidP="00185634">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מהצד השני, </w:t>
      </w:r>
      <w:r w:rsidR="00980F7C">
        <w:rPr>
          <w:rFonts w:ascii="Arial" w:hAnsi="Arial" w:cs="David" w:hint="cs"/>
          <w:rtl/>
        </w:rPr>
        <w:t>בשנים האחרונות זורזו מאד הליכי הפינוי, באמצעות חקיקה ייעודית שנועדה לטפל ב</w:t>
      </w:r>
      <w:r w:rsidR="009C26FB">
        <w:rPr>
          <w:rFonts w:ascii="Arial" w:hAnsi="Arial" w:cs="David" w:hint="cs"/>
          <w:rtl/>
        </w:rPr>
        <w:t xml:space="preserve">הבטחת </w:t>
      </w:r>
      <w:r w:rsidR="00980F7C">
        <w:rPr>
          <w:rFonts w:ascii="Arial" w:hAnsi="Arial" w:cs="David" w:hint="cs"/>
          <w:rtl/>
        </w:rPr>
        <w:t>פינוי מושכר</w:t>
      </w:r>
      <w:r w:rsidR="009C26FB">
        <w:rPr>
          <w:rFonts w:ascii="Arial" w:hAnsi="Arial" w:cs="David" w:hint="cs"/>
          <w:rtl/>
        </w:rPr>
        <w:t xml:space="preserve"> על ידי השוכר</w:t>
      </w:r>
      <w:r w:rsidR="00980F7C">
        <w:rPr>
          <w:rFonts w:ascii="Arial" w:hAnsi="Arial" w:cs="David" w:hint="cs"/>
          <w:rtl/>
        </w:rPr>
        <w:t xml:space="preserve">. החשש </w:t>
      </w:r>
      <w:r>
        <w:rPr>
          <w:rFonts w:ascii="Arial" w:hAnsi="Arial" w:cs="David" w:hint="cs"/>
          <w:rtl/>
        </w:rPr>
        <w:t xml:space="preserve">של המשכיר </w:t>
      </w:r>
      <w:r w:rsidR="00980F7C">
        <w:rPr>
          <w:rFonts w:ascii="Arial" w:hAnsi="Arial" w:cs="David" w:hint="cs"/>
          <w:rtl/>
        </w:rPr>
        <w:t xml:space="preserve">מהפסד ממושך של הכנסה במקרה של שוכר המפסיק לשלם </w:t>
      </w:r>
      <w:r w:rsidR="00980F7C" w:rsidRPr="00185634">
        <w:rPr>
          <w:rFonts w:ascii="Arial" w:hAnsi="Arial" w:cs="David" w:hint="cs"/>
          <w:rtl/>
        </w:rPr>
        <w:t>את שכר הדירה אינו משמעותי כבעבר</w:t>
      </w:r>
      <w:r w:rsidR="009C26FB" w:rsidRPr="00185634">
        <w:rPr>
          <w:rFonts w:ascii="Arial" w:hAnsi="Arial" w:cs="David"/>
          <w:rtl/>
        </w:rPr>
        <w:t>,</w:t>
      </w:r>
      <w:r w:rsidR="00284F0E" w:rsidRPr="00185634">
        <w:rPr>
          <w:rFonts w:ascii="Arial" w:hAnsi="Arial" w:cs="David"/>
          <w:rtl/>
        </w:rPr>
        <w:t xml:space="preserve"> וממילא אין הוא נזקק לפיקדון </w:t>
      </w:r>
      <w:r w:rsidR="00DF2134" w:rsidRPr="00185634">
        <w:rPr>
          <w:rFonts w:ascii="Arial" w:hAnsi="Arial" w:cs="David" w:hint="cs"/>
          <w:rtl/>
        </w:rPr>
        <w:t>עמוק כבעבר</w:t>
      </w:r>
      <w:r w:rsidR="00284F0E" w:rsidRPr="00185634">
        <w:rPr>
          <w:rFonts w:ascii="Arial" w:hAnsi="Arial" w:cs="David"/>
          <w:rtl/>
        </w:rPr>
        <w:t>.</w:t>
      </w:r>
    </w:p>
    <w:p w:rsidR="000E09B5" w:rsidRDefault="00B925CB" w:rsidP="009F19CA">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במכלול הדברים, </w:t>
      </w:r>
      <w:r w:rsidR="00980F7C">
        <w:rPr>
          <w:rFonts w:ascii="Arial" w:hAnsi="Arial" w:cs="David" w:hint="cs"/>
          <w:rtl/>
        </w:rPr>
        <w:t xml:space="preserve">יש לאסור כליל על </w:t>
      </w:r>
      <w:r w:rsidR="00284F0E">
        <w:rPr>
          <w:rFonts w:ascii="Arial" w:hAnsi="Arial" w:cs="David" w:hint="cs"/>
          <w:rtl/>
        </w:rPr>
        <w:t xml:space="preserve">משכירים לדרוש </w:t>
      </w:r>
      <w:r w:rsidR="00980F7C">
        <w:rPr>
          <w:rFonts w:ascii="Arial" w:hAnsi="Arial" w:cs="David" w:hint="cs"/>
          <w:rtl/>
        </w:rPr>
        <w:t xml:space="preserve">ערבות בנקאית ויש לאפשר דרישת שני סוגי </w:t>
      </w:r>
      <w:r w:rsidR="00284F0E">
        <w:rPr>
          <w:rFonts w:ascii="Arial" w:hAnsi="Arial" w:cs="David" w:hint="cs"/>
          <w:rtl/>
        </w:rPr>
        <w:t xml:space="preserve">ערובה </w:t>
      </w:r>
      <w:r w:rsidR="00980F7C">
        <w:rPr>
          <w:rFonts w:ascii="Arial" w:hAnsi="Arial" w:cs="David"/>
          <w:rtl/>
        </w:rPr>
        <w:t>–</w:t>
      </w:r>
      <w:r w:rsidR="009F19CA">
        <w:rPr>
          <w:rFonts w:ascii="Arial" w:hAnsi="Arial" w:cs="David" w:hint="cs"/>
          <w:rtl/>
        </w:rPr>
        <w:t xml:space="preserve"> הפקדה של סכום כסף מוגבל</w:t>
      </w:r>
      <w:r w:rsidR="00980F7C">
        <w:rPr>
          <w:rFonts w:ascii="Arial" w:hAnsi="Arial" w:cs="David" w:hint="cs"/>
          <w:rtl/>
        </w:rPr>
        <w:t xml:space="preserve"> </w:t>
      </w:r>
      <w:r w:rsidR="009F19CA">
        <w:rPr>
          <w:rFonts w:ascii="Arial" w:hAnsi="Arial" w:cs="David" w:hint="cs"/>
          <w:rtl/>
        </w:rPr>
        <w:t>א</w:t>
      </w:r>
      <w:r w:rsidR="00980F7C">
        <w:rPr>
          <w:rFonts w:ascii="Arial" w:hAnsi="Arial" w:cs="David" w:hint="cs"/>
          <w:rtl/>
        </w:rPr>
        <w:t>ו</w:t>
      </w:r>
      <w:r w:rsidR="009F19CA">
        <w:rPr>
          <w:rFonts w:ascii="Arial" w:hAnsi="Arial" w:cs="David" w:hint="cs"/>
          <w:rtl/>
        </w:rPr>
        <w:t xml:space="preserve"> </w:t>
      </w:r>
      <w:r w:rsidR="00980F7C">
        <w:rPr>
          <w:rFonts w:ascii="Arial" w:hAnsi="Arial" w:cs="David" w:hint="cs"/>
          <w:rtl/>
        </w:rPr>
        <w:t xml:space="preserve">שטר ביטחון, שאינו דורש הפקדה בפועל, ולכן יכול להיות על סכום </w:t>
      </w:r>
      <w:r w:rsidR="009F19CA">
        <w:rPr>
          <w:rFonts w:ascii="Arial" w:hAnsi="Arial" w:cs="David" w:hint="cs"/>
          <w:rtl/>
        </w:rPr>
        <w:t>גבוה יותר</w:t>
      </w:r>
      <w:r w:rsidR="00980F7C">
        <w:rPr>
          <w:rFonts w:ascii="Arial" w:hAnsi="Arial" w:cs="David" w:hint="cs"/>
          <w:rtl/>
        </w:rPr>
        <w:t xml:space="preserve">. </w:t>
      </w:r>
    </w:p>
    <w:p w:rsidR="000E09B5" w:rsidRPr="000E09B5" w:rsidRDefault="000E09B5" w:rsidP="000E09B5">
      <w:pPr>
        <w:spacing w:before="120" w:line="360" w:lineRule="auto"/>
        <w:jc w:val="both"/>
        <w:rPr>
          <w:rFonts w:ascii="Arial" w:hAnsi="Arial" w:cs="David"/>
          <w:b/>
          <w:bCs/>
          <w:u w:val="single"/>
        </w:rPr>
      </w:pPr>
      <w:r w:rsidRPr="000E09B5">
        <w:rPr>
          <w:rFonts w:ascii="Arial" w:hAnsi="Arial" w:cs="David" w:hint="cs"/>
          <w:b/>
          <w:bCs/>
          <w:u w:val="single"/>
          <w:rtl/>
        </w:rPr>
        <w:t>עילות לביטול חוזה וביטול חוזה ללא הפרה</w:t>
      </w:r>
    </w:p>
    <w:p w:rsidR="00544773" w:rsidRDefault="00D67FA8" w:rsidP="00D67FA8">
      <w:pPr>
        <w:pStyle w:val="a8"/>
        <w:numPr>
          <w:ilvl w:val="0"/>
          <w:numId w:val="1"/>
        </w:numPr>
        <w:spacing w:before="120" w:line="360" w:lineRule="auto"/>
        <w:contextualSpacing w:val="0"/>
        <w:jc w:val="both"/>
        <w:rPr>
          <w:rFonts w:ascii="Arial" w:hAnsi="Arial" w:cs="David"/>
        </w:rPr>
      </w:pPr>
      <w:r>
        <w:rPr>
          <w:rFonts w:ascii="Arial" w:hAnsi="Arial" w:cs="David" w:hint="cs"/>
          <w:rtl/>
        </w:rPr>
        <w:t>הצעות החוק אינן מגבילות</w:t>
      </w:r>
      <w:r w:rsidR="00284F0E">
        <w:rPr>
          <w:rFonts w:ascii="Arial" w:hAnsi="Arial" w:cs="David" w:hint="cs"/>
          <w:rtl/>
        </w:rPr>
        <w:t xml:space="preserve"> את ה</w:t>
      </w:r>
      <w:r w:rsidR="000E09B5">
        <w:rPr>
          <w:rFonts w:ascii="Arial" w:hAnsi="Arial" w:cs="David" w:hint="cs"/>
          <w:rtl/>
        </w:rPr>
        <w:t xml:space="preserve">עילות </w:t>
      </w:r>
      <w:r w:rsidR="00284F0E">
        <w:rPr>
          <w:rFonts w:ascii="Arial" w:hAnsi="Arial" w:cs="David" w:hint="cs"/>
          <w:rtl/>
        </w:rPr>
        <w:t>ה</w:t>
      </w:r>
      <w:r w:rsidR="000E09B5">
        <w:rPr>
          <w:rFonts w:ascii="Arial" w:hAnsi="Arial" w:cs="David" w:hint="cs"/>
          <w:rtl/>
        </w:rPr>
        <w:t>מותרות לביטול חוזה</w:t>
      </w:r>
      <w:r w:rsidR="00284F0E">
        <w:rPr>
          <w:rFonts w:ascii="Arial" w:hAnsi="Arial" w:cs="David" w:hint="cs"/>
          <w:rtl/>
        </w:rPr>
        <w:t>,</w:t>
      </w:r>
      <w:r w:rsidR="000E09B5">
        <w:rPr>
          <w:rFonts w:ascii="Arial" w:hAnsi="Arial" w:cs="David" w:hint="cs"/>
          <w:rtl/>
        </w:rPr>
        <w:t xml:space="preserve"> ואף </w:t>
      </w:r>
      <w:r>
        <w:rPr>
          <w:rFonts w:ascii="Arial" w:hAnsi="Arial" w:cs="David" w:hint="cs"/>
          <w:rtl/>
        </w:rPr>
        <w:t>חלקן מתירות</w:t>
      </w:r>
      <w:r w:rsidR="000E09B5">
        <w:rPr>
          <w:rFonts w:ascii="Arial" w:hAnsi="Arial" w:cs="David" w:hint="cs"/>
          <w:rtl/>
        </w:rPr>
        <w:t xml:space="preserve"> ביטול חוזה ללא כל הפרה, </w:t>
      </w:r>
      <w:r w:rsidR="00383A54">
        <w:rPr>
          <w:rFonts w:ascii="Arial" w:hAnsi="Arial" w:cs="David" w:hint="cs"/>
          <w:rtl/>
        </w:rPr>
        <w:t xml:space="preserve">טרם המועד המוסכם, </w:t>
      </w:r>
      <w:r w:rsidR="000E09B5">
        <w:rPr>
          <w:rFonts w:ascii="Arial" w:hAnsi="Arial" w:cs="David" w:hint="cs"/>
          <w:rtl/>
        </w:rPr>
        <w:t xml:space="preserve">ובלבד שתהיה הדדיות בכך. </w:t>
      </w:r>
    </w:p>
    <w:p w:rsidR="00544773" w:rsidRDefault="00544773" w:rsidP="00F14A49">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יש צורך לקבוע כי </w:t>
      </w:r>
      <w:r w:rsidR="00F14A49">
        <w:rPr>
          <w:rFonts w:ascii="Arial" w:hAnsi="Arial" w:cs="David" w:hint="cs"/>
          <w:rtl/>
        </w:rPr>
        <w:t>רק</w:t>
      </w:r>
      <w:r w:rsidR="009D1B02">
        <w:rPr>
          <w:rFonts w:ascii="Arial" w:hAnsi="Arial" w:cs="David" w:hint="cs"/>
          <w:rtl/>
        </w:rPr>
        <w:t xml:space="preserve"> הפרה יסודית של החוזה</w:t>
      </w:r>
      <w:r w:rsidR="00F14A49">
        <w:rPr>
          <w:rFonts w:ascii="Arial" w:hAnsi="Arial" w:cs="David" w:hint="cs"/>
          <w:rtl/>
        </w:rPr>
        <w:t xml:space="preserve"> מצד השוכר תביא לסיום חוזה השכירות</w:t>
      </w:r>
      <w:r>
        <w:rPr>
          <w:rFonts w:ascii="Arial" w:hAnsi="Arial" w:cs="David" w:hint="cs"/>
          <w:rtl/>
        </w:rPr>
        <w:t>:</w:t>
      </w:r>
      <w:r w:rsidR="007D351E">
        <w:rPr>
          <w:rFonts w:cs="David" w:hint="cs"/>
          <w:rtl/>
        </w:rPr>
        <w:t xml:space="preserve"> </w:t>
      </w:r>
      <w:r>
        <w:rPr>
          <w:rFonts w:cs="David" w:hint="cs"/>
          <w:rtl/>
        </w:rPr>
        <w:t>השוכר לא שילם את דמי השכירות; השוכר עושה שימוש בדירה שלא למגורים; השוכר מזניח אותה וגורם לה נזק בלתי סביר; השוכר מונע מהמשכיר ללא הצדקה את הכניסה לדירה לצורך ביצוע תיקונים נדרשים; או שהשוכר גורם נזק בלתי סביר לרכוש המשותף בבניין.</w:t>
      </w:r>
    </w:p>
    <w:p w:rsidR="009D1B02" w:rsidRDefault="009D1B02" w:rsidP="00DF2134">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במקרים </w:t>
      </w:r>
      <w:r w:rsidR="00DF2134">
        <w:rPr>
          <w:rFonts w:ascii="Arial" w:hAnsi="Arial" w:cs="David" w:hint="cs"/>
          <w:rtl/>
        </w:rPr>
        <w:t>שצוינו לעיל</w:t>
      </w:r>
      <w:r>
        <w:rPr>
          <w:rFonts w:ascii="Arial" w:hAnsi="Arial" w:cs="David" w:hint="cs"/>
          <w:rtl/>
        </w:rPr>
        <w:t xml:space="preserve"> יש לאפשר </w:t>
      </w:r>
      <w:r w:rsidR="00DF2134">
        <w:rPr>
          <w:rFonts w:ascii="Arial" w:hAnsi="Arial" w:cs="David" w:hint="cs"/>
          <w:rtl/>
        </w:rPr>
        <w:t xml:space="preserve">ביטול חוזה השכירות תוך מתן </w:t>
      </w:r>
      <w:r>
        <w:rPr>
          <w:rFonts w:ascii="Arial" w:hAnsi="Arial" w:cs="David" w:hint="cs"/>
          <w:rtl/>
        </w:rPr>
        <w:t xml:space="preserve">שהות סבירה </w:t>
      </w:r>
      <w:r w:rsidR="00DF2134">
        <w:rPr>
          <w:rFonts w:ascii="Arial" w:hAnsi="Arial" w:cs="David" w:hint="cs"/>
          <w:rtl/>
        </w:rPr>
        <w:t xml:space="preserve">לשוכר </w:t>
      </w:r>
      <w:r>
        <w:rPr>
          <w:rFonts w:ascii="Arial" w:hAnsi="Arial" w:cs="David" w:hint="cs"/>
          <w:rtl/>
        </w:rPr>
        <w:t xml:space="preserve">לתקן את הפגמים בטרם </w:t>
      </w:r>
      <w:r w:rsidR="00DF2134">
        <w:rPr>
          <w:rFonts w:ascii="Arial" w:hAnsi="Arial" w:cs="David" w:hint="cs"/>
          <w:rtl/>
        </w:rPr>
        <w:t>יוכל המשכיר ל</w:t>
      </w:r>
      <w:r>
        <w:rPr>
          <w:rFonts w:ascii="Arial" w:hAnsi="Arial" w:cs="David" w:hint="cs"/>
          <w:rtl/>
        </w:rPr>
        <w:t>פעול לפינוי השוכר.</w:t>
      </w:r>
    </w:p>
    <w:p w:rsidR="00544773" w:rsidRPr="00544773" w:rsidRDefault="00544773" w:rsidP="00D67FA8">
      <w:pPr>
        <w:pStyle w:val="a8"/>
        <w:numPr>
          <w:ilvl w:val="0"/>
          <w:numId w:val="1"/>
        </w:numPr>
        <w:spacing w:before="120" w:line="360" w:lineRule="auto"/>
        <w:contextualSpacing w:val="0"/>
        <w:jc w:val="both"/>
        <w:rPr>
          <w:rFonts w:cs="David"/>
        </w:rPr>
      </w:pPr>
      <w:r w:rsidRPr="00544773">
        <w:rPr>
          <w:rFonts w:cs="David" w:hint="cs"/>
          <w:rtl/>
        </w:rPr>
        <w:t xml:space="preserve">אין מקום לביטול חוזה ללא </w:t>
      </w:r>
      <w:r w:rsidR="009D1B02">
        <w:rPr>
          <w:rFonts w:cs="David" w:hint="cs"/>
          <w:rtl/>
        </w:rPr>
        <w:t>הפרה</w:t>
      </w:r>
      <w:r w:rsidR="00383A54">
        <w:rPr>
          <w:rFonts w:cs="David" w:hint="cs"/>
          <w:rtl/>
        </w:rPr>
        <w:t xml:space="preserve"> מצד השוכר</w:t>
      </w:r>
      <w:r w:rsidR="009D1B02">
        <w:rPr>
          <w:rFonts w:cs="David" w:hint="cs"/>
          <w:rtl/>
        </w:rPr>
        <w:t>,</w:t>
      </w:r>
      <w:r w:rsidRPr="00544773">
        <w:rPr>
          <w:rFonts w:cs="David" w:hint="cs"/>
          <w:rtl/>
        </w:rPr>
        <w:t xml:space="preserve"> ו</w:t>
      </w:r>
      <w:r w:rsidR="00D67FA8">
        <w:rPr>
          <w:rFonts w:cs="David" w:hint="cs"/>
          <w:rtl/>
        </w:rPr>
        <w:t>מוצע</w:t>
      </w:r>
      <w:r w:rsidRPr="00544773">
        <w:rPr>
          <w:rFonts w:cs="David" w:hint="cs"/>
          <w:rtl/>
        </w:rPr>
        <w:t xml:space="preserve"> כי ביטול חוזה ללא הפרה יוגבל </w:t>
      </w:r>
      <w:r w:rsidR="00E466EA">
        <w:rPr>
          <w:rFonts w:cs="David" w:hint="cs"/>
          <w:rtl/>
        </w:rPr>
        <w:t xml:space="preserve">בהוראות קוגנטית </w:t>
      </w:r>
      <w:r w:rsidRPr="00544773">
        <w:rPr>
          <w:rFonts w:cs="David" w:hint="cs"/>
          <w:rtl/>
        </w:rPr>
        <w:t xml:space="preserve">למקרים מיוחדים: המשכיר זקוק לדירה לצורך מכירתה, כאשר בכוונת הקונה, בן זוגו, ילדיו או הוריו להתגורר בדירה במשך </w:t>
      </w:r>
      <w:r w:rsidR="00F14A49" w:rsidRPr="00F14A49">
        <w:rPr>
          <w:rFonts w:cs="David" w:hint="cs"/>
          <w:rtl/>
        </w:rPr>
        <w:t>תקופה משמעותית</w:t>
      </w:r>
      <w:r w:rsidRPr="00544773">
        <w:rPr>
          <w:rFonts w:cs="David" w:hint="cs"/>
          <w:rtl/>
        </w:rPr>
        <w:t>;</w:t>
      </w:r>
      <w:r w:rsidR="00F14A49">
        <w:rPr>
          <w:rFonts w:cs="David" w:hint="cs"/>
          <w:rtl/>
        </w:rPr>
        <w:t xml:space="preserve"> </w:t>
      </w:r>
      <w:r w:rsidRPr="00544773">
        <w:rPr>
          <w:rFonts w:cs="David" w:hint="cs"/>
          <w:rtl/>
        </w:rPr>
        <w:t xml:space="preserve">המשכיר זקוק לדירה לצורך מגוריו או מגורי בן זוגו, הורהו או ילדיו, לתקופה </w:t>
      </w:r>
      <w:r w:rsidR="00F14A49">
        <w:rPr>
          <w:rFonts w:cs="David" w:hint="cs"/>
          <w:rtl/>
        </w:rPr>
        <w:t>משמעותית</w:t>
      </w:r>
      <w:r w:rsidRPr="00544773">
        <w:rPr>
          <w:rFonts w:cs="David" w:hint="cs"/>
          <w:rtl/>
        </w:rPr>
        <w:t>;</w:t>
      </w:r>
      <w:r>
        <w:rPr>
          <w:rFonts w:cs="David" w:hint="cs"/>
          <w:rtl/>
        </w:rPr>
        <w:t xml:space="preserve"> או ש</w:t>
      </w:r>
      <w:r w:rsidRPr="00544773">
        <w:rPr>
          <w:rFonts w:cs="David" w:hint="cs"/>
          <w:rtl/>
        </w:rPr>
        <w:t>המשכיר זקוק לדירה לצורך הריסתה, שיפוצה היסודי או שיפוץ יסודי של הבניין או הריסת הבניין.</w:t>
      </w:r>
    </w:p>
    <w:p w:rsidR="00544773" w:rsidRDefault="00544773" w:rsidP="00DF2134">
      <w:pPr>
        <w:pStyle w:val="a8"/>
        <w:numPr>
          <w:ilvl w:val="0"/>
          <w:numId w:val="1"/>
        </w:numPr>
        <w:spacing w:before="120" w:line="360" w:lineRule="auto"/>
        <w:contextualSpacing w:val="0"/>
        <w:jc w:val="both"/>
        <w:rPr>
          <w:rFonts w:ascii="Arial" w:hAnsi="Arial" w:cs="David"/>
        </w:rPr>
      </w:pPr>
      <w:r>
        <w:rPr>
          <w:rFonts w:cs="David" w:hint="cs"/>
          <w:rtl/>
        </w:rPr>
        <w:t xml:space="preserve"> </w:t>
      </w:r>
      <w:r w:rsidR="009D1B02">
        <w:rPr>
          <w:rFonts w:ascii="Arial" w:hAnsi="Arial" w:cs="David" w:hint="cs"/>
          <w:rtl/>
        </w:rPr>
        <w:t>כ</w:t>
      </w:r>
      <w:r>
        <w:rPr>
          <w:rFonts w:ascii="Arial" w:hAnsi="Arial" w:cs="David" w:hint="cs"/>
          <w:rtl/>
        </w:rPr>
        <w:t>כלל, ביט</w:t>
      </w:r>
      <w:r w:rsidR="009D1B02">
        <w:rPr>
          <w:rFonts w:ascii="Arial" w:hAnsi="Arial" w:cs="David" w:hint="cs"/>
          <w:rtl/>
        </w:rPr>
        <w:t>ו</w:t>
      </w:r>
      <w:r>
        <w:rPr>
          <w:rFonts w:ascii="Arial" w:hAnsi="Arial" w:cs="David" w:hint="cs"/>
          <w:rtl/>
        </w:rPr>
        <w:t xml:space="preserve">ל חוזה על ידי המשכיר ללא </w:t>
      </w:r>
      <w:r w:rsidR="009D1B02">
        <w:rPr>
          <w:rFonts w:ascii="Arial" w:hAnsi="Arial" w:cs="David" w:hint="cs"/>
          <w:rtl/>
        </w:rPr>
        <w:t>הפרה</w:t>
      </w:r>
      <w:r>
        <w:rPr>
          <w:rFonts w:ascii="Arial" w:hAnsi="Arial" w:cs="David" w:hint="cs"/>
          <w:rtl/>
        </w:rPr>
        <w:t xml:space="preserve"> צרי</w:t>
      </w:r>
      <w:r w:rsidR="00DF2134">
        <w:rPr>
          <w:rFonts w:ascii="Arial" w:hAnsi="Arial" w:cs="David" w:hint="cs"/>
          <w:rtl/>
        </w:rPr>
        <w:t>ך</w:t>
      </w:r>
      <w:r>
        <w:rPr>
          <w:rFonts w:ascii="Arial" w:hAnsi="Arial" w:cs="David" w:hint="cs"/>
          <w:rtl/>
        </w:rPr>
        <w:t xml:space="preserve"> להיעשות באמצעות תקופת התראה ממושכת יחסית ועל המשכיר לממן את עלויות המעבר של השוכר. כמו כן, יש לקבוע כי אם ניתנה התראה על סיום חוזה ללא </w:t>
      </w:r>
      <w:r w:rsidR="009D1B02">
        <w:rPr>
          <w:rFonts w:ascii="Arial" w:hAnsi="Arial" w:cs="David" w:hint="cs"/>
          <w:rtl/>
        </w:rPr>
        <w:t>הפרה</w:t>
      </w:r>
      <w:r>
        <w:rPr>
          <w:rFonts w:ascii="Arial" w:hAnsi="Arial" w:cs="David" w:hint="cs"/>
          <w:rtl/>
        </w:rPr>
        <w:t xml:space="preserve"> מאחת העילות הנ"ל, יוכל השוכר לעזוב את המושכר בכל רגע מבלי הודעה מוקדמת או סנקציה כלשהי.</w:t>
      </w:r>
    </w:p>
    <w:p w:rsidR="008114E8" w:rsidRDefault="00383A54" w:rsidP="00D67FA8">
      <w:pPr>
        <w:pStyle w:val="a8"/>
        <w:numPr>
          <w:ilvl w:val="0"/>
          <w:numId w:val="1"/>
        </w:numPr>
        <w:spacing w:before="120" w:line="360" w:lineRule="auto"/>
        <w:contextualSpacing w:val="0"/>
        <w:jc w:val="both"/>
        <w:rPr>
          <w:rFonts w:ascii="Arial" w:hAnsi="Arial" w:cs="David"/>
        </w:rPr>
      </w:pPr>
      <w:r>
        <w:rPr>
          <w:rFonts w:ascii="Arial" w:hAnsi="Arial" w:cs="David" w:hint="cs"/>
          <w:rtl/>
        </w:rPr>
        <w:t>לגבי השתחררות של השוכר מהחוזה.</w:t>
      </w:r>
      <w:r w:rsidR="00F14A49">
        <w:rPr>
          <w:rFonts w:ascii="Arial" w:hAnsi="Arial" w:cs="David" w:hint="cs"/>
          <w:rtl/>
        </w:rPr>
        <w:t xml:space="preserve"> </w:t>
      </w:r>
      <w:r w:rsidR="00D67FA8">
        <w:rPr>
          <w:rFonts w:ascii="Arial" w:hAnsi="Arial" w:cs="David" w:hint="cs"/>
          <w:rtl/>
        </w:rPr>
        <w:t>מוצדק לקדם</w:t>
      </w:r>
      <w:r>
        <w:rPr>
          <w:rFonts w:ascii="Arial" w:hAnsi="Arial" w:cs="David" w:hint="cs"/>
          <w:rtl/>
        </w:rPr>
        <w:t xml:space="preserve"> </w:t>
      </w:r>
      <w:r w:rsidR="00F14A49">
        <w:rPr>
          <w:rFonts w:ascii="Arial" w:hAnsi="Arial" w:cs="David" w:hint="cs"/>
          <w:rtl/>
        </w:rPr>
        <w:t xml:space="preserve">כלל א-סימטרי לטובת השוכר. כלומר </w:t>
      </w:r>
      <w:r w:rsidR="00F14A49">
        <w:rPr>
          <w:rFonts w:ascii="Arial" w:hAnsi="Arial" w:cs="David"/>
          <w:rtl/>
        </w:rPr>
        <w:t>–</w:t>
      </w:r>
      <w:r w:rsidR="00F14A49">
        <w:rPr>
          <w:rFonts w:ascii="Arial" w:hAnsi="Arial" w:cs="David" w:hint="cs"/>
          <w:rtl/>
        </w:rPr>
        <w:t xml:space="preserve"> המשכיר לא יוכל להשתחרר מהחוזה מ</w:t>
      </w:r>
      <w:r>
        <w:rPr>
          <w:rFonts w:ascii="Arial" w:hAnsi="Arial" w:cs="David" w:hint="cs"/>
          <w:rtl/>
        </w:rPr>
        <w:t>ו</w:t>
      </w:r>
      <w:r w:rsidR="00F14A49">
        <w:rPr>
          <w:rFonts w:ascii="Arial" w:hAnsi="Arial" w:cs="David" w:hint="cs"/>
          <w:rtl/>
        </w:rPr>
        <w:t xml:space="preserve">קדם </w:t>
      </w:r>
      <w:r>
        <w:rPr>
          <w:rFonts w:ascii="Arial" w:hAnsi="Arial" w:cs="David" w:hint="cs"/>
          <w:rtl/>
        </w:rPr>
        <w:t>מהמוסכם ללא הפרה יסודית אלא בהתקיים נסיבות מיוחדות</w:t>
      </w:r>
      <w:r w:rsidR="00F14A49">
        <w:rPr>
          <w:rFonts w:ascii="Arial" w:hAnsi="Arial" w:cs="David" w:hint="cs"/>
          <w:rtl/>
        </w:rPr>
        <w:t>, אך לשוכר תינתן אפשרות להשתחררות מוקדמת ללא הפרה</w:t>
      </w:r>
      <w:r w:rsidR="00DF2134">
        <w:rPr>
          <w:rFonts w:ascii="Arial" w:hAnsi="Arial" w:cs="David" w:hint="cs"/>
          <w:rtl/>
        </w:rPr>
        <w:t xml:space="preserve">. </w:t>
      </w:r>
      <w:r w:rsidR="008114E8">
        <w:rPr>
          <w:rFonts w:ascii="Arial" w:hAnsi="Arial" w:cs="David" w:hint="cs"/>
          <w:rtl/>
        </w:rPr>
        <w:t>אי הסימטריות נובעת מכך שהמצב של כל אחד מהצדדים שונה. עבור השוכר המושכר אינו רק עניין מסחרי-חוזי, זה ביתו על כל המשמע מכך, ויש להתחשב בכך ולמנוע מצב בו מחייבים אדם להישאר בבית שהוא רוצה לעזוב רק בשל קושי להשתחרר מחוזה שכירות.</w:t>
      </w:r>
    </w:p>
    <w:p w:rsidR="008114E8" w:rsidRDefault="00DF2134" w:rsidP="008114E8">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למעשה </w:t>
      </w:r>
      <w:r>
        <w:rPr>
          <w:rFonts w:ascii="Arial" w:hAnsi="Arial" w:cs="David"/>
          <w:rtl/>
        </w:rPr>
        <w:t>–</w:t>
      </w:r>
      <w:r>
        <w:rPr>
          <w:rFonts w:ascii="Arial" w:hAnsi="Arial" w:cs="David" w:hint="cs"/>
          <w:rtl/>
        </w:rPr>
        <w:t xml:space="preserve"> החוק כיום כבר מאפשר לשוכר להשתחרר מהחוזה באמצעות מציאת </w:t>
      </w:r>
      <w:r w:rsidR="00383A54">
        <w:rPr>
          <w:rFonts w:ascii="Arial" w:hAnsi="Arial" w:cs="David" w:hint="cs"/>
          <w:rtl/>
        </w:rPr>
        <w:t>שוכר חלופי</w:t>
      </w:r>
      <w:r>
        <w:rPr>
          <w:rFonts w:ascii="Arial" w:hAnsi="Arial" w:cs="David" w:hint="cs"/>
          <w:rtl/>
        </w:rPr>
        <w:t>.</w:t>
      </w:r>
      <w:r w:rsidR="00383A54">
        <w:rPr>
          <w:rFonts w:ascii="Arial" w:hAnsi="Arial" w:cs="David" w:hint="cs"/>
          <w:rtl/>
        </w:rPr>
        <w:t xml:space="preserve"> </w:t>
      </w:r>
      <w:r>
        <w:rPr>
          <w:rFonts w:ascii="Arial" w:hAnsi="Arial" w:cs="David" w:hint="cs"/>
          <w:rtl/>
        </w:rPr>
        <w:t>אולם המציאות מלמדת ש</w:t>
      </w:r>
      <w:r w:rsidR="00383A54">
        <w:rPr>
          <w:rFonts w:ascii="Arial" w:hAnsi="Arial" w:cs="David" w:hint="cs"/>
          <w:rtl/>
        </w:rPr>
        <w:t>ישנם מקרים</w:t>
      </w:r>
      <w:r w:rsidR="00F14A49">
        <w:rPr>
          <w:rFonts w:ascii="Arial" w:hAnsi="Arial" w:cs="David" w:hint="cs"/>
          <w:rtl/>
        </w:rPr>
        <w:t xml:space="preserve"> שבהם השוכר מבקש </w:t>
      </w:r>
      <w:r>
        <w:rPr>
          <w:rFonts w:ascii="Arial" w:hAnsi="Arial" w:cs="David" w:hint="cs"/>
          <w:rtl/>
        </w:rPr>
        <w:t xml:space="preserve">להשתחרר מהחוזה והוא יתקשה למצוא שוכר חלופי. </w:t>
      </w:r>
      <w:r w:rsidR="00F14A49">
        <w:rPr>
          <w:rFonts w:ascii="Arial" w:hAnsi="Arial" w:cs="David" w:hint="cs"/>
          <w:rtl/>
        </w:rPr>
        <w:t xml:space="preserve">למשל </w:t>
      </w:r>
      <w:r>
        <w:rPr>
          <w:rFonts w:ascii="Arial" w:hAnsi="Arial" w:cs="David" w:hint="cs"/>
          <w:rtl/>
        </w:rPr>
        <w:t xml:space="preserve">כאשר הוא מעוניין </w:t>
      </w:r>
      <w:r w:rsidR="00F14A49">
        <w:rPr>
          <w:rFonts w:ascii="Arial" w:hAnsi="Arial" w:cs="David" w:hint="cs"/>
          <w:rtl/>
        </w:rPr>
        <w:t>לנצל הזדמנות עבודה או לימודים בעיר אחרת</w:t>
      </w:r>
      <w:r>
        <w:rPr>
          <w:rFonts w:ascii="Arial" w:hAnsi="Arial" w:cs="David" w:hint="cs"/>
          <w:rtl/>
        </w:rPr>
        <w:t xml:space="preserve"> או במדינה אחרת</w:t>
      </w:r>
      <w:r w:rsidR="00F14A49">
        <w:rPr>
          <w:rFonts w:ascii="Arial" w:hAnsi="Arial" w:cs="David" w:hint="cs"/>
          <w:rtl/>
        </w:rPr>
        <w:t>, שלא צפה מראש, או בשל שינויים בגודל המשפחה,</w:t>
      </w:r>
      <w:r w:rsidR="00383A54">
        <w:rPr>
          <w:rFonts w:ascii="Arial" w:hAnsi="Arial" w:cs="David" w:hint="cs"/>
          <w:rtl/>
        </w:rPr>
        <w:t xml:space="preserve"> או צורך לעזוב באופן מיידי דירה, למשל </w:t>
      </w:r>
      <w:r w:rsidR="00383A54">
        <w:rPr>
          <w:rFonts w:ascii="Arial" w:hAnsi="Arial" w:cs="David"/>
          <w:rtl/>
        </w:rPr>
        <w:t>–</w:t>
      </w:r>
      <w:r w:rsidR="00383A54">
        <w:rPr>
          <w:rFonts w:ascii="Arial" w:hAnsi="Arial" w:cs="David" w:hint="cs"/>
          <w:rtl/>
        </w:rPr>
        <w:t xml:space="preserve"> במקרה של פרידה</w:t>
      </w:r>
      <w:r w:rsidR="00F14A49">
        <w:rPr>
          <w:rFonts w:ascii="Arial" w:hAnsi="Arial" w:cs="David" w:hint="cs"/>
          <w:rtl/>
        </w:rPr>
        <w:t>.</w:t>
      </w:r>
      <w:r w:rsidR="00383A54">
        <w:rPr>
          <w:rFonts w:ascii="Arial" w:hAnsi="Arial" w:cs="David" w:hint="cs"/>
          <w:rtl/>
        </w:rPr>
        <w:t xml:space="preserve"> </w:t>
      </w:r>
      <w:r w:rsidR="008114E8">
        <w:rPr>
          <w:rFonts w:ascii="Arial" w:hAnsi="Arial" w:cs="David" w:hint="cs"/>
          <w:rtl/>
        </w:rPr>
        <w:t xml:space="preserve">כמו כן, כאשר השוכר עוזב על רקע יחסים עכורים עם המשכיר ואינו רוצה למצוא עצמו במצב בו הוא נאלץ "לשכנע" שוכרים חלופיים פוטנציאלים שכדאי להם להיכנס ליחסים חוזיים עם אותו משכיר, כדי להשתחרר מהחוזה; או כאשר המשכיר מכשיל את מאמציו של השוכר למצוא שוכר חלופי. </w:t>
      </w:r>
    </w:p>
    <w:p w:rsidR="00980F7C" w:rsidRPr="00B165B6" w:rsidRDefault="008114E8" w:rsidP="008114E8">
      <w:pPr>
        <w:pStyle w:val="a8"/>
        <w:numPr>
          <w:ilvl w:val="0"/>
          <w:numId w:val="1"/>
        </w:numPr>
        <w:spacing w:before="120" w:line="360" w:lineRule="auto"/>
        <w:contextualSpacing w:val="0"/>
        <w:jc w:val="both"/>
        <w:rPr>
          <w:rFonts w:ascii="Arial" w:hAnsi="Arial" w:cs="David"/>
        </w:rPr>
      </w:pPr>
      <w:r>
        <w:rPr>
          <w:rFonts w:ascii="Arial" w:hAnsi="Arial" w:cs="David" w:hint="cs"/>
          <w:rtl/>
        </w:rPr>
        <w:t xml:space="preserve">משמעות הכלל הא-סימטרי היא שבניגוד למשכיר, שיכול להשתחרר מהחוזה רק בהתקיים עילות יוצאות דופן, </w:t>
      </w:r>
      <w:r w:rsidR="00383A54">
        <w:rPr>
          <w:rFonts w:ascii="Arial" w:hAnsi="Arial" w:cs="David" w:hint="cs"/>
          <w:rtl/>
        </w:rPr>
        <w:t>אין לכפות על</w:t>
      </w:r>
      <w:r>
        <w:rPr>
          <w:rFonts w:ascii="Arial" w:hAnsi="Arial" w:cs="David" w:hint="cs"/>
          <w:rtl/>
        </w:rPr>
        <w:t xml:space="preserve"> השוכר</w:t>
      </w:r>
      <w:r w:rsidR="00383A54">
        <w:rPr>
          <w:rFonts w:ascii="Arial" w:hAnsi="Arial" w:cs="David" w:hint="cs"/>
          <w:rtl/>
        </w:rPr>
        <w:t xml:space="preserve"> את השלמת החוזה עד תומו, מעבר לתקופת הסתגלות סבירה של המשכיר, </w:t>
      </w:r>
      <w:r>
        <w:rPr>
          <w:rFonts w:ascii="Arial" w:hAnsi="Arial" w:cs="David" w:hint="cs"/>
          <w:rtl/>
        </w:rPr>
        <w:t>ולכפות עליו</w:t>
      </w:r>
      <w:r w:rsidR="00383A54">
        <w:rPr>
          <w:rFonts w:ascii="Arial" w:hAnsi="Arial" w:cs="David" w:hint="cs"/>
          <w:rtl/>
        </w:rPr>
        <w:t xml:space="preserve"> לשלם על דירה נוספת במקביל</w:t>
      </w:r>
      <w:r>
        <w:rPr>
          <w:rFonts w:ascii="Arial" w:hAnsi="Arial" w:cs="David" w:hint="cs"/>
          <w:rtl/>
        </w:rPr>
        <w:t xml:space="preserve"> </w:t>
      </w:r>
      <w:r>
        <w:rPr>
          <w:rFonts w:ascii="Arial" w:hAnsi="Arial" w:cs="David"/>
          <w:rtl/>
        </w:rPr>
        <w:t>–</w:t>
      </w:r>
      <w:r>
        <w:rPr>
          <w:rFonts w:ascii="Arial" w:hAnsi="Arial" w:cs="David" w:hint="cs"/>
          <w:rtl/>
        </w:rPr>
        <w:t xml:space="preserve"> דבר שרוב שוכרי הדירות לא מסוגלים לעמוד בו</w:t>
      </w:r>
      <w:r w:rsidR="00383A54">
        <w:rPr>
          <w:rFonts w:ascii="Arial" w:hAnsi="Arial" w:cs="David" w:hint="cs"/>
          <w:rtl/>
        </w:rPr>
        <w:t xml:space="preserve">. </w:t>
      </w:r>
    </w:p>
    <w:p w:rsidR="00721150" w:rsidRPr="009D1B02" w:rsidRDefault="009D1B02" w:rsidP="009B10D1">
      <w:pPr>
        <w:spacing w:before="120" w:line="360" w:lineRule="auto"/>
        <w:jc w:val="both"/>
        <w:rPr>
          <w:rFonts w:ascii="Arial" w:hAnsi="Arial" w:cs="David"/>
          <w:b/>
          <w:bCs/>
          <w:u w:val="single"/>
          <w:rtl/>
        </w:rPr>
      </w:pPr>
      <w:r w:rsidRPr="009D1B02">
        <w:rPr>
          <w:rFonts w:ascii="Arial" w:hAnsi="Arial" w:cs="David" w:hint="cs"/>
          <w:b/>
          <w:bCs/>
          <w:u w:val="single"/>
          <w:rtl/>
        </w:rPr>
        <w:t>איסור הפליה</w:t>
      </w:r>
    </w:p>
    <w:p w:rsidR="009D1B02" w:rsidRPr="006D21D0" w:rsidRDefault="00B875AF" w:rsidP="00B875AF">
      <w:pPr>
        <w:pStyle w:val="a8"/>
        <w:numPr>
          <w:ilvl w:val="0"/>
          <w:numId w:val="1"/>
        </w:numPr>
        <w:spacing w:before="120" w:line="360" w:lineRule="auto"/>
        <w:contextualSpacing w:val="0"/>
        <w:jc w:val="both"/>
        <w:rPr>
          <w:rFonts w:cs="David"/>
        </w:rPr>
      </w:pPr>
      <w:r>
        <w:rPr>
          <w:rFonts w:ascii="Arial" w:hAnsi="Arial" w:cs="David" w:hint="cs"/>
          <w:rtl/>
        </w:rPr>
        <w:t>הצעות</w:t>
      </w:r>
      <w:r w:rsidR="00AD6D8F">
        <w:rPr>
          <w:rFonts w:ascii="Arial" w:hAnsi="Arial" w:cs="David" w:hint="cs"/>
          <w:rtl/>
        </w:rPr>
        <w:t xml:space="preserve"> החוק מתעל</w:t>
      </w:r>
      <w:r>
        <w:rPr>
          <w:rFonts w:ascii="Arial" w:hAnsi="Arial" w:cs="David" w:hint="cs"/>
          <w:rtl/>
        </w:rPr>
        <w:t>מות</w:t>
      </w:r>
      <w:r w:rsidR="00AD6D8F">
        <w:rPr>
          <w:rFonts w:ascii="Arial" w:hAnsi="Arial" w:cs="David" w:hint="cs"/>
          <w:rtl/>
        </w:rPr>
        <w:t xml:space="preserve"> לחלוטין מסוגיית ההפליה. </w:t>
      </w:r>
      <w:r w:rsidR="009D1B02" w:rsidRPr="006D21D0">
        <w:rPr>
          <w:rFonts w:ascii="Arial" w:hAnsi="Arial" w:cs="David" w:hint="cs"/>
          <w:rtl/>
        </w:rPr>
        <w:t>הסדרה של שוק השכירות ללא עיגון של איסור הפליה תהוו</w:t>
      </w:r>
      <w:r w:rsidR="00F14A49">
        <w:rPr>
          <w:rFonts w:ascii="Arial" w:hAnsi="Arial" w:cs="David" w:hint="cs"/>
          <w:rtl/>
        </w:rPr>
        <w:t>ה</w:t>
      </w:r>
      <w:r w:rsidR="009D1B02" w:rsidRPr="006D21D0">
        <w:rPr>
          <w:rFonts w:ascii="Arial" w:hAnsi="Arial" w:cs="David" w:hint="cs"/>
          <w:rtl/>
        </w:rPr>
        <w:t xml:space="preserve"> החמצה. </w:t>
      </w:r>
      <w:r w:rsidR="006D21D0" w:rsidRPr="006D21D0">
        <w:rPr>
          <w:rFonts w:ascii="Arial" w:hAnsi="Arial" w:cs="David" w:hint="cs"/>
          <w:rtl/>
        </w:rPr>
        <w:t>הזכות לשוויון ואי הפליה מחמת השתייכות קבוצתית היא זכות חוקתית</w:t>
      </w:r>
      <w:r w:rsidR="00D845A2">
        <w:rPr>
          <w:rFonts w:ascii="Arial" w:hAnsi="Arial" w:cs="David" w:hint="cs"/>
          <w:rtl/>
        </w:rPr>
        <w:t xml:space="preserve"> ראשונה במעלה</w:t>
      </w:r>
      <w:r w:rsidR="006D21D0" w:rsidRPr="006D21D0">
        <w:rPr>
          <w:rFonts w:ascii="Arial" w:hAnsi="Arial" w:cs="David" w:hint="cs"/>
          <w:rtl/>
        </w:rPr>
        <w:t>, ו</w:t>
      </w:r>
      <w:r w:rsidR="00D845A2">
        <w:rPr>
          <w:rFonts w:ascii="Arial" w:hAnsi="Arial" w:cs="David" w:hint="cs"/>
          <w:rtl/>
        </w:rPr>
        <w:t xml:space="preserve">מכוחה </w:t>
      </w:r>
      <w:r w:rsidR="006D21D0" w:rsidRPr="006D21D0">
        <w:rPr>
          <w:rFonts w:ascii="Arial" w:hAnsi="Arial" w:cs="David" w:hint="cs"/>
          <w:rtl/>
        </w:rPr>
        <w:t xml:space="preserve">המדינה </w:t>
      </w:r>
      <w:r w:rsidR="00D845A2">
        <w:rPr>
          <w:rFonts w:ascii="Arial" w:hAnsi="Arial" w:cs="David" w:hint="cs"/>
          <w:rtl/>
        </w:rPr>
        <w:t>מחויבת לא רק להימנע בעצמה מהפלייה, אלא גם למגר באמצעות חקיקה</w:t>
      </w:r>
      <w:r w:rsidR="006D21D0" w:rsidRPr="006D21D0">
        <w:rPr>
          <w:rFonts w:ascii="Arial" w:hAnsi="Arial" w:cs="David" w:hint="cs"/>
          <w:rtl/>
        </w:rPr>
        <w:t xml:space="preserve"> הפליה </w:t>
      </w:r>
      <w:r w:rsidR="00D845A2">
        <w:rPr>
          <w:rFonts w:ascii="Arial" w:hAnsi="Arial" w:cs="David" w:hint="cs"/>
          <w:rtl/>
        </w:rPr>
        <w:t xml:space="preserve">מצד </w:t>
      </w:r>
      <w:r w:rsidR="006D21D0" w:rsidRPr="006D21D0">
        <w:rPr>
          <w:rFonts w:ascii="Arial" w:hAnsi="Arial" w:cs="David" w:hint="cs"/>
          <w:rtl/>
        </w:rPr>
        <w:t xml:space="preserve">גורמים פרטיים. </w:t>
      </w:r>
      <w:r w:rsidR="009D1B02" w:rsidRPr="006D21D0">
        <w:rPr>
          <w:rFonts w:cs="David" w:hint="cs"/>
          <w:rtl/>
        </w:rPr>
        <w:t xml:space="preserve">רובו של שוק השכירות מתנהל בין משכיר פרטי לא מסחרי לבין שוכר פרטי  לכן לא ניתן לדבר באופן רציני על מיגור תופעות של הפליה בדיור בלי להתייחס </w:t>
      </w:r>
      <w:r w:rsidR="006D21D0">
        <w:rPr>
          <w:rFonts w:cs="David" w:hint="cs"/>
          <w:rtl/>
        </w:rPr>
        <w:t>לשוק השכירות</w:t>
      </w:r>
      <w:r w:rsidR="009D1B02" w:rsidRPr="006D21D0">
        <w:rPr>
          <w:rFonts w:cs="David" w:hint="cs"/>
          <w:rtl/>
        </w:rPr>
        <w:t xml:space="preserve">. </w:t>
      </w:r>
    </w:p>
    <w:p w:rsidR="009D1B02" w:rsidRDefault="009D1B02" w:rsidP="00185634">
      <w:pPr>
        <w:pStyle w:val="a8"/>
        <w:numPr>
          <w:ilvl w:val="0"/>
          <w:numId w:val="1"/>
        </w:numPr>
        <w:spacing w:before="120" w:line="360" w:lineRule="auto"/>
        <w:contextualSpacing w:val="0"/>
        <w:jc w:val="both"/>
        <w:rPr>
          <w:rFonts w:cs="David"/>
        </w:rPr>
      </w:pPr>
      <w:r>
        <w:rPr>
          <w:rFonts w:cs="David" w:hint="cs"/>
          <w:rtl/>
        </w:rPr>
        <w:t>כיום המצב המשפטי לגבי הפליה בעסקאות פרטיות כאלו לוקה בחסר. בהיעדר חקיקה מפורשת האוסרת הפליה</w:t>
      </w:r>
      <w:r w:rsidR="00D67FA8">
        <w:rPr>
          <w:rFonts w:cs="David" w:hint="cs"/>
          <w:rtl/>
        </w:rPr>
        <w:t xml:space="preserve"> על גורמים פרטיים, שאינם עסק</w:t>
      </w:r>
      <w:r>
        <w:rPr>
          <w:rFonts w:cs="David" w:hint="cs"/>
          <w:rtl/>
        </w:rPr>
        <w:t xml:space="preserve">, אנשים שמופלים על רקע השתייכות קבוצתית, מעמד משפחתי, השקפה או מוגבלות מתקשים לקבל סעד. בית המשפט העליון הכיר בעבר בעניין </w:t>
      </w:r>
      <w:proofErr w:type="spellStart"/>
      <w:r w:rsidRPr="006D21D0">
        <w:rPr>
          <w:rFonts w:cs="David" w:hint="cs"/>
          <w:b/>
          <w:bCs/>
          <w:rtl/>
        </w:rPr>
        <w:t>רקנט</w:t>
      </w:r>
      <w:proofErr w:type="spellEnd"/>
      <w:r>
        <w:rPr>
          <w:rFonts w:cs="David" w:hint="cs"/>
          <w:rtl/>
        </w:rPr>
        <w:t xml:space="preserve"> באפשרות להחיל את כללי המשפט הציבורי ובהם איסור ההפליה באמצעות מודל התחולה העקיפה, ותוך שימוש במונחי שסתום של המשפט האזרחי כמו, למשל, חובת תום הלב במו"מ לכריתת חוזה. אלא שהשימוש במודל התחולה העקיפה הוא מזערי ולאחרונה אף ניתנה פסיקה בבית המשפט העליון ממנה עולה צמצום של הלכת </w:t>
      </w:r>
      <w:proofErr w:type="spellStart"/>
      <w:r>
        <w:rPr>
          <w:rFonts w:cs="David" w:hint="cs"/>
          <w:rtl/>
        </w:rPr>
        <w:t>רקנט</w:t>
      </w:r>
      <w:proofErr w:type="spellEnd"/>
      <w:r>
        <w:rPr>
          <w:rFonts w:cs="David" w:hint="cs"/>
          <w:rtl/>
        </w:rPr>
        <w:t xml:space="preserve"> וקביעה כי האיסור על גופים פרטיים להפלות מותנה בקיומה של הורא</w:t>
      </w:r>
      <w:r w:rsidR="00F86C79">
        <w:rPr>
          <w:rFonts w:cs="David" w:hint="cs"/>
          <w:rtl/>
        </w:rPr>
        <w:t xml:space="preserve">ת חוק </w:t>
      </w:r>
      <w:r>
        <w:rPr>
          <w:rFonts w:cs="David" w:hint="cs"/>
          <w:rtl/>
        </w:rPr>
        <w:t>(</w:t>
      </w:r>
      <w:proofErr w:type="spellStart"/>
      <w:r w:rsidRPr="00E74434">
        <w:rPr>
          <w:rFonts w:cs="David" w:hint="cs"/>
          <w:rtl/>
        </w:rPr>
        <w:t>דנג"ץ</w:t>
      </w:r>
      <w:proofErr w:type="spellEnd"/>
      <w:r w:rsidRPr="00E74434">
        <w:rPr>
          <w:rFonts w:cs="David" w:hint="cs"/>
          <w:rtl/>
        </w:rPr>
        <w:t xml:space="preserve"> 4191/97 </w:t>
      </w:r>
      <w:proofErr w:type="spellStart"/>
      <w:r w:rsidRPr="00E74434">
        <w:rPr>
          <w:rFonts w:cs="David" w:hint="cs"/>
          <w:b/>
          <w:bCs/>
          <w:rtl/>
        </w:rPr>
        <w:t>רקנט</w:t>
      </w:r>
      <w:proofErr w:type="spellEnd"/>
      <w:r w:rsidRPr="00E74434">
        <w:rPr>
          <w:rFonts w:cs="David" w:hint="cs"/>
          <w:b/>
          <w:bCs/>
          <w:rtl/>
        </w:rPr>
        <w:t xml:space="preserve"> נ' בית הדין הארצי לעבודה</w:t>
      </w:r>
      <w:r w:rsidRPr="00E74434">
        <w:rPr>
          <w:rFonts w:cs="David" w:hint="cs"/>
          <w:rtl/>
        </w:rPr>
        <w:t xml:space="preserve">, </w:t>
      </w:r>
      <w:proofErr w:type="spellStart"/>
      <w:r w:rsidRPr="00E74434">
        <w:rPr>
          <w:rFonts w:cs="David" w:hint="cs"/>
          <w:rtl/>
        </w:rPr>
        <w:t>פ''ד</w:t>
      </w:r>
      <w:proofErr w:type="spellEnd"/>
      <w:r w:rsidRPr="00E74434">
        <w:rPr>
          <w:rFonts w:cs="David" w:hint="cs"/>
          <w:rtl/>
        </w:rPr>
        <w:t xml:space="preserve"> נד(5) 330 (2000)</w:t>
      </w:r>
      <w:r>
        <w:rPr>
          <w:rFonts w:cs="David" w:hint="cs"/>
          <w:rtl/>
        </w:rPr>
        <w:t>;</w:t>
      </w:r>
      <w:r w:rsidRPr="00E74434">
        <w:rPr>
          <w:rFonts w:cs="David" w:hint="cs"/>
          <w:rtl/>
        </w:rPr>
        <w:t xml:space="preserve"> רע"א 8821/09 </w:t>
      </w:r>
      <w:proofErr w:type="spellStart"/>
      <w:r w:rsidRPr="00E74434">
        <w:rPr>
          <w:rFonts w:cs="David" w:hint="cs"/>
          <w:b/>
          <w:bCs/>
          <w:rtl/>
        </w:rPr>
        <w:t>פרוז'אנסקי</w:t>
      </w:r>
      <w:proofErr w:type="spellEnd"/>
      <w:r w:rsidRPr="00E74434">
        <w:rPr>
          <w:rFonts w:cs="David" w:hint="cs"/>
          <w:b/>
          <w:bCs/>
          <w:rtl/>
        </w:rPr>
        <w:t xml:space="preserve"> נ' לילה טוב הפקות</w:t>
      </w:r>
      <w:r w:rsidRPr="00E74434">
        <w:rPr>
          <w:rFonts w:cs="David" w:hint="cs"/>
          <w:rtl/>
        </w:rPr>
        <w:t xml:space="preserve"> (פורסם בנבו, 16.11.11).</w:t>
      </w:r>
      <w:r>
        <w:rPr>
          <w:rFonts w:cs="David" w:hint="cs"/>
          <w:rtl/>
        </w:rPr>
        <w:t xml:space="preserve"> </w:t>
      </w:r>
    </w:p>
    <w:p w:rsidR="006D21D0" w:rsidRDefault="009D1B02" w:rsidP="006D21D0">
      <w:pPr>
        <w:pStyle w:val="a8"/>
        <w:numPr>
          <w:ilvl w:val="0"/>
          <w:numId w:val="1"/>
        </w:numPr>
        <w:spacing w:before="120" w:line="360" w:lineRule="auto"/>
        <w:contextualSpacing w:val="0"/>
        <w:jc w:val="both"/>
        <w:rPr>
          <w:rFonts w:cs="David"/>
        </w:rPr>
      </w:pPr>
      <w:r w:rsidRPr="000221CB">
        <w:rPr>
          <w:rFonts w:cs="David" w:hint="cs"/>
          <w:rtl/>
        </w:rPr>
        <w:t xml:space="preserve">דומה כי במשפט הישראלי ניתן משקל מוחלט </w:t>
      </w:r>
      <w:r>
        <w:rPr>
          <w:rFonts w:cs="David" w:hint="cs"/>
          <w:rtl/>
        </w:rPr>
        <w:t>לאוטונומיה של</w:t>
      </w:r>
      <w:r w:rsidRPr="000221CB">
        <w:rPr>
          <w:rFonts w:cs="David" w:hint="cs"/>
          <w:rtl/>
        </w:rPr>
        <w:t xml:space="preserve"> הבעלים כחלק מזכות הקניין, באופן קיצוני שחורג אפילו ממדינות המקדשות את הקניין הפרטי כמו ארה"ב</w:t>
      </w:r>
      <w:r w:rsidR="006D21D0">
        <w:rPr>
          <w:rFonts w:cs="David" w:hint="cs"/>
          <w:rtl/>
        </w:rPr>
        <w:t xml:space="preserve"> </w:t>
      </w:r>
      <w:r w:rsidRPr="000221CB">
        <w:rPr>
          <w:rFonts w:cs="David" w:hint="cs"/>
          <w:rtl/>
        </w:rPr>
        <w:t>ובריטניה. לעומת זאת, לא ני</w:t>
      </w:r>
      <w:r w:rsidR="006D21D0">
        <w:rPr>
          <w:rFonts w:cs="David" w:hint="cs"/>
          <w:rtl/>
        </w:rPr>
        <w:t>תן כל משקל לפגיעה הקשה בזכויותיהם</w:t>
      </w:r>
      <w:r w:rsidRPr="000221CB">
        <w:rPr>
          <w:rFonts w:cs="David" w:hint="cs"/>
          <w:rtl/>
        </w:rPr>
        <w:t xml:space="preserve"> של שוכר</w:t>
      </w:r>
      <w:r w:rsidR="006D21D0">
        <w:rPr>
          <w:rFonts w:cs="David" w:hint="cs"/>
          <w:rtl/>
        </w:rPr>
        <w:t>ים</w:t>
      </w:r>
      <w:r w:rsidRPr="000221CB">
        <w:rPr>
          <w:rFonts w:cs="David" w:hint="cs"/>
          <w:rtl/>
        </w:rPr>
        <w:t xml:space="preserve"> שהופלו, במיוחד </w:t>
      </w:r>
      <w:r>
        <w:rPr>
          <w:rFonts w:cs="David" w:hint="cs"/>
          <w:rtl/>
        </w:rPr>
        <w:t>כ</w:t>
      </w:r>
      <w:r w:rsidRPr="000221CB">
        <w:rPr>
          <w:rFonts w:cs="David" w:hint="cs"/>
          <w:rtl/>
        </w:rPr>
        <w:t xml:space="preserve">שתופעת ההפליה רווחת במקומות מסוימים, ולעיתים אף מגובה על ידי אישי ציבור ולחץ חברתי. זכות הקניין אמנם כוללת זכות לאוטונומיה ולשרירות בעלים, אך זו אינה חזות </w:t>
      </w:r>
      <w:proofErr w:type="spellStart"/>
      <w:r w:rsidRPr="000221CB">
        <w:rPr>
          <w:rFonts w:cs="David" w:hint="cs"/>
          <w:rtl/>
        </w:rPr>
        <w:t>הכל</w:t>
      </w:r>
      <w:proofErr w:type="spellEnd"/>
      <w:r w:rsidRPr="000221CB">
        <w:rPr>
          <w:rFonts w:cs="David" w:hint="cs"/>
          <w:rtl/>
        </w:rPr>
        <w:t>. הערך המוגן הוא הגנה על האישיות של בעל הקנ</w:t>
      </w:r>
      <w:r>
        <w:rPr>
          <w:rFonts w:cs="David" w:hint="cs"/>
          <w:rtl/>
        </w:rPr>
        <w:t>י</w:t>
      </w:r>
      <w:r w:rsidRPr="000221CB">
        <w:rPr>
          <w:rFonts w:cs="David" w:hint="cs"/>
          <w:rtl/>
        </w:rPr>
        <w:t xml:space="preserve">ין, אך כפי שציין </w:t>
      </w:r>
      <w:r>
        <w:rPr>
          <w:rFonts w:cs="David" w:hint="cs"/>
          <w:rtl/>
        </w:rPr>
        <w:t xml:space="preserve">פרופ' </w:t>
      </w:r>
      <w:r w:rsidRPr="000221CB">
        <w:rPr>
          <w:rFonts w:cs="David" w:hint="cs"/>
          <w:rtl/>
        </w:rPr>
        <w:t>חנוך דגן, "</w:t>
      </w:r>
      <w:r w:rsidRPr="000221CB">
        <w:rPr>
          <w:rFonts w:cs="David"/>
          <w:rtl/>
        </w:rPr>
        <w:t>קולו של ערך האישיות של הקניין הולך ונחלש ככל שאנו עוברים לעסוק בנכ</w:t>
      </w:r>
      <w:r w:rsidRPr="000221CB">
        <w:rPr>
          <w:rFonts w:cs="David" w:hint="cs"/>
          <w:rtl/>
        </w:rPr>
        <w:t>ס</w:t>
      </w:r>
      <w:r w:rsidRPr="000221CB">
        <w:rPr>
          <w:rFonts w:cs="David"/>
          <w:rtl/>
        </w:rPr>
        <w:t xml:space="preserve"> מכשירי שאין בין ההחזקה בו לבין אישיות בעליו דבר וחצי דבר</w:t>
      </w:r>
      <w:r>
        <w:rPr>
          <w:rFonts w:cs="David" w:hint="cs"/>
          <w:rtl/>
        </w:rPr>
        <w:t>" (</w:t>
      </w:r>
      <w:r w:rsidRPr="005E3D33">
        <w:rPr>
          <w:rFonts w:cs="David" w:hint="cs"/>
          <w:rtl/>
        </w:rPr>
        <w:t>חנוך דגן "זכות הכניסה" מחקרי משפט כד 58 (2008)</w:t>
      </w:r>
      <w:r>
        <w:rPr>
          <w:rFonts w:cs="David" w:hint="cs"/>
          <w:rtl/>
        </w:rPr>
        <w:t>)</w:t>
      </w:r>
      <w:r w:rsidR="00E114F3">
        <w:rPr>
          <w:rFonts w:cs="David" w:hint="cs"/>
          <w:rtl/>
        </w:rPr>
        <w:t xml:space="preserve">. </w:t>
      </w:r>
      <w:r w:rsidRPr="005E3D33">
        <w:rPr>
          <w:rFonts w:cs="David" w:hint="cs"/>
          <w:rtl/>
        </w:rPr>
        <w:t xml:space="preserve"> </w:t>
      </w:r>
    </w:p>
    <w:p w:rsidR="00F86C79" w:rsidRDefault="00E114F3" w:rsidP="00185634">
      <w:pPr>
        <w:pStyle w:val="a8"/>
        <w:spacing w:before="120" w:line="360" w:lineRule="auto"/>
        <w:ind w:left="360"/>
        <w:contextualSpacing w:val="0"/>
        <w:jc w:val="both"/>
        <w:rPr>
          <w:rFonts w:cs="David"/>
        </w:rPr>
      </w:pPr>
      <w:r>
        <w:rPr>
          <w:rFonts w:cs="David" w:hint="cs"/>
          <w:rtl/>
        </w:rPr>
        <w:t xml:space="preserve">הדפוס הדומיננטי של ההשכרה כיום היא באמצעות משרד תיווך או פרסום במנועי חיפוש ייעודיים. ההשכרה של דירה פנויה נתפסת כאמצעי השקעה. קשה לראות בשאלת זהותו הקבוצתית של השוכר חלק חיוני וחשוב באוטונומיה של המשכיר, ואין לתת </w:t>
      </w:r>
      <w:r w:rsidR="00185634">
        <w:rPr>
          <w:rFonts w:cs="David" w:hint="cs"/>
          <w:rtl/>
        </w:rPr>
        <w:t xml:space="preserve">לה </w:t>
      </w:r>
      <w:r>
        <w:rPr>
          <w:rFonts w:cs="David" w:hint="cs"/>
          <w:rtl/>
        </w:rPr>
        <w:t xml:space="preserve">משקל מרכזי. וממילא </w:t>
      </w:r>
      <w:r>
        <w:rPr>
          <w:rFonts w:cs="David"/>
          <w:rtl/>
        </w:rPr>
        <w:t>–</w:t>
      </w:r>
      <w:r>
        <w:rPr>
          <w:rFonts w:cs="David" w:hint="cs"/>
          <w:rtl/>
        </w:rPr>
        <w:t xml:space="preserve"> בהתקיים שתופעת ההפליה הפכה להיות מאוד נפוצה, ובמקומות מסוימת מוכוונת, האיזון צריך לנטות לטובת הזכות לשוויון ומיגור תופעת ההפליה והגזענות בשוק השכירות. </w:t>
      </w:r>
    </w:p>
    <w:p w:rsidR="00E114F3" w:rsidRDefault="00E114F3" w:rsidP="009F19CA">
      <w:pPr>
        <w:pStyle w:val="a8"/>
        <w:numPr>
          <w:ilvl w:val="0"/>
          <w:numId w:val="1"/>
        </w:numPr>
        <w:spacing w:before="120" w:line="360" w:lineRule="auto"/>
        <w:contextualSpacing w:val="0"/>
        <w:jc w:val="both"/>
        <w:rPr>
          <w:rFonts w:cs="David"/>
        </w:rPr>
      </w:pPr>
      <w:r>
        <w:rPr>
          <w:rFonts w:cs="David" w:hint="cs"/>
          <w:rtl/>
        </w:rPr>
        <w:t xml:space="preserve">לכן </w:t>
      </w:r>
      <w:r w:rsidR="009F19CA">
        <w:rPr>
          <w:rFonts w:cs="David" w:hint="cs"/>
          <w:rtl/>
        </w:rPr>
        <w:t>מוצע</w:t>
      </w:r>
      <w:r w:rsidR="006D21D0">
        <w:rPr>
          <w:rFonts w:cs="David" w:hint="cs"/>
          <w:rtl/>
        </w:rPr>
        <w:t xml:space="preserve"> לקבוע איסור גורף על הפליה מחמת אחת העילות המנויות בחוק איסור הפליה במוצרים, שירותים ובכניסה למקומות בידור ולמקומות ציבוריים</w:t>
      </w:r>
      <w:r w:rsidR="00D67FA8">
        <w:rPr>
          <w:rFonts w:cs="David" w:hint="cs"/>
          <w:rtl/>
        </w:rPr>
        <w:t xml:space="preserve"> גם על מי שמ</w:t>
      </w:r>
      <w:r w:rsidR="009F19CA">
        <w:rPr>
          <w:rFonts w:cs="David" w:hint="cs"/>
          <w:rtl/>
        </w:rPr>
        <w:t>ש</w:t>
      </w:r>
      <w:r w:rsidR="00D67FA8">
        <w:rPr>
          <w:rFonts w:cs="David" w:hint="cs"/>
          <w:rtl/>
        </w:rPr>
        <w:t>כיר דירתו</w:t>
      </w:r>
      <w:r w:rsidR="006D21D0">
        <w:rPr>
          <w:rFonts w:cs="David" w:hint="cs"/>
          <w:rtl/>
        </w:rPr>
        <w:t xml:space="preserve">. </w:t>
      </w:r>
      <w:r w:rsidR="009F19CA">
        <w:rPr>
          <w:rFonts w:cs="David" w:hint="cs"/>
          <w:rtl/>
        </w:rPr>
        <w:t>מוצע</w:t>
      </w:r>
      <w:r w:rsidR="006D21D0">
        <w:rPr>
          <w:rFonts w:cs="David" w:hint="cs"/>
          <w:rtl/>
        </w:rPr>
        <w:t xml:space="preserve"> </w:t>
      </w:r>
      <w:proofErr w:type="spellStart"/>
      <w:r w:rsidR="009D1B02">
        <w:rPr>
          <w:rFonts w:cs="David" w:hint="cs"/>
          <w:rtl/>
        </w:rPr>
        <w:t>להחריג</w:t>
      </w:r>
      <w:proofErr w:type="spellEnd"/>
      <w:r w:rsidR="009D1B02">
        <w:rPr>
          <w:rFonts w:cs="David" w:hint="cs"/>
          <w:rtl/>
        </w:rPr>
        <w:t xml:space="preserve"> מקרים בהם האיזון נוטה לטובת האוטונומיה של בעל הדירה. למשל </w:t>
      </w:r>
      <w:r w:rsidR="009D1B02">
        <w:rPr>
          <w:rFonts w:cs="David"/>
          <w:rtl/>
        </w:rPr>
        <w:t>–</w:t>
      </w:r>
      <w:r w:rsidR="009D1B02">
        <w:rPr>
          <w:rFonts w:cs="David" w:hint="cs"/>
          <w:rtl/>
        </w:rPr>
        <w:t xml:space="preserve"> אם מדובר בשוכר שגר בדירה עם הבעלים או שמדובר בדירת שותפות המעוניינות להחליף שוכרת קיימת בשוכרת ממין נקבה בלבד.</w:t>
      </w:r>
      <w:r w:rsidR="00C56033">
        <w:rPr>
          <w:rFonts w:cs="David" w:hint="cs"/>
          <w:rtl/>
        </w:rPr>
        <w:t xml:space="preserve"> </w:t>
      </w:r>
      <w:r>
        <w:rPr>
          <w:rFonts w:cs="David" w:hint="cs"/>
          <w:rtl/>
        </w:rPr>
        <w:t xml:space="preserve">ניתן לקבוע את איסור ההשכרה בחוק המוצע, או כתיקון עקיף לחוק איסור הפליה. </w:t>
      </w:r>
    </w:p>
    <w:p w:rsidR="009D1B02" w:rsidRDefault="009D1B02" w:rsidP="006D21D0">
      <w:pPr>
        <w:pStyle w:val="a8"/>
        <w:numPr>
          <w:ilvl w:val="0"/>
          <w:numId w:val="1"/>
        </w:numPr>
        <w:spacing w:before="120" w:line="360" w:lineRule="auto"/>
        <w:contextualSpacing w:val="0"/>
        <w:jc w:val="both"/>
        <w:rPr>
          <w:rFonts w:cs="David"/>
        </w:rPr>
      </w:pPr>
      <w:r>
        <w:rPr>
          <w:rFonts w:cs="David" w:hint="cs"/>
          <w:rtl/>
        </w:rPr>
        <w:t xml:space="preserve">חוקים דומים קיימים במדינות רבות, כמו ארה"ב, קנדה ובריטניה. </w:t>
      </w:r>
      <w:r>
        <w:rPr>
          <w:rFonts w:ascii="Arial" w:hAnsi="Arial" w:cs="David" w:hint="cs"/>
          <w:rtl/>
        </w:rPr>
        <w:t xml:space="preserve">בארה"ב חוק הדיור ההוגן אוסר על הפליה בדיור מחמת גזע, צבע עור, לאום, דת, מין, מצב משפחתי ונכות, אולם הוא לא חל על מכירה או השכרה של חדר או דירה בבית בו גר הבעלים ובו עד ארבע יחידות דיור, ועל </w:t>
      </w:r>
      <w:proofErr w:type="spellStart"/>
      <w:r>
        <w:rPr>
          <w:rFonts w:ascii="Arial" w:hAnsi="Arial" w:cs="David" w:hint="cs"/>
          <w:rtl/>
        </w:rPr>
        <w:t>עיסקה</w:t>
      </w:r>
      <w:proofErr w:type="spellEnd"/>
      <w:r>
        <w:rPr>
          <w:rFonts w:ascii="Arial" w:hAnsi="Arial" w:cs="David" w:hint="cs"/>
          <w:rtl/>
        </w:rPr>
        <w:t xml:space="preserve"> למכירת יחידת דיור משפחתית יחידה או השכרתה, ובלבד שלבעלים אין יותר מ-3 יחידות דיור כאלו באותה עת, ואשר מכירתה או השכרתה נעשית ללא מתווך (</w:t>
      </w:r>
      <w:r w:rsidRPr="00D51C3C">
        <w:rPr>
          <w:sz w:val="16"/>
          <w:szCs w:val="8"/>
          <w:lang w:bidi="ar-EG"/>
        </w:rPr>
        <w:t xml:space="preserve">Fair Housing Act, </w:t>
      </w:r>
      <w:r w:rsidRPr="00D51C3C">
        <w:rPr>
          <w:rStyle w:val="ac"/>
          <w:color w:val="171E24"/>
          <w:sz w:val="16"/>
          <w:szCs w:val="8"/>
          <w:shd w:val="clear" w:color="auto" w:fill="FEFDF9"/>
        </w:rPr>
        <w:t>42 U.S.C. § 3604 (1968)</w:t>
      </w:r>
      <w:r>
        <w:rPr>
          <w:rFonts w:ascii="Arial" w:hAnsi="Arial" w:cs="David" w:hint="cs"/>
          <w:rtl/>
        </w:rPr>
        <w:t>)</w:t>
      </w:r>
      <w:r>
        <w:rPr>
          <w:rFonts w:cs="David" w:hint="cs"/>
          <w:rtl/>
        </w:rPr>
        <w:t xml:space="preserve">. </w:t>
      </w:r>
      <w:r w:rsidRPr="009D63B7">
        <w:rPr>
          <w:rFonts w:ascii="Arial" w:hAnsi="Arial" w:cs="David" w:hint="cs"/>
          <w:rtl/>
        </w:rPr>
        <w:t>החוק ה</w:t>
      </w:r>
      <w:r>
        <w:rPr>
          <w:rFonts w:ascii="Arial" w:hAnsi="Arial" w:cs="David" w:hint="cs"/>
          <w:rtl/>
        </w:rPr>
        <w:t>בריטי</w:t>
      </w:r>
      <w:r w:rsidRPr="009D63B7">
        <w:rPr>
          <w:rFonts w:ascii="Arial" w:hAnsi="Arial" w:cs="David" w:hint="cs"/>
          <w:rtl/>
        </w:rPr>
        <w:t xml:space="preserve">  אוסר על הפליה </w:t>
      </w:r>
      <w:r>
        <w:rPr>
          <w:rFonts w:ascii="Arial" w:hAnsi="Arial" w:cs="David" w:hint="cs"/>
          <w:rtl/>
        </w:rPr>
        <w:t xml:space="preserve">בדיור </w:t>
      </w:r>
      <w:r w:rsidRPr="009D63B7">
        <w:rPr>
          <w:rFonts w:ascii="Arial" w:hAnsi="Arial" w:cs="David" w:hint="cs"/>
          <w:rtl/>
        </w:rPr>
        <w:t xml:space="preserve">על בסיס עילות שונות של השתייכות קבוצתית, ואיסור זה חל גם על מכירה והשכרה של דירות </w:t>
      </w:r>
      <w:r>
        <w:rPr>
          <w:rFonts w:ascii="Arial" w:hAnsi="Arial" w:cs="David" w:hint="cs"/>
          <w:rtl/>
        </w:rPr>
        <w:t xml:space="preserve">פרטיות </w:t>
      </w:r>
      <w:r w:rsidRPr="009D63B7">
        <w:rPr>
          <w:rFonts w:ascii="Arial" w:hAnsi="Arial" w:cs="David" w:hint="cs"/>
          <w:rtl/>
        </w:rPr>
        <w:t xml:space="preserve">למעט שני חריגים: כאשר בעל הדירה מבצע עסקה פרטית, בלי פרסום לציבור ובלי שימוש במתווך, אולם גם במקרה זה אין להפלות אדם מחמת גזע או מוצא אתני או לאומי; וכאשר מדובר בהשכרה של נכס קטן שבו </w:t>
      </w:r>
      <w:r w:rsidRPr="00730B76">
        <w:rPr>
          <w:rFonts w:ascii="Arial" w:hAnsi="Arial" w:cs="David" w:hint="cs"/>
          <w:rtl/>
        </w:rPr>
        <w:t>מתגורר</w:t>
      </w:r>
      <w:r w:rsidRPr="00BA2CF1">
        <w:rPr>
          <w:rFonts w:ascii="Arial" w:hAnsi="Arial" w:cs="David" w:hint="cs"/>
          <w:rtl/>
        </w:rPr>
        <w:t xml:space="preserve"> </w:t>
      </w:r>
      <w:r w:rsidRPr="009D63B7">
        <w:rPr>
          <w:rFonts w:ascii="Arial" w:hAnsi="Arial" w:cs="David" w:hint="cs"/>
          <w:rtl/>
        </w:rPr>
        <w:t xml:space="preserve">בעלי הדירה </w:t>
      </w:r>
      <w:r>
        <w:rPr>
          <w:rFonts w:ascii="Arial" w:hAnsi="Arial" w:cs="David" w:hint="cs"/>
          <w:rtl/>
        </w:rPr>
        <w:t>ב</w:t>
      </w:r>
      <w:r w:rsidRPr="009D63B7">
        <w:rPr>
          <w:rFonts w:ascii="Arial" w:hAnsi="Arial" w:cs="David" w:hint="cs"/>
          <w:rtl/>
        </w:rPr>
        <w:t>עצמו</w:t>
      </w:r>
      <w:r>
        <w:rPr>
          <w:rFonts w:ascii="Arial" w:hAnsi="Arial" w:cs="David" w:hint="cs"/>
          <w:rtl/>
        </w:rPr>
        <w:t xml:space="preserve"> (</w:t>
      </w:r>
      <w:r w:rsidRPr="00AA4E9E">
        <w:rPr>
          <w:rFonts w:ascii="Arial" w:hAnsi="Arial" w:cs="Arial"/>
          <w:sz w:val="16"/>
          <w:szCs w:val="16"/>
        </w:rPr>
        <w:t>Equality Act, 2006, c.3 (Eng.)</w:t>
      </w:r>
      <w:r>
        <w:rPr>
          <w:rFonts w:ascii="Arial" w:hAnsi="Arial" w:cs="David" w:hint="cs"/>
          <w:rtl/>
        </w:rPr>
        <w:t>).</w:t>
      </w:r>
    </w:p>
    <w:p w:rsidR="009D1B02" w:rsidRPr="006D21D0" w:rsidRDefault="006D21D0" w:rsidP="006D21D0">
      <w:pPr>
        <w:pStyle w:val="a8"/>
        <w:numPr>
          <w:ilvl w:val="0"/>
          <w:numId w:val="1"/>
        </w:numPr>
        <w:spacing w:before="120" w:line="360" w:lineRule="auto"/>
        <w:contextualSpacing w:val="0"/>
        <w:jc w:val="both"/>
        <w:rPr>
          <w:rFonts w:cs="David"/>
        </w:rPr>
      </w:pPr>
      <w:r>
        <w:rPr>
          <w:rFonts w:cs="David" w:hint="cs"/>
          <w:rtl/>
        </w:rPr>
        <w:t xml:space="preserve">כמו כן, ניתן </w:t>
      </w:r>
      <w:r w:rsidR="009D1B02" w:rsidRPr="006D21D0">
        <w:rPr>
          <w:rFonts w:cs="David" w:hint="cs"/>
          <w:rtl/>
        </w:rPr>
        <w:t xml:space="preserve">להתנות מתן הטבות מס למשכירים פרטיים במתן התחייבות להשכרה הוגנת, שתכלול בין היתר איסור הפליה. כיום המדינה מעניקה פטור על הכנסה מהשכרת דירה עד תקרה מסוימת, אך פטור זה ניתן ללא כל דרישה מצד המדינה למשכיר לא להפלות שוכרים מטעמים פסולים של השתייכות קבוצתית. ראוי שהמדינה תקבע כי מי שמעוניין לקבל פטור ממס יתחייב להשכרה הוגנת לרבות הגנה ראויה על זכויות השוכר ואיסור הפליה. כאמור, המדינה יכולה להחריג מחובה זו בעלי דירה שמשכירים חדר בביתם או שותף. </w:t>
      </w:r>
    </w:p>
    <w:p w:rsidR="009D1B02" w:rsidRPr="00AD6D8F" w:rsidRDefault="00AD6D8F" w:rsidP="00AD6D8F">
      <w:pPr>
        <w:spacing w:before="120" w:line="360" w:lineRule="auto"/>
        <w:jc w:val="both"/>
        <w:rPr>
          <w:rFonts w:ascii="Arial" w:hAnsi="Arial" w:cs="David"/>
          <w:b/>
          <w:bCs/>
          <w:u w:val="single"/>
        </w:rPr>
      </w:pPr>
      <w:r w:rsidRPr="00AD6D8F">
        <w:rPr>
          <w:rFonts w:ascii="Arial" w:hAnsi="Arial" w:cs="David" w:hint="cs"/>
          <w:b/>
          <w:bCs/>
          <w:u w:val="single"/>
          <w:rtl/>
        </w:rPr>
        <w:t>אכיפה</w:t>
      </w:r>
    </w:p>
    <w:p w:rsidR="00AD6D8F" w:rsidRDefault="00D67FA8" w:rsidP="00D67FA8">
      <w:pPr>
        <w:pStyle w:val="a8"/>
        <w:numPr>
          <w:ilvl w:val="0"/>
          <w:numId w:val="1"/>
        </w:numPr>
        <w:spacing w:before="120" w:line="360" w:lineRule="auto"/>
        <w:contextualSpacing w:val="0"/>
        <w:jc w:val="both"/>
        <w:rPr>
          <w:rFonts w:ascii="Arial" w:hAnsi="Arial" w:cs="David"/>
        </w:rPr>
      </w:pPr>
      <w:r>
        <w:rPr>
          <w:rFonts w:ascii="Arial" w:hAnsi="Arial" w:cs="David" w:hint="cs"/>
          <w:rtl/>
        </w:rPr>
        <w:t>יש לתת מענה</w:t>
      </w:r>
      <w:r w:rsidR="007D351E">
        <w:rPr>
          <w:rFonts w:ascii="Arial" w:hAnsi="Arial" w:cs="David" w:hint="cs"/>
          <w:rtl/>
        </w:rPr>
        <w:t xml:space="preserve"> מספק לסוגיית האכיפה במקרה של הפרת הוראות החוק. מכלול היחסים בין שוכר למשכיר, הדחיפות בקבלת סעד (למשל </w:t>
      </w:r>
      <w:r w:rsidR="007D351E">
        <w:rPr>
          <w:rFonts w:ascii="Arial" w:hAnsi="Arial" w:cs="David"/>
          <w:rtl/>
        </w:rPr>
        <w:t>–</w:t>
      </w:r>
      <w:r w:rsidR="007D351E">
        <w:rPr>
          <w:rFonts w:ascii="Arial" w:hAnsi="Arial" w:cs="David" w:hint="cs"/>
          <w:rtl/>
        </w:rPr>
        <w:t xml:space="preserve"> הזנחה של מפגע, ביטול חוזה ללא התראה ומנגד </w:t>
      </w:r>
      <w:r w:rsidR="007D351E">
        <w:rPr>
          <w:rFonts w:ascii="Arial" w:hAnsi="Arial" w:cs="David"/>
          <w:rtl/>
        </w:rPr>
        <w:t>–</w:t>
      </w:r>
      <w:r w:rsidR="007D351E">
        <w:rPr>
          <w:rFonts w:ascii="Arial" w:hAnsi="Arial" w:cs="David" w:hint="cs"/>
          <w:rtl/>
        </w:rPr>
        <w:t xml:space="preserve"> פגיעה בנכס מצד השוכר) מחייבות מסלול ייעודי ומהיר לבירור קובלנות. גם העובדה שמדובר בשוק שבו</w:t>
      </w:r>
      <w:r w:rsidR="00185634">
        <w:rPr>
          <w:rFonts w:ascii="Arial" w:hAnsi="Arial" w:cs="David" w:hint="cs"/>
          <w:rtl/>
        </w:rPr>
        <w:t>,</w:t>
      </w:r>
      <w:r w:rsidR="007D351E">
        <w:rPr>
          <w:rFonts w:ascii="Arial" w:hAnsi="Arial" w:cs="David" w:hint="cs"/>
          <w:rtl/>
        </w:rPr>
        <w:t xml:space="preserve"> בהכללה</w:t>
      </w:r>
      <w:r w:rsidR="00185634">
        <w:rPr>
          <w:rFonts w:ascii="Arial" w:hAnsi="Arial" w:cs="David" w:hint="cs"/>
          <w:rtl/>
        </w:rPr>
        <w:t>,</w:t>
      </w:r>
      <w:r w:rsidR="007D351E">
        <w:rPr>
          <w:rFonts w:ascii="Arial" w:hAnsi="Arial" w:cs="David" w:hint="cs"/>
          <w:rtl/>
        </w:rPr>
        <w:t xml:space="preserve"> פערי כ</w:t>
      </w:r>
      <w:r w:rsidR="00185634">
        <w:rPr>
          <w:rFonts w:ascii="Arial" w:hAnsi="Arial" w:cs="David" w:hint="cs"/>
          <w:rtl/>
        </w:rPr>
        <w:t>ו</w:t>
      </w:r>
      <w:r w:rsidR="007D351E">
        <w:rPr>
          <w:rFonts w:ascii="Arial" w:hAnsi="Arial" w:cs="David" w:hint="cs"/>
          <w:rtl/>
        </w:rPr>
        <w:t>ח משמעותיים בין המשכ</w:t>
      </w:r>
      <w:r w:rsidR="002F7F84">
        <w:rPr>
          <w:rFonts w:ascii="Arial" w:hAnsi="Arial" w:cs="David" w:hint="cs"/>
          <w:rtl/>
        </w:rPr>
        <w:t>ירים לשוכרים</w:t>
      </w:r>
      <w:r w:rsidR="00185634">
        <w:rPr>
          <w:rFonts w:ascii="Arial" w:hAnsi="Arial" w:cs="David" w:hint="cs"/>
          <w:rtl/>
        </w:rPr>
        <w:t>,</w:t>
      </w:r>
      <w:r w:rsidR="002F7F84">
        <w:rPr>
          <w:rFonts w:ascii="Arial" w:hAnsi="Arial" w:cs="David" w:hint="cs"/>
          <w:rtl/>
        </w:rPr>
        <w:t xml:space="preserve"> מצדיק</w:t>
      </w:r>
      <w:r w:rsidR="00185634">
        <w:rPr>
          <w:rFonts w:ascii="Arial" w:hAnsi="Arial" w:cs="David" w:hint="cs"/>
          <w:rtl/>
        </w:rPr>
        <w:t>ה</w:t>
      </w:r>
      <w:r w:rsidR="002F7F84">
        <w:rPr>
          <w:rFonts w:ascii="Arial" w:hAnsi="Arial" w:cs="David" w:hint="cs"/>
          <w:rtl/>
        </w:rPr>
        <w:t xml:space="preserve"> מערך אכיפה נגיש</w:t>
      </w:r>
      <w:r w:rsidR="00185634">
        <w:rPr>
          <w:rFonts w:ascii="Arial" w:hAnsi="Arial" w:cs="David" w:hint="cs"/>
          <w:rtl/>
        </w:rPr>
        <w:t>, פשוט</w:t>
      </w:r>
      <w:r w:rsidR="002F7F84">
        <w:rPr>
          <w:rFonts w:ascii="Arial" w:hAnsi="Arial" w:cs="David" w:hint="cs"/>
          <w:rtl/>
        </w:rPr>
        <w:t xml:space="preserve"> ומהיר. </w:t>
      </w:r>
    </w:p>
    <w:p w:rsidR="002F7F84" w:rsidRPr="009B10D1" w:rsidRDefault="00D67FA8" w:rsidP="00D67FA8">
      <w:pPr>
        <w:pStyle w:val="a8"/>
        <w:numPr>
          <w:ilvl w:val="0"/>
          <w:numId w:val="1"/>
        </w:numPr>
        <w:spacing w:before="120" w:line="360" w:lineRule="auto"/>
        <w:contextualSpacing w:val="0"/>
        <w:jc w:val="both"/>
        <w:rPr>
          <w:rFonts w:ascii="Arial" w:hAnsi="Arial" w:cs="David"/>
          <w:rtl/>
        </w:rPr>
      </w:pPr>
      <w:r>
        <w:rPr>
          <w:rFonts w:ascii="Arial" w:hAnsi="Arial" w:cs="David" w:hint="cs"/>
          <w:rtl/>
        </w:rPr>
        <w:t>יש ל</w:t>
      </w:r>
      <w:r w:rsidR="002F7F84">
        <w:rPr>
          <w:rFonts w:ascii="Arial" w:hAnsi="Arial" w:cs="David" w:hint="cs"/>
          <w:rtl/>
        </w:rPr>
        <w:t>הק</w:t>
      </w:r>
      <w:r>
        <w:rPr>
          <w:rFonts w:ascii="Arial" w:hAnsi="Arial" w:cs="David" w:hint="cs"/>
          <w:rtl/>
        </w:rPr>
        <w:t>ים</w:t>
      </w:r>
      <w:r w:rsidR="002F7F84">
        <w:rPr>
          <w:rFonts w:ascii="Arial" w:hAnsi="Arial" w:cs="David" w:hint="cs"/>
          <w:rtl/>
        </w:rPr>
        <w:t xml:space="preserve"> נציבות מנהלית שתקיים מנגנון לבירור תלונות ובעלת סמכויות אכיפה מתאימה יותר לשוק השכירות, כאשר ניתן יהיה לערער על החלטותיה לבית המשפט השלום.</w:t>
      </w:r>
    </w:p>
    <w:p w:rsidR="00721150" w:rsidRDefault="00721150" w:rsidP="009B10D1">
      <w:pPr>
        <w:spacing w:before="120" w:line="360" w:lineRule="auto"/>
        <w:jc w:val="both"/>
        <w:rPr>
          <w:rFonts w:ascii="Arial" w:hAnsi="Arial" w:cs="David"/>
          <w:rtl/>
        </w:rPr>
      </w:pPr>
    </w:p>
    <w:p w:rsidR="002F7F84" w:rsidRDefault="002F7F84" w:rsidP="002F7F84">
      <w:pPr>
        <w:spacing w:before="120" w:line="360" w:lineRule="auto"/>
        <w:ind w:left="5040"/>
        <w:jc w:val="both"/>
        <w:rPr>
          <w:rFonts w:ascii="Arial" w:hAnsi="Arial" w:cs="David"/>
          <w:rtl/>
        </w:rPr>
      </w:pPr>
      <w:r>
        <w:rPr>
          <w:rFonts w:ascii="Arial" w:hAnsi="Arial" w:cs="David" w:hint="cs"/>
          <w:rtl/>
        </w:rPr>
        <w:t>בכבוד רב,</w:t>
      </w:r>
    </w:p>
    <w:p w:rsidR="002F7F84" w:rsidRDefault="002F7F84" w:rsidP="002F7F84">
      <w:pPr>
        <w:spacing w:before="120" w:line="360" w:lineRule="auto"/>
        <w:ind w:left="5040"/>
        <w:jc w:val="both"/>
        <w:rPr>
          <w:rFonts w:ascii="Arial" w:hAnsi="Arial" w:cs="David"/>
          <w:rtl/>
        </w:rPr>
      </w:pPr>
      <w:r>
        <w:rPr>
          <w:rFonts w:ascii="Arial" w:hAnsi="Arial" w:cs="David" w:hint="cs"/>
          <w:noProof/>
          <w:rtl/>
        </w:rPr>
        <w:drawing>
          <wp:inline distT="0" distB="0" distL="0" distR="0">
            <wp:extent cx="624792" cy="341906"/>
            <wp:effectExtent l="0" t="0" r="4445" b="127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תימה.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5569" cy="342331"/>
                    </a:xfrm>
                    <a:prstGeom prst="rect">
                      <a:avLst/>
                    </a:prstGeom>
                  </pic:spPr>
                </pic:pic>
              </a:graphicData>
            </a:graphic>
          </wp:inline>
        </w:drawing>
      </w:r>
    </w:p>
    <w:p w:rsidR="00FE5710" w:rsidRPr="009B10D1" w:rsidRDefault="002F7F84" w:rsidP="002F7F84">
      <w:pPr>
        <w:spacing w:before="120" w:line="360" w:lineRule="auto"/>
        <w:ind w:left="5040"/>
        <w:jc w:val="both"/>
        <w:rPr>
          <w:rFonts w:ascii="Arial" w:hAnsi="Arial" w:cs="David"/>
          <w:rtl/>
        </w:rPr>
      </w:pPr>
      <w:r>
        <w:rPr>
          <w:rFonts w:ascii="Arial" w:hAnsi="Arial" w:cs="David" w:hint="cs"/>
          <w:rtl/>
        </w:rPr>
        <w:t>גיל גן-מור</w:t>
      </w:r>
      <w:r w:rsidR="00C72B61">
        <w:rPr>
          <w:rFonts w:ascii="Arial" w:hAnsi="Arial" w:cs="David" w:hint="cs"/>
          <w:rtl/>
        </w:rPr>
        <w:t>, עו"ד</w:t>
      </w:r>
    </w:p>
    <w:sectPr w:rsidR="00FE5710" w:rsidRPr="009B10D1" w:rsidSect="000A76FA">
      <w:headerReference w:type="even" r:id="rId10"/>
      <w:headerReference w:type="default" r:id="rId11"/>
      <w:footerReference w:type="default" r:id="rId12"/>
      <w:headerReference w:type="first" r:id="rId13"/>
      <w:footerReference w:type="first" r:id="rId14"/>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9D2" w:rsidRDefault="008119D2">
      <w:r>
        <w:separator/>
      </w:r>
    </w:p>
  </w:endnote>
  <w:endnote w:type="continuationSeparator" w:id="0">
    <w:p w:rsidR="008119D2" w:rsidRDefault="00811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C79" w:rsidRDefault="00F86C79" w:rsidP="00721150">
    <w:pPr>
      <w:pStyle w:val="a4"/>
      <w:pBdr>
        <w:bottom w:val="single" w:sz="6" w:space="1" w:color="auto"/>
      </w:pBdr>
      <w:rPr>
        <w:rtl/>
      </w:rPr>
    </w:pPr>
  </w:p>
  <w:p w:rsidR="00F86C79" w:rsidRPr="000A76FA" w:rsidRDefault="00F86C79" w:rsidP="00721150">
    <w:pPr>
      <w:pStyle w:val="a4"/>
      <w:jc w:val="center"/>
      <w:rPr>
        <w:rFonts w:ascii="Arial" w:hAnsi="Arial" w:cs="Arial"/>
        <w:sz w:val="20"/>
        <w:szCs w:val="20"/>
        <w:rtl/>
      </w:rPr>
    </w:pPr>
    <w:r w:rsidRPr="000A76FA">
      <w:rPr>
        <w:rFonts w:ascii="Arial" w:hAnsi="Arial" w:cs="Arial"/>
        <w:sz w:val="20"/>
        <w:szCs w:val="20"/>
        <w:rtl/>
      </w:rPr>
      <w:t>האגודה לזכויות האזרח, נחלת בנימין 75 תל אביב, טל': 03-5608185, פקס: 03-5608165</w:t>
    </w:r>
  </w:p>
  <w:p w:rsidR="00F86C79" w:rsidRPr="000A76FA" w:rsidRDefault="00F86C79" w:rsidP="00FE5710">
    <w:pPr>
      <w:pStyle w:val="a4"/>
      <w:jc w:val="center"/>
      <w:rPr>
        <w:rFonts w:ascii="Arial" w:hAnsi="Arial" w:cs="Arial"/>
        <w:sz w:val="20"/>
        <w:szCs w:val="20"/>
      </w:rPr>
    </w:pPr>
    <w:r w:rsidRPr="000A76FA">
      <w:rPr>
        <w:rFonts w:ascii="Arial" w:hAnsi="Arial" w:cs="Arial"/>
        <w:sz w:val="20"/>
        <w:szCs w:val="20"/>
        <w:rtl/>
      </w:rPr>
      <w:t xml:space="preserve">אתר: </w:t>
    </w:r>
    <w:hyperlink r:id="rId1" w:history="1">
      <w:r w:rsidRPr="000A76FA">
        <w:rPr>
          <w:rStyle w:val="Hyperlink"/>
          <w:rFonts w:ascii="Arial" w:hAnsi="Arial"/>
          <w:sz w:val="20"/>
        </w:rPr>
        <w:t>www.acri.org.il</w:t>
      </w:r>
    </w:hyperlink>
    <w:r w:rsidRPr="000A76FA">
      <w:rPr>
        <w:rFonts w:ascii="Arial" w:hAnsi="Arial" w:cs="Arial"/>
        <w:sz w:val="20"/>
        <w:szCs w:val="20"/>
        <w:rtl/>
      </w:rPr>
      <w:t xml:space="preserve">, </w:t>
    </w:r>
    <w:r>
      <w:rPr>
        <w:rFonts w:ascii="Arial" w:hAnsi="Arial" w:cs="Arial" w:hint="cs"/>
        <w:sz w:val="20"/>
        <w:szCs w:val="20"/>
        <w:rtl/>
      </w:rPr>
      <w:t>דוא"ל</w:t>
    </w:r>
    <w:r w:rsidRPr="000A76FA">
      <w:rPr>
        <w:rFonts w:ascii="Arial" w:hAnsi="Arial" w:cs="Arial"/>
        <w:sz w:val="20"/>
        <w:szCs w:val="20"/>
        <w:rtl/>
      </w:rPr>
      <w:t xml:space="preserve">: </w:t>
    </w:r>
    <w:hyperlink r:id="rId2" w:history="1">
      <w:r>
        <w:rPr>
          <w:rStyle w:val="Hyperlink"/>
          <w:rFonts w:ascii="Arial" w:hAnsi="Arial"/>
          <w:sz w:val="20"/>
        </w:rPr>
        <w:t>gil</w:t>
      </w:r>
      <w:r w:rsidRPr="00752CF6">
        <w:rPr>
          <w:rStyle w:val="Hyperlink"/>
          <w:rFonts w:ascii="Arial" w:hAnsi="Arial"/>
          <w:sz w:val="20"/>
        </w:rPr>
        <w:t>@acri.org.il</w:t>
      </w:r>
    </w:hyperlink>
  </w:p>
  <w:p w:rsidR="00F86C79" w:rsidRPr="00721150" w:rsidRDefault="00F86C7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C79" w:rsidRDefault="00F86C79">
    <w:pPr>
      <w:pStyle w:val="a4"/>
      <w:pBdr>
        <w:bottom w:val="single" w:sz="6" w:space="1" w:color="auto"/>
      </w:pBdr>
      <w:rPr>
        <w:rtl/>
      </w:rPr>
    </w:pPr>
  </w:p>
  <w:p w:rsidR="00F86C79" w:rsidRPr="000A76FA" w:rsidRDefault="00F86C79" w:rsidP="000A76FA">
    <w:pPr>
      <w:pStyle w:val="a4"/>
      <w:jc w:val="center"/>
      <w:rPr>
        <w:rFonts w:ascii="Arial" w:hAnsi="Arial" w:cs="Arial"/>
        <w:sz w:val="20"/>
        <w:szCs w:val="20"/>
        <w:rtl/>
      </w:rPr>
    </w:pPr>
    <w:r w:rsidRPr="000A76FA">
      <w:rPr>
        <w:rFonts w:ascii="Arial" w:hAnsi="Arial" w:cs="Arial"/>
        <w:sz w:val="20"/>
        <w:szCs w:val="20"/>
        <w:rtl/>
      </w:rPr>
      <w:t>האגודה לזכויות האזרח</w:t>
    </w:r>
    <w:r>
      <w:rPr>
        <w:rFonts w:ascii="Arial" w:hAnsi="Arial" w:cs="Arial" w:hint="cs"/>
        <w:sz w:val="20"/>
        <w:szCs w:val="20"/>
        <w:rtl/>
      </w:rPr>
      <w:t xml:space="preserve"> בישראל (ע"ר)</w:t>
    </w:r>
    <w:r w:rsidRPr="000A76FA">
      <w:rPr>
        <w:rFonts w:ascii="Arial" w:hAnsi="Arial" w:cs="Arial"/>
        <w:sz w:val="20"/>
        <w:szCs w:val="20"/>
        <w:rtl/>
      </w:rPr>
      <w:t>, נחלת בנימין 75 תל אביב, טל': 03-5608185, פקס: 03-5608165</w:t>
    </w:r>
  </w:p>
  <w:p w:rsidR="00F86C79" w:rsidRPr="000A76FA" w:rsidRDefault="00F86C79" w:rsidP="00FE5710">
    <w:pPr>
      <w:pStyle w:val="a4"/>
      <w:jc w:val="center"/>
      <w:rPr>
        <w:rFonts w:ascii="Arial" w:hAnsi="Arial" w:cs="Arial"/>
        <w:sz w:val="20"/>
        <w:szCs w:val="20"/>
      </w:rPr>
    </w:pPr>
    <w:r>
      <w:rPr>
        <w:rFonts w:ascii="Arial" w:hAnsi="Arial" w:cs="Arial"/>
        <w:sz w:val="20"/>
        <w:szCs w:val="20"/>
      </w:rPr>
      <w:t xml:space="preserve"> </w:t>
    </w:r>
    <w:r>
      <w:rPr>
        <w:rFonts w:ascii="Arial" w:hAnsi="Arial" w:cs="Arial" w:hint="cs"/>
        <w:sz w:val="20"/>
        <w:szCs w:val="20"/>
        <w:rtl/>
      </w:rPr>
      <w:t xml:space="preserve">אתר: </w:t>
    </w:r>
    <w:hyperlink r:id="rId1" w:history="1">
      <w:r w:rsidRPr="000A76FA">
        <w:rPr>
          <w:rStyle w:val="Hyperlink"/>
          <w:rFonts w:ascii="Arial" w:hAnsi="Arial"/>
          <w:sz w:val="20"/>
        </w:rPr>
        <w:t>www.acri.org.il</w:t>
      </w:r>
    </w:hyperlink>
    <w:r w:rsidRPr="000A76FA">
      <w:rPr>
        <w:rFonts w:ascii="Arial" w:hAnsi="Arial" w:cs="Arial"/>
        <w:sz w:val="20"/>
        <w:szCs w:val="20"/>
        <w:rtl/>
      </w:rPr>
      <w:t xml:space="preserve">, </w:t>
    </w:r>
    <w:r>
      <w:rPr>
        <w:rFonts w:ascii="Arial" w:hAnsi="Arial" w:cs="Arial" w:hint="cs"/>
        <w:sz w:val="20"/>
        <w:szCs w:val="20"/>
        <w:rtl/>
      </w:rPr>
      <w:t>דוא"ל</w:t>
    </w:r>
    <w:r w:rsidRPr="000A76FA">
      <w:rPr>
        <w:rFonts w:ascii="Arial" w:hAnsi="Arial" w:cs="Arial"/>
        <w:sz w:val="20"/>
        <w:szCs w:val="20"/>
        <w:rtl/>
      </w:rPr>
      <w:t xml:space="preserve">: </w:t>
    </w:r>
    <w:hyperlink r:id="rId2" w:history="1">
      <w:r>
        <w:rPr>
          <w:rStyle w:val="Hyperlink"/>
          <w:rFonts w:ascii="Arial" w:hAnsi="Arial"/>
          <w:sz w:val="20"/>
        </w:rPr>
        <w:t>gil</w:t>
      </w:r>
      <w:r w:rsidRPr="00752CF6">
        <w:rPr>
          <w:rStyle w:val="Hyperlink"/>
          <w:rFonts w:ascii="Arial" w:hAnsi="Arial"/>
          <w:sz w:val="20"/>
        </w:rPr>
        <w:t>@acri.org.il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9D2" w:rsidRDefault="008119D2">
      <w:r>
        <w:separator/>
      </w:r>
    </w:p>
  </w:footnote>
  <w:footnote w:type="continuationSeparator" w:id="0">
    <w:p w:rsidR="008119D2" w:rsidRDefault="00811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C79" w:rsidRDefault="00F86C79" w:rsidP="00E40103">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F86C79" w:rsidRDefault="00F86C7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C79" w:rsidRDefault="00F86C79" w:rsidP="00E40103">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separate"/>
    </w:r>
    <w:r w:rsidR="00B875AF">
      <w:rPr>
        <w:rStyle w:val="a5"/>
        <w:noProof/>
        <w:rtl/>
      </w:rPr>
      <w:t>4</w:t>
    </w:r>
    <w:r>
      <w:rPr>
        <w:rStyle w:val="a5"/>
        <w:rtl/>
      </w:rPr>
      <w:fldChar w:fldCharType="end"/>
    </w:r>
  </w:p>
  <w:p w:rsidR="00F86C79" w:rsidRDefault="00F86C7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C79" w:rsidRDefault="00F86C79" w:rsidP="000A76FA">
    <w:pPr>
      <w:pStyle w:val="a3"/>
      <w:jc w:val="center"/>
    </w:pPr>
    <w:r>
      <w:rPr>
        <w:noProof/>
      </w:rPr>
      <w:drawing>
        <wp:inline distT="0" distB="0" distL="0" distR="0">
          <wp:extent cx="3752850" cy="80327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8032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94CC5"/>
    <w:multiLevelType w:val="hybridMultilevel"/>
    <w:tmpl w:val="E6CA89BC"/>
    <w:lvl w:ilvl="0" w:tplc="54F48A4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490E88"/>
    <w:multiLevelType w:val="hybridMultilevel"/>
    <w:tmpl w:val="6A2C6FF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B8432AB"/>
    <w:multiLevelType w:val="hybridMultilevel"/>
    <w:tmpl w:val="B5AAE38C"/>
    <w:lvl w:ilvl="0" w:tplc="A0AA1E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3E139A"/>
    <w:multiLevelType w:val="hybridMultilevel"/>
    <w:tmpl w:val="D91EFA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8306694"/>
    <w:multiLevelType w:val="hybridMultilevel"/>
    <w:tmpl w:val="EDF0CCC6"/>
    <w:lvl w:ilvl="0" w:tplc="4C0CDDBA">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EA4"/>
    <w:rsid w:val="00093B70"/>
    <w:rsid w:val="000A6C59"/>
    <w:rsid w:val="000A76FA"/>
    <w:rsid w:val="000D5353"/>
    <w:rsid w:val="000E09B5"/>
    <w:rsid w:val="00184227"/>
    <w:rsid w:val="00185634"/>
    <w:rsid w:val="001F50E3"/>
    <w:rsid w:val="00284F0E"/>
    <w:rsid w:val="002D5EF7"/>
    <w:rsid w:val="002F7F84"/>
    <w:rsid w:val="00307527"/>
    <w:rsid w:val="00307A93"/>
    <w:rsid w:val="00320BF9"/>
    <w:rsid w:val="003654AF"/>
    <w:rsid w:val="00383A54"/>
    <w:rsid w:val="003D0925"/>
    <w:rsid w:val="003D51A9"/>
    <w:rsid w:val="0047397B"/>
    <w:rsid w:val="004B5305"/>
    <w:rsid w:val="004C24B3"/>
    <w:rsid w:val="00506ACD"/>
    <w:rsid w:val="00544773"/>
    <w:rsid w:val="006B7EA4"/>
    <w:rsid w:val="006D21D0"/>
    <w:rsid w:val="00721150"/>
    <w:rsid w:val="00722A58"/>
    <w:rsid w:val="00724CCA"/>
    <w:rsid w:val="00726F34"/>
    <w:rsid w:val="007A46E4"/>
    <w:rsid w:val="007D351E"/>
    <w:rsid w:val="007E6679"/>
    <w:rsid w:val="008114E8"/>
    <w:rsid w:val="008119D2"/>
    <w:rsid w:val="008562A6"/>
    <w:rsid w:val="008F2F6E"/>
    <w:rsid w:val="008F7C60"/>
    <w:rsid w:val="00905D83"/>
    <w:rsid w:val="00944B3C"/>
    <w:rsid w:val="0096070F"/>
    <w:rsid w:val="00980F7C"/>
    <w:rsid w:val="009A5C45"/>
    <w:rsid w:val="009B10D1"/>
    <w:rsid w:val="009C26FB"/>
    <w:rsid w:val="009C7DE6"/>
    <w:rsid w:val="009C7FF3"/>
    <w:rsid w:val="009D1B02"/>
    <w:rsid w:val="009F19CA"/>
    <w:rsid w:val="00A75219"/>
    <w:rsid w:val="00A97BBF"/>
    <w:rsid w:val="00AB6C85"/>
    <w:rsid w:val="00AD1487"/>
    <w:rsid w:val="00AD6D8F"/>
    <w:rsid w:val="00AE21DB"/>
    <w:rsid w:val="00B11D8A"/>
    <w:rsid w:val="00B165B6"/>
    <w:rsid w:val="00B23000"/>
    <w:rsid w:val="00B41B38"/>
    <w:rsid w:val="00B66638"/>
    <w:rsid w:val="00B875AF"/>
    <w:rsid w:val="00B925CB"/>
    <w:rsid w:val="00B94776"/>
    <w:rsid w:val="00BC1BFC"/>
    <w:rsid w:val="00BE73D3"/>
    <w:rsid w:val="00C56033"/>
    <w:rsid w:val="00C717E0"/>
    <w:rsid w:val="00C72B61"/>
    <w:rsid w:val="00CB7F63"/>
    <w:rsid w:val="00CD13B2"/>
    <w:rsid w:val="00D141FD"/>
    <w:rsid w:val="00D249A5"/>
    <w:rsid w:val="00D56485"/>
    <w:rsid w:val="00D67FA8"/>
    <w:rsid w:val="00D762FB"/>
    <w:rsid w:val="00D845A2"/>
    <w:rsid w:val="00DF2134"/>
    <w:rsid w:val="00E114F3"/>
    <w:rsid w:val="00E303C0"/>
    <w:rsid w:val="00E40103"/>
    <w:rsid w:val="00E466EA"/>
    <w:rsid w:val="00EC0073"/>
    <w:rsid w:val="00F05BF3"/>
    <w:rsid w:val="00F14A49"/>
    <w:rsid w:val="00F53181"/>
    <w:rsid w:val="00F60242"/>
    <w:rsid w:val="00F639B0"/>
    <w:rsid w:val="00F86C79"/>
    <w:rsid w:val="00FE57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rPr>
  </w:style>
  <w:style w:type="paragraph" w:styleId="1">
    <w:name w:val="heading 1"/>
    <w:basedOn w:val="a"/>
    <w:next w:val="a"/>
    <w:qFormat/>
    <w:rsid w:val="00944B3C"/>
    <w:pPr>
      <w:keepNext/>
      <w:spacing w:before="240" w:after="60"/>
      <w:outlineLvl w:val="0"/>
    </w:pPr>
    <w:rPr>
      <w:rFonts w:ascii="Arial" w:hAnsi="Arial" w:cs="Arial"/>
      <w:b/>
      <w:bCs/>
      <w:kern w:val="32"/>
      <w:sz w:val="32"/>
      <w:szCs w:val="32"/>
    </w:rPr>
  </w:style>
  <w:style w:type="paragraph" w:styleId="3">
    <w:name w:val="heading 3"/>
    <w:basedOn w:val="a"/>
    <w:next w:val="a"/>
    <w:autoRedefine/>
    <w:qFormat/>
    <w:rsid w:val="009C7FF3"/>
    <w:pPr>
      <w:keepNext/>
      <w:spacing w:before="240" w:after="60"/>
      <w:outlineLvl w:val="2"/>
    </w:pPr>
    <w:rPr>
      <w:rFonts w:ascii="Arial" w:hAnsi="Arial" w:cs="Tahoma"/>
      <w:b/>
      <w:bCs/>
      <w:noProof/>
      <w:sz w:val="26"/>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2heb">
    <w:name w:val="head2heb"/>
    <w:basedOn w:val="a"/>
    <w:rsid w:val="00D249A5"/>
    <w:pPr>
      <w:spacing w:after="240" w:line="360" w:lineRule="auto"/>
    </w:pPr>
    <w:rPr>
      <w:rFonts w:ascii="Tahoma" w:hAnsi="Tahoma" w:cs="Tahoma"/>
      <w:b/>
      <w:bCs/>
      <w:sz w:val="22"/>
      <w:szCs w:val="22"/>
      <w:u w:val="single"/>
    </w:rPr>
  </w:style>
  <w:style w:type="paragraph" w:customStyle="1" w:styleId="StyleHeading1">
    <w:name w:val="Style Heading 1 +"/>
    <w:basedOn w:val="1"/>
    <w:autoRedefine/>
    <w:rsid w:val="00944B3C"/>
    <w:pPr>
      <w:keepNext w:val="0"/>
      <w:spacing w:before="120" w:after="0" w:line="360" w:lineRule="auto"/>
    </w:pPr>
    <w:rPr>
      <w:rFonts w:ascii="Times New Roman" w:hAnsi="Times New Roman" w:cs="David"/>
      <w:kern w:val="36"/>
      <w:sz w:val="48"/>
      <w:szCs w:val="28"/>
    </w:rPr>
  </w:style>
  <w:style w:type="character" w:styleId="Hyperlink">
    <w:name w:val="Hyperlink"/>
    <w:basedOn w:val="a0"/>
    <w:rsid w:val="00EC0073"/>
    <w:rPr>
      <w:rFonts w:cs="Arial"/>
      <w:color w:val="0000FF"/>
      <w:szCs w:val="20"/>
      <w:u w:val="single" w:color="0000FF"/>
    </w:rPr>
  </w:style>
  <w:style w:type="paragraph" w:styleId="a3">
    <w:name w:val="header"/>
    <w:basedOn w:val="a"/>
    <w:rsid w:val="000A76FA"/>
    <w:pPr>
      <w:tabs>
        <w:tab w:val="center" w:pos="4153"/>
        <w:tab w:val="right" w:pos="8306"/>
      </w:tabs>
    </w:pPr>
  </w:style>
  <w:style w:type="paragraph" w:styleId="a4">
    <w:name w:val="footer"/>
    <w:basedOn w:val="a"/>
    <w:rsid w:val="000A76FA"/>
    <w:pPr>
      <w:tabs>
        <w:tab w:val="center" w:pos="4153"/>
        <w:tab w:val="right" w:pos="8306"/>
      </w:tabs>
    </w:pPr>
  </w:style>
  <w:style w:type="character" w:styleId="a5">
    <w:name w:val="page number"/>
    <w:basedOn w:val="a0"/>
    <w:rsid w:val="00FE5710"/>
  </w:style>
  <w:style w:type="paragraph" w:styleId="a6">
    <w:name w:val="Balloon Text"/>
    <w:basedOn w:val="a"/>
    <w:link w:val="a7"/>
    <w:rsid w:val="00093B70"/>
    <w:rPr>
      <w:rFonts w:ascii="Tahoma" w:hAnsi="Tahoma" w:cs="Tahoma"/>
      <w:sz w:val="16"/>
      <w:szCs w:val="16"/>
    </w:rPr>
  </w:style>
  <w:style w:type="character" w:customStyle="1" w:styleId="a7">
    <w:name w:val="טקסט בלונים תו"/>
    <w:basedOn w:val="a0"/>
    <w:link w:val="a6"/>
    <w:rsid w:val="00093B70"/>
    <w:rPr>
      <w:rFonts w:ascii="Tahoma" w:hAnsi="Tahoma" w:cs="Tahoma"/>
      <w:sz w:val="16"/>
      <w:szCs w:val="16"/>
    </w:rPr>
  </w:style>
  <w:style w:type="paragraph" w:styleId="a8">
    <w:name w:val="List Paragraph"/>
    <w:basedOn w:val="a"/>
    <w:uiPriority w:val="34"/>
    <w:qFormat/>
    <w:rsid w:val="00093B70"/>
    <w:pPr>
      <w:ind w:left="720"/>
      <w:contextualSpacing/>
    </w:pPr>
  </w:style>
  <w:style w:type="paragraph" w:styleId="a9">
    <w:name w:val="footnote text"/>
    <w:basedOn w:val="a"/>
    <w:link w:val="aa"/>
    <w:rsid w:val="004C24B3"/>
    <w:rPr>
      <w:sz w:val="20"/>
      <w:szCs w:val="20"/>
    </w:rPr>
  </w:style>
  <w:style w:type="character" w:customStyle="1" w:styleId="aa">
    <w:name w:val="טקסט הערת שוליים תו"/>
    <w:basedOn w:val="a0"/>
    <w:link w:val="a9"/>
    <w:rsid w:val="004C24B3"/>
  </w:style>
  <w:style w:type="character" w:styleId="ab">
    <w:name w:val="footnote reference"/>
    <w:basedOn w:val="a0"/>
    <w:rsid w:val="004C24B3"/>
    <w:rPr>
      <w:vertAlign w:val="superscript"/>
    </w:rPr>
  </w:style>
  <w:style w:type="character" w:styleId="ac">
    <w:name w:val="Strong"/>
    <w:uiPriority w:val="22"/>
    <w:qFormat/>
    <w:rsid w:val="009D1B02"/>
    <w:rPr>
      <w:b/>
      <w:bCs/>
    </w:rPr>
  </w:style>
  <w:style w:type="character" w:styleId="ad">
    <w:name w:val="annotation reference"/>
    <w:basedOn w:val="a0"/>
    <w:rsid w:val="008F2F6E"/>
    <w:rPr>
      <w:sz w:val="16"/>
      <w:szCs w:val="16"/>
    </w:rPr>
  </w:style>
  <w:style w:type="paragraph" w:styleId="ae">
    <w:name w:val="annotation text"/>
    <w:basedOn w:val="a"/>
    <w:link w:val="af"/>
    <w:rsid w:val="008F2F6E"/>
    <w:rPr>
      <w:sz w:val="20"/>
      <w:szCs w:val="20"/>
    </w:rPr>
  </w:style>
  <w:style w:type="character" w:customStyle="1" w:styleId="af">
    <w:name w:val="טקסט הערה תו"/>
    <w:basedOn w:val="a0"/>
    <w:link w:val="ae"/>
    <w:rsid w:val="008F2F6E"/>
  </w:style>
  <w:style w:type="paragraph" w:styleId="af0">
    <w:name w:val="annotation subject"/>
    <w:basedOn w:val="ae"/>
    <w:next w:val="ae"/>
    <w:link w:val="af1"/>
    <w:rsid w:val="008F2F6E"/>
    <w:rPr>
      <w:b/>
      <w:bCs/>
    </w:rPr>
  </w:style>
  <w:style w:type="character" w:customStyle="1" w:styleId="af1">
    <w:name w:val="נושא הערה תו"/>
    <w:basedOn w:val="af"/>
    <w:link w:val="af0"/>
    <w:rsid w:val="008F2F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rPr>
  </w:style>
  <w:style w:type="paragraph" w:styleId="1">
    <w:name w:val="heading 1"/>
    <w:basedOn w:val="a"/>
    <w:next w:val="a"/>
    <w:qFormat/>
    <w:rsid w:val="00944B3C"/>
    <w:pPr>
      <w:keepNext/>
      <w:spacing w:before="240" w:after="60"/>
      <w:outlineLvl w:val="0"/>
    </w:pPr>
    <w:rPr>
      <w:rFonts w:ascii="Arial" w:hAnsi="Arial" w:cs="Arial"/>
      <w:b/>
      <w:bCs/>
      <w:kern w:val="32"/>
      <w:sz w:val="32"/>
      <w:szCs w:val="32"/>
    </w:rPr>
  </w:style>
  <w:style w:type="paragraph" w:styleId="3">
    <w:name w:val="heading 3"/>
    <w:basedOn w:val="a"/>
    <w:next w:val="a"/>
    <w:autoRedefine/>
    <w:qFormat/>
    <w:rsid w:val="009C7FF3"/>
    <w:pPr>
      <w:keepNext/>
      <w:spacing w:before="240" w:after="60"/>
      <w:outlineLvl w:val="2"/>
    </w:pPr>
    <w:rPr>
      <w:rFonts w:ascii="Arial" w:hAnsi="Arial" w:cs="Tahoma"/>
      <w:b/>
      <w:bCs/>
      <w:noProof/>
      <w:sz w:val="26"/>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2heb">
    <w:name w:val="head2heb"/>
    <w:basedOn w:val="a"/>
    <w:rsid w:val="00D249A5"/>
    <w:pPr>
      <w:spacing w:after="240" w:line="360" w:lineRule="auto"/>
    </w:pPr>
    <w:rPr>
      <w:rFonts w:ascii="Tahoma" w:hAnsi="Tahoma" w:cs="Tahoma"/>
      <w:b/>
      <w:bCs/>
      <w:sz w:val="22"/>
      <w:szCs w:val="22"/>
      <w:u w:val="single"/>
    </w:rPr>
  </w:style>
  <w:style w:type="paragraph" w:customStyle="1" w:styleId="StyleHeading1">
    <w:name w:val="Style Heading 1 +"/>
    <w:basedOn w:val="1"/>
    <w:autoRedefine/>
    <w:rsid w:val="00944B3C"/>
    <w:pPr>
      <w:keepNext w:val="0"/>
      <w:spacing w:before="120" w:after="0" w:line="360" w:lineRule="auto"/>
    </w:pPr>
    <w:rPr>
      <w:rFonts w:ascii="Times New Roman" w:hAnsi="Times New Roman" w:cs="David"/>
      <w:kern w:val="36"/>
      <w:sz w:val="48"/>
      <w:szCs w:val="28"/>
    </w:rPr>
  </w:style>
  <w:style w:type="character" w:styleId="Hyperlink">
    <w:name w:val="Hyperlink"/>
    <w:basedOn w:val="a0"/>
    <w:rsid w:val="00EC0073"/>
    <w:rPr>
      <w:rFonts w:cs="Arial"/>
      <w:color w:val="0000FF"/>
      <w:szCs w:val="20"/>
      <w:u w:val="single" w:color="0000FF"/>
    </w:rPr>
  </w:style>
  <w:style w:type="paragraph" w:styleId="a3">
    <w:name w:val="header"/>
    <w:basedOn w:val="a"/>
    <w:rsid w:val="000A76FA"/>
    <w:pPr>
      <w:tabs>
        <w:tab w:val="center" w:pos="4153"/>
        <w:tab w:val="right" w:pos="8306"/>
      </w:tabs>
    </w:pPr>
  </w:style>
  <w:style w:type="paragraph" w:styleId="a4">
    <w:name w:val="footer"/>
    <w:basedOn w:val="a"/>
    <w:rsid w:val="000A76FA"/>
    <w:pPr>
      <w:tabs>
        <w:tab w:val="center" w:pos="4153"/>
        <w:tab w:val="right" w:pos="8306"/>
      </w:tabs>
    </w:pPr>
  </w:style>
  <w:style w:type="character" w:styleId="a5">
    <w:name w:val="page number"/>
    <w:basedOn w:val="a0"/>
    <w:rsid w:val="00FE5710"/>
  </w:style>
  <w:style w:type="paragraph" w:styleId="a6">
    <w:name w:val="Balloon Text"/>
    <w:basedOn w:val="a"/>
    <w:link w:val="a7"/>
    <w:rsid w:val="00093B70"/>
    <w:rPr>
      <w:rFonts w:ascii="Tahoma" w:hAnsi="Tahoma" w:cs="Tahoma"/>
      <w:sz w:val="16"/>
      <w:szCs w:val="16"/>
    </w:rPr>
  </w:style>
  <w:style w:type="character" w:customStyle="1" w:styleId="a7">
    <w:name w:val="טקסט בלונים תו"/>
    <w:basedOn w:val="a0"/>
    <w:link w:val="a6"/>
    <w:rsid w:val="00093B70"/>
    <w:rPr>
      <w:rFonts w:ascii="Tahoma" w:hAnsi="Tahoma" w:cs="Tahoma"/>
      <w:sz w:val="16"/>
      <w:szCs w:val="16"/>
    </w:rPr>
  </w:style>
  <w:style w:type="paragraph" w:styleId="a8">
    <w:name w:val="List Paragraph"/>
    <w:basedOn w:val="a"/>
    <w:uiPriority w:val="34"/>
    <w:qFormat/>
    <w:rsid w:val="00093B70"/>
    <w:pPr>
      <w:ind w:left="720"/>
      <w:contextualSpacing/>
    </w:pPr>
  </w:style>
  <w:style w:type="paragraph" w:styleId="a9">
    <w:name w:val="footnote text"/>
    <w:basedOn w:val="a"/>
    <w:link w:val="aa"/>
    <w:rsid w:val="004C24B3"/>
    <w:rPr>
      <w:sz w:val="20"/>
      <w:szCs w:val="20"/>
    </w:rPr>
  </w:style>
  <w:style w:type="character" w:customStyle="1" w:styleId="aa">
    <w:name w:val="טקסט הערת שוליים תו"/>
    <w:basedOn w:val="a0"/>
    <w:link w:val="a9"/>
    <w:rsid w:val="004C24B3"/>
  </w:style>
  <w:style w:type="character" w:styleId="ab">
    <w:name w:val="footnote reference"/>
    <w:basedOn w:val="a0"/>
    <w:rsid w:val="004C24B3"/>
    <w:rPr>
      <w:vertAlign w:val="superscript"/>
    </w:rPr>
  </w:style>
  <w:style w:type="character" w:styleId="ac">
    <w:name w:val="Strong"/>
    <w:uiPriority w:val="22"/>
    <w:qFormat/>
    <w:rsid w:val="009D1B02"/>
    <w:rPr>
      <w:b/>
      <w:bCs/>
    </w:rPr>
  </w:style>
  <w:style w:type="character" w:styleId="ad">
    <w:name w:val="annotation reference"/>
    <w:basedOn w:val="a0"/>
    <w:rsid w:val="008F2F6E"/>
    <w:rPr>
      <w:sz w:val="16"/>
      <w:szCs w:val="16"/>
    </w:rPr>
  </w:style>
  <w:style w:type="paragraph" w:styleId="ae">
    <w:name w:val="annotation text"/>
    <w:basedOn w:val="a"/>
    <w:link w:val="af"/>
    <w:rsid w:val="008F2F6E"/>
    <w:rPr>
      <w:sz w:val="20"/>
      <w:szCs w:val="20"/>
    </w:rPr>
  </w:style>
  <w:style w:type="character" w:customStyle="1" w:styleId="af">
    <w:name w:val="טקסט הערה תו"/>
    <w:basedOn w:val="a0"/>
    <w:link w:val="ae"/>
    <w:rsid w:val="008F2F6E"/>
  </w:style>
  <w:style w:type="paragraph" w:styleId="af0">
    <w:name w:val="annotation subject"/>
    <w:basedOn w:val="ae"/>
    <w:next w:val="ae"/>
    <w:link w:val="af1"/>
    <w:rsid w:val="008F2F6E"/>
    <w:rPr>
      <w:b/>
      <w:bCs/>
    </w:rPr>
  </w:style>
  <w:style w:type="character" w:customStyle="1" w:styleId="af1">
    <w:name w:val="נושא הערה תו"/>
    <w:basedOn w:val="af"/>
    <w:link w:val="af0"/>
    <w:rsid w:val="008F2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il\Desktop\&#1504;&#1497;&#1497;&#1512;%20&#1500;&#1493;&#1490;&#1493;%20&#1500;&#1502;&#1499;&#1514;&#1489;.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076DB-2708-4EA5-AAB0-1C4147C4B674}">
  <ds:schemaRefs>
    <ds:schemaRef ds:uri="http://schemas.openxmlformats.org/officeDocument/2006/bibliography"/>
  </ds:schemaRefs>
</ds:datastoreItem>
</file>

<file path=customXml/itemProps2.xml><?xml version="1.0" encoding="utf-8"?>
<ds:datastoreItem xmlns:ds="http://schemas.openxmlformats.org/officeDocument/2006/customXml" ds:itemID="{789F12AE-388B-4A86-81E3-0E2CB83F2361}"/>
</file>

<file path=customXml/itemProps3.xml><?xml version="1.0" encoding="utf-8"?>
<ds:datastoreItem xmlns:ds="http://schemas.openxmlformats.org/officeDocument/2006/customXml" ds:itemID="{755D8108-C54D-402A-A632-317B5DD59902}"/>
</file>

<file path=customXml/itemProps4.xml><?xml version="1.0" encoding="utf-8"?>
<ds:datastoreItem xmlns:ds="http://schemas.openxmlformats.org/officeDocument/2006/customXml" ds:itemID="{332B11AD-A5DD-4E46-8341-A8FD770D07C7}"/>
</file>

<file path=docProps/app.xml><?xml version="1.0" encoding="utf-8"?>
<Properties xmlns="http://schemas.openxmlformats.org/officeDocument/2006/extended-properties" xmlns:vt="http://schemas.openxmlformats.org/officeDocument/2006/docPropsVTypes">
  <Template>נייר לוגו למכתב</Template>
  <TotalTime>86</TotalTime>
  <Pages>1</Pages>
  <Words>1999</Words>
  <Characters>9999</Characters>
  <Application>Microsoft Office Word</Application>
  <DocSecurity>0</DocSecurity>
  <Lines>83</Lines>
  <Paragraphs>23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11975</CharactersWithSpaces>
  <SharedDoc>false</SharedDoc>
  <HLinks>
    <vt:vector size="24" baseType="variant">
      <vt:variant>
        <vt:i4>5046310</vt:i4>
      </vt:variant>
      <vt:variant>
        <vt:i4>14</vt:i4>
      </vt:variant>
      <vt:variant>
        <vt:i4>0</vt:i4>
      </vt:variant>
      <vt:variant>
        <vt:i4>5</vt:i4>
      </vt:variant>
      <vt:variant>
        <vt:lpwstr>mailto:mail@acri.org.il</vt:lpwstr>
      </vt:variant>
      <vt:variant>
        <vt:lpwstr/>
      </vt:variant>
      <vt:variant>
        <vt:i4>2490427</vt:i4>
      </vt:variant>
      <vt:variant>
        <vt:i4>11</vt:i4>
      </vt:variant>
      <vt:variant>
        <vt:i4>0</vt:i4>
      </vt:variant>
      <vt:variant>
        <vt:i4>5</vt:i4>
      </vt:variant>
      <vt:variant>
        <vt:lpwstr>http://www.acri.org.il/</vt:lpwstr>
      </vt:variant>
      <vt:variant>
        <vt:lpwstr/>
      </vt:variant>
      <vt:variant>
        <vt:i4>5046310</vt:i4>
      </vt:variant>
      <vt:variant>
        <vt:i4>8</vt:i4>
      </vt:variant>
      <vt:variant>
        <vt:i4>0</vt:i4>
      </vt:variant>
      <vt:variant>
        <vt:i4>5</vt:i4>
      </vt:variant>
      <vt:variant>
        <vt:lpwstr>mailto:mail@acri.org.il</vt:lpwstr>
      </vt:variant>
      <vt:variant>
        <vt:lpwstr/>
      </vt:variant>
      <vt:variant>
        <vt:i4>2490427</vt:i4>
      </vt:variant>
      <vt:variant>
        <vt:i4>5</vt:i4>
      </vt:variant>
      <vt:variant>
        <vt:i4>0</vt:i4>
      </vt:variant>
      <vt:variant>
        <vt:i4>5</vt:i4>
      </vt:variant>
      <vt:variant>
        <vt:lpwstr>http://www.acri.org.il/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 Gan-Mor</dc:creator>
  <cp:lastModifiedBy>Gil Gan-Mor</cp:lastModifiedBy>
  <cp:revision>8</cp:revision>
  <cp:lastPrinted>2014-12-16T08:59:00Z</cp:lastPrinted>
  <dcterms:created xsi:type="dcterms:W3CDTF">2017-03-19T12:06:00Z</dcterms:created>
  <dcterms:modified xsi:type="dcterms:W3CDTF">2017-03-19T15:02:00Z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2015727</vt:r8>
  </property>
</Properties>
</file>