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717" w:rsidRPr="002E1B97" w:rsidRDefault="00032717" w:rsidP="00032717">
      <w:pPr>
        <w:widowControl/>
        <w:autoSpaceDE/>
        <w:autoSpaceDN/>
        <w:bidi w:val="0"/>
        <w:adjustRightInd/>
        <w:spacing w:before="0" w:line="240" w:lineRule="auto"/>
        <w:ind w:firstLine="0"/>
        <w:jc w:val="center"/>
        <w:textAlignment w:val="auto"/>
        <w:rPr>
          <w:rFonts w:ascii="Times New Roman" w:eastAsia="Times New Roman" w:hAnsi="Times New Roman" w:cs="David"/>
          <w:bCs/>
          <w:spacing w:val="0"/>
          <w:sz w:val="28"/>
          <w:szCs w:val="28"/>
          <w:u w:val="single"/>
          <w:lang w:eastAsia="en-US"/>
        </w:rPr>
      </w:pPr>
      <w:r w:rsidRPr="002E1B97">
        <w:rPr>
          <w:rFonts w:ascii="Times New Roman" w:eastAsia="Times New Roman" w:hAnsi="Times New Roman" w:cs="David" w:hint="cs"/>
          <w:bCs/>
          <w:spacing w:val="0"/>
          <w:sz w:val="28"/>
          <w:szCs w:val="28"/>
          <w:rtl/>
          <w:lang w:eastAsia="en-US"/>
        </w:rPr>
        <w:t xml:space="preserve">תקנות הכללת אמצעי זיהוי ביומטריים ונתוני זיהוי ביומטריים במסמכי זיהוי </w:t>
      </w:r>
      <w:r w:rsidRPr="002E1B97">
        <w:rPr>
          <w:rFonts w:ascii="Times New Roman" w:eastAsia="Times New Roman" w:hAnsi="Times New Roman" w:cs="David" w:hint="cs"/>
          <w:bCs/>
          <w:spacing w:val="0"/>
          <w:sz w:val="28"/>
          <w:szCs w:val="28"/>
          <w:u w:val="single"/>
          <w:rtl/>
          <w:lang w:eastAsia="en-US"/>
        </w:rPr>
        <w:t xml:space="preserve">ובמאגר מידע (תיקון), התשע"ז </w:t>
      </w:r>
      <w:r w:rsidRPr="002E1B97">
        <w:rPr>
          <w:rFonts w:ascii="Times New Roman" w:eastAsia="Times New Roman" w:hAnsi="Times New Roman" w:cs="David"/>
          <w:bCs/>
          <w:spacing w:val="0"/>
          <w:sz w:val="28"/>
          <w:szCs w:val="28"/>
          <w:u w:val="single"/>
          <w:rtl/>
          <w:lang w:eastAsia="en-US"/>
        </w:rPr>
        <w:t>–</w:t>
      </w:r>
      <w:r w:rsidRPr="002E1B97">
        <w:rPr>
          <w:rFonts w:ascii="Times New Roman" w:eastAsia="Times New Roman" w:hAnsi="Times New Roman" w:cs="David" w:hint="cs"/>
          <w:bCs/>
          <w:spacing w:val="0"/>
          <w:sz w:val="28"/>
          <w:szCs w:val="28"/>
          <w:u w:val="single"/>
          <w:rtl/>
          <w:lang w:eastAsia="en-US"/>
        </w:rPr>
        <w:t xml:space="preserve"> 2017</w:t>
      </w:r>
    </w:p>
    <w:p w:rsidR="00032717" w:rsidRPr="002E1B97" w:rsidRDefault="00032717" w:rsidP="00032717">
      <w:pPr>
        <w:widowControl/>
        <w:autoSpaceDE/>
        <w:autoSpaceDN/>
        <w:bidi w:val="0"/>
        <w:adjustRightInd/>
        <w:spacing w:before="0" w:line="240" w:lineRule="auto"/>
        <w:ind w:firstLine="0"/>
        <w:jc w:val="center"/>
        <w:textAlignment w:val="auto"/>
        <w:rPr>
          <w:rFonts w:ascii="Times New Roman" w:eastAsia="Times New Roman" w:hAnsi="Times New Roman" w:cs="David"/>
          <w:bCs/>
          <w:spacing w:val="0"/>
          <w:sz w:val="28"/>
          <w:szCs w:val="28"/>
          <w:u w:val="single"/>
          <w:lang w:eastAsia="en-US"/>
        </w:rPr>
      </w:pPr>
    </w:p>
    <w:p w:rsidR="00032717" w:rsidRPr="002E1B97" w:rsidRDefault="00032717" w:rsidP="00032717">
      <w:pPr>
        <w:widowControl/>
        <w:autoSpaceDE/>
        <w:autoSpaceDN/>
        <w:bidi w:val="0"/>
        <w:adjustRightInd/>
        <w:spacing w:before="0" w:line="240" w:lineRule="auto"/>
        <w:ind w:firstLine="0"/>
        <w:jc w:val="center"/>
        <w:textAlignment w:val="auto"/>
        <w:rPr>
          <w:rFonts w:ascii="Times New Roman" w:eastAsia="Times New Roman" w:hAnsi="Times New Roman" w:cs="David"/>
          <w:bCs/>
          <w:spacing w:val="0"/>
          <w:sz w:val="28"/>
          <w:szCs w:val="28"/>
          <w:rtl/>
          <w:lang w:eastAsia="en-US"/>
        </w:rPr>
      </w:pPr>
      <w:r w:rsidRPr="002E1B97">
        <w:rPr>
          <w:rFonts w:ascii="Times New Roman" w:eastAsia="Times New Roman" w:hAnsi="Times New Roman" w:cs="David" w:hint="cs"/>
          <w:bCs/>
          <w:spacing w:val="0"/>
          <w:sz w:val="28"/>
          <w:szCs w:val="28"/>
          <w:u w:val="single"/>
          <w:rtl/>
          <w:lang w:eastAsia="he-IL"/>
        </w:rPr>
        <w:t>דברי הסבר</w:t>
      </w:r>
    </w:p>
    <w:p w:rsidR="00032717" w:rsidRPr="002E1B97" w:rsidRDefault="00032717" w:rsidP="00032717">
      <w:pPr>
        <w:widowControl/>
        <w:overflowPunct w:val="0"/>
        <w:bidi w:val="0"/>
        <w:spacing w:before="0" w:line="240" w:lineRule="auto"/>
        <w:ind w:firstLine="0"/>
        <w:jc w:val="right"/>
        <w:textAlignment w:val="baseline"/>
        <w:rPr>
          <w:rFonts w:ascii="Times New Roman" w:eastAsia="Times New Roman" w:hAnsi="Times New Roman" w:cs="David"/>
          <w:b/>
          <w:spacing w:val="0"/>
          <w:sz w:val="24"/>
          <w:szCs w:val="24"/>
          <w:u w:val="single"/>
          <w:rtl/>
          <w:lang w:eastAsia="he-IL"/>
        </w:rPr>
      </w:pPr>
    </w:p>
    <w:p w:rsidR="00032717" w:rsidRPr="002E1B97" w:rsidRDefault="00032717" w:rsidP="00032717">
      <w:pPr>
        <w:widowControl/>
        <w:overflowPunct w:val="0"/>
        <w:spacing w:before="0" w:line="360" w:lineRule="auto"/>
        <w:ind w:firstLine="0"/>
        <w:textAlignment w:val="baseline"/>
        <w:rPr>
          <w:rFonts w:ascii="Times New Roman" w:eastAsia="Times New Roman" w:hAnsi="Times New Roman" w:cs="David"/>
          <w:color w:val="auto"/>
          <w:spacing w:val="0"/>
          <w:sz w:val="28"/>
          <w:szCs w:val="28"/>
          <w:rtl/>
          <w:lang w:eastAsia="he-IL"/>
        </w:rPr>
      </w:pPr>
      <w:r w:rsidRPr="002E1B97">
        <w:rPr>
          <w:rFonts w:ascii="Times New Roman" w:eastAsia="Times New Roman" w:hAnsi="Times New Roman" w:cs="David" w:hint="cs"/>
          <w:color w:val="auto"/>
          <w:spacing w:val="0"/>
          <w:sz w:val="28"/>
          <w:szCs w:val="28"/>
          <w:rtl/>
          <w:lang w:eastAsia="he-IL"/>
        </w:rPr>
        <w:t xml:space="preserve">ביום 15.12.09 פורסם חוק הכללת אמצעי זיהוי ביומטריים ונתוני זיהוי ביומטריים במסמכי זיהוי ובמאגר מידע, התש"ע </w:t>
      </w:r>
      <w:r w:rsidRPr="002E1B97">
        <w:rPr>
          <w:rFonts w:ascii="Times New Roman" w:eastAsia="Times New Roman" w:hAnsi="Times New Roman" w:cs="David"/>
          <w:color w:val="auto"/>
          <w:spacing w:val="0"/>
          <w:sz w:val="28"/>
          <w:szCs w:val="28"/>
          <w:rtl/>
          <w:lang w:eastAsia="he-IL"/>
        </w:rPr>
        <w:t>–</w:t>
      </w:r>
      <w:r w:rsidRPr="002E1B97">
        <w:rPr>
          <w:rFonts w:ascii="Times New Roman" w:eastAsia="Times New Roman" w:hAnsi="Times New Roman" w:cs="David" w:hint="cs"/>
          <w:color w:val="auto"/>
          <w:spacing w:val="0"/>
          <w:sz w:val="28"/>
          <w:szCs w:val="28"/>
          <w:rtl/>
          <w:lang w:eastAsia="he-IL"/>
        </w:rPr>
        <w:t xml:space="preserve"> 2009 (להלן </w:t>
      </w:r>
      <w:r w:rsidRPr="002E1B97">
        <w:rPr>
          <w:rFonts w:ascii="Times New Roman" w:eastAsia="Times New Roman" w:hAnsi="Times New Roman" w:cs="David"/>
          <w:color w:val="auto"/>
          <w:spacing w:val="0"/>
          <w:sz w:val="28"/>
          <w:szCs w:val="28"/>
          <w:rtl/>
          <w:lang w:eastAsia="he-IL"/>
        </w:rPr>
        <w:t>–</w:t>
      </w:r>
      <w:r w:rsidRPr="002E1B97">
        <w:rPr>
          <w:rFonts w:ascii="Times New Roman" w:eastAsia="Times New Roman" w:hAnsi="Times New Roman" w:cs="David" w:hint="cs"/>
          <w:color w:val="auto"/>
          <w:spacing w:val="0"/>
          <w:sz w:val="28"/>
          <w:szCs w:val="28"/>
          <w:rtl/>
          <w:lang w:eastAsia="he-IL"/>
        </w:rPr>
        <w:t xml:space="preserve"> החוק).</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032717" w:rsidRPr="002E1B97" w:rsidRDefault="00032717" w:rsidP="00032717">
      <w:pPr>
        <w:widowControl/>
        <w:autoSpaceDE/>
        <w:autoSpaceDN/>
        <w:adjustRightInd/>
        <w:spacing w:before="0" w:line="360" w:lineRule="auto"/>
        <w:ind w:firstLine="0"/>
        <w:textAlignment w:val="auto"/>
        <w:rPr>
          <w:rFonts w:ascii="Arial" w:eastAsia="Times New Roman" w:hAnsi="Arial" w:cs="David"/>
          <w:b/>
          <w:spacing w:val="0"/>
          <w:sz w:val="28"/>
          <w:szCs w:val="28"/>
          <w:rtl/>
          <w:lang w:eastAsia="en-US"/>
        </w:rPr>
      </w:pPr>
      <w:r w:rsidRPr="002E1B97">
        <w:rPr>
          <w:rFonts w:ascii="Times New Roman" w:eastAsia="Times New Roman" w:hAnsi="Times New Roman" w:cs="David" w:hint="cs"/>
          <w:b/>
          <w:spacing w:val="0"/>
          <w:sz w:val="28"/>
          <w:szCs w:val="28"/>
          <w:rtl/>
          <w:lang w:eastAsia="he-IL"/>
        </w:rPr>
        <w:t xml:space="preserve">ביום  21/8/2011 פורסמו תקנות </w:t>
      </w:r>
      <w:r w:rsidRPr="002E1B97">
        <w:rPr>
          <w:rFonts w:ascii="Arial" w:eastAsia="Times New Roman" w:hAnsi="Arial" w:cs="David"/>
          <w:b/>
          <w:spacing w:val="0"/>
          <w:sz w:val="28"/>
          <w:szCs w:val="28"/>
          <w:rtl/>
          <w:lang w:eastAsia="en-US"/>
        </w:rPr>
        <w:t>הכללת אמצעי זיהוי ביומטריים ונתוני זיהוי ביומטריים במסמכי זיהוי ובמאגר מידע, התשע</w:t>
      </w:r>
      <w:r w:rsidRPr="002E1B97">
        <w:rPr>
          <w:rFonts w:ascii="Arial" w:eastAsia="Times New Roman" w:hAnsi="Arial" w:cs="David" w:hint="cs"/>
          <w:b/>
          <w:spacing w:val="0"/>
          <w:sz w:val="28"/>
          <w:szCs w:val="28"/>
          <w:rtl/>
          <w:lang w:eastAsia="en-US"/>
        </w:rPr>
        <w:t>"א</w:t>
      </w:r>
      <w:r w:rsidRPr="002E1B97">
        <w:rPr>
          <w:rFonts w:ascii="Arial" w:eastAsia="Times New Roman" w:hAnsi="Arial" w:cs="David"/>
          <w:b/>
          <w:spacing w:val="0"/>
          <w:sz w:val="28"/>
          <w:szCs w:val="28"/>
          <w:rtl/>
          <w:lang w:eastAsia="en-US"/>
        </w:rPr>
        <w:t xml:space="preserve"> –</w:t>
      </w:r>
      <w:r w:rsidRPr="002E1B97">
        <w:rPr>
          <w:rFonts w:ascii="Arial" w:eastAsia="Times New Roman" w:hAnsi="Arial" w:cs="David" w:hint="cs"/>
          <w:b/>
          <w:spacing w:val="0"/>
          <w:sz w:val="28"/>
          <w:szCs w:val="28"/>
          <w:rtl/>
          <w:lang w:eastAsia="en-US"/>
        </w:rPr>
        <w:t xml:space="preserve"> 20</w:t>
      </w:r>
      <w:r w:rsidRPr="002E1B97">
        <w:rPr>
          <w:rFonts w:ascii="Times New Roman" w:eastAsia="Times New Roman" w:hAnsi="Times New Roman" w:cs="David" w:hint="cs"/>
          <w:b/>
          <w:spacing w:val="0"/>
          <w:sz w:val="28"/>
          <w:szCs w:val="28"/>
          <w:rtl/>
          <w:lang w:eastAsia="he-IL"/>
        </w:rPr>
        <w:t xml:space="preserve">11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התקנות) וכן </w:t>
      </w:r>
      <w:r w:rsidRPr="002E1B97">
        <w:rPr>
          <w:rFonts w:ascii="Arial" w:eastAsia="Times New Roman" w:hAnsi="Arial" w:cs="David"/>
          <w:b/>
          <w:spacing w:val="0"/>
          <w:sz w:val="28"/>
          <w:szCs w:val="28"/>
          <w:rtl/>
          <w:lang w:eastAsia="en-US"/>
        </w:rPr>
        <w:t>צו הכללת אמצעי זיהוי ביומטריים ונתוני זיהוי ביומטריים במסמכי זיהוי ובמאגר מידע</w:t>
      </w:r>
      <w:r w:rsidRPr="002E1B97">
        <w:rPr>
          <w:rFonts w:ascii="Arial" w:eastAsia="Times New Roman" w:hAnsi="Arial" w:cs="David" w:hint="cs"/>
          <w:b/>
          <w:spacing w:val="0"/>
          <w:sz w:val="28"/>
          <w:szCs w:val="28"/>
          <w:rtl/>
          <w:lang w:eastAsia="en-US"/>
        </w:rPr>
        <w:t xml:space="preserve"> (תקופת מבחן)</w:t>
      </w:r>
      <w:r w:rsidRPr="002E1B97">
        <w:rPr>
          <w:rFonts w:ascii="Arial" w:eastAsia="Times New Roman" w:hAnsi="Arial" w:cs="David"/>
          <w:b/>
          <w:spacing w:val="0"/>
          <w:sz w:val="28"/>
          <w:szCs w:val="28"/>
          <w:rtl/>
          <w:lang w:eastAsia="en-US"/>
        </w:rPr>
        <w:t>, התשע"</w:t>
      </w:r>
      <w:r w:rsidRPr="002E1B97">
        <w:rPr>
          <w:rFonts w:ascii="Arial" w:eastAsia="Times New Roman" w:hAnsi="Arial" w:cs="David" w:hint="cs"/>
          <w:b/>
          <w:spacing w:val="0"/>
          <w:sz w:val="28"/>
          <w:szCs w:val="28"/>
          <w:rtl/>
          <w:lang w:eastAsia="en-US"/>
        </w:rPr>
        <w:t>א</w:t>
      </w:r>
      <w:r w:rsidRPr="002E1B97">
        <w:rPr>
          <w:rFonts w:ascii="Arial" w:eastAsia="Times New Roman" w:hAnsi="Arial" w:cs="David"/>
          <w:b/>
          <w:spacing w:val="0"/>
          <w:sz w:val="28"/>
          <w:szCs w:val="28"/>
          <w:rtl/>
          <w:lang w:eastAsia="en-US"/>
        </w:rPr>
        <w:t xml:space="preserve"> – 201</w:t>
      </w:r>
      <w:r w:rsidRPr="002E1B97">
        <w:rPr>
          <w:rFonts w:ascii="Arial" w:eastAsia="Times New Roman" w:hAnsi="Arial" w:cs="David" w:hint="cs"/>
          <w:b/>
          <w:spacing w:val="0"/>
          <w:sz w:val="28"/>
          <w:szCs w:val="28"/>
          <w:rtl/>
          <w:lang w:eastAsia="en-US"/>
        </w:rPr>
        <w:t>1</w:t>
      </w:r>
      <w:r w:rsidRPr="002E1B97">
        <w:rPr>
          <w:rFonts w:ascii="Arial" w:eastAsia="Times New Roman" w:hAnsi="Arial" w:cs="David"/>
          <w:b/>
          <w:spacing w:val="0"/>
          <w:sz w:val="28"/>
          <w:szCs w:val="28"/>
          <w:rtl/>
          <w:lang w:eastAsia="en-US"/>
        </w:rPr>
        <w:t xml:space="preserve">, (להלן – הצו) אשר </w:t>
      </w:r>
      <w:r w:rsidRPr="002E1B97">
        <w:rPr>
          <w:rFonts w:ascii="Arial" w:eastAsia="Times New Roman" w:hAnsi="Arial" w:cs="David" w:hint="cs"/>
          <w:b/>
          <w:spacing w:val="0"/>
          <w:sz w:val="28"/>
          <w:szCs w:val="28"/>
          <w:rtl/>
          <w:lang w:eastAsia="en-US"/>
        </w:rPr>
        <w:t xml:space="preserve"> הסדיר </w:t>
      </w:r>
      <w:r w:rsidRPr="002E1B97">
        <w:rPr>
          <w:rFonts w:ascii="Arial" w:eastAsia="Times New Roman" w:hAnsi="Arial" w:cs="David"/>
          <w:b/>
          <w:spacing w:val="0"/>
          <w:sz w:val="28"/>
          <w:szCs w:val="28"/>
          <w:rtl/>
          <w:lang w:eastAsia="en-US"/>
        </w:rPr>
        <w:t>את תקופת המבחן</w:t>
      </w:r>
      <w:r w:rsidRPr="002E1B97">
        <w:rPr>
          <w:rFonts w:ascii="Arial" w:eastAsia="Times New Roman" w:hAnsi="Arial" w:cs="David" w:hint="cs"/>
          <w:b/>
          <w:spacing w:val="0"/>
          <w:sz w:val="28"/>
          <w:szCs w:val="28"/>
          <w:rtl/>
          <w:lang w:eastAsia="en-US"/>
        </w:rPr>
        <w:t xml:space="preserve"> כאמור בסעיף 41(1) לחוק</w:t>
      </w:r>
      <w:r w:rsidRPr="002E1B97">
        <w:rPr>
          <w:rFonts w:ascii="Arial" w:eastAsia="Times New Roman" w:hAnsi="Arial" w:cs="David"/>
          <w:b/>
          <w:spacing w:val="0"/>
          <w:sz w:val="28"/>
          <w:szCs w:val="28"/>
          <w:rtl/>
          <w:lang w:eastAsia="en-US"/>
        </w:rPr>
        <w:t xml:space="preserve">. </w:t>
      </w:r>
    </w:p>
    <w:p w:rsidR="00032717" w:rsidRPr="002E1B97" w:rsidRDefault="00032717" w:rsidP="00032717">
      <w:pPr>
        <w:widowControl/>
        <w:autoSpaceDE/>
        <w:autoSpaceDN/>
        <w:adjustRightInd/>
        <w:spacing w:before="0" w:line="360" w:lineRule="auto"/>
        <w:ind w:firstLine="0"/>
        <w:textAlignment w:val="auto"/>
        <w:rPr>
          <w:rFonts w:ascii="Arial" w:eastAsia="Times New Roman" w:hAnsi="Arial" w:cs="David"/>
          <w:b/>
          <w:spacing w:val="0"/>
          <w:sz w:val="28"/>
          <w:szCs w:val="28"/>
          <w:rtl/>
          <w:lang w:eastAsia="en-US"/>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lang w:eastAsia="he-IL"/>
        </w:rPr>
      </w:pPr>
      <w:r w:rsidRPr="002E1B97">
        <w:rPr>
          <w:rFonts w:ascii="Times New Roman" w:eastAsia="Times New Roman" w:hAnsi="Times New Roman" w:cs="David" w:hint="cs"/>
          <w:b/>
          <w:spacing w:val="0"/>
          <w:sz w:val="28"/>
          <w:szCs w:val="28"/>
          <w:rtl/>
          <w:lang w:eastAsia="he-IL"/>
        </w:rPr>
        <w:t xml:space="preserve">יישום החוק, התקנות והצו החל ביום 30/6/13 במסגרת תקופת המבחן אשר הוארכה מספר פעמים עד ליום ב' באדר התשע"ז ( 28/2/17) לאחר מועד זה,  ממשיכות לחול הוראות הצו מכח סעיף 21 לחוק הכללת אמצעי זיהוי ביומטריים ונתוני זיהוי ביומטריים במסמכי זיהוי ובמאגר מידע (תיקון והוראת שעה), התשע"ז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2017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התיקון לחוק) עד ליום תחילתו של התיקון לחוק.</w:t>
      </w:r>
    </w:p>
    <w:p w:rsidR="00032717" w:rsidRPr="002E1B97" w:rsidRDefault="00032717" w:rsidP="00032717">
      <w:pPr>
        <w:widowControl/>
        <w:autoSpaceDE/>
        <w:autoSpaceDN/>
        <w:bidi w:val="0"/>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032717" w:rsidRPr="002E1B97" w:rsidRDefault="00032717" w:rsidP="00032717">
      <w:pPr>
        <w:snapToGrid w:val="0"/>
        <w:spacing w:before="0" w:line="360" w:lineRule="auto"/>
        <w:ind w:hanging="58"/>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 xml:space="preserve"> ממצאי תקופת המבחן  נבחנו  על ידי שר הפנים והתקבלה החלטה לגבי אופן יישום החוק על כלל התושבים . השר שוכנע כי נדרש מאגר ביומטרי וכי הדבר יגשים את המטרה שלשמה נחקק החוק והוקם המאגר -  מניעת התחזות</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וגניבת</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זהות</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והבטחת המהימנות הנדרשת לתיעוד</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החכם</w:t>
      </w:r>
      <w:r w:rsidRPr="002E1B97">
        <w:rPr>
          <w:rFonts w:ascii="Arial" w:eastAsia="Arial Unicode MS" w:hAnsi="Arial" w:cs="David"/>
          <w:snapToGrid w:val="0"/>
          <w:spacing w:val="0"/>
          <w:sz w:val="28"/>
          <w:szCs w:val="28"/>
          <w:rtl/>
        </w:rPr>
        <w:t xml:space="preserve">. </w:t>
      </w:r>
    </w:p>
    <w:p w:rsidR="00032717" w:rsidRPr="002E1B97" w:rsidRDefault="00032717" w:rsidP="00032717">
      <w:pPr>
        <w:snapToGrid w:val="0"/>
        <w:spacing w:before="0" w:line="360" w:lineRule="auto"/>
        <w:ind w:hanging="58"/>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 xml:space="preserve"> לצד ההחלטה כי יש להחיל את החוק על כלל התושבים, החליט השר על מתווה  אשר הוביל לתיקון החוק, נערכו תיקונים בהסדרים הקיימים בחוק, כאשר חלק מהסדרים אלה נקבעו כהוראת שעה למשך חמש שנים, הניתנת להארכה בצו לתקופות נוספות. </w:t>
      </w:r>
    </w:p>
    <w:p w:rsidR="00032717" w:rsidRPr="002E1B97" w:rsidRDefault="00032717" w:rsidP="00032717">
      <w:pPr>
        <w:snapToGrid w:val="0"/>
        <w:spacing w:before="0" w:line="360" w:lineRule="auto"/>
        <w:ind w:hanging="58"/>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 xml:space="preserve"> לעניין סוגיית תכולת המאגר, נקבע</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כי</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המאגר</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הביומטרי</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יכלול</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תמונות</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תווי</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פנים</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של</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תושבים</w:t>
      </w:r>
      <w:r w:rsidRPr="002E1B97">
        <w:rPr>
          <w:rFonts w:ascii="Arial" w:eastAsia="Arial Unicode MS" w:hAnsi="Arial" w:cs="David"/>
          <w:snapToGrid w:val="0"/>
          <w:spacing w:val="0"/>
          <w:sz w:val="28"/>
          <w:szCs w:val="28"/>
          <w:rtl/>
        </w:rPr>
        <w:t>,</w:t>
      </w:r>
      <w:r w:rsidRPr="002E1B97">
        <w:rPr>
          <w:rFonts w:ascii="Arial" w:eastAsia="Arial Unicode MS" w:hAnsi="Arial" w:cs="David" w:hint="cs"/>
          <w:snapToGrid w:val="0"/>
          <w:spacing w:val="0"/>
          <w:sz w:val="28"/>
          <w:szCs w:val="28"/>
          <w:rtl/>
        </w:rPr>
        <w:t xml:space="preserve"> ונקבעו הסדרים שונים כהוראת שעה למשך חמש שנים כאמור, הוראות לעניין הכללת תמונות טביעות אצבע של תושבים שיסכימו לכך בכתב, במאגר הביומטרי  וכן הוראות שמטרתן להסדיר את הטיפול והשימוש במידע הביומטרי המועבר למאגר לצורך השוואה לנתונים הכלולים במאגר.</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 </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lang w:eastAsia="he-IL"/>
        </w:rPr>
      </w:pPr>
      <w:r w:rsidRPr="002E1B97">
        <w:rPr>
          <w:rFonts w:ascii="Times New Roman" w:eastAsia="Times New Roman" w:hAnsi="Times New Roman" w:cs="David" w:hint="cs"/>
          <w:b/>
          <w:spacing w:val="0"/>
          <w:sz w:val="28"/>
          <w:szCs w:val="28"/>
          <w:rtl/>
          <w:lang w:eastAsia="he-IL"/>
        </w:rPr>
        <w:t>ביום א' באדר התשע"ז (27 בפברואר 2017)  התקבל בכנסת חוק הכללת אמצעי זיהוי ביומטריים ונתוני זיהוי ביומטריים במסמכי זיהוי ובמאגר מידע (תיקון והוראת שעה), התשע"ז - 2017.</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והוא ייכנס לתוקף ביום תחילתן של התיקון הנדון לתקנות העיקריות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יום התחילה).</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בתמצית, עיקרו של התיקון לחוק הוא בכך</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שהמאגר</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הביומטרי</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יכלול</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תמונות</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תווי</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פנים</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של</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התושבים ומסמכי הזיהוי שיונפקו יהיו בתוקף עד חמש שנים</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 xml:space="preserve">וכהוראת שעה של חמש שנים (הניתנת להארכה), ייכללו במאגר תמונות טביעות אצבע של תושבים שהסכימו לכך בכתב, ואלו יקבלו מסמכי זיהוי בתוקף עד עשר שנים. זאת לעומת תקופת המבחן שבה גם טביעות האצבע </w:t>
      </w:r>
      <w:r w:rsidRPr="002E1B97">
        <w:rPr>
          <w:rFonts w:ascii="Times New Roman" w:eastAsia="Times New Roman" w:hAnsi="Times New Roman" w:cs="David" w:hint="cs"/>
          <w:b/>
          <w:spacing w:val="0"/>
          <w:sz w:val="28"/>
          <w:szCs w:val="28"/>
          <w:rtl/>
          <w:lang w:eastAsia="he-IL"/>
        </w:rPr>
        <w:lastRenderedPageBreak/>
        <w:t>וגם תמונות הפנים הועברו למאגר ונשמרו בו ומסמכי הזיהוי היו בעלי תקופת תוקף עד עשר שנים.</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יצויין, כי ההבדל האמור בין תקופת תוקף של מסמכי זיהוי לחמש שנים לבין תקופת תוקף לעשר שנים נובע מהיכולת הטכנולוגית של המאגר הביומטרי לתת תוצאות זיהוי בהסתמך על השוואת תמונות פנים בלבד ביחס ליכולת לתת תוצאות זיהוי בהסתמך על השוואת תמונות טביעות אצבעות ותמונות פנים גם יחד.</w:t>
      </w:r>
    </w:p>
    <w:p w:rsidR="00032717" w:rsidRPr="002E1B97" w:rsidRDefault="00032717" w:rsidP="00032717">
      <w:pPr>
        <w:widowControl/>
        <w:autoSpaceDE/>
        <w:autoSpaceDN/>
        <w:bidi w:val="0"/>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התיקונים המוצעים בתקנות נובעים ברובם מהצורך להתאים את ההסדרים שנקבעו בתקנות ויושמו בתקופת המבחן, להסדרים אשר נקבעו בתיקון לחוק ועומדים להיכנס לתוקף כאמור ביום  התחילה.</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r w:rsidRPr="002E1B97">
        <w:rPr>
          <w:rFonts w:ascii="Times New Roman" w:eastAsia="Times New Roman" w:hAnsi="Times New Roman" w:cs="David" w:hint="cs"/>
          <w:bCs/>
          <w:spacing w:val="0"/>
          <w:sz w:val="28"/>
          <w:szCs w:val="28"/>
          <w:rtl/>
          <w:lang w:eastAsia="he-IL"/>
        </w:rPr>
        <w:t>בהתאם לאמור לעיל, מוצעים מספר תיקונים לתקנות כמפורט להלן:</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lang w:eastAsia="he-IL"/>
        </w:rPr>
      </w:pPr>
      <w:r w:rsidRPr="002E1B97">
        <w:rPr>
          <w:rFonts w:ascii="Times New Roman" w:eastAsia="Times New Roman" w:hAnsi="Times New Roman" w:cs="David" w:hint="cs"/>
          <w:bCs/>
          <w:spacing w:val="0"/>
          <w:sz w:val="28"/>
          <w:szCs w:val="28"/>
          <w:u w:val="single"/>
          <w:rtl/>
          <w:lang w:eastAsia="he-IL"/>
        </w:rPr>
        <w:t>תקנה 1</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רשות האוכלוסין וההגירה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רשות האוכלוסין) תנפיק תיעוד ביומטרי לכלל התושבים אשר יזדקקו להנפקת מסמכי זיהוי החל מיום  התחילה.</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כחלק מהיערכות רשות האוכלוסין להנפקת התיעוד החכם בהיקפים  גדולים, עולה הצורך לאפשר קיומם של תהליכי בקשה להנפקה לא רק בלשכות אלא אף במקומות נוספים אחרים, כחלק מהצורך בשיפור השירות לתושבים וכן הגעה לקבוצות אשר יכולת ההגעה שלהם ללשכות הינה מוגבלת או בלתי אפשרית.</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בתקופת המבחן ערכה רשות האוכלוסין מספר מצומצם של הבאת עמדות  הרכשה למקומות מחוץ ללשכות הרשות, בהתאם לסעיף 2(א) לצו </w:t>
      </w:r>
      <w:r w:rsidRPr="002E1B97">
        <w:rPr>
          <w:rFonts w:ascii="Arial" w:eastAsia="Times New Roman" w:hAnsi="Arial" w:cs="David"/>
          <w:b/>
          <w:spacing w:val="0"/>
          <w:sz w:val="28"/>
          <w:szCs w:val="28"/>
          <w:rtl/>
          <w:lang w:eastAsia="en-US"/>
        </w:rPr>
        <w:t>הכללת אמצעי זיהוי ביומטריים ונתוני זיהוי ביומטריים במסמכי זיהוי ובמאגר מידע</w:t>
      </w:r>
      <w:r w:rsidRPr="002E1B97">
        <w:rPr>
          <w:rFonts w:ascii="Arial" w:eastAsia="Times New Roman" w:hAnsi="Arial" w:cs="David" w:hint="cs"/>
          <w:b/>
          <w:spacing w:val="0"/>
          <w:sz w:val="28"/>
          <w:szCs w:val="28"/>
          <w:rtl/>
          <w:lang w:eastAsia="en-US"/>
        </w:rPr>
        <w:t xml:space="preserve"> (תקופת מבחן), התשע"א </w:t>
      </w:r>
      <w:r w:rsidRPr="002E1B97">
        <w:rPr>
          <w:rFonts w:ascii="Arial" w:eastAsia="Times New Roman" w:hAnsi="Arial" w:cs="David"/>
          <w:b/>
          <w:spacing w:val="0"/>
          <w:sz w:val="28"/>
          <w:szCs w:val="28"/>
          <w:rtl/>
          <w:lang w:eastAsia="en-US"/>
        </w:rPr>
        <w:t>–</w:t>
      </w:r>
      <w:r w:rsidRPr="002E1B97">
        <w:rPr>
          <w:rFonts w:ascii="Arial" w:eastAsia="Times New Roman" w:hAnsi="Arial" w:cs="David" w:hint="cs"/>
          <w:b/>
          <w:spacing w:val="0"/>
          <w:sz w:val="28"/>
          <w:szCs w:val="28"/>
          <w:rtl/>
          <w:lang w:eastAsia="en-US"/>
        </w:rPr>
        <w:t xml:space="preserve"> 2011 ועם המעבר להחלת החוק על כלל התושבים יש לאפשר פרקטיקה זו בהתאם לצרכי האוכלוסייה הרחבה והגדלה </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נוכח האמור לעיל, מוצע לקבוע כי</w:t>
      </w:r>
      <w:r w:rsidRPr="002E1B97">
        <w:rPr>
          <w:rFonts w:ascii="Times New Roman" w:eastAsia="Times New Roman" w:hAnsi="Times New Roman" w:cs="Narkisim"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 xml:space="preserve">אמצעי זיהוי ביומטריים בהתאם לסעיפים 3 ו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6 לחוק ניתן יהיה ליטול מכל תושב הפונה לקבלת מסמך זיהוי בכל לשכות רשות האוכלוסין וההגירה וכן </w:t>
      </w:r>
      <w:r w:rsidRPr="002E1B97">
        <w:rPr>
          <w:rFonts w:ascii="Times New Roman" w:eastAsia="Times New Roman" w:hAnsi="Times New Roman" w:cs="David" w:hint="eastAsia"/>
          <w:b/>
          <w:spacing w:val="0"/>
          <w:sz w:val="28"/>
          <w:szCs w:val="28"/>
          <w:rtl/>
          <w:lang w:eastAsia="he-IL"/>
        </w:rPr>
        <w:t>במקומות</w:t>
      </w:r>
      <w:r w:rsidRPr="002E1B97">
        <w:rPr>
          <w:rFonts w:ascii="Times New Roman" w:eastAsia="Times New Roman" w:hAnsi="Times New Roman" w:cs="David"/>
          <w:b/>
          <w:spacing w:val="0"/>
          <w:sz w:val="28"/>
          <w:szCs w:val="28"/>
          <w:rtl/>
          <w:lang w:eastAsia="he-IL"/>
        </w:rPr>
        <w:t xml:space="preserve"> נוספים</w:t>
      </w:r>
      <w:r w:rsidRPr="002E1B97">
        <w:rPr>
          <w:rFonts w:ascii="Times New Roman" w:eastAsia="Times New Roman" w:hAnsi="Times New Roman" w:cs="David" w:hint="cs"/>
          <w:b/>
          <w:spacing w:val="0"/>
          <w:sz w:val="28"/>
          <w:szCs w:val="28"/>
          <w:rtl/>
          <w:lang w:eastAsia="he-IL"/>
        </w:rPr>
        <w:t xml:space="preserve"> שיורה ראש רשות האוכלוסין או מי שהוא הסמיכו לכך, שבהם תוכל רשות האוכלוסין לאפשר את השירות באמצעות עובדיה.</w:t>
      </w:r>
    </w:p>
    <w:p w:rsidR="00032717" w:rsidRPr="002E1B97" w:rsidRDefault="00032717" w:rsidP="00032717">
      <w:pPr>
        <w:widowControl/>
        <w:autoSpaceDE/>
        <w:autoSpaceDN/>
        <w:bidi w:val="0"/>
        <w:adjustRightInd/>
        <w:spacing w:before="0" w:line="360" w:lineRule="auto"/>
        <w:ind w:firstLine="0"/>
        <w:textAlignment w:val="auto"/>
        <w:rPr>
          <w:rFonts w:ascii="Times New Roman" w:eastAsia="Times New Roman" w:hAnsi="Times New Roman" w:cs="David"/>
          <w:b/>
          <w:spacing w:val="0"/>
          <w:sz w:val="28"/>
          <w:szCs w:val="28"/>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lang w:eastAsia="he-IL"/>
        </w:rPr>
      </w:pPr>
      <w:r w:rsidRPr="002E1B97">
        <w:rPr>
          <w:rFonts w:ascii="Times New Roman" w:eastAsia="Times New Roman" w:hAnsi="Times New Roman" w:cs="David" w:hint="cs"/>
          <w:bCs/>
          <w:spacing w:val="0"/>
          <w:sz w:val="28"/>
          <w:szCs w:val="28"/>
          <w:u w:val="single"/>
          <w:rtl/>
          <w:lang w:eastAsia="he-IL"/>
        </w:rPr>
        <w:t>תקנה 2</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rtl/>
          <w:lang w:eastAsia="he-IL"/>
        </w:rPr>
      </w:pPr>
      <w:r w:rsidRPr="002E1B97">
        <w:rPr>
          <w:rFonts w:ascii="Times New Roman" w:eastAsia="Times New Roman" w:hAnsi="Times New Roman" w:cs="David" w:hint="cs"/>
          <w:b/>
          <w:spacing w:val="0"/>
          <w:sz w:val="28"/>
          <w:szCs w:val="28"/>
          <w:rtl/>
          <w:lang w:eastAsia="he-IL"/>
        </w:rPr>
        <w:t xml:space="preserve">בתקנה 1 לתקנות העיקריות מוסדר הליך תשאול הנערך בלשכות רשות האוכלוסין לצורך וידוא ואימות זהות  ביחס לתושב  המבקש כי יונפק לו מסמך זיהוי. על פי תקנה 2  (כפי שתוקנה בתיקון תשע"ה), כאשר המבקש הוא קטין עד גיל 14 או אדם שמונה לו אפוטרופוס, אין הוא עובר הליך תשאול, אלא התשאול נערך לנציגו. מוצע לקבוע, כי במקרה שבו לא ניתן לערוך לנציג הליך תשאול המבוסס על מידע הקיים לגביו (כגון במקרה שבו ההורה הוא תושב זר ואינו רשום </w:t>
      </w:r>
      <w:r w:rsidRPr="002E1B97">
        <w:rPr>
          <w:rFonts w:ascii="Times New Roman" w:eastAsia="Times New Roman" w:hAnsi="Times New Roman" w:cs="David" w:hint="cs"/>
          <w:b/>
          <w:spacing w:val="0"/>
          <w:sz w:val="28"/>
          <w:szCs w:val="28"/>
          <w:rtl/>
          <w:lang w:eastAsia="he-IL"/>
        </w:rPr>
        <w:lastRenderedPageBreak/>
        <w:t xml:space="preserve">במרשם האוכלוסין) , ייערך הליך תשאול המבוסס על מידע הקיים לגבי הקטין או האדם שמונה לו אפוטרופוס  </w:t>
      </w:r>
      <w:r w:rsidRPr="002E1B97">
        <w:rPr>
          <w:rFonts w:ascii="Times New Roman" w:eastAsia="Times New Roman" w:hAnsi="Times New Roman" w:cs="David" w:hint="cs"/>
          <w:b/>
          <w:spacing w:val="0"/>
          <w:sz w:val="28"/>
          <w:szCs w:val="28"/>
          <w:u w:val="single"/>
          <w:rtl/>
          <w:lang w:eastAsia="he-IL"/>
        </w:rPr>
        <w:t xml:space="preserve">והנציג ישיב במקומו </w:t>
      </w:r>
      <w:r w:rsidRPr="002E1B97">
        <w:rPr>
          <w:rFonts w:ascii="Times New Roman" w:eastAsia="Times New Roman" w:hAnsi="Times New Roman" w:cs="David" w:hint="cs"/>
          <w:b/>
          <w:spacing w:val="0"/>
          <w:sz w:val="28"/>
          <w:szCs w:val="28"/>
          <w:rtl/>
          <w:lang w:eastAsia="he-IL"/>
        </w:rPr>
        <w:t>.</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u w:val="single"/>
          <w:rtl/>
          <w:lang w:eastAsia="he-IL"/>
        </w:rPr>
        <w:t xml:space="preserve">בנוסף לתיקון האמור, מוחלפת תקנה 2(א) בשלמותה, </w:t>
      </w:r>
      <w:r w:rsidRPr="002E1B97">
        <w:rPr>
          <w:rFonts w:ascii="Times New Roman" w:eastAsia="Times New Roman" w:hAnsi="Times New Roman" w:cs="David" w:hint="cs"/>
          <w:b/>
          <w:spacing w:val="0"/>
          <w:sz w:val="28"/>
          <w:szCs w:val="28"/>
          <w:rtl/>
          <w:lang w:eastAsia="he-IL"/>
        </w:rPr>
        <w:t xml:space="preserve">משום שבנוסחה הקודם נעשה שימוש במונח "חסוי", ובהתאם  לתיקון מס' 18 לחוק הכשרות המשפטית והאפוטרופסות התשכ"ב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1962, אין  משתמשים עוד במונח זה, אלא בביטוי "אדם שמונה לו אפוטרופוס". בהתאם לכך גם תשתנה כותרת הסעיף וההגדרה בתקנה 2(ג).</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rtl/>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בנוסף, בדומה להסדר שנקבע בתקנה 4 לתקנות העיקריות  ולפיו  בעת הנפקה חדשה של מסמך זיהוי לתושב שיש בידו כבר מסמך זיהוי ביומטרי  אין הוא נדרש לעבור הליך תשאול  כאשר נערכת בדיקה לאימות זהותו באמצעות השוואת אמצעי הזיהוי הביומטריים  שלו לאמצעי הזיהוי הביומטריים שבמסמך הזיהוי ונמצאה התאמה בבדיקה כאמור ,כך  מוצע לאמת את זהותו של נציגו של קטין או אדם שמונה לו אפוטרופוס המחזיק בידו מסמך זיהוי  ביומטרי, באמצעות בדיקת התאמה כאמור, ועל ידי כך לוותר על הצורך בהליך התשאול. </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Cs/>
          <w:spacing w:val="0"/>
          <w:sz w:val="28"/>
          <w:szCs w:val="28"/>
          <w:u w:val="single"/>
          <w:rtl/>
          <w:lang w:eastAsia="he-IL"/>
        </w:rPr>
        <w:t xml:space="preserve">תקנה  3  </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מוצע לקבוע, במסגרת ייעול ושיפור שירותי רשות האוכלוסין כי לצורך אימות זהותו של אדם נטילת אמצעים או נתונים ביומטריים לצורך השוואתם לאמצעים או הנתונים הביומטריים הכלולים במסמך הזיהוי של אותו אדם, יכול שתתבצע</w:t>
      </w:r>
      <w:r w:rsidRPr="002E1B97">
        <w:rPr>
          <w:rFonts w:ascii="Times New Roman" w:eastAsia="Times New Roman" w:hAnsi="Times New Roman" w:cs="David"/>
          <w:b/>
          <w:spacing w:val="0"/>
          <w:sz w:val="28"/>
          <w:szCs w:val="28"/>
          <w:lang w:eastAsia="he-IL"/>
        </w:rPr>
        <w:t xml:space="preserve"> </w:t>
      </w:r>
      <w:r w:rsidRPr="002E1B97">
        <w:rPr>
          <w:rFonts w:ascii="Times New Roman" w:eastAsia="Times New Roman" w:hAnsi="Times New Roman" w:cs="David" w:hint="cs"/>
          <w:b/>
          <w:spacing w:val="0"/>
          <w:sz w:val="28"/>
          <w:szCs w:val="28"/>
          <w:rtl/>
          <w:lang w:eastAsia="he-IL"/>
        </w:rPr>
        <w:t>באתרי רשות האוכלוסין באופן ממוכן ושלא בפני בעל תפקיד</w:t>
      </w:r>
      <w:r w:rsidRPr="002E1B97">
        <w:rPr>
          <w:rFonts w:ascii="Times New Roman" w:eastAsia="Times New Roman" w:hAnsi="Times New Roman" w:cs="David" w:hint="cs"/>
          <w:bCs/>
          <w:spacing w:val="0"/>
          <w:sz w:val="28"/>
          <w:szCs w:val="28"/>
          <w:rtl/>
          <w:lang w:eastAsia="he-IL"/>
        </w:rPr>
        <w:t xml:space="preserve"> . </w:t>
      </w:r>
      <w:r w:rsidRPr="002E1B97">
        <w:rPr>
          <w:rFonts w:ascii="Times New Roman" w:eastAsia="Times New Roman" w:hAnsi="Times New Roman" w:cs="David" w:hint="cs"/>
          <w:b/>
          <w:spacing w:val="0"/>
          <w:sz w:val="28"/>
          <w:szCs w:val="28"/>
          <w:rtl/>
          <w:lang w:eastAsia="he-IL"/>
        </w:rPr>
        <w:t xml:space="preserve">במסגרת זו ניתן יהיה גם לאפשר שירותים חדשים כמו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שחרור נעילת הסיסמא</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של תעודת הזהות</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או שיחזור הסיסמא במקרה שאינה ידועה לתושב, באופן יעיל ומהיר וללא צורך בהמתנה בתורים המתארכים לטיפול באמצעות פקידי הלשכות .</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eastAsia"/>
          <w:b/>
          <w:spacing w:val="0"/>
          <w:sz w:val="28"/>
          <w:szCs w:val="28"/>
          <w:rtl/>
          <w:lang w:eastAsia="he-IL"/>
        </w:rPr>
        <w:t>אבטחת</w:t>
      </w:r>
      <w:r w:rsidRPr="002E1B97">
        <w:rPr>
          <w:rFonts w:ascii="Times New Roman" w:eastAsia="Times New Roman" w:hAnsi="Times New Roman" w:cs="David"/>
          <w:b/>
          <w:spacing w:val="0"/>
          <w:sz w:val="28"/>
          <w:szCs w:val="28"/>
          <w:rtl/>
          <w:lang w:eastAsia="he-IL"/>
        </w:rPr>
        <w:t xml:space="preserve"> המידע באמצעים הללו תואמת את רמות אבטחת המידע של תהליך הנטילה וההשוואה </w:t>
      </w:r>
      <w:r w:rsidRPr="002E1B97">
        <w:rPr>
          <w:rFonts w:ascii="Times New Roman" w:eastAsia="Times New Roman" w:hAnsi="Times New Roman" w:cs="David" w:hint="eastAsia"/>
          <w:b/>
          <w:spacing w:val="0"/>
          <w:sz w:val="28"/>
          <w:szCs w:val="28"/>
          <w:rtl/>
          <w:lang w:eastAsia="he-IL"/>
        </w:rPr>
        <w:t>המתבצע</w:t>
      </w:r>
      <w:r w:rsidRPr="002E1B97">
        <w:rPr>
          <w:rFonts w:ascii="Times New Roman" w:eastAsia="Times New Roman" w:hAnsi="Times New Roman" w:cs="David"/>
          <w:b/>
          <w:spacing w:val="0"/>
          <w:sz w:val="28"/>
          <w:szCs w:val="28"/>
          <w:rtl/>
          <w:lang w:eastAsia="he-IL"/>
        </w:rPr>
        <w:t xml:space="preserve"> בפני עובדי רשות האוכלוסין, ומוצע להחיל את תקנה 12 אף בעניין זה, בשינויים </w:t>
      </w:r>
      <w:r w:rsidRPr="002E1B97">
        <w:rPr>
          <w:rFonts w:ascii="Times New Roman" w:eastAsia="Times New Roman" w:hAnsi="Times New Roman" w:cs="David" w:hint="eastAsia"/>
          <w:b/>
          <w:spacing w:val="0"/>
          <w:sz w:val="28"/>
          <w:szCs w:val="28"/>
          <w:rtl/>
          <w:lang w:eastAsia="he-IL"/>
        </w:rPr>
        <w:t>המחוייבים</w:t>
      </w:r>
      <w:r w:rsidRPr="002E1B97">
        <w:rPr>
          <w:rFonts w:ascii="Times New Roman" w:eastAsia="Times New Roman" w:hAnsi="Times New Roman" w:cs="David"/>
          <w:b/>
          <w:spacing w:val="0"/>
          <w:sz w:val="28"/>
          <w:szCs w:val="28"/>
          <w:rtl/>
          <w:lang w:eastAsia="he-IL"/>
        </w:rPr>
        <w:t>.</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Cs/>
          <w:spacing w:val="0"/>
          <w:sz w:val="28"/>
          <w:szCs w:val="28"/>
          <w:u w:val="single"/>
          <w:rtl/>
          <w:lang w:eastAsia="he-IL"/>
        </w:rPr>
        <w:t xml:space="preserve">תקנה4 </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rtl/>
          <w:lang w:eastAsia="he-IL"/>
        </w:rPr>
        <w:t xml:space="preserve">לפי סעיף 15 לחוק, רשאי עובד משרד הפנים שהועברה לו תוצאת זיהוי מהרשות לניהול המאגר הביומטרי, להעבירה למשטרת ישראל, לרשויות התביעה, לפרקליטות, לבית המשפט (ולגורמים אחרים נוספים כל שייקבעו בצו). לצורך ביצוע סעיף זה מוצע לקבוע, כי עובד כאמור יהיה רשאי להעביר תוצאת זיהוי  במקרה בו מתעורר חשד בדבר קבלת מסמך זיהוי או ניסיון של אדם לקבל מסמך זיהוי תוך מסירת פרטים כוזבים. יודגש, כי לא מדובר בהעברת מידע ביומטרי, אלא בהעברה של </w:t>
      </w:r>
      <w:r w:rsidRPr="002E1B97">
        <w:rPr>
          <w:rFonts w:ascii="Times New Roman" w:eastAsia="Times New Roman" w:hAnsi="Times New Roman" w:cs="David" w:hint="cs"/>
          <w:b/>
          <w:spacing w:val="0"/>
          <w:sz w:val="28"/>
          <w:szCs w:val="28"/>
          <w:u w:val="single"/>
          <w:rtl/>
          <w:lang w:eastAsia="he-IL"/>
        </w:rPr>
        <w:t>תוצאת הזיהוי</w:t>
      </w:r>
      <w:r w:rsidRPr="002E1B97">
        <w:rPr>
          <w:rFonts w:ascii="Times New Roman" w:eastAsia="Times New Roman" w:hAnsi="Times New Roman" w:cs="David" w:hint="cs"/>
          <w:b/>
          <w:spacing w:val="0"/>
          <w:sz w:val="28"/>
          <w:szCs w:val="28"/>
          <w:rtl/>
          <w:lang w:eastAsia="he-IL"/>
        </w:rPr>
        <w:t xml:space="preserve"> כהגדרתה בסעיף 2 לחוק, כלומר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תוצאת  הבדיקה במאגר הביומטרי </w:t>
      </w:r>
      <w:r w:rsidRPr="002E1B97">
        <w:rPr>
          <w:rFonts w:ascii="Times New Roman" w:eastAsia="Times New Roman" w:hAnsi="Times New Roman" w:cs="David" w:hint="cs"/>
          <w:b/>
          <w:spacing w:val="0"/>
          <w:sz w:val="28"/>
          <w:szCs w:val="28"/>
          <w:u w:val="single"/>
          <w:rtl/>
          <w:lang w:eastAsia="he-IL"/>
        </w:rPr>
        <w:t xml:space="preserve"> בין אם היא תוצאה חיובית המאפשרת הנפקת מסמך זיהוי למבקש, או תוצאה שלילית </w:t>
      </w:r>
      <w:r w:rsidRPr="002E1B97">
        <w:rPr>
          <w:rFonts w:ascii="Times New Roman" w:eastAsia="Times New Roman" w:hAnsi="Times New Roman" w:cs="David"/>
          <w:b/>
          <w:spacing w:val="0"/>
          <w:sz w:val="28"/>
          <w:szCs w:val="28"/>
          <w:u w:val="single"/>
          <w:rtl/>
          <w:lang w:eastAsia="he-IL"/>
        </w:rPr>
        <w:t>–</w:t>
      </w:r>
      <w:r w:rsidRPr="002E1B97">
        <w:rPr>
          <w:rFonts w:ascii="Times New Roman" w:eastAsia="Times New Roman" w:hAnsi="Times New Roman" w:cs="David" w:hint="cs"/>
          <w:b/>
          <w:spacing w:val="0"/>
          <w:sz w:val="28"/>
          <w:szCs w:val="28"/>
          <w:u w:val="single"/>
          <w:rtl/>
          <w:lang w:eastAsia="he-IL"/>
        </w:rPr>
        <w:t xml:space="preserve"> המונעת הנפקה עקב חשד להתחזות,  זיוף זהות, או הרכשה כפולה.</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lang w:eastAsia="he-IL"/>
        </w:rPr>
      </w:pPr>
      <w:r w:rsidRPr="002E1B97">
        <w:rPr>
          <w:rFonts w:ascii="Times New Roman" w:eastAsia="Times New Roman" w:hAnsi="Times New Roman" w:cs="David" w:hint="cs"/>
          <w:bCs/>
          <w:spacing w:val="0"/>
          <w:sz w:val="28"/>
          <w:szCs w:val="28"/>
          <w:u w:val="single"/>
          <w:rtl/>
          <w:lang w:eastAsia="he-IL"/>
        </w:rPr>
        <w:t xml:space="preserve">תקנה 5 </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מוצע לקבוע את יום תחילתן של התקנות </w:t>
      </w:r>
      <w:r w:rsidRPr="002E1B97">
        <w:rPr>
          <w:rFonts w:ascii="Times New Roman" w:eastAsia="Times New Roman" w:hAnsi="Times New Roman" w:cs="David" w:hint="eastAsia"/>
          <w:b/>
          <w:spacing w:val="0"/>
          <w:sz w:val="28"/>
          <w:szCs w:val="28"/>
          <w:rtl/>
          <w:lang w:eastAsia="he-IL"/>
        </w:rPr>
        <w:t>ליום</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י"ט באייר התשע"ז (15 במאי 2017).</w:t>
      </w:r>
      <w:r w:rsidRPr="002E1B97">
        <w:rPr>
          <w:rFonts w:ascii="Times New Roman" w:eastAsia="Times New Roman" w:hAnsi="Times New Roman" w:cs="David" w:hint="cs"/>
          <w:bCs/>
          <w:spacing w:val="0"/>
          <w:sz w:val="28"/>
          <w:szCs w:val="28"/>
          <w:rtl/>
          <w:lang w:eastAsia="he-IL"/>
        </w:rPr>
        <w:t xml:space="preserve"> </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Cs/>
          <w:spacing w:val="0"/>
          <w:sz w:val="28"/>
          <w:szCs w:val="28"/>
          <w:u w:val="single"/>
          <w:rtl/>
          <w:lang w:eastAsia="he-IL"/>
        </w:rPr>
        <w:t xml:space="preserve">תקנה6 </w:t>
      </w:r>
      <w:r w:rsidRPr="002E1B97">
        <w:rPr>
          <w:rFonts w:ascii="Times New Roman" w:eastAsia="Times New Roman" w:hAnsi="Times New Roman" w:cs="David"/>
          <w:bCs/>
          <w:spacing w:val="0"/>
          <w:sz w:val="28"/>
          <w:szCs w:val="28"/>
          <w:u w:val="single"/>
          <w:rtl/>
          <w:lang w:eastAsia="he-IL"/>
        </w:rPr>
        <w:t>–</w:t>
      </w:r>
      <w:r w:rsidRPr="002E1B97">
        <w:rPr>
          <w:rFonts w:ascii="Times New Roman" w:eastAsia="Times New Roman" w:hAnsi="Times New Roman" w:cs="David" w:hint="cs"/>
          <w:bCs/>
          <w:spacing w:val="0"/>
          <w:sz w:val="28"/>
          <w:szCs w:val="28"/>
          <w:u w:val="single"/>
          <w:rtl/>
          <w:lang w:eastAsia="he-IL"/>
        </w:rPr>
        <w:t xml:space="preserve"> הוראת השעה</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בתקופת הוראת השעה תוגדר התוספת לתקנות  כ"תוספת ראשונה",  ותתווספנה תוספות נוספות כפי שיפורט להלן.</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
          <w:spacing w:val="0"/>
          <w:sz w:val="28"/>
          <w:szCs w:val="28"/>
          <w:rtl/>
          <w:lang w:eastAsia="he-IL"/>
        </w:rPr>
        <w:t>בהתאם להוראת השעה בתיקון לחוק, מוצע לקבוע הסדרים מתאימים בתקנות, ואלו יתווספו</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לתקנות (אחרי תקנה 3 ) בתקופת הוראת השעה,  כדלקמן:</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u w:val="single"/>
          <w:rtl/>
          <w:lang w:eastAsia="he-IL"/>
        </w:rPr>
        <w:t>תקנה 3א</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מוצע לקבוע כי משרד הפנים יקיים הסברה שמטרתה יידוע התושב כי </w:t>
      </w:r>
      <w:r w:rsidRPr="002E1B97">
        <w:rPr>
          <w:rFonts w:ascii="Times New Roman" w:eastAsia="Times New Roman" w:hAnsi="Times New Roman" w:cs="David" w:hint="cs"/>
          <w:b/>
          <w:spacing w:val="0"/>
          <w:sz w:val="28"/>
          <w:szCs w:val="28"/>
          <w:u w:val="single"/>
          <w:rtl/>
          <w:lang w:eastAsia="he-IL"/>
        </w:rPr>
        <w:t xml:space="preserve">העברת תמונות טביעות אצבע ונתוני הזיהוי הביומטריים שהופקו מהן (להלן </w:t>
      </w:r>
      <w:r w:rsidRPr="002E1B97">
        <w:rPr>
          <w:rFonts w:ascii="Times New Roman" w:eastAsia="Times New Roman" w:hAnsi="Times New Roman" w:cs="David"/>
          <w:b/>
          <w:spacing w:val="0"/>
          <w:sz w:val="28"/>
          <w:szCs w:val="28"/>
          <w:u w:val="single"/>
          <w:rtl/>
          <w:lang w:eastAsia="he-IL"/>
        </w:rPr>
        <w:t>–</w:t>
      </w:r>
      <w:r w:rsidRPr="002E1B97">
        <w:rPr>
          <w:rFonts w:ascii="Times New Roman" w:eastAsia="Times New Roman" w:hAnsi="Times New Roman" w:cs="David" w:hint="cs"/>
          <w:b/>
          <w:spacing w:val="0"/>
          <w:sz w:val="28"/>
          <w:szCs w:val="28"/>
          <w:u w:val="single"/>
          <w:rtl/>
          <w:lang w:eastAsia="he-IL"/>
        </w:rPr>
        <w:t xml:space="preserve"> טביעות האצבע) לצורך הכללה במאגר הביומטרי, מותנית בקבלת הסכמתו של התושב</w:t>
      </w:r>
      <w:r w:rsidRPr="002E1B97">
        <w:rPr>
          <w:rFonts w:ascii="Times New Roman" w:eastAsia="Times New Roman" w:hAnsi="Times New Roman" w:cs="David" w:hint="cs"/>
          <w:b/>
          <w:spacing w:val="0"/>
          <w:sz w:val="28"/>
          <w:szCs w:val="28"/>
          <w:rtl/>
          <w:lang w:eastAsia="he-IL"/>
        </w:rPr>
        <w:t>. משרד הפנים ישתמש לשם כך באמצעים כמו עלוני הסבר, סרטונים ושילוט, בשפות עברית, ערבית, אנגלית, רוסית ואמהרית. רשות האוכלוסין תנחה את  עובדי הלשכות להפנות את התושבים לעיין בחומרי ההסברה ולהשיב על שאלות התושבים כמקובל בקבלת קהל, וכך גם ייכתב בנהלים .</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u w:val="single"/>
          <w:rtl/>
          <w:lang w:eastAsia="he-IL"/>
        </w:rPr>
        <w:t xml:space="preserve">תקנה 3ב </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מוצע לקבוע, כי תושב בגיר  המסכים להכללת טביעות האצבע במאגר, </w:t>
      </w:r>
      <w:r>
        <w:rPr>
          <w:rFonts w:ascii="Times New Roman" w:eastAsia="Times New Roman" w:hAnsi="Times New Roman" w:cs="David" w:hint="cs"/>
          <w:b/>
          <w:spacing w:val="0"/>
          <w:sz w:val="28"/>
          <w:szCs w:val="28"/>
          <w:rtl/>
          <w:lang w:eastAsia="he-IL"/>
        </w:rPr>
        <w:t>יאשר את הסכמתו באמצעות</w:t>
      </w:r>
      <w:r w:rsidRPr="002E1B97">
        <w:rPr>
          <w:rFonts w:ascii="Times New Roman" w:eastAsia="Times New Roman" w:hAnsi="Times New Roman" w:cs="David" w:hint="cs"/>
          <w:b/>
          <w:spacing w:val="0"/>
          <w:sz w:val="28"/>
          <w:szCs w:val="28"/>
          <w:rtl/>
          <w:lang w:eastAsia="he-IL"/>
        </w:rPr>
        <w:t xml:space="preserve"> טופס הסכמה לפי הנוסח שבתוספת השניה.</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u w:val="single"/>
          <w:rtl/>
          <w:lang w:eastAsia="he-IL"/>
        </w:rPr>
        <w:t>תקנה 3ג</w:t>
      </w:r>
    </w:p>
    <w:p w:rsidR="00032717" w:rsidRPr="002E1B97" w:rsidRDefault="00032717" w:rsidP="00032717">
      <w:pPr>
        <w:snapToGrid w:val="0"/>
        <w:spacing w:before="0" w:line="360" w:lineRule="auto"/>
        <w:ind w:firstLine="0"/>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 xml:space="preserve">מוצע לקבוע, כי תושב שנתן את הסכמתו להכללת טביעות האצבע  במאגר הביומטרי, יוכל  לבקש את מחיקת טביעות האצבע מן המאגר. התושב יוכל להגיש בקשה למחיקה כאמור בדרך של </w:t>
      </w:r>
      <w:r>
        <w:rPr>
          <w:rFonts w:ascii="Arial" w:eastAsia="Arial Unicode MS" w:hAnsi="Arial" w:cs="David" w:hint="cs"/>
          <w:snapToGrid w:val="0"/>
          <w:spacing w:val="0"/>
          <w:sz w:val="28"/>
          <w:szCs w:val="28"/>
          <w:rtl/>
        </w:rPr>
        <w:t>אישור</w:t>
      </w:r>
      <w:r w:rsidRPr="002E1B97">
        <w:rPr>
          <w:rFonts w:ascii="Arial" w:eastAsia="Arial Unicode MS" w:hAnsi="Arial" w:cs="David" w:hint="cs"/>
          <w:snapToGrid w:val="0"/>
          <w:spacing w:val="0"/>
          <w:sz w:val="28"/>
          <w:szCs w:val="28"/>
          <w:rtl/>
        </w:rPr>
        <w:t xml:space="preserve"> בקשה</w:t>
      </w:r>
      <w:r>
        <w:rPr>
          <w:rFonts w:ascii="Arial" w:eastAsia="Arial Unicode MS" w:hAnsi="Arial" w:cs="David" w:hint="cs"/>
          <w:snapToGrid w:val="0"/>
          <w:spacing w:val="0"/>
          <w:sz w:val="28"/>
          <w:szCs w:val="28"/>
          <w:rtl/>
        </w:rPr>
        <w:t xml:space="preserve"> בכתב</w:t>
      </w:r>
      <w:r w:rsidRPr="002E1B97">
        <w:rPr>
          <w:rFonts w:ascii="Arial" w:eastAsia="Arial Unicode MS" w:hAnsi="Arial" w:cs="David" w:hint="cs"/>
          <w:snapToGrid w:val="0"/>
          <w:spacing w:val="0"/>
          <w:sz w:val="28"/>
          <w:szCs w:val="28"/>
          <w:rtl/>
        </w:rPr>
        <w:t xml:space="preserve"> לפי הנוסח שבתוספת השלישית , בד בבד עם מסירת מסמכי הזיהוי התקפים שבידו לעובד רשות האוכלוסין לצורך ביטולם והגשת בקשה להנפקת מסמכי זיהוי חדשים (בתוקף עד 5 שנים). בקשת המחיקה כאמור, וכן האמצעים או הנתונים הביומטריים שניטלו מהתושב באותו מועד, יועברו על ידי רשות האוכלוסין לרשות לצורך זיהוי ואימות זהות במאגר הביומטרי. התגלתה אי-התאמה, לא יונפק מסמך זיהוי ובו אמצעים או נתונים ביומטריים עד לסיום בדיקת הנושא ברשות האוכלוסין ויחולו הוראות תקנה 13 בשינויים המחוייבים.</w:t>
      </w:r>
    </w:p>
    <w:p w:rsidR="00032717" w:rsidRPr="002E1B97" w:rsidRDefault="00032717" w:rsidP="00032717">
      <w:pPr>
        <w:widowControl/>
        <w:overflowPunct w:val="0"/>
        <w:spacing w:before="0" w:line="360" w:lineRule="auto"/>
        <w:ind w:firstLine="0"/>
        <w:textAlignment w:val="baseline"/>
        <w:rPr>
          <w:rFonts w:ascii="Arial" w:eastAsia="Times New Roman" w:hAnsi="Arial" w:cs="David"/>
          <w:b/>
          <w:color w:val="auto"/>
          <w:spacing w:val="0"/>
          <w:sz w:val="28"/>
          <w:szCs w:val="28"/>
          <w:lang w:eastAsia="he-IL"/>
        </w:rPr>
      </w:pPr>
      <w:r w:rsidRPr="002E1B97">
        <w:rPr>
          <w:rFonts w:ascii="Arial" w:eastAsia="Times New Roman" w:hAnsi="Arial" w:cs="David" w:hint="cs"/>
          <w:b/>
          <w:color w:val="auto"/>
          <w:spacing w:val="0"/>
          <w:sz w:val="28"/>
          <w:szCs w:val="28"/>
          <w:rtl/>
          <w:lang w:eastAsia="he-IL"/>
        </w:rPr>
        <w:lastRenderedPageBreak/>
        <w:t xml:space="preserve">יוסבר, כי </w:t>
      </w:r>
      <w:r w:rsidRPr="002E1B97">
        <w:rPr>
          <w:rFonts w:ascii="Arial" w:eastAsia="Times New Roman" w:hAnsi="Arial" w:cs="David"/>
          <w:b/>
          <w:color w:val="auto"/>
          <w:spacing w:val="0"/>
          <w:sz w:val="28"/>
          <w:szCs w:val="28"/>
          <w:rtl/>
          <w:lang w:eastAsia="he-IL"/>
        </w:rPr>
        <w:t>הנתונים המועברים לרשות על ידי רשות האוכלוסין והכוללים הן את תמונת הפנים והן את תמונות טביעות האצבע</w:t>
      </w:r>
      <w:r w:rsidRPr="002E1B97">
        <w:rPr>
          <w:rFonts w:ascii="Arial" w:eastAsia="Times New Roman" w:hAnsi="Arial" w:cs="David" w:hint="cs"/>
          <w:b/>
          <w:color w:val="auto"/>
          <w:spacing w:val="0"/>
          <w:sz w:val="28"/>
          <w:szCs w:val="28"/>
          <w:rtl/>
          <w:lang w:eastAsia="he-IL"/>
        </w:rPr>
        <w:t>,</w:t>
      </w:r>
      <w:r w:rsidRPr="002E1B97">
        <w:rPr>
          <w:rFonts w:ascii="Arial" w:eastAsia="Times New Roman" w:hAnsi="Arial" w:cs="David"/>
          <w:b/>
          <w:color w:val="auto"/>
          <w:spacing w:val="0"/>
          <w:sz w:val="28"/>
          <w:szCs w:val="28"/>
          <w:rtl/>
          <w:lang w:eastAsia="he-IL"/>
        </w:rPr>
        <w:t xml:space="preserve"> מושווים מול כלל הנתונים השמורים במאגר וזאת לצורך זיהוי ואימות זהות. מטרת ההשוואה ה</w:t>
      </w:r>
      <w:r w:rsidRPr="002E1B97">
        <w:rPr>
          <w:rFonts w:ascii="Arial" w:eastAsia="Times New Roman" w:hAnsi="Arial" w:cs="David" w:hint="cs"/>
          <w:b/>
          <w:color w:val="auto"/>
          <w:spacing w:val="0"/>
          <w:sz w:val="28"/>
          <w:szCs w:val="28"/>
          <w:rtl/>
          <w:lang w:eastAsia="he-IL"/>
        </w:rPr>
        <w:t>י</w:t>
      </w:r>
      <w:r w:rsidRPr="002E1B97">
        <w:rPr>
          <w:rFonts w:ascii="Arial" w:eastAsia="Times New Roman" w:hAnsi="Arial" w:cs="David"/>
          <w:b/>
          <w:color w:val="auto"/>
          <w:spacing w:val="0"/>
          <w:sz w:val="28"/>
          <w:szCs w:val="28"/>
          <w:rtl/>
          <w:lang w:eastAsia="he-IL"/>
        </w:rPr>
        <w:t xml:space="preserve">נה לוודא כי הנתונים הביומטריים אינם נמצאים כבר במאגר תחת זהות אחרת מזהות המבקש. </w:t>
      </w:r>
    </w:p>
    <w:p w:rsidR="00032717" w:rsidRPr="002E1B97" w:rsidRDefault="00032717" w:rsidP="00032717">
      <w:pPr>
        <w:widowControl/>
        <w:overflowPunct w:val="0"/>
        <w:spacing w:before="0" w:line="360" w:lineRule="auto"/>
        <w:ind w:firstLine="0"/>
        <w:textAlignment w:val="baseline"/>
        <w:rPr>
          <w:rFonts w:ascii="Arial" w:eastAsia="Times New Roman" w:hAnsi="Arial" w:cs="David"/>
          <w:b/>
          <w:color w:val="auto"/>
          <w:spacing w:val="0"/>
          <w:sz w:val="28"/>
          <w:szCs w:val="28"/>
          <w:lang w:eastAsia="he-IL"/>
        </w:rPr>
      </w:pPr>
      <w:r w:rsidRPr="002E1B97">
        <w:rPr>
          <w:rFonts w:ascii="Arial" w:eastAsia="Times New Roman" w:hAnsi="Arial" w:cs="David"/>
          <w:b/>
          <w:color w:val="auto"/>
          <w:spacing w:val="0"/>
          <w:sz w:val="28"/>
          <w:szCs w:val="28"/>
          <w:rtl/>
          <w:lang w:eastAsia="he-IL"/>
        </w:rPr>
        <w:t xml:space="preserve">ההשוואה מתבצעת באופן ממוכן על ידי מנועי השוואה הנמצאים בבסיסה של המערכת הביומטרית, </w:t>
      </w:r>
      <w:r w:rsidRPr="002E1B97">
        <w:rPr>
          <w:rFonts w:ascii="Arial" w:eastAsia="Times New Roman" w:hAnsi="Arial" w:cs="David" w:hint="cs"/>
          <w:b/>
          <w:color w:val="auto"/>
          <w:spacing w:val="0"/>
          <w:sz w:val="28"/>
          <w:szCs w:val="28"/>
          <w:rtl/>
          <w:lang w:eastAsia="he-IL"/>
        </w:rPr>
        <w:t>ו</w:t>
      </w:r>
      <w:r w:rsidRPr="002E1B97">
        <w:rPr>
          <w:rFonts w:ascii="Arial" w:eastAsia="Times New Roman" w:hAnsi="Arial" w:cs="David"/>
          <w:b/>
          <w:color w:val="auto"/>
          <w:spacing w:val="0"/>
          <w:sz w:val="28"/>
          <w:szCs w:val="28"/>
          <w:rtl/>
          <w:lang w:eastAsia="he-IL"/>
        </w:rPr>
        <w:t>במידה ומתגלה אי התאמה מועברים הנתונים לבדיקה על ידי בודק אנושי.</w:t>
      </w:r>
    </w:p>
    <w:p w:rsidR="00032717" w:rsidRPr="002E1B97" w:rsidRDefault="00032717" w:rsidP="00032717">
      <w:pPr>
        <w:snapToGrid w:val="0"/>
        <w:spacing w:before="0" w:line="360" w:lineRule="auto"/>
        <w:ind w:firstLine="0"/>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במקרה שבו התגלתה התאמה ותוצאת הזיהוי מצביעה על כך שאפשר למחוק את תמונות טביעות האצבע ונתוני הזיהוי הביומטריים שהופקו מהן מהמאגר כמבוקש, הרשות תבצע מחיקה כאמור מהמאגר תוך 48 שעות ממועד קבלת בקשת המחיקה ברשות. במקרה בו ראה ראש הרשות כי מתקיימות נסיבות מיוחדות אשר אינן מאפשרות מחיקה במועד האמור, יאריך את התקופה בהחלטה מנומקת ובלבד שלא תעלה על 14 ימים</w:t>
      </w:r>
      <w:r>
        <w:rPr>
          <w:rFonts w:ascii="Arial" w:eastAsia="Arial Unicode MS" w:hAnsi="Arial" w:cs="David" w:hint="cs"/>
          <w:snapToGrid w:val="0"/>
          <w:spacing w:val="0"/>
          <w:sz w:val="28"/>
          <w:szCs w:val="28"/>
          <w:rtl/>
        </w:rPr>
        <w:t xml:space="preserve"> מתום 48 שעות כאמור.</w:t>
      </w:r>
    </w:p>
    <w:p w:rsidR="00032717" w:rsidRPr="002E1B97" w:rsidRDefault="00032717" w:rsidP="00032717">
      <w:pPr>
        <w:tabs>
          <w:tab w:val="left" w:pos="1020"/>
        </w:tabs>
        <w:snapToGrid w:val="0"/>
        <w:spacing w:before="0" w:line="360" w:lineRule="auto"/>
        <w:ind w:firstLine="0"/>
        <w:textAlignment w:val="auto"/>
        <w:rPr>
          <w:rFonts w:ascii="Arial" w:eastAsia="Arial Unicode MS" w:hAnsi="Arial" w:cs="David"/>
          <w:spacing w:val="0"/>
          <w:sz w:val="28"/>
          <w:szCs w:val="28"/>
          <w:rtl/>
        </w:rPr>
      </w:pPr>
      <w:r w:rsidRPr="002E1B97">
        <w:rPr>
          <w:rFonts w:ascii="Arial" w:eastAsia="Arial Unicode MS" w:hAnsi="Arial" w:cs="David" w:hint="cs"/>
          <w:spacing w:val="0"/>
          <w:sz w:val="28"/>
          <w:szCs w:val="28"/>
          <w:rtl/>
        </w:rPr>
        <w:t>גיבוי נתונים הינו הליך סדור המקובל בגופים טכנולוגיים. התהליך כולל גיבוי של כלל מסד הנתונים של הרשות לניהול המאגר הביומטרי ותכליתו לאפשר, במקרה הצורך, שחזור מידע שנשמר בנקודות זמן שונות. מאחר שתהליך שליפת הנתונים לצורך מחיקתם מגיבויים אלה הינו תהליך ממושך המצריך מעורבות של מספר עובדים ותשומות אבטחת מידע, מחיקת תמונות טביעות האצבע והנתונים שהופקו מהן מכלל מסד הנתונים המגובה של המאגר יתבצע תוך 90 ימים. במקרה שבו מצא ראש הרשות כי מתקיימות נסיבות מיוחדות אשר אינן מאפשרות מחיקה במועד האמור, יהיה רשאי הוא בהחלטה מנומקת ובאישור השר להאריך את התקופה ובלבד שלא תעלה על 60 ימים</w:t>
      </w:r>
      <w:r>
        <w:rPr>
          <w:rFonts w:ascii="Arial" w:eastAsia="Arial Unicode MS" w:hAnsi="Arial" w:cs="David" w:hint="cs"/>
          <w:spacing w:val="0"/>
          <w:sz w:val="28"/>
          <w:szCs w:val="28"/>
          <w:rtl/>
        </w:rPr>
        <w:t xml:space="preserve"> מתום 90 הימים כאמור. </w:t>
      </w:r>
      <w:r w:rsidRPr="002E1B97">
        <w:rPr>
          <w:rFonts w:ascii="Arial" w:eastAsia="Arial Unicode MS" w:hAnsi="Arial" w:cs="David" w:hint="cs"/>
          <w:spacing w:val="0"/>
          <w:sz w:val="28"/>
          <w:szCs w:val="28"/>
          <w:rtl/>
        </w:rPr>
        <w:t>ספירת הימים כאמור תכלול ימי עבודה בלבד.</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u w:val="single"/>
          <w:rtl/>
          <w:lang w:eastAsia="he-IL"/>
        </w:rPr>
        <w:t xml:space="preserve">תקנה 3ד </w:t>
      </w:r>
      <w:r w:rsidRPr="002E1B97">
        <w:rPr>
          <w:rFonts w:ascii="Times New Roman" w:eastAsia="Times New Roman" w:hAnsi="Times New Roman" w:cs="David"/>
          <w:b/>
          <w:spacing w:val="0"/>
          <w:sz w:val="28"/>
          <w:szCs w:val="28"/>
          <w:u w:val="single"/>
          <w:rtl/>
          <w:lang w:eastAsia="he-IL"/>
        </w:rPr>
        <w:t>–</w:t>
      </w:r>
      <w:r w:rsidRPr="002E1B97">
        <w:rPr>
          <w:rFonts w:ascii="Times New Roman" w:eastAsia="Times New Roman" w:hAnsi="Times New Roman" w:cs="David" w:hint="cs"/>
          <w:b/>
          <w:spacing w:val="0"/>
          <w:sz w:val="28"/>
          <w:szCs w:val="28"/>
          <w:u w:val="single"/>
          <w:rtl/>
          <w:lang w:eastAsia="he-IL"/>
        </w:rPr>
        <w:t xml:space="preserve"> הוראות ל</w:t>
      </w:r>
      <w:r>
        <w:rPr>
          <w:rFonts w:ascii="Times New Roman" w:eastAsia="Times New Roman" w:hAnsi="Times New Roman" w:cs="David" w:hint="cs"/>
          <w:b/>
          <w:spacing w:val="0"/>
          <w:sz w:val="28"/>
          <w:szCs w:val="28"/>
          <w:u w:val="single"/>
          <w:rtl/>
          <w:lang w:eastAsia="he-IL"/>
        </w:rPr>
        <w:t>עניין</w:t>
      </w:r>
      <w:r w:rsidRPr="002E1B97">
        <w:rPr>
          <w:rFonts w:ascii="Times New Roman" w:eastAsia="Times New Roman" w:hAnsi="Times New Roman" w:cs="David" w:hint="cs"/>
          <w:b/>
          <w:spacing w:val="0"/>
          <w:sz w:val="28"/>
          <w:szCs w:val="28"/>
          <w:u w:val="single"/>
          <w:rtl/>
          <w:lang w:eastAsia="he-IL"/>
        </w:rPr>
        <w:t xml:space="preserve"> </w:t>
      </w:r>
      <w:r>
        <w:rPr>
          <w:rFonts w:ascii="Times New Roman" w:eastAsia="Times New Roman" w:hAnsi="Times New Roman" w:cs="David" w:hint="cs"/>
          <w:b/>
          <w:spacing w:val="0"/>
          <w:sz w:val="28"/>
          <w:szCs w:val="28"/>
          <w:u w:val="single"/>
          <w:rtl/>
          <w:lang w:eastAsia="he-IL"/>
        </w:rPr>
        <w:t xml:space="preserve">הסכמה או בקשת מחיקה של </w:t>
      </w:r>
      <w:r w:rsidRPr="002E1B97">
        <w:rPr>
          <w:rFonts w:ascii="Times New Roman" w:eastAsia="Times New Roman" w:hAnsi="Times New Roman" w:cs="David" w:hint="cs"/>
          <w:b/>
          <w:spacing w:val="0"/>
          <w:sz w:val="28"/>
          <w:szCs w:val="28"/>
          <w:u w:val="single"/>
          <w:rtl/>
          <w:lang w:eastAsia="he-IL"/>
        </w:rPr>
        <w:t>קטין או אדם שמונה לו אפוטרופוס.</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מוצע לקבוע הוראות מיוחדות לעניין קבלת הסכמה להכללת תמונות טביעות אצבע במאגר או בקשה למחיקתן מהמאגר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הסכמה או בקשה למחיקה) , מקטין או מאדם שמונה לו אפוטרופוס.</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 קטין שמלאו לו 16 שנים, רשאי לתת הסכמה לצורך הכללת טביעות האצבע במאגר הביומטרי ולשם כך נדרשת </w:t>
      </w:r>
      <w:r>
        <w:rPr>
          <w:rFonts w:ascii="Times New Roman" w:eastAsia="Times New Roman" w:hAnsi="Times New Roman" w:cs="David" w:hint="cs"/>
          <w:b/>
          <w:spacing w:val="0"/>
          <w:sz w:val="28"/>
          <w:szCs w:val="28"/>
          <w:rtl/>
          <w:lang w:eastAsia="he-IL"/>
        </w:rPr>
        <w:t>הסכמה</w:t>
      </w:r>
      <w:r w:rsidRPr="002E1B97">
        <w:rPr>
          <w:rFonts w:ascii="Times New Roman" w:eastAsia="Times New Roman" w:hAnsi="Times New Roman" w:cs="David" w:hint="cs"/>
          <w:b/>
          <w:spacing w:val="0"/>
          <w:sz w:val="28"/>
          <w:szCs w:val="28"/>
          <w:rtl/>
          <w:lang w:eastAsia="he-IL"/>
        </w:rPr>
        <w:t xml:space="preserve"> כפולה </w:t>
      </w:r>
      <w:r>
        <w:rPr>
          <w:rFonts w:ascii="Times New Roman" w:eastAsia="Times New Roman" w:hAnsi="Times New Roman" w:cs="David" w:hint="cs"/>
          <w:b/>
          <w:spacing w:val="0"/>
          <w:sz w:val="28"/>
          <w:szCs w:val="28"/>
          <w:rtl/>
          <w:lang w:eastAsia="he-IL"/>
        </w:rPr>
        <w:t>באמצעות אישור בכתב של</w:t>
      </w:r>
      <w:r w:rsidRPr="002E1B97">
        <w:rPr>
          <w:rFonts w:ascii="Times New Roman" w:eastAsia="Times New Roman" w:hAnsi="Times New Roman" w:cs="David" w:hint="cs"/>
          <w:b/>
          <w:spacing w:val="0"/>
          <w:sz w:val="28"/>
          <w:szCs w:val="28"/>
          <w:rtl/>
          <w:lang w:eastAsia="he-IL"/>
        </w:rPr>
        <w:t xml:space="preserve"> טופס ההסכמה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w:t>
      </w:r>
      <w:r>
        <w:rPr>
          <w:rFonts w:ascii="Times New Roman" w:eastAsia="Times New Roman" w:hAnsi="Times New Roman" w:cs="David" w:hint="cs"/>
          <w:b/>
          <w:spacing w:val="0"/>
          <w:sz w:val="28"/>
          <w:szCs w:val="28"/>
          <w:rtl/>
          <w:lang w:eastAsia="he-IL"/>
        </w:rPr>
        <w:t>הן ע"י</w:t>
      </w:r>
      <w:r w:rsidRPr="002E1B97">
        <w:rPr>
          <w:rFonts w:ascii="Times New Roman" w:eastAsia="Times New Roman" w:hAnsi="Times New Roman" w:cs="David" w:hint="cs"/>
          <w:b/>
          <w:spacing w:val="0"/>
          <w:sz w:val="28"/>
          <w:szCs w:val="28"/>
          <w:rtl/>
          <w:lang w:eastAsia="he-IL"/>
        </w:rPr>
        <w:t xml:space="preserve"> המבקש ו</w:t>
      </w:r>
      <w:r>
        <w:rPr>
          <w:rFonts w:ascii="Times New Roman" w:eastAsia="Times New Roman" w:hAnsi="Times New Roman" w:cs="David" w:hint="cs"/>
          <w:b/>
          <w:spacing w:val="0"/>
          <w:sz w:val="28"/>
          <w:szCs w:val="28"/>
          <w:rtl/>
          <w:lang w:eastAsia="he-IL"/>
        </w:rPr>
        <w:t>הן ע"י</w:t>
      </w:r>
      <w:r w:rsidRPr="002E1B97">
        <w:rPr>
          <w:rFonts w:ascii="Times New Roman" w:eastAsia="Times New Roman" w:hAnsi="Times New Roman" w:cs="David" w:hint="cs"/>
          <w:b/>
          <w:spacing w:val="0"/>
          <w:sz w:val="28"/>
          <w:szCs w:val="28"/>
          <w:rtl/>
          <w:lang w:eastAsia="he-IL"/>
        </w:rPr>
        <w:t xml:space="preserve"> נציגו.  בעת הגיעו של קטין, שתמונות טביעות האצבע שלו הוכללו במאגר בהסכמה כאמור, לגיל 18, יפנה משרד הפנים לקטין בהודעה בדבר אפשרותו לבקש את מחיקת  טביעות האצבע שלו מהמאגר הביומטרי; ככל יש בידי קטין שבגר מסמכי זיהוי בתוקף, יהיה עליו להחזירם לרשות האוכלוסין והם יבוטלו עם הגשת הבקשה למחיקה כאמור. בהתאם לחוק יונפקו עבורו מסמכי זיהוי בתוקף עד חמש שנים.</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לעניין אדם שמונה לו אפוטרופוס מוצע לקבוע, כי נציגו  </w:t>
      </w:r>
      <w:r>
        <w:rPr>
          <w:rFonts w:ascii="Times New Roman" w:eastAsia="Times New Roman" w:hAnsi="Times New Roman" w:cs="David" w:hint="cs"/>
          <w:b/>
          <w:spacing w:val="0"/>
          <w:sz w:val="28"/>
          <w:szCs w:val="28"/>
          <w:rtl/>
          <w:lang w:eastAsia="he-IL"/>
        </w:rPr>
        <w:t>יאשר בכתב</w:t>
      </w:r>
      <w:r w:rsidRPr="002E1B97">
        <w:rPr>
          <w:rFonts w:ascii="Times New Roman" w:eastAsia="Times New Roman" w:hAnsi="Times New Roman" w:cs="David" w:hint="cs"/>
          <w:b/>
          <w:spacing w:val="0"/>
          <w:sz w:val="28"/>
          <w:szCs w:val="28"/>
          <w:rtl/>
          <w:lang w:eastAsia="he-IL"/>
        </w:rPr>
        <w:t xml:space="preserve"> הסכמה או בקשה וככל שאותו אדם מסוגל להבין בדבר, </w:t>
      </w:r>
      <w:r>
        <w:rPr>
          <w:rFonts w:ascii="Times New Roman" w:eastAsia="Times New Roman" w:hAnsi="Times New Roman" w:cs="David" w:hint="cs"/>
          <w:b/>
          <w:spacing w:val="0"/>
          <w:sz w:val="28"/>
          <w:szCs w:val="28"/>
          <w:rtl/>
          <w:lang w:eastAsia="he-IL"/>
        </w:rPr>
        <w:t xml:space="preserve">יאשר </w:t>
      </w:r>
      <w:r w:rsidRPr="002E1B97">
        <w:rPr>
          <w:rFonts w:ascii="Times New Roman" w:eastAsia="Times New Roman" w:hAnsi="Times New Roman" w:cs="David" w:hint="cs"/>
          <w:b/>
          <w:spacing w:val="0"/>
          <w:sz w:val="28"/>
          <w:szCs w:val="28"/>
          <w:rtl/>
          <w:lang w:eastAsia="he-IL"/>
        </w:rPr>
        <w:t xml:space="preserve">גם הוא נוסף על </w:t>
      </w:r>
      <w:r>
        <w:rPr>
          <w:rFonts w:ascii="Times New Roman" w:eastAsia="Times New Roman" w:hAnsi="Times New Roman" w:cs="David" w:hint="cs"/>
          <w:b/>
          <w:spacing w:val="0"/>
          <w:sz w:val="28"/>
          <w:szCs w:val="28"/>
          <w:rtl/>
          <w:lang w:eastAsia="he-IL"/>
        </w:rPr>
        <w:t xml:space="preserve">אישור </w:t>
      </w:r>
      <w:r w:rsidRPr="002E1B97">
        <w:rPr>
          <w:rFonts w:ascii="Times New Roman" w:eastAsia="Times New Roman" w:hAnsi="Times New Roman" w:cs="David" w:hint="cs"/>
          <w:b/>
          <w:spacing w:val="0"/>
          <w:sz w:val="28"/>
          <w:szCs w:val="28"/>
          <w:rtl/>
          <w:lang w:eastAsia="he-IL"/>
        </w:rPr>
        <w:t>נציגו.</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לעניין בקשה למחיקה די יהיה ב</w:t>
      </w:r>
      <w:r>
        <w:rPr>
          <w:rFonts w:ascii="Times New Roman" w:eastAsia="Times New Roman" w:hAnsi="Times New Roman" w:cs="David" w:hint="cs"/>
          <w:b/>
          <w:spacing w:val="0"/>
          <w:sz w:val="28"/>
          <w:szCs w:val="28"/>
          <w:rtl/>
          <w:lang w:eastAsia="he-IL"/>
        </w:rPr>
        <w:t>אישור בכתב של</w:t>
      </w:r>
      <w:r w:rsidRPr="002E1B97">
        <w:rPr>
          <w:rFonts w:ascii="Times New Roman" w:eastAsia="Times New Roman" w:hAnsi="Times New Roman" w:cs="David" w:hint="cs"/>
          <w:b/>
          <w:spacing w:val="0"/>
          <w:sz w:val="28"/>
          <w:szCs w:val="28"/>
          <w:rtl/>
          <w:lang w:eastAsia="he-IL"/>
        </w:rPr>
        <w:t xml:space="preserve"> הקטין או נציגו או </w:t>
      </w:r>
      <w:r>
        <w:rPr>
          <w:rFonts w:ascii="Times New Roman" w:eastAsia="Times New Roman" w:hAnsi="Times New Roman" w:cs="David" w:hint="cs"/>
          <w:b/>
          <w:spacing w:val="0"/>
          <w:sz w:val="28"/>
          <w:szCs w:val="28"/>
          <w:rtl/>
          <w:lang w:eastAsia="he-IL"/>
        </w:rPr>
        <w:t>ה</w:t>
      </w:r>
      <w:r w:rsidRPr="002E1B97">
        <w:rPr>
          <w:rFonts w:ascii="Times New Roman" w:eastAsia="Times New Roman" w:hAnsi="Times New Roman" w:cs="David" w:hint="cs"/>
          <w:b/>
          <w:spacing w:val="0"/>
          <w:sz w:val="28"/>
          <w:szCs w:val="28"/>
          <w:rtl/>
          <w:lang w:eastAsia="he-IL"/>
        </w:rPr>
        <w:t>אדם שמונה לו אפוטרופוס או נציגו , לפי העניין, ולא תידרש הסכמה כפולה.</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r w:rsidRPr="002E1B97">
        <w:rPr>
          <w:rFonts w:ascii="Times New Roman" w:eastAsia="Times New Roman" w:hAnsi="Times New Roman" w:cs="David" w:hint="cs"/>
          <w:bCs/>
          <w:spacing w:val="0"/>
          <w:sz w:val="28"/>
          <w:szCs w:val="28"/>
          <w:u w:val="single"/>
          <w:rtl/>
          <w:lang w:eastAsia="he-IL"/>
        </w:rPr>
        <w:t>תקנה7</w:t>
      </w:r>
      <w:r w:rsidRPr="002E1B97">
        <w:rPr>
          <w:rFonts w:ascii="Times New Roman" w:eastAsia="Times New Roman" w:hAnsi="Times New Roman" w:cs="David"/>
          <w:bCs/>
          <w:spacing w:val="0"/>
          <w:sz w:val="28"/>
          <w:szCs w:val="28"/>
          <w:u w:val="single"/>
          <w:rtl/>
          <w:lang w:eastAsia="he-IL"/>
        </w:rPr>
        <w:t>–</w:t>
      </w:r>
      <w:r w:rsidRPr="002E1B97">
        <w:rPr>
          <w:rFonts w:ascii="Times New Roman" w:eastAsia="Times New Roman" w:hAnsi="Times New Roman" w:cs="David" w:hint="cs"/>
          <w:bCs/>
          <w:spacing w:val="0"/>
          <w:sz w:val="28"/>
          <w:szCs w:val="28"/>
          <w:u w:val="single"/>
          <w:rtl/>
          <w:lang w:eastAsia="he-IL"/>
        </w:rPr>
        <w:t xml:space="preserve"> הוראת מעבר</w:t>
      </w:r>
    </w:p>
    <w:p w:rsidR="00032717" w:rsidRPr="002E1B97" w:rsidRDefault="00032717" w:rsidP="00032717">
      <w:pPr>
        <w:widowControl/>
        <w:autoSpaceDE/>
        <w:autoSpaceDN/>
        <w:adjustRightInd/>
        <w:spacing w:before="0" w:line="360" w:lineRule="auto"/>
        <w:ind w:firstLine="0"/>
        <w:textAlignment w:val="auto"/>
        <w:rPr>
          <w:rFonts w:ascii="Times New Roman" w:eastAsia="Times New Roman" w:hAnsi="Times New Roman" w:cs="David"/>
          <w:b/>
          <w:spacing w:val="0"/>
          <w:sz w:val="28"/>
          <w:szCs w:val="28"/>
          <w:lang w:eastAsia="he-IL"/>
        </w:rPr>
      </w:pPr>
      <w:r w:rsidRPr="002E1B97">
        <w:rPr>
          <w:rFonts w:ascii="Times New Roman" w:eastAsia="Times New Roman" w:hAnsi="Times New Roman" w:cs="David" w:hint="cs"/>
          <w:b/>
          <w:spacing w:val="0"/>
          <w:sz w:val="28"/>
          <w:szCs w:val="28"/>
          <w:rtl/>
          <w:lang w:eastAsia="he-IL"/>
        </w:rPr>
        <w:t>בהתאם לסעיף 21 (ב) לתיקון לחוק,  מוצע לקבוע, כי תושבים שהסכימו לקבל מסמכי זיהוי ביומטריים</w:t>
      </w:r>
      <w:r w:rsidRPr="002E1B97">
        <w:rPr>
          <w:rFonts w:ascii="Times New Roman" w:eastAsia="Times New Roman" w:hAnsi="Times New Roman" w:cs="Narkisim"/>
          <w:bCs/>
          <w:spacing w:val="0"/>
          <w:sz w:val="28"/>
          <w:szCs w:val="28"/>
          <w:rtl/>
          <w:lang w:eastAsia="he-IL"/>
        </w:rPr>
        <w:t xml:space="preserve"> </w:t>
      </w:r>
      <w:r w:rsidRPr="002E1B97">
        <w:rPr>
          <w:rFonts w:ascii="Times New Roman" w:eastAsia="Times New Roman" w:hAnsi="Times New Roman" w:cs="David"/>
          <w:b/>
          <w:spacing w:val="0"/>
          <w:sz w:val="28"/>
          <w:szCs w:val="28"/>
          <w:rtl/>
          <w:lang w:eastAsia="he-IL"/>
        </w:rPr>
        <w:t>בתקופת המבחן</w:t>
      </w:r>
      <w:r w:rsidRPr="002E1B97">
        <w:rPr>
          <w:rFonts w:ascii="Times New Roman" w:eastAsia="Times New Roman" w:hAnsi="Times New Roman" w:cs="David" w:hint="cs"/>
          <w:b/>
          <w:spacing w:val="0"/>
          <w:sz w:val="28"/>
          <w:szCs w:val="28"/>
          <w:rtl/>
          <w:lang w:eastAsia="he-IL"/>
        </w:rPr>
        <w:t xml:space="preserve"> לפי </w:t>
      </w:r>
      <w:r w:rsidRPr="002E1B97">
        <w:rPr>
          <w:rFonts w:ascii="Times New Roman" w:eastAsia="Times New Roman" w:hAnsi="Times New Roman" w:cs="David" w:hint="eastAsia"/>
          <w:b/>
          <w:spacing w:val="0"/>
          <w:sz w:val="28"/>
          <w:szCs w:val="28"/>
          <w:rtl/>
          <w:lang w:eastAsia="he-IL"/>
        </w:rPr>
        <w:t>סעיף</w:t>
      </w:r>
      <w:r w:rsidRPr="002E1B97">
        <w:rPr>
          <w:rFonts w:ascii="Times New Roman" w:eastAsia="Times New Roman" w:hAnsi="Times New Roman" w:cs="David"/>
          <w:b/>
          <w:spacing w:val="0"/>
          <w:sz w:val="28"/>
          <w:szCs w:val="28"/>
          <w:rtl/>
          <w:lang w:eastAsia="he-IL"/>
        </w:rPr>
        <w:t xml:space="preserve"> 41</w:t>
      </w:r>
      <w:r w:rsidRPr="002E1B97">
        <w:rPr>
          <w:rFonts w:ascii="Times New Roman" w:eastAsia="Times New Roman" w:hAnsi="Times New Roman" w:cs="David" w:hint="cs"/>
          <w:b/>
          <w:spacing w:val="0"/>
          <w:sz w:val="28"/>
          <w:szCs w:val="28"/>
          <w:rtl/>
          <w:lang w:eastAsia="he-IL"/>
        </w:rPr>
        <w:t xml:space="preserve"> </w:t>
      </w:r>
      <w:r w:rsidRPr="002E1B97">
        <w:rPr>
          <w:rFonts w:ascii="Times New Roman" w:eastAsia="Times New Roman" w:hAnsi="Times New Roman" w:cs="David" w:hint="eastAsia"/>
          <w:b/>
          <w:spacing w:val="0"/>
          <w:sz w:val="28"/>
          <w:szCs w:val="28"/>
          <w:rtl/>
          <w:lang w:eastAsia="he-IL"/>
        </w:rPr>
        <w:t>לחוק</w:t>
      </w:r>
      <w:r w:rsidRPr="002E1B97">
        <w:rPr>
          <w:rFonts w:ascii="Times New Roman" w:eastAsia="Times New Roman" w:hAnsi="Times New Roman" w:cs="David" w:hint="cs"/>
          <w:b/>
          <w:spacing w:val="0"/>
          <w:sz w:val="28"/>
          <w:szCs w:val="28"/>
          <w:rtl/>
          <w:lang w:eastAsia="he-IL"/>
        </w:rPr>
        <w:t>,</w:t>
      </w:r>
      <w:r w:rsidRPr="002E1B97">
        <w:rPr>
          <w:rFonts w:ascii="Times New Roman" w:eastAsia="Times New Roman" w:hAnsi="Times New Roman" w:cs="David"/>
          <w:b/>
          <w:spacing w:val="0"/>
          <w:sz w:val="28"/>
          <w:szCs w:val="28"/>
          <w:rtl/>
          <w:lang w:eastAsia="he-IL"/>
        </w:rPr>
        <w:t xml:space="preserve"> יוכל</w:t>
      </w:r>
      <w:r w:rsidRPr="002E1B97">
        <w:rPr>
          <w:rFonts w:ascii="Times New Roman" w:eastAsia="Times New Roman" w:hAnsi="Times New Roman" w:cs="David" w:hint="cs"/>
          <w:b/>
          <w:spacing w:val="0"/>
          <w:sz w:val="28"/>
          <w:szCs w:val="28"/>
          <w:rtl/>
          <w:lang w:eastAsia="he-IL"/>
        </w:rPr>
        <w:t>ו</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 xml:space="preserve">במשך תקופה של שנה וחצי החל מיום י"א בתשרי התשע"ח (1 באוקטובר 2017) </w:t>
      </w:r>
      <w:r w:rsidRPr="002E1B97">
        <w:rPr>
          <w:rFonts w:ascii="Times New Roman" w:eastAsia="Times New Roman" w:hAnsi="Times New Roman" w:cs="David"/>
          <w:b/>
          <w:spacing w:val="0"/>
          <w:sz w:val="28"/>
          <w:szCs w:val="28"/>
          <w:rtl/>
          <w:lang w:eastAsia="he-IL"/>
        </w:rPr>
        <w:t>ל</w:t>
      </w:r>
      <w:r w:rsidRPr="002E1B97">
        <w:rPr>
          <w:rFonts w:ascii="Times New Roman" w:eastAsia="Times New Roman" w:hAnsi="Times New Roman" w:cs="David" w:hint="cs"/>
          <w:b/>
          <w:spacing w:val="0"/>
          <w:sz w:val="28"/>
          <w:szCs w:val="28"/>
          <w:rtl/>
          <w:lang w:eastAsia="he-IL"/>
        </w:rPr>
        <w:t>בקש</w:t>
      </w:r>
      <w:r w:rsidRPr="002E1B97">
        <w:rPr>
          <w:rFonts w:ascii="Times New Roman" w:eastAsia="Times New Roman" w:hAnsi="Times New Roman" w:cs="David"/>
          <w:b/>
          <w:spacing w:val="0"/>
          <w:sz w:val="28"/>
          <w:szCs w:val="28"/>
          <w:rtl/>
          <w:lang w:eastAsia="he-IL"/>
        </w:rPr>
        <w:t xml:space="preserve"> את מחיקת </w:t>
      </w:r>
      <w:r w:rsidRPr="002E1B97">
        <w:rPr>
          <w:rFonts w:ascii="Times New Roman" w:eastAsia="Times New Roman" w:hAnsi="Times New Roman" w:cs="David" w:hint="cs"/>
          <w:b/>
          <w:spacing w:val="0"/>
          <w:sz w:val="28"/>
          <w:szCs w:val="28"/>
          <w:rtl/>
          <w:lang w:eastAsia="he-IL"/>
        </w:rPr>
        <w:t xml:space="preserve">תמונות טביעות האצבע והנתונים שהופקו מהן  </w:t>
      </w:r>
      <w:r w:rsidRPr="002E1B97">
        <w:rPr>
          <w:rFonts w:ascii="Times New Roman" w:eastAsia="Times New Roman" w:hAnsi="Times New Roman" w:cs="David"/>
          <w:b/>
          <w:spacing w:val="0"/>
          <w:sz w:val="28"/>
          <w:szCs w:val="28"/>
          <w:rtl/>
          <w:lang w:eastAsia="he-IL"/>
        </w:rPr>
        <w:t>מהמאגר</w:t>
      </w:r>
      <w:r w:rsidRPr="002E1B97">
        <w:rPr>
          <w:rFonts w:ascii="Times New Roman" w:eastAsia="Times New Roman" w:hAnsi="Times New Roman" w:cs="David" w:hint="cs"/>
          <w:b/>
          <w:spacing w:val="0"/>
          <w:sz w:val="28"/>
          <w:szCs w:val="28"/>
          <w:rtl/>
          <w:lang w:eastAsia="he-IL"/>
        </w:rPr>
        <w:t xml:space="preserve"> הביומטרי, זאת באמצעות חתימה על בקשה לפי הנוסח שבתוספת, לאחר מסירת מסמכי הזיהוי לצורך ביטולם והנפקת מסמכי זיהוי חדשים במקומם. מסמכי הזיהוי החדשים שיונפקו יהיו בתוקף עד חמש שנים. יצויין, כי תושבים שהסכימו לקבל מסמכי זיהוי ביומטריים</w:t>
      </w:r>
      <w:r w:rsidRPr="002E1B97">
        <w:rPr>
          <w:rFonts w:ascii="Times New Roman" w:eastAsia="Times New Roman" w:hAnsi="Times New Roman" w:cs="Narkisim"/>
          <w:bCs/>
          <w:spacing w:val="0"/>
          <w:sz w:val="28"/>
          <w:szCs w:val="28"/>
          <w:rtl/>
          <w:lang w:eastAsia="he-IL"/>
        </w:rPr>
        <w:t xml:space="preserve"> </w:t>
      </w:r>
      <w:r w:rsidRPr="002E1B97">
        <w:rPr>
          <w:rFonts w:ascii="Times New Roman" w:eastAsia="Times New Roman" w:hAnsi="Times New Roman" w:cs="David"/>
          <w:b/>
          <w:spacing w:val="0"/>
          <w:sz w:val="28"/>
          <w:szCs w:val="28"/>
          <w:rtl/>
          <w:lang w:eastAsia="he-IL"/>
        </w:rPr>
        <w:t>בתקופת המבחן</w:t>
      </w:r>
      <w:r w:rsidRPr="002E1B97">
        <w:rPr>
          <w:rFonts w:ascii="Times New Roman" w:eastAsia="Times New Roman" w:hAnsi="Times New Roman" w:cs="David" w:hint="cs"/>
          <w:b/>
          <w:spacing w:val="0"/>
          <w:sz w:val="28"/>
          <w:szCs w:val="28"/>
          <w:rtl/>
          <w:lang w:eastAsia="he-IL"/>
        </w:rPr>
        <w:t xml:space="preserve"> לפי </w:t>
      </w:r>
      <w:r w:rsidRPr="002E1B97">
        <w:rPr>
          <w:rFonts w:ascii="Times New Roman" w:eastAsia="Times New Roman" w:hAnsi="Times New Roman" w:cs="David" w:hint="eastAsia"/>
          <w:b/>
          <w:spacing w:val="0"/>
          <w:sz w:val="28"/>
          <w:szCs w:val="28"/>
          <w:rtl/>
          <w:lang w:eastAsia="he-IL"/>
        </w:rPr>
        <w:t>סעיף</w:t>
      </w:r>
      <w:r w:rsidRPr="002E1B97">
        <w:rPr>
          <w:rFonts w:ascii="Times New Roman" w:eastAsia="Times New Roman" w:hAnsi="Times New Roman" w:cs="David"/>
          <w:b/>
          <w:spacing w:val="0"/>
          <w:sz w:val="28"/>
          <w:szCs w:val="28"/>
          <w:rtl/>
          <w:lang w:eastAsia="he-IL"/>
        </w:rPr>
        <w:t xml:space="preserve"> 41</w:t>
      </w:r>
      <w:r w:rsidRPr="002E1B97">
        <w:rPr>
          <w:rFonts w:ascii="Times New Roman" w:eastAsia="Times New Roman" w:hAnsi="Times New Roman" w:cs="David" w:hint="cs"/>
          <w:b/>
          <w:spacing w:val="0"/>
          <w:sz w:val="28"/>
          <w:szCs w:val="28"/>
          <w:rtl/>
          <w:lang w:eastAsia="he-IL"/>
        </w:rPr>
        <w:t xml:space="preserve"> </w:t>
      </w:r>
      <w:r w:rsidRPr="002E1B97">
        <w:rPr>
          <w:rFonts w:ascii="Times New Roman" w:eastAsia="Times New Roman" w:hAnsi="Times New Roman" w:cs="David" w:hint="eastAsia"/>
          <w:b/>
          <w:spacing w:val="0"/>
          <w:sz w:val="28"/>
          <w:szCs w:val="28"/>
          <w:rtl/>
          <w:lang w:eastAsia="he-IL"/>
        </w:rPr>
        <w:t>לחוק</w:t>
      </w:r>
      <w:r w:rsidRPr="002E1B97">
        <w:rPr>
          <w:rFonts w:ascii="Times New Roman" w:eastAsia="Times New Roman" w:hAnsi="Times New Roman" w:cs="David" w:hint="cs"/>
          <w:b/>
          <w:spacing w:val="0"/>
          <w:sz w:val="28"/>
          <w:szCs w:val="28"/>
          <w:rtl/>
          <w:lang w:eastAsia="he-IL"/>
        </w:rPr>
        <w:t>,</w:t>
      </w:r>
      <w:r w:rsidRPr="002E1B97">
        <w:rPr>
          <w:rFonts w:ascii="Times New Roman" w:eastAsia="Times New Roman" w:hAnsi="Times New Roman" w:cs="David"/>
          <w:b/>
          <w:spacing w:val="0"/>
          <w:sz w:val="28"/>
          <w:szCs w:val="28"/>
          <w:rtl/>
          <w:lang w:eastAsia="he-IL"/>
        </w:rPr>
        <w:t xml:space="preserve"> יוכל</w:t>
      </w:r>
      <w:r w:rsidRPr="002E1B97">
        <w:rPr>
          <w:rFonts w:ascii="Times New Roman" w:eastAsia="Times New Roman" w:hAnsi="Times New Roman" w:cs="David" w:hint="cs"/>
          <w:b/>
          <w:spacing w:val="0"/>
          <w:sz w:val="28"/>
          <w:szCs w:val="28"/>
          <w:rtl/>
          <w:lang w:eastAsia="he-IL"/>
        </w:rPr>
        <w:t>ו</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אף לאחר התקופה האמורה</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 xml:space="preserve">לבקש מחיקה כאמור, בכל עת באותו אופן שבו יוכלו תושבים שהסכימו לשמירת טביעות האצבע במאגר מיום התחילה לבקש מחיקה; תיחום הזמנים לתקופה של שנה וחצי כאמור, הינו לעניין הוראת סעיף 21(ב)(1) לחוק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עד לתום התקופה האמורה, לא תוכלנה משטרת ישראל, המשטרה הצבאית ורשויות הביטחון לקבל מידע מהמאגר הביומטרי.</w:t>
      </w:r>
    </w:p>
    <w:p w:rsidR="00032717" w:rsidRPr="002E1B97" w:rsidRDefault="00032717" w:rsidP="0003271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032717" w:rsidRPr="002E1B97" w:rsidRDefault="00032717" w:rsidP="0003271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032717" w:rsidRPr="002E1B97" w:rsidRDefault="00032717" w:rsidP="0003271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032717" w:rsidRPr="002E1B97" w:rsidRDefault="00032717" w:rsidP="0003271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032717" w:rsidRPr="002E1B97" w:rsidRDefault="00032717" w:rsidP="0003271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032717" w:rsidRPr="002E1B97" w:rsidRDefault="00032717" w:rsidP="0003271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032717" w:rsidRPr="002E1B97" w:rsidRDefault="00032717" w:rsidP="0003271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032717" w:rsidRPr="000C444E" w:rsidRDefault="00032717" w:rsidP="00032717">
      <w:pPr>
        <w:widowControl/>
        <w:autoSpaceDE/>
        <w:autoSpaceDN/>
        <w:adjustRightInd/>
        <w:spacing w:before="0" w:line="240" w:lineRule="auto"/>
        <w:ind w:firstLine="0"/>
        <w:jc w:val="left"/>
        <w:textAlignment w:val="auto"/>
        <w:rPr>
          <w:sz w:val="28"/>
          <w:szCs w:val="28"/>
          <w:rtl/>
        </w:rPr>
      </w:pPr>
    </w:p>
    <w:p w:rsidR="0011718F" w:rsidRDefault="0011718F">
      <w:bookmarkStart w:id="0" w:name="_GoBack"/>
      <w:bookmarkEnd w:id="0"/>
    </w:p>
    <w:sectPr w:rsidR="0011718F" w:rsidSect="00A6268B">
      <w:footerReference w:type="even" r:id="rId6"/>
      <w:footerReference w:type="default" r:id="rId7"/>
      <w:pgSz w:w="11907" w:h="16840" w:code="9"/>
      <w:pgMar w:top="1134" w:right="1134" w:bottom="0"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4E95">
      <w:pPr>
        <w:spacing w:before="0" w:line="240" w:lineRule="auto"/>
      </w:pPr>
      <w:r>
        <w:separator/>
      </w:r>
    </w:p>
  </w:endnote>
  <w:endnote w:type="continuationSeparator" w:id="0">
    <w:p w:rsidR="00000000" w:rsidRDefault="00834E9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C0E" w:rsidRDefault="00834E95" w:rsidP="002213BB">
    <w:pPr>
      <w:pStyle w:val="a3"/>
      <w:framePr w:wrap="around" w:vAnchor="text" w:hAnchor="text" w:xAlign="center" w:y="1"/>
      <w:rPr>
        <w:rStyle w:val="a5"/>
      </w:rPr>
    </w:pPr>
    <w:r>
      <w:rPr>
        <w:rStyle w:val="a5"/>
        <w:rtl/>
      </w:rPr>
      <w:fldChar w:fldCharType="begin"/>
    </w:r>
    <w:r>
      <w:rPr>
        <w:rStyle w:val="a5"/>
      </w:rPr>
      <w:instrText xml:space="preserve">PAGE  </w:instrText>
    </w:r>
    <w:r>
      <w:rPr>
        <w:rStyle w:val="a5"/>
        <w:rtl/>
      </w:rPr>
      <w:fldChar w:fldCharType="end"/>
    </w:r>
  </w:p>
  <w:p w:rsidR="00966C0E" w:rsidRDefault="00834E9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C0E" w:rsidRPr="006D751F" w:rsidRDefault="00834E95" w:rsidP="002213BB">
    <w:pPr>
      <w:pStyle w:val="a3"/>
      <w:framePr w:wrap="around" w:vAnchor="text" w:hAnchor="text" w:xAlign="center" w:y="1"/>
      <w:rPr>
        <w:rStyle w:val="a5"/>
        <w:rFonts w:cs="David"/>
        <w:sz w:val="26"/>
        <w:szCs w:val="26"/>
      </w:rPr>
    </w:pPr>
    <w:r w:rsidRPr="006D751F">
      <w:rPr>
        <w:rStyle w:val="a5"/>
        <w:rFonts w:cs="David"/>
        <w:sz w:val="26"/>
        <w:szCs w:val="26"/>
        <w:rtl/>
      </w:rPr>
      <w:fldChar w:fldCharType="begin"/>
    </w:r>
    <w:r w:rsidRPr="006D751F">
      <w:rPr>
        <w:rStyle w:val="a5"/>
        <w:rFonts w:cs="David"/>
        <w:sz w:val="26"/>
        <w:szCs w:val="26"/>
      </w:rPr>
      <w:instrText xml:space="preserve">PAGE  </w:instrText>
    </w:r>
    <w:r w:rsidRPr="006D751F">
      <w:rPr>
        <w:rStyle w:val="a5"/>
        <w:rFonts w:cs="David"/>
        <w:sz w:val="26"/>
        <w:szCs w:val="26"/>
        <w:rtl/>
      </w:rPr>
      <w:fldChar w:fldCharType="separate"/>
    </w:r>
    <w:r>
      <w:rPr>
        <w:rStyle w:val="a5"/>
        <w:rFonts w:cs="David"/>
        <w:noProof/>
        <w:sz w:val="26"/>
        <w:szCs w:val="26"/>
        <w:rtl/>
      </w:rPr>
      <w:t>6</w:t>
    </w:r>
    <w:r w:rsidRPr="006D751F">
      <w:rPr>
        <w:rStyle w:val="a5"/>
        <w:rFonts w:cs="David"/>
        <w:sz w:val="26"/>
        <w:szCs w:val="26"/>
        <w:rtl/>
      </w:rPr>
      <w:fldChar w:fldCharType="end"/>
    </w:r>
  </w:p>
  <w:p w:rsidR="00966C0E" w:rsidRDefault="00834E9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4E95">
      <w:pPr>
        <w:spacing w:before="0" w:line="240" w:lineRule="auto"/>
      </w:pPr>
      <w:r>
        <w:separator/>
      </w:r>
    </w:p>
  </w:footnote>
  <w:footnote w:type="continuationSeparator" w:id="0">
    <w:p w:rsidR="00000000" w:rsidRDefault="00834E95">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717"/>
    <w:rsid w:val="00032717"/>
    <w:rsid w:val="0011718F"/>
    <w:rsid w:val="00484483"/>
    <w:rsid w:val="00834E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717EBD-3C4F-446F-8165-EA369A50B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271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032717"/>
    <w:pPr>
      <w:tabs>
        <w:tab w:val="center" w:pos="4153"/>
        <w:tab w:val="right" w:pos="8306"/>
      </w:tabs>
    </w:pPr>
  </w:style>
  <w:style w:type="character" w:customStyle="1" w:styleId="a4">
    <w:name w:val="כותרת תחתונה תו"/>
    <w:basedOn w:val="a0"/>
    <w:link w:val="a3"/>
    <w:rsid w:val="00032717"/>
    <w:rPr>
      <w:rFonts w:ascii="Hadasa Roso SL" w:eastAsia="MS Mincho" w:hAnsi="Hadasa Roso SL" w:cs="Hadasa Roso SL"/>
      <w:color w:val="000000"/>
      <w:spacing w:val="1"/>
      <w:sz w:val="17"/>
      <w:szCs w:val="17"/>
      <w:lang w:eastAsia="ja-JP"/>
    </w:rPr>
  </w:style>
  <w:style w:type="character" w:styleId="a5">
    <w:name w:val="page number"/>
    <w:basedOn w:val="a0"/>
    <w:rsid w:val="00032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9D7B1A-46E1-4D8F-9EAC-62F12F2BF358}"/>
</file>

<file path=customXml/itemProps2.xml><?xml version="1.0" encoding="utf-8"?>
<ds:datastoreItem xmlns:ds="http://schemas.openxmlformats.org/officeDocument/2006/customXml" ds:itemID="{42EE8671-BEF8-4E20-A60B-0B5717E66AAF}"/>
</file>

<file path=customXml/itemProps3.xml><?xml version="1.0" encoding="utf-8"?>
<ds:datastoreItem xmlns:ds="http://schemas.openxmlformats.org/officeDocument/2006/customXml" ds:itemID="{F96F49C0-8ECA-425E-87B2-FE5BA6A8DFB7}"/>
</file>

<file path=docProps/app.xml><?xml version="1.0" encoding="utf-8"?>
<Properties xmlns="http://schemas.openxmlformats.org/officeDocument/2006/extended-properties" xmlns:vt="http://schemas.openxmlformats.org/officeDocument/2006/docPropsVTypes">
  <Template>Normal</Template>
  <TotalTime>1</TotalTime>
  <Pages>6</Pages>
  <Words>1875</Words>
  <Characters>9380</Characters>
  <Application>Microsoft Office Word</Application>
  <DocSecurity>4</DocSecurity>
  <Lines>78</Lines>
  <Paragraphs>22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עירית ויסבלום</dc:creator>
  <cp:lastModifiedBy>נוגה יוסף</cp:lastModifiedBy>
  <cp:revision>2</cp:revision>
  <dcterms:created xsi:type="dcterms:W3CDTF">2017-03-21T07:33:00Z</dcterms:created>
  <dcterms:modified xsi:type="dcterms:W3CDTF">2017-03-21T07:33:00Z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2015952</vt:r8>
  </property>
</Properties>
</file>