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437" w:rsidRPr="00BC57EA" w:rsidRDefault="00421437" w:rsidP="00867571">
      <w:pPr>
        <w:spacing w:line="360" w:lineRule="auto"/>
        <w:rPr>
          <w:rFonts w:asciiTheme="majorBidi" w:hAnsiTheme="majorBidi" w:cstheme="majorBidi"/>
          <w:sz w:val="24"/>
          <w:szCs w:val="24"/>
        </w:rPr>
      </w:pPr>
    </w:p>
    <w:p w:rsidR="00886E23" w:rsidRPr="00BC57EA" w:rsidRDefault="0074606A" w:rsidP="00886E23">
      <w:pPr>
        <w:spacing w:line="360" w:lineRule="auto"/>
        <w:jc w:val="right"/>
        <w:rPr>
          <w:rFonts w:ascii="David" w:hAnsi="David" w:cs="David"/>
          <w:sz w:val="24"/>
          <w:szCs w:val="24"/>
          <w:rtl/>
        </w:rPr>
      </w:pPr>
      <w:r>
        <w:rPr>
          <w:rFonts w:ascii="David" w:hAnsi="David" w:cs="David" w:hint="cs"/>
          <w:sz w:val="24"/>
          <w:szCs w:val="24"/>
          <w:rtl/>
        </w:rPr>
        <w:t>28.3.2017</w:t>
      </w:r>
    </w:p>
    <w:p w:rsidR="00E70FFA" w:rsidRPr="00BC57EA" w:rsidRDefault="00E70FFA" w:rsidP="00E70FFA">
      <w:pPr>
        <w:spacing w:line="360" w:lineRule="auto"/>
        <w:jc w:val="center"/>
        <w:rPr>
          <w:rFonts w:ascii="David" w:hAnsi="David" w:cs="David"/>
          <w:b/>
          <w:bCs/>
          <w:sz w:val="24"/>
          <w:szCs w:val="24"/>
          <w:rtl/>
        </w:rPr>
      </w:pPr>
    </w:p>
    <w:p w:rsidR="00E70FFA" w:rsidRPr="00BC57EA" w:rsidRDefault="00E70FFA" w:rsidP="00867571">
      <w:pPr>
        <w:spacing w:line="360" w:lineRule="auto"/>
        <w:rPr>
          <w:rFonts w:ascii="David" w:hAnsi="David" w:cs="David"/>
          <w:sz w:val="24"/>
          <w:szCs w:val="24"/>
          <w:rtl/>
        </w:rPr>
      </w:pPr>
    </w:p>
    <w:p w:rsidR="00C17D96" w:rsidRPr="00BC57EA" w:rsidRDefault="00C17D96" w:rsidP="00867571">
      <w:pPr>
        <w:spacing w:line="360" w:lineRule="auto"/>
        <w:rPr>
          <w:rFonts w:ascii="David" w:hAnsi="David" w:cs="David"/>
          <w:sz w:val="24"/>
          <w:szCs w:val="24"/>
        </w:rPr>
      </w:pPr>
      <w:r w:rsidRPr="00BC57EA">
        <w:rPr>
          <w:rFonts w:ascii="David" w:hAnsi="David" w:cs="David" w:hint="cs"/>
          <w:sz w:val="24"/>
          <w:szCs w:val="24"/>
          <w:rtl/>
        </w:rPr>
        <w:t>לכבוד</w:t>
      </w:r>
      <w:bookmarkStart w:id="0" w:name="_GoBack"/>
      <w:bookmarkEnd w:id="0"/>
    </w:p>
    <w:p w:rsidR="00B67539" w:rsidRPr="00BC57EA" w:rsidRDefault="00B67539" w:rsidP="00867571">
      <w:pPr>
        <w:spacing w:line="360" w:lineRule="auto"/>
        <w:rPr>
          <w:rFonts w:ascii="David" w:hAnsi="David" w:cs="David"/>
          <w:sz w:val="24"/>
          <w:szCs w:val="24"/>
          <w:rtl/>
        </w:rPr>
      </w:pPr>
      <w:r w:rsidRPr="00BC57EA">
        <w:rPr>
          <w:rFonts w:ascii="David" w:hAnsi="David" w:cs="David" w:hint="cs"/>
          <w:sz w:val="24"/>
          <w:szCs w:val="24"/>
          <w:rtl/>
        </w:rPr>
        <w:t>גב' רחל עזריה</w:t>
      </w:r>
      <w:r w:rsidR="00642D1B">
        <w:rPr>
          <w:rFonts w:ascii="David" w:hAnsi="David" w:cs="David" w:hint="cs"/>
          <w:sz w:val="24"/>
          <w:szCs w:val="24"/>
          <w:rtl/>
        </w:rPr>
        <w:t>, ח"כ</w:t>
      </w:r>
    </w:p>
    <w:p w:rsidR="00311E18" w:rsidRPr="00BC57EA" w:rsidRDefault="00B67539" w:rsidP="00867571">
      <w:pPr>
        <w:spacing w:line="360" w:lineRule="auto"/>
        <w:rPr>
          <w:rFonts w:ascii="David" w:hAnsi="David" w:cs="David"/>
          <w:sz w:val="24"/>
          <w:szCs w:val="24"/>
          <w:rtl/>
        </w:rPr>
      </w:pPr>
      <w:r w:rsidRPr="00BC57EA">
        <w:rPr>
          <w:rFonts w:ascii="David" w:hAnsi="David" w:cs="David" w:hint="cs"/>
          <w:sz w:val="24"/>
          <w:szCs w:val="24"/>
          <w:rtl/>
        </w:rPr>
        <w:t xml:space="preserve">יו"ר </w:t>
      </w:r>
      <w:r w:rsidR="00B04E42" w:rsidRPr="00BC57EA">
        <w:rPr>
          <w:rFonts w:ascii="David" w:hAnsi="David" w:cs="David" w:hint="cs"/>
          <w:sz w:val="24"/>
          <w:szCs w:val="24"/>
          <w:rtl/>
        </w:rPr>
        <w:t>ועדת הרפורמות</w:t>
      </w:r>
    </w:p>
    <w:p w:rsidR="00311E18" w:rsidRPr="00BC57EA" w:rsidRDefault="00B04E42" w:rsidP="00867571">
      <w:pPr>
        <w:spacing w:line="360" w:lineRule="auto"/>
        <w:rPr>
          <w:rFonts w:ascii="David" w:hAnsi="David" w:cs="David"/>
          <w:sz w:val="24"/>
          <w:szCs w:val="24"/>
          <w:u w:val="single"/>
          <w:rtl/>
        </w:rPr>
      </w:pPr>
      <w:r w:rsidRPr="00BC57EA">
        <w:rPr>
          <w:rFonts w:ascii="David" w:hAnsi="David" w:cs="David" w:hint="cs"/>
          <w:sz w:val="24"/>
          <w:szCs w:val="24"/>
          <w:u w:val="single"/>
          <w:rtl/>
        </w:rPr>
        <w:t>כנסת</w:t>
      </w:r>
    </w:p>
    <w:p w:rsidR="00421437" w:rsidRPr="00BC57EA" w:rsidRDefault="00421437" w:rsidP="00867571">
      <w:pPr>
        <w:spacing w:line="360" w:lineRule="auto"/>
        <w:jc w:val="both"/>
        <w:rPr>
          <w:rFonts w:ascii="David" w:hAnsi="David" w:cs="David"/>
          <w:sz w:val="24"/>
          <w:szCs w:val="24"/>
          <w:rtl/>
        </w:rPr>
      </w:pPr>
    </w:p>
    <w:p w:rsidR="00421437" w:rsidRPr="00BC57EA" w:rsidRDefault="00421437" w:rsidP="00C17D96">
      <w:pPr>
        <w:spacing w:line="360" w:lineRule="auto"/>
        <w:jc w:val="center"/>
        <w:rPr>
          <w:rFonts w:ascii="David" w:hAnsi="David" w:cs="David"/>
          <w:b/>
          <w:bCs/>
          <w:sz w:val="24"/>
          <w:szCs w:val="24"/>
          <w:u w:val="single"/>
          <w:rtl/>
        </w:rPr>
      </w:pPr>
      <w:r w:rsidRPr="00BC57EA">
        <w:rPr>
          <w:rFonts w:ascii="David" w:hAnsi="David" w:cs="David" w:hint="cs"/>
          <w:sz w:val="24"/>
          <w:szCs w:val="24"/>
          <w:rtl/>
        </w:rPr>
        <w:t xml:space="preserve">הנדון: </w:t>
      </w:r>
      <w:r w:rsidR="00B04E42" w:rsidRPr="00BC57EA">
        <w:rPr>
          <w:rFonts w:ascii="David" w:hAnsi="David" w:cs="David" w:hint="cs"/>
          <w:b/>
          <w:bCs/>
          <w:sz w:val="24"/>
          <w:szCs w:val="24"/>
          <w:u w:val="single"/>
          <w:rtl/>
        </w:rPr>
        <w:t xml:space="preserve">הצעת </w:t>
      </w:r>
      <w:r w:rsidRPr="00BC57EA">
        <w:rPr>
          <w:rFonts w:ascii="David" w:hAnsi="David" w:cs="David" w:hint="cs"/>
          <w:b/>
          <w:bCs/>
          <w:sz w:val="24"/>
          <w:szCs w:val="24"/>
          <w:u w:val="single"/>
          <w:rtl/>
        </w:rPr>
        <w:t>חוק הפיקוח על שירותים פיננסיים (שירותים פיננסיים מוסדרים)(תיקון מס'</w:t>
      </w:r>
      <w:r w:rsidR="00B04E42" w:rsidRPr="00BC57EA">
        <w:rPr>
          <w:rFonts w:ascii="David" w:hAnsi="David" w:cs="David" w:hint="cs"/>
          <w:b/>
          <w:bCs/>
          <w:sz w:val="24"/>
          <w:szCs w:val="24"/>
          <w:u w:val="single"/>
          <w:rtl/>
        </w:rPr>
        <w:t xml:space="preserve"> 4) (הפעלת מערכת </w:t>
      </w:r>
      <w:r w:rsidRPr="00BC57EA">
        <w:rPr>
          <w:rFonts w:ascii="David" w:hAnsi="David" w:cs="David" w:hint="cs"/>
          <w:b/>
          <w:bCs/>
          <w:sz w:val="24"/>
          <w:szCs w:val="24"/>
          <w:u w:val="single"/>
          <w:rtl/>
        </w:rPr>
        <w:t>לתיווך באשראי), התשע"ז-2017</w:t>
      </w:r>
    </w:p>
    <w:p w:rsidR="00421437" w:rsidRPr="00BC57EA" w:rsidRDefault="00421437" w:rsidP="00867571">
      <w:pPr>
        <w:spacing w:line="360" w:lineRule="auto"/>
        <w:jc w:val="both"/>
        <w:rPr>
          <w:rFonts w:ascii="David" w:hAnsi="David" w:cs="David"/>
          <w:b/>
          <w:bCs/>
          <w:sz w:val="24"/>
          <w:szCs w:val="24"/>
          <w:u w:val="single"/>
          <w:rtl/>
        </w:rPr>
      </w:pPr>
    </w:p>
    <w:p w:rsidR="00845EAF" w:rsidRPr="00BC57EA" w:rsidRDefault="00845EAF" w:rsidP="00867571">
      <w:pPr>
        <w:spacing w:line="360" w:lineRule="auto"/>
        <w:jc w:val="both"/>
        <w:rPr>
          <w:rFonts w:ascii="David" w:hAnsi="David" w:cs="David"/>
          <w:sz w:val="24"/>
          <w:szCs w:val="24"/>
          <w:rtl/>
        </w:rPr>
      </w:pPr>
      <w:r w:rsidRPr="00BC57EA">
        <w:rPr>
          <w:rFonts w:ascii="David" w:hAnsi="David" w:cs="David"/>
          <w:sz w:val="24"/>
          <w:szCs w:val="24"/>
          <w:rtl/>
        </w:rPr>
        <w:tab/>
      </w:r>
      <w:r w:rsidRPr="00BC57EA">
        <w:rPr>
          <w:rFonts w:ascii="David" w:hAnsi="David" w:cs="David" w:hint="cs"/>
          <w:sz w:val="24"/>
          <w:szCs w:val="24"/>
          <w:rtl/>
        </w:rPr>
        <w:t xml:space="preserve">חברת טריא </w:t>
      </w:r>
      <w:r w:rsidR="00867571" w:rsidRPr="00BC57EA">
        <w:rPr>
          <w:rFonts w:ascii="David" w:hAnsi="David" w:cs="David" w:hint="cs"/>
          <w:sz w:val="24"/>
          <w:szCs w:val="24"/>
          <w:rtl/>
        </w:rPr>
        <w:t xml:space="preserve">פי2פי בע"מ </w:t>
      </w:r>
      <w:r w:rsidR="007C6CEE" w:rsidRPr="00BC57EA">
        <w:rPr>
          <w:rFonts w:ascii="David" w:hAnsi="David" w:cs="David" w:hint="cs"/>
          <w:sz w:val="24"/>
          <w:szCs w:val="24"/>
          <w:rtl/>
        </w:rPr>
        <w:t xml:space="preserve">מברכת על פרסום הצעת </w:t>
      </w:r>
      <w:r w:rsidRPr="00BC57EA">
        <w:rPr>
          <w:rFonts w:ascii="David" w:hAnsi="David" w:cs="David" w:hint="cs"/>
          <w:sz w:val="24"/>
          <w:szCs w:val="24"/>
          <w:rtl/>
        </w:rPr>
        <w:t xml:space="preserve">החוק שבנדון. הכנסת הפלטפורמות תחת רגולציה היא צעד מבורך, אשר להערכתנו מהווה את אחד מהצעדים החשובים ביותר שנעשו בשנים האחרונות בשוק האשראי הקמעונאי.   </w:t>
      </w:r>
    </w:p>
    <w:p w:rsidR="00845EAF" w:rsidRPr="00BC57EA" w:rsidRDefault="00845EAF" w:rsidP="00867571">
      <w:pPr>
        <w:spacing w:line="360" w:lineRule="auto"/>
        <w:ind w:firstLine="720"/>
        <w:jc w:val="both"/>
        <w:rPr>
          <w:rFonts w:ascii="David" w:hAnsi="David" w:cs="David"/>
          <w:sz w:val="24"/>
          <w:szCs w:val="24"/>
          <w:rtl/>
        </w:rPr>
      </w:pPr>
      <w:r w:rsidRPr="00BC57EA">
        <w:rPr>
          <w:rFonts w:ascii="David" w:hAnsi="David" w:cs="David" w:hint="cs"/>
          <w:sz w:val="24"/>
          <w:szCs w:val="24"/>
          <w:rtl/>
        </w:rPr>
        <w:t xml:space="preserve">בטרם נדון בסעיפי </w:t>
      </w:r>
      <w:r w:rsidR="00B67539" w:rsidRPr="00BC57EA">
        <w:rPr>
          <w:rFonts w:ascii="David" w:hAnsi="David" w:cs="David" w:hint="cs"/>
          <w:sz w:val="24"/>
          <w:szCs w:val="24"/>
          <w:rtl/>
        </w:rPr>
        <w:t>הצעת החוק</w:t>
      </w:r>
      <w:r w:rsidRPr="00BC57EA">
        <w:rPr>
          <w:rFonts w:ascii="David" w:hAnsi="David" w:cs="David" w:hint="cs"/>
          <w:sz w:val="24"/>
          <w:szCs w:val="24"/>
          <w:rtl/>
        </w:rPr>
        <w:t xml:space="preserve"> כסדרם נבקש להדגיש מספר הערות מרכזיות שחייבות להערכתנו לקבל מענה, על מנת </w:t>
      </w:r>
      <w:r w:rsidR="002B4309" w:rsidRPr="00BC57EA">
        <w:rPr>
          <w:rFonts w:ascii="David" w:hAnsi="David" w:cs="David" w:hint="cs"/>
          <w:sz w:val="24"/>
          <w:szCs w:val="24"/>
          <w:rtl/>
        </w:rPr>
        <w:t>ש</w:t>
      </w:r>
      <w:r w:rsidRPr="00BC57EA">
        <w:rPr>
          <w:rFonts w:ascii="David" w:hAnsi="David" w:cs="David" w:hint="cs"/>
          <w:sz w:val="24"/>
          <w:szCs w:val="24"/>
          <w:rtl/>
        </w:rPr>
        <w:t>המהפכה שצפויה בעקבות החקיקה תתממש במלואה</w:t>
      </w:r>
      <w:r w:rsidRPr="00BC57EA">
        <w:rPr>
          <w:rFonts w:ascii="David" w:hAnsi="David" w:cs="David"/>
          <w:sz w:val="24"/>
          <w:szCs w:val="24"/>
        </w:rPr>
        <w:t>:</w:t>
      </w:r>
      <w:r w:rsidR="00075AB9" w:rsidRPr="00BC57EA">
        <w:rPr>
          <w:rFonts w:ascii="David" w:hAnsi="David" w:cs="David" w:hint="cs"/>
          <w:sz w:val="24"/>
          <w:szCs w:val="24"/>
          <w:rtl/>
        </w:rPr>
        <w:t xml:space="preserve"> </w:t>
      </w:r>
    </w:p>
    <w:p w:rsidR="002B4309" w:rsidRPr="00BC57EA" w:rsidRDefault="002B4309" w:rsidP="00867571">
      <w:pPr>
        <w:spacing w:line="360" w:lineRule="auto"/>
        <w:jc w:val="both"/>
        <w:rPr>
          <w:rFonts w:ascii="David" w:hAnsi="David" w:cs="David"/>
          <w:sz w:val="24"/>
          <w:szCs w:val="24"/>
          <w:rtl/>
        </w:rPr>
      </w:pPr>
      <w:r w:rsidRPr="00BC57EA">
        <w:rPr>
          <w:rFonts w:ascii="David" w:hAnsi="David" w:cs="David" w:hint="cs"/>
          <w:sz w:val="24"/>
          <w:szCs w:val="24"/>
          <w:rtl/>
        </w:rPr>
        <w:t>1.</w:t>
      </w:r>
      <w:r w:rsidRPr="00BC57EA">
        <w:rPr>
          <w:rFonts w:ascii="David" w:hAnsi="David" w:cs="David" w:hint="cs"/>
          <w:sz w:val="24"/>
          <w:szCs w:val="24"/>
          <w:rtl/>
        </w:rPr>
        <w:tab/>
      </w:r>
      <w:r w:rsidRPr="00BC57EA">
        <w:rPr>
          <w:rFonts w:ascii="David" w:hAnsi="David" w:cs="David" w:hint="cs"/>
          <w:sz w:val="24"/>
          <w:szCs w:val="24"/>
          <w:u w:val="single"/>
          <w:rtl/>
        </w:rPr>
        <w:t>התפעול הבנקאי</w:t>
      </w:r>
      <w:r w:rsidRPr="00BC57EA">
        <w:rPr>
          <w:rFonts w:ascii="David" w:hAnsi="David" w:cs="David" w:hint="cs"/>
          <w:sz w:val="24"/>
          <w:szCs w:val="24"/>
          <w:rtl/>
        </w:rPr>
        <w:t xml:space="preserve"> -  פלטפורמות לתיווך אשראי תלויות באופן מוחלט במערכת הבנקאית, שכן הבנק שולט בכל העברה כספית שמבוצעת על ידי הפלטפורמה בחשבון הנאמנות. לצערנו, קצב הגידול המרשים בשנים האחרונות של טריא נמצא בהתאמה מלאה למספר הקשיים שמערים הבנק בו מתנהל החשבון. כל עיכוב בהעברת כספים, בין אם העברת הכסף ללווה או למלווה, מהווה</w:t>
      </w:r>
      <w:r w:rsidR="00867571" w:rsidRPr="00BC57EA">
        <w:rPr>
          <w:rFonts w:ascii="David" w:hAnsi="David" w:cs="David" w:hint="cs"/>
          <w:sz w:val="24"/>
          <w:szCs w:val="24"/>
          <w:rtl/>
        </w:rPr>
        <w:t>, בין היתר,</w:t>
      </w:r>
      <w:r w:rsidRPr="00BC57EA">
        <w:rPr>
          <w:rFonts w:ascii="David" w:hAnsi="David" w:cs="David" w:hint="cs"/>
          <w:sz w:val="24"/>
          <w:szCs w:val="24"/>
          <w:rtl/>
        </w:rPr>
        <w:t xml:space="preserve"> פגיעה אנושה באמון הלקוחות בפלטפורמות.  טריא פנתה מספר פעמים לפיקוח על הבנקים לשם הסדרת הנושא, אך לצערנו, נותרנו ללא מענה. בסיטואציה זו אנו סבורים שהמחוקק חייב לומר את דברו, </w:t>
      </w:r>
      <w:r w:rsidR="00FC5AFB" w:rsidRPr="00BC57EA">
        <w:rPr>
          <w:rFonts w:ascii="David" w:hAnsi="David" w:cs="David" w:hint="cs"/>
          <w:sz w:val="24"/>
          <w:szCs w:val="24"/>
          <w:rtl/>
        </w:rPr>
        <w:t xml:space="preserve">ולצורך מניעת הפגיעה בתחרות, </w:t>
      </w:r>
      <w:r w:rsidRPr="00BC57EA">
        <w:rPr>
          <w:rFonts w:ascii="David" w:hAnsi="David" w:cs="David" w:hint="cs"/>
          <w:sz w:val="24"/>
          <w:szCs w:val="24"/>
          <w:rtl/>
        </w:rPr>
        <w:t>לאפשר ל</w:t>
      </w:r>
      <w:r w:rsidR="00867571" w:rsidRPr="00BC57EA">
        <w:rPr>
          <w:rFonts w:ascii="David" w:hAnsi="David" w:cs="David" w:hint="cs"/>
          <w:sz w:val="24"/>
          <w:szCs w:val="24"/>
          <w:rtl/>
        </w:rPr>
        <w:t>ממונה על שוק ההון</w:t>
      </w:r>
      <w:r w:rsidRPr="00BC57EA">
        <w:rPr>
          <w:rFonts w:ascii="David" w:hAnsi="David" w:cs="David" w:hint="cs"/>
          <w:sz w:val="24"/>
          <w:szCs w:val="24"/>
          <w:rtl/>
        </w:rPr>
        <w:t xml:space="preserve"> לתת הוראות </w:t>
      </w:r>
      <w:r w:rsidR="00FC5AFB" w:rsidRPr="00BC57EA">
        <w:rPr>
          <w:rFonts w:ascii="David" w:hAnsi="David" w:cs="David" w:hint="cs"/>
          <w:sz w:val="24"/>
          <w:szCs w:val="24"/>
          <w:rtl/>
        </w:rPr>
        <w:t xml:space="preserve">המסדירות את דרך ניהול חשבון הנאמנות </w:t>
      </w:r>
      <w:r w:rsidRPr="00BC57EA">
        <w:rPr>
          <w:rFonts w:ascii="David" w:hAnsi="David" w:cs="David" w:hint="cs"/>
          <w:sz w:val="24"/>
          <w:szCs w:val="24"/>
          <w:rtl/>
        </w:rPr>
        <w:t>ובכלל זה קביעה של מסגרת זמנים מחיי</w:t>
      </w:r>
      <w:r w:rsidR="005257AB" w:rsidRPr="00BC57EA">
        <w:rPr>
          <w:rFonts w:ascii="David" w:hAnsi="David" w:cs="David" w:hint="cs"/>
          <w:sz w:val="24"/>
          <w:szCs w:val="24"/>
          <w:rtl/>
        </w:rPr>
        <w:t xml:space="preserve">בת לביצוע הוראות הניתנות במסגרת </w:t>
      </w:r>
      <w:r w:rsidRPr="00BC57EA">
        <w:rPr>
          <w:rFonts w:ascii="David" w:hAnsi="David" w:cs="David" w:hint="cs"/>
          <w:sz w:val="24"/>
          <w:szCs w:val="24"/>
          <w:rtl/>
        </w:rPr>
        <w:t xml:space="preserve">חשבון הנאמנות, </w:t>
      </w:r>
      <w:r w:rsidR="00642D1B">
        <w:rPr>
          <w:rFonts w:ascii="David" w:hAnsi="David" w:cs="David" w:hint="cs"/>
          <w:sz w:val="24"/>
          <w:szCs w:val="24"/>
          <w:rtl/>
        </w:rPr>
        <w:t xml:space="preserve">פיקוח </w:t>
      </w:r>
      <w:r w:rsidR="0084493C">
        <w:rPr>
          <w:rFonts w:ascii="David" w:hAnsi="David" w:cs="David" w:hint="cs"/>
          <w:sz w:val="24"/>
          <w:szCs w:val="24"/>
          <w:rtl/>
        </w:rPr>
        <w:t xml:space="preserve">מחירים </w:t>
      </w:r>
      <w:r w:rsidR="00642D1B">
        <w:rPr>
          <w:rFonts w:ascii="David" w:hAnsi="David" w:cs="David" w:hint="cs"/>
          <w:sz w:val="24"/>
          <w:szCs w:val="24"/>
          <w:rtl/>
        </w:rPr>
        <w:t xml:space="preserve">על עלויות ניהול חשבון הנאמנות, </w:t>
      </w:r>
      <w:r w:rsidRPr="00BC57EA">
        <w:rPr>
          <w:rFonts w:ascii="David" w:hAnsi="David" w:cs="David" w:hint="cs"/>
          <w:sz w:val="24"/>
          <w:szCs w:val="24"/>
          <w:rtl/>
        </w:rPr>
        <w:t>וקביעה של קנסות משמעותיים ביותר בגין הפרה של הוראות אלו.</w:t>
      </w:r>
    </w:p>
    <w:p w:rsidR="002B4309" w:rsidRPr="00BC57EA" w:rsidRDefault="007C6CEE" w:rsidP="007C6CEE">
      <w:pPr>
        <w:spacing w:line="360" w:lineRule="auto"/>
        <w:jc w:val="both"/>
        <w:rPr>
          <w:rFonts w:ascii="David" w:hAnsi="David" w:cs="David"/>
          <w:sz w:val="24"/>
          <w:szCs w:val="24"/>
        </w:rPr>
      </w:pPr>
      <w:r w:rsidRPr="00BC57EA">
        <w:rPr>
          <w:rFonts w:ascii="David" w:hAnsi="David" w:cs="David"/>
          <w:sz w:val="24"/>
          <w:szCs w:val="24"/>
          <w:rtl/>
        </w:rPr>
        <w:tab/>
      </w:r>
      <w:r w:rsidRPr="00BC57EA">
        <w:rPr>
          <w:rFonts w:ascii="David" w:hAnsi="David" w:cs="David" w:hint="cs"/>
          <w:sz w:val="24"/>
          <w:szCs w:val="24"/>
          <w:rtl/>
        </w:rPr>
        <w:t>לצורך הסדרת הנושא באופן ממצה אנו מציעים הוספת סעיף בתזכיר בנוסח הבא:</w:t>
      </w:r>
    </w:p>
    <w:p w:rsidR="00BC57EA" w:rsidRDefault="00BC57EA" w:rsidP="007442B5">
      <w:pPr>
        <w:tabs>
          <w:tab w:val="left" w:pos="900"/>
        </w:tabs>
        <w:jc w:val="both"/>
        <w:rPr>
          <w:rFonts w:ascii="David" w:hAnsi="David" w:cs="David"/>
          <w:sz w:val="24"/>
          <w:szCs w:val="24"/>
        </w:rPr>
      </w:pPr>
    </w:p>
    <w:p w:rsidR="00BC57EA" w:rsidRPr="00BC57EA" w:rsidRDefault="00BC57EA" w:rsidP="00BC57EA">
      <w:pPr>
        <w:tabs>
          <w:tab w:val="left" w:pos="900"/>
        </w:tabs>
        <w:ind w:left="1112" w:right="1530"/>
        <w:jc w:val="both"/>
        <w:rPr>
          <w:rFonts w:ascii="David" w:hAnsi="David" w:cs="David"/>
          <w:b/>
          <w:bCs/>
          <w:sz w:val="24"/>
          <w:szCs w:val="24"/>
          <w:rtl/>
        </w:rPr>
      </w:pPr>
      <w:r w:rsidRPr="00BC57EA">
        <w:rPr>
          <w:rFonts w:ascii="David" w:hAnsi="David" w:cs="David" w:hint="cs"/>
          <w:b/>
          <w:bCs/>
          <w:sz w:val="24"/>
          <w:szCs w:val="24"/>
          <w:rtl/>
        </w:rPr>
        <w:lastRenderedPageBreak/>
        <w:t>ניהול חשבון הנאמנות</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(א)</w:t>
      </w:r>
      <w:r w:rsidRPr="00BC57EA">
        <w:rPr>
          <w:rFonts w:ascii="David" w:hAnsi="David" w:cs="David"/>
          <w:sz w:val="24"/>
          <w:szCs w:val="24"/>
          <w:rtl/>
        </w:rPr>
        <w:tab/>
      </w:r>
      <w:r w:rsidRPr="00BC57EA">
        <w:rPr>
          <w:rFonts w:ascii="David" w:hAnsi="David" w:cs="David" w:hint="cs"/>
          <w:sz w:val="24"/>
          <w:szCs w:val="24"/>
          <w:rtl/>
        </w:rPr>
        <w:t xml:space="preserve">בעל רישיון זכאי לפתוח חשבון בכל בנק; בנק לא יסרב לפתוח חשבון נאמנות לבעל רישיון לתיווך מקוון באשראי (להלן </w:t>
      </w:r>
      <w:r w:rsidRPr="00BC57EA">
        <w:rPr>
          <w:rFonts w:ascii="David" w:hAnsi="David" w:cs="David"/>
          <w:sz w:val="24"/>
          <w:szCs w:val="24"/>
          <w:rtl/>
        </w:rPr>
        <w:t>–</w:t>
      </w:r>
      <w:r w:rsidRPr="00BC57EA">
        <w:rPr>
          <w:rFonts w:ascii="David" w:hAnsi="David" w:cs="David" w:hint="cs"/>
          <w:sz w:val="24"/>
          <w:szCs w:val="24"/>
          <w:rtl/>
        </w:rPr>
        <w:t xml:space="preserve"> בעל רישיון), אלא אם מסר הודעה בכתב לבעל הרישיון שבה נימוקים לסירוב; בנק ישלח העתק מההודעה למפקח על שירותים פיננסים מוסדרים (להלן </w:t>
      </w:r>
      <w:r w:rsidRPr="00BC57EA">
        <w:rPr>
          <w:rFonts w:ascii="David" w:hAnsi="David" w:cs="David"/>
          <w:sz w:val="24"/>
          <w:szCs w:val="24"/>
          <w:rtl/>
        </w:rPr>
        <w:t>–</w:t>
      </w:r>
      <w:r w:rsidRPr="00BC57EA">
        <w:rPr>
          <w:rFonts w:ascii="David" w:hAnsi="David" w:cs="David" w:hint="cs"/>
          <w:sz w:val="24"/>
          <w:szCs w:val="24"/>
          <w:rtl/>
        </w:rPr>
        <w:t xml:space="preserve"> המפקח). </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(ב)</w:t>
      </w:r>
      <w:r w:rsidRPr="00BC57EA">
        <w:rPr>
          <w:rFonts w:ascii="David" w:hAnsi="David" w:cs="David"/>
          <w:sz w:val="24"/>
          <w:szCs w:val="24"/>
          <w:rtl/>
        </w:rPr>
        <w:tab/>
      </w:r>
      <w:r w:rsidRPr="00BC57EA">
        <w:rPr>
          <w:rFonts w:ascii="David" w:hAnsi="David" w:cs="David" w:hint="cs"/>
          <w:sz w:val="24"/>
          <w:szCs w:val="24"/>
          <w:rtl/>
        </w:rPr>
        <w:t xml:space="preserve">המפקח יבחן האם הסירוב הוא סביר </w:t>
      </w:r>
      <w:proofErr w:type="spellStart"/>
      <w:r w:rsidRPr="00BC57EA">
        <w:rPr>
          <w:rFonts w:ascii="David" w:hAnsi="David" w:cs="David" w:hint="cs"/>
          <w:sz w:val="24"/>
          <w:szCs w:val="24"/>
          <w:rtl/>
        </w:rPr>
        <w:t>ויתן</w:t>
      </w:r>
      <w:proofErr w:type="spellEnd"/>
      <w:r w:rsidRPr="00BC57EA">
        <w:rPr>
          <w:rFonts w:ascii="David" w:hAnsi="David" w:cs="David" w:hint="cs"/>
          <w:sz w:val="24"/>
          <w:szCs w:val="24"/>
          <w:rtl/>
        </w:rPr>
        <w:t xml:space="preserve"> החלטתו בהקדם האפשרי; ההחלטה תימסר לבנק, לבעל הרישיון ולמפקח על הבנקים.</w:t>
      </w:r>
      <w:r w:rsidRPr="00BC57EA">
        <w:rPr>
          <w:rFonts w:ascii="David" w:hAnsi="David" w:cs="David"/>
          <w:sz w:val="24"/>
          <w:szCs w:val="24"/>
          <w:rtl/>
        </w:rPr>
        <w:tab/>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(ג)</w:t>
      </w:r>
      <w:r w:rsidRPr="00BC57EA">
        <w:rPr>
          <w:rFonts w:ascii="David" w:hAnsi="David" w:cs="David"/>
          <w:sz w:val="24"/>
          <w:szCs w:val="24"/>
          <w:rtl/>
        </w:rPr>
        <w:tab/>
      </w:r>
      <w:r w:rsidRPr="00BC57EA">
        <w:rPr>
          <w:rFonts w:ascii="David" w:hAnsi="David" w:cs="David" w:hint="cs"/>
          <w:sz w:val="24"/>
          <w:szCs w:val="24"/>
          <w:rtl/>
        </w:rPr>
        <w:t xml:space="preserve">בנק לא יעכב הוראה שניתנה לגבי חשבון נאמנות ( להלן </w:t>
      </w:r>
      <w:r w:rsidRPr="00BC57EA">
        <w:rPr>
          <w:rFonts w:ascii="David" w:hAnsi="David" w:cs="David"/>
          <w:sz w:val="24"/>
          <w:szCs w:val="24"/>
          <w:rtl/>
        </w:rPr>
        <w:t>–</w:t>
      </w:r>
      <w:r w:rsidRPr="00BC57EA">
        <w:rPr>
          <w:rFonts w:ascii="David" w:hAnsi="David" w:cs="David" w:hint="cs"/>
          <w:sz w:val="24"/>
          <w:szCs w:val="24"/>
          <w:rtl/>
        </w:rPr>
        <w:t xml:space="preserve"> הוראה) אלא אם מסר, תוך 48 שעות ממתן ההוראה, הודעה בכתב לבעל הרישיון שבה נימוקים לסירוב; הבנק ישלח העתק מההודעה למפקח על הבנקים.</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(ד)</w:t>
      </w:r>
      <w:r w:rsidRPr="00BC57EA">
        <w:rPr>
          <w:rFonts w:ascii="David" w:hAnsi="David" w:cs="David"/>
          <w:sz w:val="24"/>
          <w:szCs w:val="24"/>
          <w:rtl/>
        </w:rPr>
        <w:tab/>
      </w:r>
      <w:r w:rsidRPr="00BC57EA">
        <w:rPr>
          <w:rFonts w:ascii="David" w:hAnsi="David" w:cs="David" w:hint="cs"/>
          <w:sz w:val="24"/>
          <w:szCs w:val="24"/>
          <w:rtl/>
        </w:rPr>
        <w:t xml:space="preserve">המפקח יבחן האם העיכוב הוא סביר </w:t>
      </w:r>
      <w:proofErr w:type="spellStart"/>
      <w:r w:rsidRPr="00BC57EA">
        <w:rPr>
          <w:rFonts w:ascii="David" w:hAnsi="David" w:cs="David" w:hint="cs"/>
          <w:sz w:val="24"/>
          <w:szCs w:val="24"/>
          <w:rtl/>
        </w:rPr>
        <w:t>ויתן</w:t>
      </w:r>
      <w:proofErr w:type="spellEnd"/>
      <w:r w:rsidRPr="00BC57EA">
        <w:rPr>
          <w:rFonts w:ascii="David" w:hAnsi="David" w:cs="David" w:hint="cs"/>
          <w:sz w:val="24"/>
          <w:szCs w:val="24"/>
          <w:rtl/>
        </w:rPr>
        <w:t xml:space="preserve"> החלטתו תוך 48 שעות מהיום שקיבל את הודעת הבנק; ההחלטה תימסר לבנק, לבעל הרישיון ולמפקח על הבנקים.</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(ה)</w:t>
      </w:r>
      <w:r w:rsidRPr="00BC57EA">
        <w:rPr>
          <w:rFonts w:ascii="David" w:hAnsi="David" w:cs="David"/>
          <w:sz w:val="24"/>
          <w:szCs w:val="24"/>
          <w:rtl/>
        </w:rPr>
        <w:tab/>
      </w:r>
      <w:r w:rsidRPr="00BC57EA">
        <w:rPr>
          <w:rFonts w:ascii="David" w:hAnsi="David" w:cs="David" w:hint="cs"/>
          <w:sz w:val="24"/>
          <w:szCs w:val="24"/>
          <w:rtl/>
        </w:rPr>
        <w:t>בניהול חשבון הנאמנות יהיה בנק פטור מחובות המוטלות עליו לעניין של איסור הלבנת הון, ואיסור הלבנת הון לא יהווה שיקול לפתיחת חשבון או לעיכוב הוראה.</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(ו)</w:t>
      </w:r>
      <w:r w:rsidRPr="00BC57EA">
        <w:rPr>
          <w:rFonts w:ascii="David" w:hAnsi="David" w:cs="David"/>
          <w:sz w:val="24"/>
          <w:szCs w:val="24"/>
          <w:rtl/>
        </w:rPr>
        <w:tab/>
      </w:r>
      <w:r w:rsidRPr="00BC57EA">
        <w:rPr>
          <w:rFonts w:ascii="David" w:hAnsi="David" w:cs="David" w:hint="cs"/>
          <w:sz w:val="24"/>
          <w:szCs w:val="24"/>
          <w:rtl/>
        </w:rPr>
        <w:t>בנק לא יהיה אחראי כלפי הנהנים בחשבון הנאמנות או כלפי לקוחות בעל הרישיון, למעשה או מחדל של בעל הרישיון, ועניין זה לא יהווה שיקול לפתיחת חשבון או  לעיכוב הוראה.</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(ז)</w:t>
      </w:r>
      <w:r w:rsidRPr="00BC57EA">
        <w:rPr>
          <w:rFonts w:ascii="David" w:hAnsi="David" w:cs="David"/>
          <w:sz w:val="24"/>
          <w:szCs w:val="24"/>
          <w:rtl/>
        </w:rPr>
        <w:tab/>
      </w:r>
      <w:r w:rsidRPr="00BC57EA">
        <w:rPr>
          <w:rFonts w:ascii="David" w:hAnsi="David" w:cs="David" w:hint="cs"/>
          <w:sz w:val="24"/>
          <w:szCs w:val="24"/>
          <w:rtl/>
        </w:rPr>
        <w:t xml:space="preserve">ביקש בעל רישיון לפתוח חשבון נאמנות במספר בנקים, ואחד מהבנקים סירב </w:t>
      </w:r>
      <w:r w:rsidRPr="00BC57EA">
        <w:rPr>
          <w:rFonts w:ascii="David" w:hAnsi="David" w:cs="David"/>
          <w:sz w:val="24"/>
          <w:szCs w:val="24"/>
          <w:rtl/>
        </w:rPr>
        <w:t>–</w:t>
      </w:r>
      <w:r w:rsidRPr="00BC57EA">
        <w:rPr>
          <w:rFonts w:ascii="David" w:hAnsi="David" w:cs="David" w:hint="cs"/>
          <w:sz w:val="24"/>
          <w:szCs w:val="24"/>
          <w:rtl/>
        </w:rPr>
        <w:t xml:space="preserve"> ייחשב הדבר לסירוב בלתי סביר.  </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(ח)</w:t>
      </w:r>
      <w:r w:rsidRPr="00BC57EA">
        <w:rPr>
          <w:rFonts w:ascii="David" w:hAnsi="David" w:cs="David"/>
          <w:sz w:val="24"/>
          <w:szCs w:val="24"/>
          <w:rtl/>
        </w:rPr>
        <w:tab/>
      </w:r>
      <w:r w:rsidRPr="00BC57EA">
        <w:rPr>
          <w:rFonts w:ascii="David" w:hAnsi="David" w:cs="David" w:hint="cs"/>
          <w:sz w:val="24"/>
          <w:szCs w:val="24"/>
          <w:rtl/>
        </w:rPr>
        <w:t>בסעיף זה "סירוב" -</w:t>
      </w:r>
      <w:r w:rsidR="00BC57EA">
        <w:rPr>
          <w:rFonts w:ascii="David" w:hAnsi="David" w:cs="David" w:hint="cs"/>
          <w:sz w:val="24"/>
          <w:szCs w:val="24"/>
          <w:rtl/>
        </w:rPr>
        <w:t xml:space="preserve"> </w:t>
      </w:r>
      <w:r w:rsidRPr="00BC57EA">
        <w:rPr>
          <w:rFonts w:ascii="David" w:hAnsi="David" w:cs="David" w:hint="cs"/>
          <w:sz w:val="24"/>
          <w:szCs w:val="24"/>
          <w:rtl/>
        </w:rPr>
        <w:t>לרבות תנאים שדורש הבנק לפתיחת החשבון או לביצוע הוראה אשר אינם מעוגנים במסמכי פתיחת החשבון וניהולו כפי שאושרו על ידי בית הדין לחוזים אחידים.</w:t>
      </w:r>
    </w:p>
    <w:p w:rsidR="007442B5" w:rsidRPr="00BC57EA" w:rsidRDefault="007442B5" w:rsidP="00BC57EA">
      <w:pPr>
        <w:tabs>
          <w:tab w:val="left" w:pos="900"/>
        </w:tabs>
        <w:ind w:left="1112" w:right="1530"/>
        <w:jc w:val="both"/>
        <w:rPr>
          <w:rFonts w:ascii="David" w:hAnsi="David" w:cs="David"/>
          <w:sz w:val="24"/>
          <w:szCs w:val="24"/>
        </w:rPr>
      </w:pPr>
      <w:r w:rsidRPr="00BC57EA">
        <w:rPr>
          <w:rFonts w:ascii="David" w:hAnsi="David" w:cs="David" w:hint="cs"/>
          <w:sz w:val="24"/>
          <w:szCs w:val="24"/>
          <w:rtl/>
        </w:rPr>
        <w:t>(ט)</w:t>
      </w:r>
      <w:r w:rsidRPr="00BC57EA">
        <w:rPr>
          <w:rFonts w:ascii="David" w:hAnsi="David" w:cs="David"/>
          <w:sz w:val="24"/>
          <w:szCs w:val="24"/>
          <w:rtl/>
        </w:rPr>
        <w:tab/>
      </w:r>
      <w:r w:rsidRPr="00BC57EA">
        <w:rPr>
          <w:rFonts w:ascii="David" w:hAnsi="David" w:cs="David" w:hint="cs"/>
          <w:sz w:val="24"/>
          <w:szCs w:val="24"/>
          <w:rtl/>
        </w:rPr>
        <w:t>שר האוצר רשאי לקבוע בצו, מקרים שייחשבו כסירוב בלתי סביר או כעיכוב בלתי סביר.</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(י)</w:t>
      </w:r>
      <w:r w:rsidRPr="00BC57EA">
        <w:rPr>
          <w:rFonts w:ascii="David" w:hAnsi="David" w:cs="David"/>
          <w:sz w:val="24"/>
          <w:szCs w:val="24"/>
          <w:rtl/>
        </w:rPr>
        <w:tab/>
      </w:r>
      <w:r w:rsidRPr="00BC57EA">
        <w:rPr>
          <w:rFonts w:ascii="David" w:hAnsi="David" w:cs="David" w:hint="cs"/>
          <w:sz w:val="24"/>
          <w:szCs w:val="24"/>
          <w:rtl/>
        </w:rPr>
        <w:t>המפקח רשאי</w:t>
      </w:r>
      <w:r w:rsidR="00BC57EA">
        <w:rPr>
          <w:rFonts w:ascii="David" w:hAnsi="David" w:cs="David" w:hint="cs"/>
          <w:sz w:val="24"/>
          <w:szCs w:val="24"/>
          <w:rtl/>
        </w:rPr>
        <w:t>, בהתייעצות עם המפקח על הבנקים,</w:t>
      </w:r>
      <w:r w:rsidRPr="00BC57EA">
        <w:rPr>
          <w:rFonts w:ascii="David" w:hAnsi="David" w:cs="David" w:hint="cs"/>
          <w:sz w:val="24"/>
          <w:szCs w:val="24"/>
          <w:rtl/>
        </w:rPr>
        <w:t xml:space="preserve"> לקבוע את שיעור וסכום העמלות שתאגיד בנקאי רשאי לגבות בשל ניהול חשבון נאמנות.</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(י)</w:t>
      </w:r>
      <w:r w:rsidRPr="00BC57EA">
        <w:rPr>
          <w:rFonts w:ascii="David" w:hAnsi="David" w:cs="David"/>
          <w:sz w:val="24"/>
          <w:szCs w:val="24"/>
          <w:rtl/>
        </w:rPr>
        <w:tab/>
      </w:r>
      <w:r w:rsidRPr="00BC57EA">
        <w:rPr>
          <w:rFonts w:ascii="David" w:hAnsi="David" w:cs="David" w:hint="cs"/>
          <w:sz w:val="24"/>
          <w:szCs w:val="24"/>
          <w:rtl/>
        </w:rPr>
        <w:t>פעל בנק בניגוד להוראות חוק זה, רשאי המפקח להטיל עליו עיצום כספי לפי הוראות פרק זה:</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 xml:space="preserve">לא העביר הודעה בזמן </w:t>
      </w:r>
      <w:r w:rsidRPr="00BC57EA">
        <w:rPr>
          <w:rFonts w:ascii="David" w:hAnsi="David" w:cs="David"/>
          <w:sz w:val="24"/>
          <w:szCs w:val="24"/>
          <w:rtl/>
        </w:rPr>
        <w:t>–</w:t>
      </w:r>
      <w:r w:rsidRPr="00BC57EA">
        <w:rPr>
          <w:rFonts w:ascii="David" w:hAnsi="David" w:cs="David" w:hint="cs"/>
          <w:sz w:val="24"/>
          <w:szCs w:val="24"/>
          <w:rtl/>
        </w:rPr>
        <w:t xml:space="preserve"> 1,000,000 ש"ח</w:t>
      </w:r>
    </w:p>
    <w:p w:rsidR="007442B5" w:rsidRPr="00BC57EA" w:rsidRDefault="007442B5" w:rsidP="00BC57EA">
      <w:pPr>
        <w:tabs>
          <w:tab w:val="left" w:pos="900"/>
        </w:tabs>
        <w:ind w:left="1112" w:right="1530"/>
        <w:jc w:val="both"/>
        <w:rPr>
          <w:rFonts w:ascii="David" w:hAnsi="David" w:cs="David"/>
          <w:sz w:val="24"/>
          <w:szCs w:val="24"/>
          <w:rtl/>
        </w:rPr>
      </w:pPr>
      <w:r w:rsidRPr="00BC57EA">
        <w:rPr>
          <w:rFonts w:ascii="David" w:hAnsi="David" w:cs="David" w:hint="cs"/>
          <w:sz w:val="24"/>
          <w:szCs w:val="24"/>
          <w:rtl/>
        </w:rPr>
        <w:t xml:space="preserve">לא נימק את הסירוב </w:t>
      </w:r>
      <w:r w:rsidRPr="00BC57EA">
        <w:rPr>
          <w:rFonts w:ascii="David" w:hAnsi="David" w:cs="David"/>
          <w:sz w:val="24"/>
          <w:szCs w:val="24"/>
          <w:rtl/>
        </w:rPr>
        <w:t>–</w:t>
      </w:r>
      <w:r w:rsidRPr="00BC57EA">
        <w:rPr>
          <w:rFonts w:ascii="David" w:hAnsi="David" w:cs="David" w:hint="cs"/>
          <w:sz w:val="24"/>
          <w:szCs w:val="24"/>
          <w:rtl/>
        </w:rPr>
        <w:t xml:space="preserve"> 1,000,000 ש"ח</w:t>
      </w:r>
    </w:p>
    <w:p w:rsidR="007442B5" w:rsidRPr="00BC57EA" w:rsidRDefault="007442B5" w:rsidP="00BC57EA">
      <w:pPr>
        <w:tabs>
          <w:tab w:val="left" w:pos="900"/>
        </w:tabs>
        <w:ind w:left="1112" w:right="1530"/>
        <w:jc w:val="both"/>
        <w:rPr>
          <w:rFonts w:ascii="David" w:hAnsi="David" w:cs="David"/>
          <w:sz w:val="24"/>
          <w:szCs w:val="24"/>
        </w:rPr>
      </w:pPr>
      <w:r w:rsidRPr="00BC57EA">
        <w:rPr>
          <w:rFonts w:ascii="David" w:hAnsi="David" w:cs="David" w:hint="cs"/>
          <w:sz w:val="24"/>
          <w:szCs w:val="24"/>
          <w:rtl/>
        </w:rPr>
        <w:t xml:space="preserve">נקבע על ידי המפקח כי סירב סירוב בלתי סביר </w:t>
      </w:r>
      <w:r w:rsidRPr="00BC57EA">
        <w:rPr>
          <w:rFonts w:ascii="David" w:hAnsi="David" w:cs="David"/>
          <w:sz w:val="24"/>
          <w:szCs w:val="24"/>
          <w:rtl/>
        </w:rPr>
        <w:t>–</w:t>
      </w:r>
      <w:r w:rsidRPr="00BC57EA">
        <w:rPr>
          <w:rFonts w:ascii="David" w:hAnsi="David" w:cs="David" w:hint="cs"/>
          <w:sz w:val="24"/>
          <w:szCs w:val="24"/>
          <w:rtl/>
        </w:rPr>
        <w:t xml:space="preserve"> 5,000,000 ש"ח</w:t>
      </w:r>
    </w:p>
    <w:p w:rsidR="007442B5" w:rsidRPr="00BC57EA" w:rsidRDefault="007442B5" w:rsidP="007C6CEE">
      <w:pPr>
        <w:spacing w:line="360" w:lineRule="auto"/>
        <w:jc w:val="both"/>
        <w:rPr>
          <w:rFonts w:ascii="David" w:hAnsi="David" w:cs="David"/>
          <w:sz w:val="24"/>
          <w:szCs w:val="24"/>
          <w:rtl/>
        </w:rPr>
      </w:pPr>
    </w:p>
    <w:p w:rsidR="00867571" w:rsidRPr="00BC57EA" w:rsidRDefault="007C6CEE" w:rsidP="00867571">
      <w:pPr>
        <w:spacing w:line="360" w:lineRule="auto"/>
        <w:jc w:val="both"/>
        <w:rPr>
          <w:rFonts w:ascii="David" w:hAnsi="David" w:cs="David"/>
          <w:sz w:val="24"/>
          <w:szCs w:val="24"/>
          <w:rtl/>
        </w:rPr>
      </w:pPr>
      <w:r w:rsidRPr="00BC57EA">
        <w:rPr>
          <w:rFonts w:ascii="David" w:hAnsi="David" w:cs="David" w:hint="cs"/>
          <w:sz w:val="24"/>
          <w:szCs w:val="24"/>
          <w:rtl/>
        </w:rPr>
        <w:t>2</w:t>
      </w:r>
      <w:r w:rsidR="002B4309" w:rsidRPr="00BC57EA">
        <w:rPr>
          <w:rFonts w:ascii="David" w:hAnsi="David" w:cs="David" w:hint="cs"/>
          <w:sz w:val="24"/>
          <w:szCs w:val="24"/>
          <w:rtl/>
        </w:rPr>
        <w:t>.</w:t>
      </w:r>
      <w:r w:rsidR="002B4309" w:rsidRPr="00BC57EA">
        <w:rPr>
          <w:rFonts w:ascii="David" w:hAnsi="David" w:cs="David" w:hint="cs"/>
          <w:sz w:val="24"/>
          <w:szCs w:val="24"/>
          <w:rtl/>
        </w:rPr>
        <w:tab/>
      </w:r>
      <w:r w:rsidR="002B4309" w:rsidRPr="00BC57EA">
        <w:rPr>
          <w:rFonts w:ascii="David" w:hAnsi="David" w:cs="David" w:hint="cs"/>
          <w:sz w:val="24"/>
          <w:szCs w:val="24"/>
          <w:u w:val="single"/>
          <w:rtl/>
        </w:rPr>
        <w:t>אשראי לעסקים קטנים</w:t>
      </w:r>
      <w:r w:rsidR="002B4309" w:rsidRPr="00BC57EA">
        <w:rPr>
          <w:rFonts w:ascii="David" w:hAnsi="David" w:cs="David" w:hint="cs"/>
          <w:sz w:val="24"/>
          <w:szCs w:val="24"/>
          <w:rtl/>
        </w:rPr>
        <w:t xml:space="preserve"> - לצערנו הרב, הסדרת מתן אשראי לעסקים קטנים</w:t>
      </w:r>
      <w:r w:rsidRPr="00BC57EA">
        <w:rPr>
          <w:rFonts w:ascii="David" w:hAnsi="David" w:cs="David" w:hint="cs"/>
          <w:sz w:val="24"/>
          <w:szCs w:val="24"/>
          <w:rtl/>
        </w:rPr>
        <w:t xml:space="preserve"> (מאוגדים) נותרה מחוץ להצעת</w:t>
      </w:r>
      <w:r w:rsidR="002B4309" w:rsidRPr="00BC57EA">
        <w:rPr>
          <w:rFonts w:ascii="David" w:hAnsi="David" w:cs="David" w:hint="cs"/>
          <w:sz w:val="24"/>
          <w:szCs w:val="24"/>
          <w:rtl/>
        </w:rPr>
        <w:t xml:space="preserve"> החוק. לתפישתנו, כל עוד מדובר בעסק קטן, המבקש הלוואה עסקית בגובה סביר, הרגולציה צריכה להיות דומה לרגולציה על תיווך מקוון באשראי למשקי בית, ובו</w:t>
      </w:r>
      <w:r w:rsidR="00867571" w:rsidRPr="00BC57EA">
        <w:rPr>
          <w:rFonts w:ascii="David" w:hAnsi="David" w:cs="David" w:hint="cs"/>
          <w:sz w:val="24"/>
          <w:szCs w:val="24"/>
          <w:rtl/>
        </w:rPr>
        <w:t xml:space="preserve">ודאי שצריכה להתבצע על ידי אותו </w:t>
      </w:r>
      <w:r w:rsidR="002B4309" w:rsidRPr="00BC57EA">
        <w:rPr>
          <w:rFonts w:ascii="David" w:hAnsi="David" w:cs="David" w:hint="cs"/>
          <w:sz w:val="24"/>
          <w:szCs w:val="24"/>
          <w:rtl/>
        </w:rPr>
        <w:t xml:space="preserve">רגולטור. אין שום היתכנות לכך שפלטפורמה אשר מתווכת באשראי ליחידים תהיה כפופה לרגולטור אחד, ואותה פלטפורמה עצמה, כאשר תתווך באשראי לעסקים קטנים תהיה כפופה לרגולטור אחר; הדבר אינו ניתן לביצוע. </w:t>
      </w:r>
      <w:r w:rsidR="00867571" w:rsidRPr="00BC57EA">
        <w:rPr>
          <w:rFonts w:ascii="David" w:hAnsi="David" w:cs="David" w:hint="cs"/>
          <w:sz w:val="24"/>
          <w:szCs w:val="24"/>
          <w:rtl/>
        </w:rPr>
        <w:t xml:space="preserve"> גם אין זה סביר שבעל הרישיון יקים שתי פלטפורמות ייעודיות, האחת ליחידים והאחרת לעסקים קטנים (מאוגדים).</w:t>
      </w:r>
    </w:p>
    <w:p w:rsidR="00421437" w:rsidRDefault="00867571" w:rsidP="007C6CEE">
      <w:pPr>
        <w:spacing w:line="360" w:lineRule="auto"/>
        <w:jc w:val="both"/>
        <w:rPr>
          <w:rFonts w:ascii="David" w:hAnsi="David" w:cs="David"/>
          <w:sz w:val="24"/>
          <w:szCs w:val="24"/>
          <w:rtl/>
        </w:rPr>
      </w:pPr>
      <w:r w:rsidRPr="00BC57EA">
        <w:rPr>
          <w:rFonts w:ascii="David" w:hAnsi="David" w:cs="David" w:hint="eastAsia"/>
          <w:sz w:val="24"/>
          <w:szCs w:val="24"/>
          <w:rtl/>
        </w:rPr>
        <w:t>להלן</w:t>
      </w:r>
      <w:r w:rsidRPr="00BC57EA">
        <w:rPr>
          <w:rFonts w:ascii="David" w:hAnsi="David" w:cs="David"/>
          <w:sz w:val="24"/>
          <w:szCs w:val="24"/>
          <w:rtl/>
        </w:rPr>
        <w:t xml:space="preserve"> </w:t>
      </w:r>
      <w:r w:rsidRPr="00BC57EA">
        <w:rPr>
          <w:rFonts w:ascii="David" w:hAnsi="David" w:cs="David" w:hint="eastAsia"/>
          <w:sz w:val="24"/>
          <w:szCs w:val="24"/>
          <w:rtl/>
        </w:rPr>
        <w:t>הערותינו</w:t>
      </w:r>
      <w:r w:rsidRPr="00BC57EA">
        <w:rPr>
          <w:rFonts w:ascii="David" w:hAnsi="David" w:cs="David"/>
          <w:sz w:val="24"/>
          <w:szCs w:val="24"/>
          <w:rtl/>
        </w:rPr>
        <w:t xml:space="preserve"> </w:t>
      </w:r>
      <w:r w:rsidR="007C6CEE" w:rsidRPr="00BC57EA">
        <w:rPr>
          <w:rFonts w:ascii="David" w:hAnsi="David" w:cs="David" w:hint="cs"/>
          <w:sz w:val="24"/>
          <w:szCs w:val="24"/>
          <w:rtl/>
        </w:rPr>
        <w:t xml:space="preserve">הנוספות </w:t>
      </w:r>
      <w:r w:rsidRPr="00BC57EA">
        <w:rPr>
          <w:rFonts w:ascii="David" w:hAnsi="David" w:cs="David" w:hint="eastAsia"/>
          <w:sz w:val="24"/>
          <w:szCs w:val="24"/>
          <w:rtl/>
        </w:rPr>
        <w:t>המפורטות</w:t>
      </w:r>
      <w:r w:rsidRPr="00BC57EA">
        <w:rPr>
          <w:rFonts w:ascii="David" w:hAnsi="David" w:cs="David"/>
          <w:sz w:val="24"/>
          <w:szCs w:val="24"/>
          <w:rtl/>
        </w:rPr>
        <w:t xml:space="preserve"> </w:t>
      </w:r>
      <w:r w:rsidRPr="00BC57EA">
        <w:rPr>
          <w:rFonts w:ascii="David" w:hAnsi="David" w:cs="David" w:hint="eastAsia"/>
          <w:sz w:val="24"/>
          <w:szCs w:val="24"/>
          <w:rtl/>
        </w:rPr>
        <w:t>על</w:t>
      </w:r>
      <w:r w:rsidRPr="00BC57EA">
        <w:rPr>
          <w:rFonts w:ascii="David" w:hAnsi="David" w:cs="David"/>
          <w:sz w:val="24"/>
          <w:szCs w:val="24"/>
          <w:rtl/>
        </w:rPr>
        <w:t xml:space="preserve"> </w:t>
      </w:r>
      <w:r w:rsidRPr="00BC57EA">
        <w:rPr>
          <w:rFonts w:ascii="David" w:hAnsi="David" w:cs="David" w:hint="eastAsia"/>
          <w:sz w:val="24"/>
          <w:szCs w:val="24"/>
          <w:rtl/>
        </w:rPr>
        <w:t>פי</w:t>
      </w:r>
      <w:r w:rsidRPr="00BC57EA">
        <w:rPr>
          <w:rFonts w:ascii="David" w:hAnsi="David" w:cs="David"/>
          <w:sz w:val="24"/>
          <w:szCs w:val="24"/>
          <w:rtl/>
        </w:rPr>
        <w:t xml:space="preserve"> </w:t>
      </w:r>
      <w:r w:rsidRPr="00BC57EA">
        <w:rPr>
          <w:rFonts w:ascii="David" w:hAnsi="David" w:cs="David" w:hint="eastAsia"/>
          <w:sz w:val="24"/>
          <w:szCs w:val="24"/>
          <w:rtl/>
        </w:rPr>
        <w:t>סדר</w:t>
      </w:r>
      <w:r w:rsidRPr="00BC57EA">
        <w:rPr>
          <w:rFonts w:ascii="David" w:hAnsi="David" w:cs="David"/>
          <w:sz w:val="24"/>
          <w:szCs w:val="24"/>
          <w:rtl/>
        </w:rPr>
        <w:t xml:space="preserve"> </w:t>
      </w:r>
      <w:r w:rsidRPr="00BC57EA">
        <w:rPr>
          <w:rFonts w:ascii="David" w:hAnsi="David" w:cs="David" w:hint="eastAsia"/>
          <w:sz w:val="24"/>
          <w:szCs w:val="24"/>
          <w:rtl/>
        </w:rPr>
        <w:t>הסעיפים</w:t>
      </w:r>
      <w:r w:rsidRPr="00BC57EA">
        <w:rPr>
          <w:rFonts w:ascii="David" w:hAnsi="David" w:cs="David"/>
          <w:sz w:val="24"/>
          <w:szCs w:val="24"/>
          <w:rtl/>
        </w:rPr>
        <w:t>:</w:t>
      </w:r>
      <w:r w:rsidR="002B4309" w:rsidRPr="00BC57EA">
        <w:rPr>
          <w:rFonts w:ascii="David" w:hAnsi="David" w:cs="David"/>
          <w:sz w:val="24"/>
          <w:szCs w:val="24"/>
          <w:rtl/>
        </w:rPr>
        <w:t xml:space="preserve"> </w:t>
      </w:r>
      <w:r w:rsidR="007C6CEE" w:rsidRPr="00BC57EA">
        <w:rPr>
          <w:rFonts w:ascii="David" w:hAnsi="David" w:cs="David" w:hint="cs"/>
          <w:sz w:val="24"/>
          <w:szCs w:val="24"/>
          <w:rtl/>
        </w:rPr>
        <w:t xml:space="preserve"> </w:t>
      </w:r>
    </w:p>
    <w:p w:rsidR="001075A5" w:rsidRPr="00865395" w:rsidRDefault="001075A5" w:rsidP="00865395">
      <w:pPr>
        <w:spacing w:line="360" w:lineRule="auto"/>
        <w:jc w:val="both"/>
        <w:rPr>
          <w:rFonts w:ascii="David" w:hAnsi="David" w:cs="David"/>
          <w:sz w:val="24"/>
          <w:szCs w:val="24"/>
          <w:highlight w:val="yellow"/>
          <w:rtl/>
        </w:rPr>
      </w:pPr>
      <w:r>
        <w:rPr>
          <w:rFonts w:ascii="David" w:hAnsi="David" w:cs="David" w:hint="cs"/>
          <w:sz w:val="24"/>
          <w:szCs w:val="24"/>
          <w:rtl/>
        </w:rPr>
        <w:t>1.</w:t>
      </w:r>
      <w:r>
        <w:rPr>
          <w:rFonts w:ascii="David" w:hAnsi="David" w:cs="David" w:hint="cs"/>
          <w:sz w:val="24"/>
          <w:szCs w:val="24"/>
          <w:rtl/>
        </w:rPr>
        <w:tab/>
        <w:t xml:space="preserve">סעיף 3 להצעת </w:t>
      </w:r>
      <w:r w:rsidRPr="001075A5">
        <w:rPr>
          <w:rFonts w:ascii="David" w:hAnsi="David" w:cs="David" w:hint="cs"/>
          <w:sz w:val="24"/>
          <w:szCs w:val="24"/>
          <w:rtl/>
        </w:rPr>
        <w:t xml:space="preserve">החוק  </w:t>
      </w:r>
      <w:r>
        <w:rPr>
          <w:rFonts w:ascii="David" w:hAnsi="David" w:cs="David" w:hint="cs"/>
          <w:sz w:val="24"/>
          <w:szCs w:val="24"/>
          <w:rtl/>
        </w:rPr>
        <w:t>(</w:t>
      </w:r>
      <w:r w:rsidRPr="001075A5">
        <w:rPr>
          <w:rFonts w:ascii="David" w:hAnsi="David" w:cs="David" w:hint="cs"/>
          <w:sz w:val="24"/>
          <w:szCs w:val="24"/>
          <w:rtl/>
        </w:rPr>
        <w:t xml:space="preserve">תיקון סעיף 13(א) לחוק) </w:t>
      </w:r>
      <w:r w:rsidRPr="001075A5">
        <w:rPr>
          <w:rFonts w:ascii="David" w:hAnsi="David" w:cs="David"/>
          <w:sz w:val="24"/>
          <w:szCs w:val="24"/>
          <w:rtl/>
        </w:rPr>
        <w:t>–</w:t>
      </w:r>
      <w:r w:rsidRPr="001075A5">
        <w:rPr>
          <w:rFonts w:ascii="David" w:hAnsi="David" w:cs="David" w:hint="cs"/>
          <w:sz w:val="24"/>
          <w:szCs w:val="24"/>
          <w:rtl/>
        </w:rPr>
        <w:t xml:space="preserve"> </w:t>
      </w:r>
      <w:proofErr w:type="spellStart"/>
      <w:r w:rsidRPr="001075A5">
        <w:rPr>
          <w:rFonts w:ascii="David" w:hAnsi="David" w:cs="David" w:hint="cs"/>
          <w:sz w:val="24"/>
          <w:szCs w:val="24"/>
          <w:rtl/>
        </w:rPr>
        <w:t>בפיסקה</w:t>
      </w:r>
      <w:proofErr w:type="spellEnd"/>
      <w:r w:rsidRPr="001075A5">
        <w:rPr>
          <w:rFonts w:ascii="David" w:hAnsi="David" w:cs="David" w:hint="cs"/>
          <w:sz w:val="24"/>
          <w:szCs w:val="24"/>
          <w:rtl/>
        </w:rPr>
        <w:t xml:space="preserve"> (16) במקום "יחיד שעיסוקו במתן אשראי..." נראה שצריך להיות "מי שעיסוקו במתן אשראי", כדי שלא ישתמע שמדובר רק על יחיד.</w:t>
      </w:r>
      <w:r w:rsidR="00865395">
        <w:rPr>
          <w:rFonts w:ascii="David" w:hAnsi="David" w:cs="David" w:hint="cs"/>
          <w:sz w:val="24"/>
          <w:szCs w:val="24"/>
          <w:rtl/>
        </w:rPr>
        <w:t xml:space="preserve"> גם </w:t>
      </w:r>
      <w:r>
        <w:rPr>
          <w:rFonts w:ascii="David" w:hAnsi="David" w:cs="David" w:hint="cs"/>
          <w:sz w:val="24"/>
          <w:szCs w:val="24"/>
          <w:rtl/>
        </w:rPr>
        <w:t xml:space="preserve">תאגידים יכולים להשקיע באמצעות פלטפורמה, </w:t>
      </w:r>
      <w:r w:rsidR="00865395">
        <w:rPr>
          <w:rFonts w:ascii="David" w:hAnsi="David" w:cs="David" w:hint="cs"/>
          <w:sz w:val="24"/>
          <w:szCs w:val="24"/>
          <w:rtl/>
        </w:rPr>
        <w:t>ואין מקום לראות תאגיד שמלווה באמצעות פלטפורמה כמי שעיסוקו במתן אשראי.</w:t>
      </w:r>
    </w:p>
    <w:p w:rsidR="007C6CEE" w:rsidRPr="00BC57EA" w:rsidRDefault="001075A5" w:rsidP="00867571">
      <w:pPr>
        <w:spacing w:line="360" w:lineRule="auto"/>
        <w:jc w:val="both"/>
        <w:rPr>
          <w:rFonts w:ascii="David" w:hAnsi="David" w:cs="David"/>
          <w:sz w:val="24"/>
          <w:szCs w:val="24"/>
          <w:rtl/>
        </w:rPr>
      </w:pPr>
      <w:r>
        <w:rPr>
          <w:rFonts w:ascii="David" w:hAnsi="David" w:cs="David" w:hint="cs"/>
          <w:sz w:val="24"/>
          <w:szCs w:val="24"/>
          <w:rtl/>
        </w:rPr>
        <w:t>2</w:t>
      </w:r>
      <w:r w:rsidR="007C6CEE" w:rsidRPr="00BC57EA">
        <w:rPr>
          <w:rFonts w:ascii="David" w:hAnsi="David" w:cs="David" w:hint="cs"/>
          <w:sz w:val="24"/>
          <w:szCs w:val="24"/>
          <w:rtl/>
        </w:rPr>
        <w:t>.</w:t>
      </w:r>
      <w:r w:rsidR="007C6CEE" w:rsidRPr="00BC57EA">
        <w:rPr>
          <w:rFonts w:ascii="David" w:hAnsi="David" w:cs="David" w:hint="cs"/>
          <w:sz w:val="24"/>
          <w:szCs w:val="24"/>
          <w:rtl/>
        </w:rPr>
        <w:tab/>
        <w:t xml:space="preserve">סעיף 4 להצעת החוק </w:t>
      </w:r>
      <w:r w:rsidR="007C6CEE" w:rsidRPr="00BC57EA">
        <w:rPr>
          <w:rFonts w:ascii="David" w:hAnsi="David" w:cs="David"/>
          <w:sz w:val="24"/>
          <w:szCs w:val="24"/>
          <w:rtl/>
        </w:rPr>
        <w:t>–</w:t>
      </w:r>
      <w:r w:rsidR="007C6CEE" w:rsidRPr="00BC57EA">
        <w:rPr>
          <w:rFonts w:ascii="David" w:hAnsi="David" w:cs="David" w:hint="cs"/>
          <w:sz w:val="24"/>
          <w:szCs w:val="24"/>
          <w:rtl/>
        </w:rPr>
        <w:t xml:space="preserve"> </w:t>
      </w:r>
    </w:p>
    <w:p w:rsidR="0084493C" w:rsidRPr="00BC57EA" w:rsidRDefault="007C6CEE" w:rsidP="000E63D5">
      <w:pPr>
        <w:spacing w:line="360" w:lineRule="auto"/>
        <w:ind w:firstLine="720"/>
        <w:jc w:val="both"/>
        <w:rPr>
          <w:rFonts w:ascii="David" w:hAnsi="David" w:cs="David"/>
          <w:sz w:val="24"/>
          <w:szCs w:val="24"/>
          <w:rtl/>
        </w:rPr>
      </w:pPr>
      <w:r w:rsidRPr="00BC57EA">
        <w:rPr>
          <w:rFonts w:ascii="David" w:hAnsi="David" w:cs="David" w:hint="cs"/>
          <w:sz w:val="24"/>
          <w:szCs w:val="24"/>
          <w:rtl/>
        </w:rPr>
        <w:t>א.</w:t>
      </w:r>
      <w:r w:rsidRPr="00BC57EA">
        <w:rPr>
          <w:rFonts w:ascii="David" w:hAnsi="David" w:cs="David" w:hint="cs"/>
          <w:sz w:val="24"/>
          <w:szCs w:val="24"/>
          <w:rtl/>
        </w:rPr>
        <w:tab/>
        <w:t>בסעיף 25יז המוצע קיימת הגדרה של "לווה". ההגדרה מתייחסת רק ליחידים. כפי שנאמר לעיל, אנו סבורים שיש מקום להרחיב את ההגדרה גם ללווה אשר הינו מאוגד, על מנת לאפשר מתן אשראי לעסקים קטנים באמצעות הפלטפורמה.</w:t>
      </w:r>
      <w:r w:rsidR="0084493C">
        <w:rPr>
          <w:rFonts w:ascii="David" w:hAnsi="David" w:cs="David" w:hint="cs"/>
          <w:sz w:val="24"/>
          <w:szCs w:val="24"/>
          <w:rtl/>
        </w:rPr>
        <w:t xml:space="preserve"> </w:t>
      </w:r>
      <w:r w:rsidR="0084493C" w:rsidRPr="00BC57EA">
        <w:rPr>
          <w:rFonts w:ascii="David" w:hAnsi="David" w:cs="David" w:hint="cs"/>
          <w:sz w:val="24"/>
          <w:szCs w:val="24"/>
          <w:rtl/>
        </w:rPr>
        <w:t>לתפישתנו, כל עוד מדובר בעסק קטן, המבקש הלוואה עסקית בגובה סביר, הרגולציה צריכה להיות דומה לרגולציה על תיווך מקוון באשראי למשקי בית, ובוודאי שצריכה להתבצע על ידי אותו רגולטור. אין שום היתכנות לכך שפלטפורמה אשר מתווכת באשראי ליחידים תהיה כפופה לרגולטור אחד, ואותה פלטפורמה עצמה, כאשר תתווך באשראי לעסקים קטנים תהיה כפופה לרגולטור אחר; הדבר אינו ניתן לביצוע.  גם אין זה סביר שבעל הרישיון יקים שתי פלטפורמות ייעודיות, האחת ליחידים והאחרת לעסקים קטנים (מאוגדים).</w:t>
      </w:r>
    </w:p>
    <w:p w:rsidR="007C6CEE" w:rsidRPr="00BC57EA" w:rsidRDefault="007C6CEE" w:rsidP="007C6CEE">
      <w:pPr>
        <w:spacing w:line="360" w:lineRule="auto"/>
        <w:ind w:firstLine="720"/>
        <w:jc w:val="both"/>
        <w:rPr>
          <w:rFonts w:ascii="David" w:hAnsi="David" w:cs="David"/>
          <w:sz w:val="24"/>
          <w:szCs w:val="24"/>
          <w:rtl/>
        </w:rPr>
      </w:pPr>
      <w:r w:rsidRPr="00BC57EA">
        <w:rPr>
          <w:rFonts w:ascii="David" w:hAnsi="David" w:cs="David" w:hint="cs"/>
          <w:sz w:val="24"/>
          <w:szCs w:val="24"/>
          <w:rtl/>
        </w:rPr>
        <w:t>ב.</w:t>
      </w:r>
      <w:r w:rsidRPr="00BC57EA">
        <w:rPr>
          <w:rFonts w:ascii="David" w:hAnsi="David" w:cs="David" w:hint="cs"/>
          <w:sz w:val="24"/>
          <w:szCs w:val="24"/>
          <w:rtl/>
        </w:rPr>
        <w:tab/>
      </w:r>
      <w:r w:rsidR="006C7D71" w:rsidRPr="00BC57EA">
        <w:rPr>
          <w:rFonts w:ascii="David" w:hAnsi="David" w:cs="David" w:hint="cs"/>
          <w:sz w:val="24"/>
          <w:szCs w:val="24"/>
          <w:rtl/>
        </w:rPr>
        <w:t xml:space="preserve">על פי סעיף 25יט (א)(2) תאגיד בנקאי ותאגיד עזר פטורים מחובת רישיון. לעניין זה נציין שמתן אפשרות לתאגיד בנקאי להיכנס לתחום של מערכת מקוונת לתיווך לאשראי פוגעת באפשרות לקיים תחרות </w:t>
      </w:r>
      <w:proofErr w:type="spellStart"/>
      <w:r w:rsidR="006C7D71" w:rsidRPr="00BC57EA">
        <w:rPr>
          <w:rFonts w:ascii="David" w:hAnsi="David" w:cs="David" w:hint="cs"/>
          <w:sz w:val="24"/>
          <w:szCs w:val="24"/>
          <w:rtl/>
        </w:rPr>
        <w:t>אמיתית</w:t>
      </w:r>
      <w:proofErr w:type="spellEnd"/>
      <w:r w:rsidR="006C7D71" w:rsidRPr="00BC57EA">
        <w:rPr>
          <w:rFonts w:ascii="David" w:hAnsi="David" w:cs="David" w:hint="cs"/>
          <w:sz w:val="24"/>
          <w:szCs w:val="24"/>
          <w:rtl/>
        </w:rPr>
        <w:t xml:space="preserve"> בתחום של משקי הבית. על מנת לאפשר לגופים חדשים </w:t>
      </w:r>
      <w:r w:rsidR="0084493C" w:rsidRPr="00BC57EA">
        <w:rPr>
          <w:rFonts w:ascii="David" w:hAnsi="David" w:cs="David" w:hint="cs"/>
          <w:sz w:val="24"/>
          <w:szCs w:val="24"/>
          <w:rtl/>
        </w:rPr>
        <w:t>להיכנ</w:t>
      </w:r>
      <w:r w:rsidR="0084493C" w:rsidRPr="00BC57EA">
        <w:rPr>
          <w:rFonts w:ascii="David" w:hAnsi="David" w:cs="David" w:hint="eastAsia"/>
          <w:sz w:val="24"/>
          <w:szCs w:val="24"/>
          <w:rtl/>
        </w:rPr>
        <w:t>ס</w:t>
      </w:r>
      <w:r w:rsidR="006C7D71" w:rsidRPr="00BC57EA">
        <w:rPr>
          <w:rFonts w:ascii="David" w:hAnsi="David" w:cs="David" w:hint="cs"/>
          <w:sz w:val="24"/>
          <w:szCs w:val="24"/>
          <w:rtl/>
        </w:rPr>
        <w:t xml:space="preserve"> לשוק האשראי החוץ-בנקאי </w:t>
      </w:r>
      <w:r w:rsidR="0084493C">
        <w:rPr>
          <w:rFonts w:ascii="David" w:hAnsi="David" w:cs="David" w:hint="cs"/>
          <w:sz w:val="24"/>
          <w:szCs w:val="24"/>
          <w:rtl/>
        </w:rPr>
        <w:t>יש</w:t>
      </w:r>
      <w:r w:rsidR="006C7D71" w:rsidRPr="00BC57EA">
        <w:rPr>
          <w:rFonts w:ascii="David" w:hAnsi="David" w:cs="David" w:hint="cs"/>
          <w:sz w:val="24"/>
          <w:szCs w:val="24"/>
          <w:rtl/>
        </w:rPr>
        <w:t xml:space="preserve"> לאסור על תאגידים בנקאיים להקים פלטפורמות מקוונות לתיווך באשראי. ממילא יש לתאגיד בנקאי את היכולת להעניק אשראי ממקורותיו העצמיים. בנוסף לכך, מתן פטור מרישיון על פי ההצעה מאפשר </w:t>
      </w:r>
      <w:proofErr w:type="spellStart"/>
      <w:r w:rsidR="006C7D71" w:rsidRPr="00BC57EA">
        <w:rPr>
          <w:rFonts w:ascii="David" w:hAnsi="David" w:cs="David" w:hint="cs"/>
          <w:sz w:val="24"/>
          <w:szCs w:val="24"/>
          <w:rtl/>
        </w:rPr>
        <w:t>ארביטראג</w:t>
      </w:r>
      <w:proofErr w:type="spellEnd"/>
      <w:r w:rsidR="006C7D71" w:rsidRPr="00BC57EA">
        <w:rPr>
          <w:rFonts w:ascii="David" w:hAnsi="David" w:cs="David" w:hint="cs"/>
          <w:sz w:val="24"/>
          <w:szCs w:val="24"/>
          <w:rtl/>
        </w:rPr>
        <w:t>' רגולטורי לטובת תאגידים בנקאיים, ולו משום העובדה שקיימים בהצעת החוק סעיפים כמו למשל, איסור על בעל הרישיון לתת בעצמו אשראי אלא לפי כללים של המפקח על מנת למנוע ניגוד עניינים. אין בהוראות הפיקוח על הבנקים סעיפים דומים</w:t>
      </w:r>
      <w:r w:rsidR="00AF64E3" w:rsidRPr="00BC57EA">
        <w:rPr>
          <w:rFonts w:ascii="David" w:hAnsi="David" w:cs="David" w:hint="cs"/>
          <w:sz w:val="24"/>
          <w:szCs w:val="24"/>
          <w:rtl/>
        </w:rPr>
        <w:t>, כך שמצבם של תאגידים בנקאיים יותר טוב מאשר בעל רישיון לפי הצעת החוק.</w:t>
      </w:r>
    </w:p>
    <w:p w:rsidR="00E70FFA" w:rsidRPr="00BC57EA" w:rsidRDefault="005539BE" w:rsidP="005539BE">
      <w:pPr>
        <w:spacing w:line="360" w:lineRule="auto"/>
        <w:jc w:val="both"/>
        <w:rPr>
          <w:rFonts w:ascii="David" w:hAnsi="David" w:cs="David"/>
          <w:sz w:val="24"/>
          <w:szCs w:val="24"/>
          <w:rtl/>
        </w:rPr>
      </w:pPr>
      <w:r>
        <w:rPr>
          <w:rFonts w:ascii="David" w:hAnsi="David" w:cs="David" w:hint="cs"/>
          <w:sz w:val="24"/>
          <w:szCs w:val="24"/>
          <w:rtl/>
        </w:rPr>
        <w:t xml:space="preserve"> </w:t>
      </w:r>
    </w:p>
    <w:p w:rsidR="00EC4882" w:rsidRPr="00BC57EA" w:rsidRDefault="00380F49" w:rsidP="00E70FFA">
      <w:pPr>
        <w:spacing w:line="360" w:lineRule="auto"/>
        <w:jc w:val="both"/>
        <w:rPr>
          <w:rFonts w:ascii="David" w:hAnsi="David" w:cs="David"/>
          <w:sz w:val="24"/>
          <w:szCs w:val="24"/>
          <w:rtl/>
        </w:rPr>
      </w:pPr>
      <w:r>
        <w:rPr>
          <w:rFonts w:ascii="David" w:hAnsi="David" w:cs="David" w:hint="cs"/>
          <w:sz w:val="24"/>
          <w:szCs w:val="24"/>
          <w:rtl/>
        </w:rPr>
        <w:t>3</w:t>
      </w:r>
      <w:r w:rsidR="00E70FFA" w:rsidRPr="00BC57EA">
        <w:rPr>
          <w:rFonts w:ascii="David" w:hAnsi="David" w:cs="David" w:hint="cs"/>
          <w:sz w:val="24"/>
          <w:szCs w:val="24"/>
          <w:rtl/>
        </w:rPr>
        <w:t>.</w:t>
      </w:r>
      <w:r w:rsidR="00E70FFA" w:rsidRPr="00BC57EA">
        <w:rPr>
          <w:rFonts w:ascii="David" w:hAnsi="David" w:cs="David" w:hint="cs"/>
          <w:sz w:val="24"/>
          <w:szCs w:val="24"/>
          <w:rtl/>
        </w:rPr>
        <w:tab/>
        <w:t xml:space="preserve">סעיף 10 להצעה - </w:t>
      </w:r>
      <w:r w:rsidR="00EC4882" w:rsidRPr="00BC57EA">
        <w:rPr>
          <w:rFonts w:ascii="David" w:hAnsi="David" w:cs="David" w:hint="cs"/>
          <w:sz w:val="24"/>
          <w:szCs w:val="24"/>
          <w:rtl/>
        </w:rPr>
        <w:t>הוספת סעיף 50</w:t>
      </w:r>
      <w:r w:rsidR="00E70FFA" w:rsidRPr="00BC57EA">
        <w:rPr>
          <w:rFonts w:ascii="David" w:hAnsi="David" w:cs="David" w:hint="cs"/>
          <w:sz w:val="24"/>
          <w:szCs w:val="24"/>
          <w:rtl/>
        </w:rPr>
        <w:t>ו</w:t>
      </w:r>
      <w:r w:rsidR="00EC4882" w:rsidRPr="00BC57EA">
        <w:rPr>
          <w:rFonts w:ascii="David" w:hAnsi="David" w:cs="David" w:hint="cs"/>
          <w:sz w:val="24"/>
          <w:szCs w:val="24"/>
          <w:rtl/>
        </w:rPr>
        <w:t xml:space="preserve"> </w:t>
      </w:r>
      <w:r w:rsidR="00EC4882" w:rsidRPr="00BC57EA">
        <w:rPr>
          <w:rFonts w:ascii="David" w:hAnsi="David" w:cs="David"/>
          <w:sz w:val="24"/>
          <w:szCs w:val="24"/>
          <w:rtl/>
        </w:rPr>
        <w:t>–</w:t>
      </w:r>
      <w:r w:rsidR="00EC4882" w:rsidRPr="00BC57EA">
        <w:rPr>
          <w:rFonts w:ascii="David" w:hAnsi="David" w:cs="David" w:hint="cs"/>
          <w:sz w:val="24"/>
          <w:szCs w:val="24"/>
          <w:rtl/>
        </w:rPr>
        <w:t xml:space="preserve"> יש להוסיף סעיף הקובע שמלווה המעמיד הלוואות באמצעות הפלטפורמה יהיה פטור מכל חובת גילוי כלפי לווה המוטלת עליו לפי חוק אחר. גופים פיננסיים, כמו למשל, הבנקים חייבים בחובות גילוי כלפי לקוחותיהם, לרבות במקרה של הלוואה שניתנת ללקוח. לא ניתן לקיים חובות אלה כאשר הגוף הפיננסי מעוניין להלוות כספים באמצעות הפלטפורמה. מאחר שממילא הוסמך המפקח לקבוע כללי גילוי, וממילא חלות ההוראות של חוק הסדרת הלוואות חוץ-בנקאיות, לא צריכה להתעורר בעיה להוסיף הוראה כמוצע.</w:t>
      </w:r>
    </w:p>
    <w:p w:rsidR="00EF114E" w:rsidRPr="00BC57EA" w:rsidRDefault="00EF114E" w:rsidP="00867571">
      <w:pPr>
        <w:spacing w:line="360" w:lineRule="auto"/>
        <w:jc w:val="both"/>
        <w:rPr>
          <w:rFonts w:ascii="David" w:hAnsi="David" w:cs="David"/>
          <w:sz w:val="24"/>
          <w:szCs w:val="24"/>
          <w:rtl/>
        </w:rPr>
      </w:pPr>
    </w:p>
    <w:p w:rsidR="00EF114E" w:rsidRPr="00BC57EA" w:rsidRDefault="00380F49" w:rsidP="003313CC">
      <w:pPr>
        <w:spacing w:line="360" w:lineRule="auto"/>
        <w:jc w:val="both"/>
        <w:rPr>
          <w:rFonts w:ascii="David" w:hAnsi="David" w:cs="David"/>
          <w:sz w:val="24"/>
          <w:szCs w:val="24"/>
          <w:rtl/>
        </w:rPr>
      </w:pPr>
      <w:r>
        <w:rPr>
          <w:rFonts w:ascii="David" w:hAnsi="David" w:cs="David" w:hint="cs"/>
          <w:sz w:val="24"/>
          <w:szCs w:val="24"/>
          <w:rtl/>
        </w:rPr>
        <w:t>4</w:t>
      </w:r>
      <w:r w:rsidR="00EF114E" w:rsidRPr="00BC57EA">
        <w:rPr>
          <w:rFonts w:ascii="David" w:hAnsi="David" w:cs="David" w:hint="cs"/>
          <w:sz w:val="24"/>
          <w:szCs w:val="24"/>
          <w:rtl/>
        </w:rPr>
        <w:t>.</w:t>
      </w:r>
      <w:r w:rsidR="00EF114E" w:rsidRPr="00BC57EA">
        <w:rPr>
          <w:rFonts w:ascii="David" w:hAnsi="David" w:cs="David" w:hint="cs"/>
          <w:sz w:val="24"/>
          <w:szCs w:val="24"/>
          <w:rtl/>
        </w:rPr>
        <w:tab/>
        <w:t>ולבסוף אנו מבקשים שיתווספו הוראות נוספות (שקיימות באנגליה ובארה"ב)</w:t>
      </w:r>
      <w:r w:rsidR="00DD2CC7" w:rsidRPr="00BC57EA">
        <w:rPr>
          <w:rFonts w:ascii="David" w:hAnsi="David" w:cs="David" w:hint="cs"/>
          <w:sz w:val="24"/>
          <w:szCs w:val="24"/>
          <w:rtl/>
        </w:rPr>
        <w:t>, בין בחוק עצמו ובין בתיקונים עקיפים,</w:t>
      </w:r>
      <w:r w:rsidR="00EF114E" w:rsidRPr="00BC57EA">
        <w:rPr>
          <w:rFonts w:ascii="David" w:hAnsi="David" w:cs="David" w:hint="cs"/>
          <w:sz w:val="24"/>
          <w:szCs w:val="24"/>
          <w:rtl/>
        </w:rPr>
        <w:t xml:space="preserve"> שמטרתן לעודד את הציבור להלוות</w:t>
      </w:r>
      <w:r w:rsidR="009526FA">
        <w:rPr>
          <w:rFonts w:ascii="David" w:hAnsi="David" w:cs="David" w:hint="cs"/>
          <w:sz w:val="24"/>
          <w:szCs w:val="24"/>
          <w:rtl/>
        </w:rPr>
        <w:t xml:space="preserve">  כספים באמצעות פלטפורמה פי2פי</w:t>
      </w:r>
      <w:r w:rsidR="000E63D5">
        <w:rPr>
          <w:rFonts w:ascii="David" w:hAnsi="David" w:cs="David" w:hint="cs"/>
          <w:sz w:val="24"/>
          <w:szCs w:val="24"/>
          <w:rtl/>
        </w:rPr>
        <w:t>.</w:t>
      </w:r>
    </w:p>
    <w:p w:rsidR="00AC38CE" w:rsidRPr="00BC57EA" w:rsidRDefault="00EF114E" w:rsidP="003313CC">
      <w:pPr>
        <w:spacing w:line="360" w:lineRule="auto"/>
        <w:jc w:val="both"/>
        <w:rPr>
          <w:rFonts w:ascii="David" w:hAnsi="David" w:cs="David"/>
          <w:sz w:val="24"/>
          <w:szCs w:val="24"/>
          <w:rtl/>
        </w:rPr>
      </w:pPr>
      <w:r w:rsidRPr="00BC57EA">
        <w:rPr>
          <w:rFonts w:ascii="David" w:hAnsi="David" w:cs="David"/>
          <w:sz w:val="24"/>
          <w:szCs w:val="24"/>
          <w:rtl/>
        </w:rPr>
        <w:tab/>
      </w:r>
      <w:r w:rsidR="00DD2CC7" w:rsidRPr="00BC57EA">
        <w:rPr>
          <w:rFonts w:ascii="David" w:hAnsi="David" w:cs="David" w:hint="cs"/>
          <w:sz w:val="24"/>
          <w:szCs w:val="24"/>
          <w:rtl/>
        </w:rPr>
        <w:t>א.</w:t>
      </w:r>
      <w:r w:rsidR="00DD2CC7" w:rsidRPr="00BC57EA">
        <w:rPr>
          <w:rFonts w:ascii="David" w:hAnsi="David" w:cs="David" w:hint="cs"/>
          <w:sz w:val="24"/>
          <w:szCs w:val="24"/>
          <w:rtl/>
        </w:rPr>
        <w:tab/>
      </w:r>
      <w:r w:rsidR="00AC38CE" w:rsidRPr="00BC57EA">
        <w:rPr>
          <w:rFonts w:ascii="David" w:hAnsi="David" w:cs="David" w:hint="cs"/>
          <w:sz w:val="24"/>
          <w:szCs w:val="24"/>
          <w:rtl/>
        </w:rPr>
        <w:t xml:space="preserve">קיזוז הפסדים </w:t>
      </w:r>
      <w:r w:rsidR="00AC38CE" w:rsidRPr="00BC57EA">
        <w:rPr>
          <w:rFonts w:ascii="David" w:hAnsi="David" w:cs="David"/>
          <w:sz w:val="24"/>
          <w:szCs w:val="24"/>
          <w:rtl/>
        </w:rPr>
        <w:t>–</w:t>
      </w:r>
      <w:r w:rsidR="00AC38CE" w:rsidRPr="00BC57EA">
        <w:rPr>
          <w:rFonts w:ascii="David" w:hAnsi="David" w:cs="David" w:hint="cs"/>
          <w:sz w:val="24"/>
          <w:szCs w:val="24"/>
          <w:rtl/>
        </w:rPr>
        <w:t xml:space="preserve"> </w:t>
      </w:r>
      <w:r w:rsidR="00DD2CC7" w:rsidRPr="00BC57EA">
        <w:rPr>
          <w:rFonts w:ascii="David" w:hAnsi="David" w:cs="David" w:hint="cs"/>
          <w:sz w:val="24"/>
          <w:szCs w:val="24"/>
          <w:rtl/>
        </w:rPr>
        <w:t>יש ל</w:t>
      </w:r>
      <w:r w:rsidR="00AC38CE" w:rsidRPr="00BC57EA">
        <w:rPr>
          <w:rFonts w:ascii="David" w:hAnsi="David" w:cs="David" w:hint="cs"/>
          <w:sz w:val="24"/>
          <w:szCs w:val="24"/>
          <w:rtl/>
        </w:rPr>
        <w:t>אפשר קיזוז הפסד/ים מהלוואה/אות בשנה מסויימת כנגד ריבית שהופקה מהלוואה/</w:t>
      </w:r>
      <w:proofErr w:type="spellStart"/>
      <w:r w:rsidR="00AC38CE" w:rsidRPr="00BC57EA">
        <w:rPr>
          <w:rFonts w:ascii="David" w:hAnsi="David" w:cs="David" w:hint="cs"/>
          <w:sz w:val="24"/>
          <w:szCs w:val="24"/>
          <w:rtl/>
        </w:rPr>
        <w:t>ות</w:t>
      </w:r>
      <w:proofErr w:type="spellEnd"/>
      <w:r w:rsidR="00AC38CE" w:rsidRPr="00BC57EA">
        <w:rPr>
          <w:rFonts w:ascii="David" w:hAnsi="David" w:cs="David" w:hint="cs"/>
          <w:sz w:val="24"/>
          <w:szCs w:val="24"/>
          <w:rtl/>
        </w:rPr>
        <w:t xml:space="preserve"> אחרת/</w:t>
      </w:r>
      <w:proofErr w:type="spellStart"/>
      <w:r w:rsidR="00AC38CE" w:rsidRPr="00BC57EA">
        <w:rPr>
          <w:rFonts w:ascii="David" w:hAnsi="David" w:cs="David" w:hint="cs"/>
          <w:sz w:val="24"/>
          <w:szCs w:val="24"/>
          <w:rtl/>
        </w:rPr>
        <w:t>ות</w:t>
      </w:r>
      <w:proofErr w:type="spellEnd"/>
      <w:r w:rsidR="00DD2CC7" w:rsidRPr="00BC57EA">
        <w:rPr>
          <w:rFonts w:ascii="David" w:hAnsi="David" w:cs="David" w:hint="cs"/>
          <w:sz w:val="24"/>
          <w:szCs w:val="24"/>
          <w:rtl/>
        </w:rPr>
        <w:t xml:space="preserve"> באותה שנה, וכן </w:t>
      </w:r>
      <w:r w:rsidR="00AC38CE" w:rsidRPr="00BC57EA">
        <w:rPr>
          <w:rFonts w:ascii="David" w:hAnsi="David" w:cs="David" w:hint="cs"/>
          <w:sz w:val="24"/>
          <w:szCs w:val="24"/>
          <w:rtl/>
        </w:rPr>
        <w:t>לאפשר העברת הפסד שלא ניתן היה לקזז כאמור, לשנים הבאות.</w:t>
      </w:r>
    </w:p>
    <w:p w:rsidR="00AC38CE" w:rsidRPr="00BC57EA" w:rsidRDefault="00DD2CC7" w:rsidP="00C17D96">
      <w:pPr>
        <w:spacing w:line="360" w:lineRule="auto"/>
        <w:ind w:firstLine="720"/>
        <w:jc w:val="both"/>
        <w:rPr>
          <w:rFonts w:ascii="David" w:hAnsi="David" w:cs="David"/>
          <w:sz w:val="24"/>
          <w:szCs w:val="24"/>
          <w:rtl/>
        </w:rPr>
      </w:pPr>
      <w:r w:rsidRPr="00BC57EA">
        <w:rPr>
          <w:rFonts w:ascii="David" w:hAnsi="David" w:cs="David" w:hint="cs"/>
          <w:sz w:val="24"/>
          <w:szCs w:val="24"/>
          <w:rtl/>
        </w:rPr>
        <w:t>ב.</w:t>
      </w:r>
      <w:r w:rsidRPr="00BC57EA">
        <w:rPr>
          <w:rFonts w:ascii="David" w:hAnsi="David" w:cs="David"/>
          <w:sz w:val="24"/>
          <w:szCs w:val="24"/>
          <w:rtl/>
        </w:rPr>
        <w:tab/>
      </w:r>
      <w:r w:rsidR="00AC38CE" w:rsidRPr="00BC57EA">
        <w:rPr>
          <w:rFonts w:ascii="David" w:hAnsi="David" w:cs="David" w:hint="cs"/>
          <w:sz w:val="24"/>
          <w:szCs w:val="24"/>
          <w:rtl/>
        </w:rPr>
        <w:t xml:space="preserve">הכרה בהוצאות השימוש בפלטפורמה </w:t>
      </w:r>
      <w:r w:rsidR="00AC38CE" w:rsidRPr="00BC57EA">
        <w:rPr>
          <w:rFonts w:ascii="David" w:hAnsi="David" w:cs="David"/>
          <w:sz w:val="24"/>
          <w:szCs w:val="24"/>
          <w:rtl/>
        </w:rPr>
        <w:t>–</w:t>
      </w:r>
      <w:r w:rsidR="00AC38CE" w:rsidRPr="00BC57EA">
        <w:rPr>
          <w:rFonts w:ascii="David" w:hAnsi="David" w:cs="David" w:hint="cs"/>
          <w:sz w:val="24"/>
          <w:szCs w:val="24"/>
          <w:rtl/>
        </w:rPr>
        <w:t xml:space="preserve"> הכרה בהוצאות השימוש בפלטפורמה (עמלה שמשולמת למפעיל הפלטפורמה על ידי המלווה) לצורך קביעת ההכנסה החייבת מריבית והטלת המס רק על הריבית בניכוי ההוצאות (כבר בשלב הניכוי).</w:t>
      </w:r>
    </w:p>
    <w:p w:rsidR="00967953" w:rsidRPr="00BC57EA" w:rsidRDefault="00DD2CC7" w:rsidP="00C17D96">
      <w:pPr>
        <w:spacing w:line="360" w:lineRule="auto"/>
        <w:ind w:firstLine="720"/>
        <w:jc w:val="both"/>
        <w:rPr>
          <w:rFonts w:ascii="David" w:hAnsi="David" w:cs="David"/>
          <w:sz w:val="24"/>
          <w:szCs w:val="24"/>
          <w:rtl/>
        </w:rPr>
      </w:pPr>
      <w:r w:rsidRPr="00BC57EA">
        <w:rPr>
          <w:rFonts w:ascii="David" w:hAnsi="David" w:cs="David" w:hint="cs"/>
          <w:sz w:val="24"/>
          <w:szCs w:val="24"/>
          <w:rtl/>
        </w:rPr>
        <w:t>ג.</w:t>
      </w:r>
      <w:r w:rsidRPr="00BC57EA">
        <w:rPr>
          <w:rFonts w:ascii="David" w:hAnsi="David" w:cs="David" w:hint="cs"/>
          <w:sz w:val="24"/>
          <w:szCs w:val="24"/>
          <w:rtl/>
        </w:rPr>
        <w:tab/>
      </w:r>
      <w:r w:rsidR="00AC38CE" w:rsidRPr="00BC57EA">
        <w:rPr>
          <w:rFonts w:ascii="David" w:hAnsi="David" w:cs="David" w:hint="cs"/>
          <w:sz w:val="24"/>
          <w:szCs w:val="24"/>
          <w:rtl/>
        </w:rPr>
        <w:t xml:space="preserve">קופת גמל </w:t>
      </w:r>
      <w:r w:rsidR="005E643A" w:rsidRPr="00BC57EA">
        <w:rPr>
          <w:rFonts w:ascii="David" w:hAnsi="David" w:cs="David" w:hint="cs"/>
          <w:sz w:val="24"/>
          <w:szCs w:val="24"/>
          <w:rtl/>
        </w:rPr>
        <w:t>להשקעה</w:t>
      </w:r>
      <w:r w:rsidR="00AC38CE" w:rsidRPr="00BC57EA">
        <w:rPr>
          <w:rFonts w:ascii="David" w:hAnsi="David" w:cs="David" w:hint="cs"/>
          <w:sz w:val="24"/>
          <w:szCs w:val="24"/>
          <w:rtl/>
        </w:rPr>
        <w:t xml:space="preserve"> </w:t>
      </w:r>
      <w:r w:rsidR="00AC38CE" w:rsidRPr="00BC57EA">
        <w:rPr>
          <w:rFonts w:ascii="David" w:hAnsi="David" w:cs="David"/>
          <w:sz w:val="24"/>
          <w:szCs w:val="24"/>
          <w:rtl/>
        </w:rPr>
        <w:t>–</w:t>
      </w:r>
      <w:r w:rsidR="00AC38CE" w:rsidRPr="00BC57EA">
        <w:rPr>
          <w:rFonts w:ascii="David" w:hAnsi="David" w:cs="David" w:hint="cs"/>
          <w:sz w:val="24"/>
          <w:szCs w:val="24"/>
          <w:rtl/>
        </w:rPr>
        <w:t xml:space="preserve"> </w:t>
      </w:r>
      <w:r w:rsidR="005E643A" w:rsidRPr="00BC57EA">
        <w:rPr>
          <w:rFonts w:ascii="David" w:hAnsi="David" w:cs="David" w:hint="cs"/>
          <w:sz w:val="24"/>
          <w:szCs w:val="24"/>
          <w:rtl/>
        </w:rPr>
        <w:t xml:space="preserve">המוצר החדש שנוצר לצורך עידוד החיסכון יצר עיוות גדול בין גופים שמתחרים על ניהול חסכון הציבור. בעוד בקופת גמל להשקעה החוסך יכול להפקיד עד 70 אלף ₪ בשנה ולא לשלם מס עד למועד משיכת הכסף, החוסך שישקיע את כספו בפלטפורמת </w:t>
      </w:r>
      <w:r w:rsidR="005E643A" w:rsidRPr="00BC57EA">
        <w:rPr>
          <w:rFonts w:ascii="David" w:hAnsi="David" w:cs="David" w:hint="cs"/>
          <w:sz w:val="24"/>
          <w:szCs w:val="24"/>
        </w:rPr>
        <w:t>P2P</w:t>
      </w:r>
      <w:r w:rsidR="005E643A" w:rsidRPr="00BC57EA">
        <w:rPr>
          <w:rFonts w:ascii="David" w:hAnsi="David" w:cs="David" w:hint="cs"/>
          <w:sz w:val="24"/>
          <w:szCs w:val="24"/>
          <w:rtl/>
        </w:rPr>
        <w:t xml:space="preserve"> נדרש לשלם את המס במועד היווצרות הרווח. </w:t>
      </w:r>
      <w:r w:rsidR="00693EEE" w:rsidRPr="00BC57EA">
        <w:rPr>
          <w:rFonts w:ascii="David" w:hAnsi="David" w:cs="David" w:hint="cs"/>
          <w:sz w:val="24"/>
          <w:szCs w:val="24"/>
          <w:rtl/>
        </w:rPr>
        <w:t>אין ל</w:t>
      </w:r>
      <w:r w:rsidR="005E643A" w:rsidRPr="00BC57EA">
        <w:rPr>
          <w:rFonts w:ascii="David" w:hAnsi="David" w:cs="David" w:hint="cs"/>
          <w:sz w:val="24"/>
          <w:szCs w:val="24"/>
          <w:rtl/>
        </w:rPr>
        <w:t xml:space="preserve">שיטתנו שום מקום לאפליה כה עמוקה בין גופים שמתחרים על ניהול חסכונות הציבור, אפליה זו פוגעת בראש וראשונה בציבור שאינו מקבל את החלטת החיסכון שלו </w:t>
      </w:r>
      <w:r w:rsidR="00693EEE" w:rsidRPr="00BC57EA">
        <w:rPr>
          <w:rFonts w:ascii="David" w:hAnsi="David" w:cs="David" w:hint="cs"/>
          <w:sz w:val="24"/>
          <w:szCs w:val="24"/>
          <w:rtl/>
        </w:rPr>
        <w:t>לפי</w:t>
      </w:r>
      <w:r w:rsidR="005E643A" w:rsidRPr="00BC57EA">
        <w:rPr>
          <w:rFonts w:ascii="David" w:hAnsi="David" w:cs="David" w:hint="cs"/>
          <w:sz w:val="24"/>
          <w:szCs w:val="24"/>
          <w:rtl/>
        </w:rPr>
        <w:t xml:space="preserve"> </w:t>
      </w:r>
      <w:r w:rsidR="00693EEE" w:rsidRPr="00BC57EA">
        <w:rPr>
          <w:rFonts w:ascii="David" w:hAnsi="David" w:cs="David" w:hint="cs"/>
          <w:sz w:val="24"/>
          <w:szCs w:val="24"/>
          <w:rtl/>
        </w:rPr>
        <w:t>הפרמטרים שהיא אמורה להתקבל, כגון: תשואה, סיכון, וגובה דמי הניהול. למעשה העיוות מתמרץ את אותם גופים להעלות את דמי הניהול, מאחר ורק הם מסוגלים להציע את הטבת המס. בנוסף, אפליה זו בעייתית בייחוד לאור העובדה שהמדינה מעוניינת לעודד תחרות באשר</w:t>
      </w:r>
      <w:r w:rsidR="005E643A" w:rsidRPr="00BC57EA">
        <w:rPr>
          <w:rFonts w:ascii="David" w:hAnsi="David" w:cs="David" w:hint="cs"/>
          <w:sz w:val="24"/>
          <w:szCs w:val="24"/>
          <w:rtl/>
        </w:rPr>
        <w:t>א</w:t>
      </w:r>
      <w:r w:rsidR="00693EEE" w:rsidRPr="00BC57EA">
        <w:rPr>
          <w:rFonts w:ascii="David" w:hAnsi="David" w:cs="David" w:hint="cs"/>
          <w:sz w:val="24"/>
          <w:szCs w:val="24"/>
          <w:rtl/>
        </w:rPr>
        <w:t xml:space="preserve">י קמעונאי, ולכן אין הצדקה לתמרץ את הציבור לחסוך דווקא בקופות גמל </w:t>
      </w:r>
      <w:r w:rsidR="00967953" w:rsidRPr="00BC57EA">
        <w:rPr>
          <w:rFonts w:ascii="David" w:hAnsi="David" w:cs="David" w:hint="cs"/>
          <w:sz w:val="24"/>
          <w:szCs w:val="24"/>
          <w:rtl/>
        </w:rPr>
        <w:t>שאינן מתחרות בשוק הקמעונאי</w:t>
      </w:r>
      <w:r w:rsidR="00693EEE" w:rsidRPr="00BC57EA">
        <w:rPr>
          <w:rFonts w:ascii="David" w:hAnsi="David" w:cs="David" w:hint="cs"/>
          <w:sz w:val="24"/>
          <w:szCs w:val="24"/>
          <w:rtl/>
        </w:rPr>
        <w:t>. על מנת לתקן את העיוות בשוק יש להציע הטבת מס דומה גם למשקיעים בפלטפורמות. ניתן גם לקבוע כי העברת החיסכון מפלטפורמה לקופת גמל אינו מהווה אירוע מס, ולאפשר לציבור גמישות מלאה בבחירה בין המסלולים לאורך תקופת הח</w:t>
      </w:r>
      <w:r w:rsidR="00967953" w:rsidRPr="00BC57EA">
        <w:rPr>
          <w:rFonts w:ascii="David" w:hAnsi="David" w:cs="David" w:hint="cs"/>
          <w:sz w:val="24"/>
          <w:szCs w:val="24"/>
          <w:rtl/>
        </w:rPr>
        <w:t>י</w:t>
      </w:r>
      <w:r w:rsidR="00693EEE" w:rsidRPr="00BC57EA">
        <w:rPr>
          <w:rFonts w:ascii="David" w:hAnsi="David" w:cs="David" w:hint="cs"/>
          <w:sz w:val="24"/>
          <w:szCs w:val="24"/>
          <w:rtl/>
        </w:rPr>
        <w:t>סכון.</w:t>
      </w:r>
    </w:p>
    <w:p w:rsidR="00954275" w:rsidRPr="00BC57EA" w:rsidRDefault="00C17D96" w:rsidP="00C17D96">
      <w:pPr>
        <w:spacing w:line="360" w:lineRule="auto"/>
        <w:ind w:firstLine="720"/>
        <w:jc w:val="both"/>
        <w:rPr>
          <w:rFonts w:ascii="David" w:hAnsi="David" w:cs="David"/>
          <w:sz w:val="24"/>
          <w:szCs w:val="24"/>
        </w:rPr>
      </w:pPr>
      <w:r w:rsidRPr="00BC57EA">
        <w:rPr>
          <w:rFonts w:ascii="David" w:hAnsi="David" w:cs="David" w:hint="cs"/>
          <w:sz w:val="24"/>
          <w:szCs w:val="24"/>
          <w:rtl/>
        </w:rPr>
        <w:t xml:space="preserve"> </w:t>
      </w:r>
    </w:p>
    <w:p w:rsidR="00886E23" w:rsidRPr="00BC57EA" w:rsidRDefault="00886E23" w:rsidP="00886E23">
      <w:pPr>
        <w:spacing w:line="360" w:lineRule="auto"/>
        <w:rPr>
          <w:rFonts w:ascii="David" w:hAnsi="David" w:cs="David"/>
          <w:sz w:val="24"/>
          <w:szCs w:val="24"/>
        </w:rPr>
      </w:pPr>
    </w:p>
    <w:p w:rsidR="00EF746B" w:rsidRPr="00BC57EA" w:rsidRDefault="00A131DD" w:rsidP="00867571">
      <w:pPr>
        <w:spacing w:line="360" w:lineRule="auto"/>
        <w:ind w:firstLine="720"/>
        <w:jc w:val="both"/>
        <w:rPr>
          <w:rFonts w:ascii="David" w:hAnsi="David" w:cs="David"/>
          <w:sz w:val="24"/>
          <w:szCs w:val="24"/>
          <w:rtl/>
        </w:rPr>
      </w:pPr>
      <w:r w:rsidRPr="00BC57EA">
        <w:rPr>
          <w:noProof/>
          <w:sz w:val="24"/>
          <w:szCs w:val="24"/>
        </w:rPr>
        <w:drawing>
          <wp:anchor distT="0" distB="0" distL="114300" distR="114300" simplePos="0" relativeHeight="251658240" behindDoc="0" locked="0" layoutInCell="1" allowOverlap="1">
            <wp:simplePos x="0" y="0"/>
            <wp:positionH relativeFrom="column">
              <wp:posOffset>332740</wp:posOffset>
            </wp:positionH>
            <wp:positionV relativeFrom="paragraph">
              <wp:posOffset>207645</wp:posOffset>
            </wp:positionV>
            <wp:extent cx="1701800" cy="729615"/>
            <wp:effectExtent l="0" t="0" r="0" b="0"/>
            <wp:wrapSquare wrapText="bothSides"/>
            <wp:docPr id="3" name="תמונה 3" descr="C:\Users\Varda\AppData\Local\Microsoft\Windows\INetCacheContent.Word\חתימה ורד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rda\AppData\Local\Microsoft\Windows\INetCacheContent.Word\חתימה ורדה.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1800" cy="729615"/>
                    </a:xfrm>
                    <a:prstGeom prst="rect">
                      <a:avLst/>
                    </a:prstGeom>
                    <a:noFill/>
                    <a:ln>
                      <a:noFill/>
                    </a:ln>
                  </pic:spPr>
                </pic:pic>
              </a:graphicData>
            </a:graphic>
          </wp:anchor>
        </w:drawing>
      </w:r>
      <w:r w:rsidR="00EF746B" w:rsidRPr="00BC57EA">
        <w:rPr>
          <w:rFonts w:ascii="David" w:hAnsi="David" w:cs="David"/>
          <w:sz w:val="24"/>
          <w:szCs w:val="24"/>
        </w:rPr>
        <w:t xml:space="preserve">      </w:t>
      </w:r>
      <w:r w:rsidR="00EF746B" w:rsidRPr="00BC57EA">
        <w:rPr>
          <w:rFonts w:ascii="David" w:hAnsi="David" w:cs="David" w:hint="cs"/>
          <w:sz w:val="24"/>
          <w:szCs w:val="24"/>
          <w:rtl/>
        </w:rPr>
        <w:t xml:space="preserve">                                                                          </w:t>
      </w:r>
      <w:r w:rsidR="00886E23" w:rsidRPr="00BC57EA">
        <w:rPr>
          <w:rFonts w:ascii="David" w:hAnsi="David" w:cs="David" w:hint="cs"/>
          <w:sz w:val="24"/>
          <w:szCs w:val="24"/>
          <w:rtl/>
        </w:rPr>
        <w:t xml:space="preserve">                        </w:t>
      </w:r>
      <w:r w:rsidR="00EF746B" w:rsidRPr="00BC57EA">
        <w:rPr>
          <w:rFonts w:ascii="David" w:hAnsi="David" w:cs="David" w:hint="cs"/>
          <w:sz w:val="24"/>
          <w:szCs w:val="24"/>
          <w:rtl/>
        </w:rPr>
        <w:t xml:space="preserve"> בברכה,</w:t>
      </w:r>
    </w:p>
    <w:p w:rsidR="00EF746B" w:rsidRPr="00BC57EA" w:rsidRDefault="00EF746B" w:rsidP="00867571">
      <w:pPr>
        <w:spacing w:line="360" w:lineRule="auto"/>
        <w:ind w:firstLine="720"/>
        <w:jc w:val="both"/>
        <w:rPr>
          <w:rFonts w:ascii="David" w:hAnsi="David" w:cs="David"/>
          <w:sz w:val="24"/>
          <w:szCs w:val="24"/>
          <w:rtl/>
        </w:rPr>
      </w:pPr>
    </w:p>
    <w:p w:rsidR="00A131DD" w:rsidRPr="00BC57EA" w:rsidRDefault="00EF746B" w:rsidP="00867571">
      <w:pPr>
        <w:spacing w:line="360" w:lineRule="auto"/>
        <w:ind w:firstLine="720"/>
        <w:jc w:val="both"/>
        <w:rPr>
          <w:rFonts w:ascii="David" w:hAnsi="David" w:cs="David"/>
          <w:sz w:val="24"/>
          <w:szCs w:val="24"/>
          <w:rtl/>
        </w:rPr>
      </w:pPr>
      <w:r w:rsidRPr="00BC57EA">
        <w:rPr>
          <w:rFonts w:ascii="David" w:hAnsi="David" w:cs="David" w:hint="cs"/>
          <w:sz w:val="24"/>
          <w:szCs w:val="24"/>
          <w:rtl/>
        </w:rPr>
        <w:t xml:space="preserve">                                                                         </w:t>
      </w:r>
      <w:r w:rsidR="00886E23" w:rsidRPr="00BC57EA">
        <w:rPr>
          <w:rFonts w:ascii="David" w:hAnsi="David" w:cs="David" w:hint="cs"/>
          <w:sz w:val="24"/>
          <w:szCs w:val="24"/>
          <w:rtl/>
        </w:rPr>
        <w:t xml:space="preserve">                           </w:t>
      </w:r>
      <w:r w:rsidRPr="00BC57EA">
        <w:rPr>
          <w:rFonts w:ascii="David" w:hAnsi="David" w:cs="David" w:hint="cs"/>
          <w:sz w:val="24"/>
          <w:szCs w:val="24"/>
          <w:rtl/>
        </w:rPr>
        <w:t xml:space="preserve"> </w:t>
      </w:r>
    </w:p>
    <w:p w:rsidR="00EF746B" w:rsidRPr="00BC57EA" w:rsidRDefault="00A131DD" w:rsidP="00867571">
      <w:pPr>
        <w:spacing w:line="360" w:lineRule="auto"/>
        <w:ind w:firstLine="720"/>
        <w:jc w:val="both"/>
        <w:rPr>
          <w:rFonts w:ascii="David" w:hAnsi="David" w:cs="David"/>
          <w:sz w:val="24"/>
          <w:szCs w:val="24"/>
          <w:rtl/>
        </w:rPr>
      </w:pPr>
      <w:r w:rsidRPr="00BC57EA">
        <w:rPr>
          <w:rFonts w:ascii="David" w:hAnsi="David" w:cs="David" w:hint="cs"/>
          <w:sz w:val="24"/>
          <w:szCs w:val="24"/>
          <w:rtl/>
        </w:rPr>
        <w:t xml:space="preserve">                                                                                                      </w:t>
      </w:r>
      <w:r w:rsidR="00EF746B" w:rsidRPr="00BC57EA">
        <w:rPr>
          <w:rFonts w:ascii="David" w:hAnsi="David" w:cs="David" w:hint="cs"/>
          <w:sz w:val="24"/>
          <w:szCs w:val="24"/>
          <w:rtl/>
        </w:rPr>
        <w:t>ורדה לוסטהויז</w:t>
      </w:r>
      <w:r w:rsidR="00886E23" w:rsidRPr="00BC57EA">
        <w:rPr>
          <w:rFonts w:ascii="David" w:hAnsi="David" w:cs="David" w:hint="cs"/>
          <w:sz w:val="24"/>
          <w:szCs w:val="24"/>
          <w:rtl/>
        </w:rPr>
        <w:t>, עו"ד</w:t>
      </w:r>
    </w:p>
    <w:p w:rsidR="00886E23" w:rsidRPr="00BC57EA" w:rsidRDefault="00886E23" w:rsidP="00867571">
      <w:pPr>
        <w:spacing w:line="360" w:lineRule="auto"/>
        <w:ind w:firstLine="720"/>
        <w:jc w:val="both"/>
        <w:rPr>
          <w:rFonts w:ascii="David" w:hAnsi="David" w:cs="David"/>
          <w:sz w:val="24"/>
          <w:szCs w:val="24"/>
          <w:rtl/>
        </w:rPr>
      </w:pPr>
      <w:r w:rsidRPr="00BC57EA">
        <w:rPr>
          <w:rFonts w:ascii="David" w:hAnsi="David" w:cs="David" w:hint="cs"/>
          <w:sz w:val="24"/>
          <w:szCs w:val="24"/>
          <w:rtl/>
        </w:rPr>
        <w:t xml:space="preserve">                                                                                                    סמנכ"ל רגולציה ומשפט </w:t>
      </w:r>
    </w:p>
    <w:p w:rsidR="00EF114E" w:rsidRPr="00BC57EA" w:rsidRDefault="00EF114E" w:rsidP="00867571">
      <w:pPr>
        <w:spacing w:line="360" w:lineRule="auto"/>
        <w:jc w:val="both"/>
        <w:rPr>
          <w:rFonts w:ascii="David" w:hAnsi="David" w:cs="David"/>
          <w:sz w:val="24"/>
          <w:szCs w:val="24"/>
        </w:rPr>
      </w:pPr>
    </w:p>
    <w:p w:rsidR="00BF35E8" w:rsidRPr="00BC57EA" w:rsidRDefault="00BF35E8" w:rsidP="00867571">
      <w:pPr>
        <w:spacing w:line="360" w:lineRule="auto"/>
        <w:jc w:val="both"/>
        <w:rPr>
          <w:rFonts w:ascii="David" w:hAnsi="David" w:cs="David"/>
          <w:sz w:val="24"/>
          <w:szCs w:val="24"/>
          <w:rtl/>
        </w:rPr>
      </w:pPr>
    </w:p>
    <w:p w:rsidR="00A461E7" w:rsidRPr="00BC57EA" w:rsidRDefault="00A461E7" w:rsidP="00867571">
      <w:pPr>
        <w:spacing w:line="360" w:lineRule="auto"/>
        <w:jc w:val="both"/>
        <w:rPr>
          <w:rFonts w:ascii="David" w:hAnsi="David" w:cs="David"/>
          <w:sz w:val="24"/>
          <w:szCs w:val="24"/>
        </w:rPr>
      </w:pPr>
      <w:r w:rsidRPr="00BC57EA">
        <w:rPr>
          <w:rFonts w:ascii="David" w:hAnsi="David" w:cs="David"/>
          <w:sz w:val="24"/>
          <w:szCs w:val="24"/>
          <w:rtl/>
        </w:rPr>
        <w:tab/>
      </w:r>
    </w:p>
    <w:p w:rsidR="00261AF0" w:rsidRPr="00BC57EA" w:rsidRDefault="00261AF0" w:rsidP="00867571">
      <w:pPr>
        <w:spacing w:line="360" w:lineRule="auto"/>
        <w:jc w:val="both"/>
        <w:rPr>
          <w:rFonts w:ascii="David" w:hAnsi="David" w:cs="David"/>
          <w:sz w:val="24"/>
          <w:szCs w:val="24"/>
          <w:rtl/>
        </w:rPr>
      </w:pPr>
      <w:r w:rsidRPr="00BC57EA">
        <w:rPr>
          <w:rFonts w:ascii="David" w:hAnsi="David" w:cs="David"/>
          <w:sz w:val="24"/>
          <w:szCs w:val="24"/>
          <w:rtl/>
        </w:rPr>
        <w:tab/>
      </w:r>
      <w:r w:rsidR="0054708A" w:rsidRPr="00BC57EA">
        <w:rPr>
          <w:rFonts w:ascii="David" w:hAnsi="David" w:cs="David" w:hint="cs"/>
          <w:sz w:val="24"/>
          <w:szCs w:val="24"/>
          <w:rtl/>
        </w:rPr>
        <w:t xml:space="preserve"> </w:t>
      </w:r>
      <w:r w:rsidRPr="00BC57EA">
        <w:rPr>
          <w:rFonts w:ascii="David" w:hAnsi="David" w:cs="David" w:hint="cs"/>
          <w:sz w:val="24"/>
          <w:szCs w:val="24"/>
          <w:rtl/>
        </w:rPr>
        <w:t xml:space="preserve"> </w:t>
      </w:r>
    </w:p>
    <w:p w:rsidR="00421437" w:rsidRPr="00BC57EA" w:rsidRDefault="00421437" w:rsidP="00867571">
      <w:pPr>
        <w:spacing w:line="360" w:lineRule="auto"/>
        <w:jc w:val="center"/>
        <w:rPr>
          <w:rFonts w:ascii="David" w:hAnsi="David" w:cs="David"/>
          <w:b/>
          <w:bCs/>
          <w:sz w:val="24"/>
          <w:szCs w:val="24"/>
          <w:u w:val="single"/>
          <w:rtl/>
        </w:rPr>
      </w:pPr>
    </w:p>
    <w:p w:rsidR="00421437" w:rsidRPr="00BC57EA" w:rsidRDefault="00421437" w:rsidP="00867571">
      <w:pPr>
        <w:spacing w:line="360" w:lineRule="auto"/>
        <w:jc w:val="center"/>
        <w:rPr>
          <w:rFonts w:asciiTheme="majorBidi" w:hAnsiTheme="majorBidi" w:cstheme="majorBidi"/>
          <w:b/>
          <w:bCs/>
          <w:sz w:val="24"/>
          <w:szCs w:val="24"/>
          <w:u w:val="single"/>
        </w:rPr>
      </w:pPr>
    </w:p>
    <w:p w:rsidR="007C0A5C" w:rsidRPr="00BC57EA" w:rsidRDefault="007C0A5C" w:rsidP="00867571">
      <w:pPr>
        <w:bidi w:val="0"/>
        <w:spacing w:line="360" w:lineRule="auto"/>
        <w:rPr>
          <w:rFonts w:asciiTheme="majorBidi" w:hAnsiTheme="majorBidi" w:cstheme="majorBidi"/>
          <w:sz w:val="24"/>
          <w:szCs w:val="24"/>
          <w:rtl/>
        </w:rPr>
      </w:pPr>
    </w:p>
    <w:sectPr w:rsidR="007C0A5C" w:rsidRPr="00BC57EA" w:rsidSect="00EC05E0">
      <w:headerReference w:type="default" r:id="rId9"/>
      <w:footerReference w:type="default" r:id="rId10"/>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975" w:rsidRDefault="00E50975" w:rsidP="00B16CB8">
      <w:pPr>
        <w:spacing w:after="0" w:line="240" w:lineRule="auto"/>
      </w:pPr>
      <w:r>
        <w:separator/>
      </w:r>
    </w:p>
  </w:endnote>
  <w:endnote w:type="continuationSeparator" w:id="0">
    <w:p w:rsidR="00E50975" w:rsidRDefault="00E50975" w:rsidP="00B16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C4" w:rsidRPr="000D143B" w:rsidRDefault="009023C4" w:rsidP="00397B3D">
    <w:pPr>
      <w:shd w:val="clear" w:color="auto" w:fill="FFFFFF"/>
      <w:spacing w:after="0"/>
      <w:jc w:val="center"/>
      <w:rPr>
        <w:rFonts w:ascii="Arial" w:eastAsia="Times New Roman" w:hAnsi="Arial" w:cs="Arial"/>
        <w:color w:val="9C9D9E"/>
        <w:sz w:val="18"/>
        <w:szCs w:val="18"/>
        <w:rtl/>
      </w:rPr>
    </w:pPr>
    <w:r>
      <w:rPr>
        <w:rFonts w:ascii="Arial" w:eastAsia="Times New Roman" w:hAnsi="Arial" w:cs="Arial"/>
        <w:noProof/>
        <w:color w:val="9C9D9E"/>
        <w:sz w:val="18"/>
        <w:szCs w:val="18"/>
        <w:rtl/>
      </w:rPr>
      <mc:AlternateContent>
        <mc:Choice Requires="wps">
          <w:drawing>
            <wp:anchor distT="4294967295" distB="4294967295" distL="114300" distR="114300" simplePos="0" relativeHeight="251668480" behindDoc="0" locked="0" layoutInCell="1" allowOverlap="1">
              <wp:simplePos x="0" y="0"/>
              <wp:positionH relativeFrom="margin">
                <wp:posOffset>-461010</wp:posOffset>
              </wp:positionH>
              <wp:positionV relativeFrom="paragraph">
                <wp:posOffset>-163831</wp:posOffset>
              </wp:positionV>
              <wp:extent cx="6200775"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00775" cy="0"/>
                      </a:xfrm>
                      <a:prstGeom prst="straightConnector1">
                        <a:avLst/>
                      </a:prstGeom>
                      <a:noFill/>
                      <a:ln w="9525">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8="http://schemas.microsoft.com/office/drawing/2016/5/14/chartex" xmlns:cx7="http://schemas.microsoft.com/office/drawing/2016/5/13/chartex" xmlns:cx6="http://schemas.microsoft.com/office/drawing/2016/5/12/chartex">
          <w:pict>
            <v:shapetype w14:anchorId="57AF7F87" id="_x0000_t32" coordsize="21600,21600" o:spt="32" o:oned="t" path="m,l21600,21600e" filled="f">
              <v:path arrowok="t" fillok="f" o:connecttype="none"/>
              <o:lock v:ext="edit" shapetype="t"/>
            </v:shapetype>
            <v:shape id="AutoShape 3" o:spid="_x0000_s1026" type="#_x0000_t32" style="position:absolute;margin-left:-36.3pt;margin-top:-12.9pt;width:488.25pt;height:0;flip:x;z-index:25166848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" strokecolor="#d8d8d8 [2732]">
              <w10:wrap anchorx="margin"/>
            </v:shape>
          </w:pict>
        </mc:Fallback>
      </mc:AlternateContent>
    </w:r>
    <w:r w:rsidRPr="000D143B">
      <w:rPr>
        <w:rFonts w:ascii="Arial" w:eastAsia="Times New Roman" w:hAnsi="Arial" w:cs="Arial" w:hint="cs"/>
        <w:color w:val="9C9D9E"/>
        <w:sz w:val="18"/>
        <w:szCs w:val="18"/>
        <w:rtl/>
      </w:rPr>
      <w:t>פלטפורמה</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אינטרנטית להלוואות</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בין</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חברים</w:t>
    </w:r>
  </w:p>
  <w:p w:rsidR="009023C4" w:rsidRPr="000D143B" w:rsidRDefault="009023C4" w:rsidP="00397B3D">
    <w:pPr>
      <w:shd w:val="clear" w:color="auto" w:fill="FFFFFF"/>
      <w:spacing w:after="0"/>
      <w:jc w:val="center"/>
      <w:rPr>
        <w:rFonts w:ascii="Arial" w:eastAsia="Times New Roman" w:hAnsi="Arial" w:cs="Arial"/>
        <w:color w:val="9C9D9E"/>
        <w:rtl/>
      </w:rPr>
    </w:pPr>
    <w:r w:rsidRPr="000D143B">
      <w:rPr>
        <w:rFonts w:ascii="Arial" w:eastAsia="Times New Roman" w:hAnsi="Arial" w:cs="Arial" w:hint="cs"/>
        <w:color w:val="9C9D9E"/>
        <w:sz w:val="18"/>
        <w:szCs w:val="18"/>
        <w:rtl/>
      </w:rPr>
      <w:t>משקיעים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מרוויחים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יותר - לווים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משלמים</w:t>
    </w:r>
    <w:r w:rsidRPr="000D143B">
      <w:rPr>
        <w:rFonts w:ascii="Arial" w:eastAsia="Times New Roman" w:hAnsi="Arial" w:cs="Arial"/>
        <w:color w:val="9C9D9E"/>
        <w:sz w:val="18"/>
        <w:szCs w:val="18"/>
        <w:rtl/>
      </w:rPr>
      <w:t xml:space="preserve"> </w:t>
    </w:r>
    <w:r w:rsidRPr="000D143B">
      <w:rPr>
        <w:rFonts w:ascii="Arial" w:eastAsia="Times New Roman" w:hAnsi="Arial" w:cs="Arial" w:hint="cs"/>
        <w:color w:val="9C9D9E"/>
        <w:sz w:val="18"/>
        <w:szCs w:val="18"/>
        <w:rtl/>
      </w:rPr>
      <w:t>פחות</w:t>
    </w:r>
  </w:p>
  <w:p w:rsidR="009023C4" w:rsidRPr="00034127" w:rsidRDefault="009023C4" w:rsidP="00397B3D">
    <w:pPr>
      <w:shd w:val="clear" w:color="auto" w:fill="FFFFFF"/>
      <w:spacing w:after="0"/>
      <w:jc w:val="center"/>
      <w:rPr>
        <w:rFonts w:ascii="Arial" w:eastAsia="Times New Roman" w:hAnsi="Arial" w:cs="Arial"/>
        <w:color w:val="25282C"/>
        <w:sz w:val="20"/>
        <w:szCs w:val="20"/>
      </w:rPr>
    </w:pPr>
  </w:p>
  <w:p w:rsidR="009023C4" w:rsidRDefault="009023C4" w:rsidP="00645587">
    <w:pPr>
      <w:shd w:val="clear" w:color="auto" w:fill="FFFFFF"/>
      <w:spacing w:after="0"/>
      <w:jc w:val="center"/>
      <w:rPr>
        <w:rFonts w:ascii="Arial" w:eastAsia="Times New Roman" w:hAnsi="Arial" w:cs="Arial"/>
        <w:color w:val="073763"/>
        <w:sz w:val="20"/>
        <w:szCs w:val="20"/>
        <w:rtl/>
      </w:rPr>
    </w:pPr>
    <w:r w:rsidRPr="006F2416">
      <w:rPr>
        <w:rFonts w:ascii="Arial" w:eastAsia="Times New Roman" w:hAnsi="Arial" w:cs="Arial" w:hint="cs"/>
        <w:color w:val="073763"/>
        <w:sz w:val="20"/>
        <w:szCs w:val="20"/>
        <w:rtl/>
      </w:rPr>
      <w:t xml:space="preserve">טלפון: </w:t>
    </w:r>
    <w:r w:rsidRPr="00034127">
      <w:rPr>
        <w:rFonts w:ascii="Arial" w:eastAsia="Times New Roman" w:hAnsi="Arial" w:cs="Arial"/>
        <w:color w:val="073763"/>
        <w:sz w:val="20"/>
        <w:szCs w:val="20"/>
        <w:rtl/>
      </w:rPr>
      <w:t>0</w:t>
    </w:r>
    <w:r>
      <w:rPr>
        <w:rFonts w:ascii="Arial" w:eastAsia="Times New Roman" w:hAnsi="Arial" w:cs="Arial" w:hint="cs"/>
        <w:color w:val="073763"/>
        <w:sz w:val="20"/>
        <w:szCs w:val="20"/>
        <w:rtl/>
      </w:rPr>
      <w:t>3</w:t>
    </w:r>
    <w:r w:rsidRPr="00034127">
      <w:rPr>
        <w:rFonts w:ascii="Arial" w:eastAsia="Times New Roman" w:hAnsi="Arial" w:cs="Arial"/>
        <w:color w:val="073763"/>
        <w:sz w:val="20"/>
        <w:szCs w:val="20"/>
        <w:rtl/>
      </w:rPr>
      <w:t>-</w:t>
    </w:r>
    <w:r>
      <w:rPr>
        <w:rFonts w:ascii="Arial" w:eastAsia="Times New Roman" w:hAnsi="Arial" w:cs="Arial" w:hint="cs"/>
        <w:color w:val="073763"/>
        <w:sz w:val="20"/>
        <w:szCs w:val="20"/>
        <w:rtl/>
      </w:rPr>
      <w:t>9107272</w:t>
    </w:r>
    <w:r w:rsidRPr="006F2416">
      <w:rPr>
        <w:rFonts w:ascii="Arial" w:eastAsia="Times New Roman" w:hAnsi="Arial" w:cs="Arial" w:hint="cs"/>
        <w:color w:val="073763"/>
        <w:sz w:val="20"/>
        <w:szCs w:val="20"/>
        <w:rtl/>
      </w:rPr>
      <w:t xml:space="preserve"> </w:t>
    </w:r>
    <w:r w:rsidRPr="00034127">
      <w:rPr>
        <w:rFonts w:ascii="Arial" w:eastAsia="Times New Roman" w:hAnsi="Arial" w:cs="Arial"/>
        <w:color w:val="CCCCCC"/>
        <w:sz w:val="20"/>
        <w:szCs w:val="20"/>
        <w:rtl/>
      </w:rPr>
      <w:t>  </w:t>
    </w:r>
    <w:r w:rsidRPr="000D143B">
      <w:rPr>
        <w:rFonts w:ascii="Wingdings" w:eastAsia="Times New Roman" w:hAnsi="Wingdings" w:cs="Arial"/>
        <w:color w:val="CCCCCC"/>
        <w:position w:val="2"/>
        <w:sz w:val="10"/>
        <w:szCs w:val="10"/>
      </w:rPr>
      <w:t></w:t>
    </w:r>
    <w:r w:rsidRPr="006F2416">
      <w:rPr>
        <w:rFonts w:ascii="Arial" w:eastAsia="Times New Roman" w:hAnsi="Arial" w:cs="Arial" w:hint="cs"/>
        <w:color w:val="073763"/>
        <w:sz w:val="20"/>
        <w:szCs w:val="20"/>
        <w:rtl/>
      </w:rPr>
      <w:t xml:space="preserve">   פקס: </w:t>
    </w:r>
    <w:r w:rsidRPr="00034127">
      <w:rPr>
        <w:rFonts w:ascii="Arial" w:eastAsia="Times New Roman" w:hAnsi="Arial" w:cs="Arial"/>
        <w:color w:val="073763"/>
        <w:sz w:val="20"/>
        <w:szCs w:val="20"/>
        <w:rtl/>
      </w:rPr>
      <w:t>0</w:t>
    </w:r>
    <w:r>
      <w:rPr>
        <w:rFonts w:ascii="Arial" w:eastAsia="Times New Roman" w:hAnsi="Arial" w:cs="Arial" w:hint="cs"/>
        <w:color w:val="073763"/>
        <w:sz w:val="20"/>
        <w:szCs w:val="20"/>
        <w:rtl/>
      </w:rPr>
      <w:t>3</w:t>
    </w:r>
    <w:r w:rsidRPr="00034127">
      <w:rPr>
        <w:rFonts w:ascii="Arial" w:eastAsia="Times New Roman" w:hAnsi="Arial" w:cs="Arial"/>
        <w:color w:val="073763"/>
        <w:sz w:val="20"/>
        <w:szCs w:val="20"/>
        <w:rtl/>
      </w:rPr>
      <w:t>-</w:t>
    </w:r>
    <w:r>
      <w:rPr>
        <w:rFonts w:ascii="Arial" w:eastAsia="Times New Roman" w:hAnsi="Arial" w:cs="Arial" w:hint="cs"/>
        <w:color w:val="073763"/>
        <w:sz w:val="20"/>
        <w:szCs w:val="20"/>
        <w:rtl/>
      </w:rPr>
      <w:t>9107270</w:t>
    </w:r>
    <w:r w:rsidRPr="006F2416">
      <w:rPr>
        <w:rFonts w:ascii="Arial" w:eastAsia="Times New Roman" w:hAnsi="Arial" w:cs="Arial" w:hint="cs"/>
        <w:color w:val="073763"/>
        <w:sz w:val="20"/>
        <w:szCs w:val="20"/>
        <w:rtl/>
      </w:rPr>
      <w:t xml:space="preserve">  </w:t>
    </w:r>
    <w:r w:rsidRPr="00034127">
      <w:rPr>
        <w:rFonts w:ascii="Arial" w:eastAsia="Times New Roman" w:hAnsi="Arial" w:cs="Arial"/>
        <w:color w:val="CCCCCC"/>
        <w:sz w:val="20"/>
        <w:szCs w:val="20"/>
        <w:rtl/>
      </w:rPr>
      <w:t>  </w:t>
    </w:r>
    <w:r w:rsidRPr="000D143B">
      <w:rPr>
        <w:rFonts w:ascii="Wingdings" w:eastAsia="Times New Roman" w:hAnsi="Wingdings" w:cs="Arial"/>
        <w:color w:val="CCCCCC"/>
        <w:position w:val="2"/>
        <w:sz w:val="10"/>
        <w:szCs w:val="10"/>
      </w:rPr>
      <w:t></w:t>
    </w:r>
    <w:r w:rsidRPr="006F2416">
      <w:rPr>
        <w:rFonts w:ascii="Arial" w:eastAsia="Times New Roman" w:hAnsi="Arial" w:cs="Arial" w:hint="cs"/>
        <w:color w:val="073763"/>
        <w:sz w:val="20"/>
        <w:szCs w:val="20"/>
        <w:rtl/>
      </w:rPr>
      <w:t xml:space="preserve">   כתובת: </w:t>
    </w:r>
    <w:r>
      <w:rPr>
        <w:rFonts w:ascii="Arial" w:eastAsia="Times New Roman" w:hAnsi="Arial" w:cs="Arial" w:hint="cs"/>
        <w:color w:val="073763"/>
        <w:sz w:val="20"/>
        <w:szCs w:val="20"/>
        <w:rtl/>
      </w:rPr>
      <w:t>רח' המלאכה 15,  ראש העין, מיקוד 4809136</w:t>
    </w:r>
  </w:p>
  <w:p w:rsidR="009023C4" w:rsidRPr="006F2416" w:rsidRDefault="009023C4" w:rsidP="00FA5AD1">
    <w:pPr>
      <w:shd w:val="clear" w:color="auto" w:fill="FFFFFF"/>
      <w:spacing w:after="0"/>
      <w:jc w:val="center"/>
      <w:rPr>
        <w:rFonts w:ascii="Arial" w:eastAsia="Times New Roman" w:hAnsi="Arial" w:cs="Arial"/>
        <w:color w:val="222222"/>
        <w:sz w:val="20"/>
        <w:szCs w:val="20"/>
        <w:rtl/>
      </w:rPr>
    </w:pPr>
    <w:r>
      <w:rPr>
        <w:rFonts w:ascii="Arial" w:eastAsia="Times New Roman" w:hAnsi="Arial" w:cs="Arial"/>
        <w:color w:val="00DDE9"/>
        <w:sz w:val="20"/>
        <w:szCs w:val="20"/>
        <w:u w:val="single"/>
      </w:rPr>
      <w:t>info@</w:t>
    </w:r>
    <w:r w:rsidRPr="006F2416">
      <w:rPr>
        <w:rFonts w:ascii="Arial" w:eastAsia="Times New Roman" w:hAnsi="Arial" w:cs="Arial"/>
        <w:color w:val="00DDE9"/>
        <w:sz w:val="20"/>
        <w:szCs w:val="20"/>
        <w:u w:val="single"/>
      </w:rPr>
      <w:t>tarya.co.il</w:t>
    </w:r>
    <w:r w:rsidRPr="006F2416">
      <w:rPr>
        <w:rFonts w:ascii="Arial" w:eastAsia="Times New Roman" w:hAnsi="Arial" w:cs="Arial" w:hint="cs"/>
        <w:color w:val="073763"/>
        <w:sz w:val="20"/>
        <w:szCs w:val="20"/>
        <w:rtl/>
      </w:rPr>
      <w:t xml:space="preserve">  </w:t>
    </w:r>
    <w:r w:rsidRPr="00034127">
      <w:rPr>
        <w:rFonts w:ascii="Arial" w:eastAsia="Times New Roman" w:hAnsi="Arial" w:cs="Arial"/>
        <w:color w:val="CCCCCC"/>
        <w:sz w:val="20"/>
        <w:szCs w:val="20"/>
        <w:rtl/>
      </w:rPr>
      <w:t> </w:t>
    </w:r>
    <w:r w:rsidRPr="000D143B">
      <w:rPr>
        <w:rFonts w:ascii="Wingdings" w:eastAsia="Times New Roman" w:hAnsi="Wingdings" w:cs="Arial"/>
        <w:color w:val="CCCCCC"/>
        <w:position w:val="2"/>
        <w:sz w:val="10"/>
        <w:szCs w:val="10"/>
      </w:rPr>
      <w:t></w:t>
    </w:r>
    <w:r w:rsidRPr="006F2416">
      <w:rPr>
        <w:rFonts w:ascii="Arial" w:eastAsia="Times New Roman" w:hAnsi="Arial" w:cs="Arial" w:hint="cs"/>
        <w:color w:val="073763"/>
        <w:sz w:val="20"/>
        <w:szCs w:val="20"/>
        <w:rtl/>
      </w:rPr>
      <w:t xml:space="preserve"> </w:t>
    </w:r>
    <w:r>
      <w:rPr>
        <w:rFonts w:ascii="Arial" w:eastAsia="Times New Roman" w:hAnsi="Arial" w:cs="Arial" w:hint="cs"/>
        <w:color w:val="073763"/>
        <w:sz w:val="20"/>
        <w:szCs w:val="20"/>
        <w:rtl/>
      </w:rPr>
      <w:t xml:space="preserve"> </w:t>
    </w:r>
    <w:r w:rsidRPr="006F2416">
      <w:rPr>
        <w:rFonts w:ascii="Arial" w:eastAsia="Times New Roman" w:hAnsi="Arial" w:cs="Arial" w:hint="cs"/>
        <w:color w:val="073763"/>
        <w:sz w:val="20"/>
        <w:szCs w:val="20"/>
        <w:rtl/>
      </w:rPr>
      <w:t xml:space="preserve">  </w:t>
    </w:r>
    <w:r w:rsidRPr="00333F9C">
      <w:rPr>
        <w:rFonts w:ascii="Arial" w:eastAsia="Times New Roman" w:hAnsi="Arial" w:cs="Arial"/>
        <w:color w:val="00DDE9"/>
        <w:sz w:val="20"/>
        <w:szCs w:val="20"/>
        <w:u w:val="single"/>
      </w:rPr>
      <w:t>www.tarya.co.il</w:t>
    </w:r>
    <w:r w:rsidRPr="006F2416">
      <w:rPr>
        <w:rFonts w:ascii="Arial" w:eastAsia="Times New Roman" w:hAnsi="Arial" w:cs="Arial" w:hint="cs"/>
        <w:color w:val="073763"/>
        <w:sz w:val="20"/>
        <w:szCs w:val="20"/>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975" w:rsidRDefault="00E50975" w:rsidP="00B16CB8">
      <w:pPr>
        <w:spacing w:after="0" w:line="240" w:lineRule="auto"/>
      </w:pPr>
      <w:r>
        <w:separator/>
      </w:r>
    </w:p>
  </w:footnote>
  <w:footnote w:type="continuationSeparator" w:id="0">
    <w:p w:rsidR="00E50975" w:rsidRDefault="00E50975" w:rsidP="00B16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C4" w:rsidRDefault="009023C4">
    <w:pPr>
      <w:pStyle w:val="a9"/>
    </w:pPr>
    <w:r>
      <w:rPr>
        <w:noProof/>
      </w:rPr>
      <w:drawing>
        <wp:anchor distT="0" distB="0" distL="114300" distR="114300" simplePos="0" relativeHeight="251665408" behindDoc="0" locked="0" layoutInCell="1" allowOverlap="1">
          <wp:simplePos x="0" y="0"/>
          <wp:positionH relativeFrom="column">
            <wp:posOffset>-615051</wp:posOffset>
          </wp:positionH>
          <wp:positionV relativeFrom="paragraph">
            <wp:posOffset>-350626</wp:posOffset>
          </wp:positionV>
          <wp:extent cx="1678475" cy="733330"/>
          <wp:effectExtent l="19050" t="0" r="0" b="0"/>
          <wp:wrapNone/>
          <wp:docPr id="10"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78475" cy="733330"/>
                  </a:xfrm>
                  <a:prstGeom prst="rect">
                    <a:avLst/>
                  </a:prstGeom>
                  <a:noFill/>
                  <a:ln w="9525">
                    <a:noFill/>
                    <a:miter lim="800000"/>
                    <a:headEnd/>
                    <a:tailEnd/>
                  </a:ln>
                </pic:spPr>
              </pic:pic>
            </a:graphicData>
          </a:graphic>
        </wp:anchor>
      </w:drawing>
    </w:r>
  </w:p>
  <w:p w:rsidR="009023C4" w:rsidRDefault="009023C4">
    <w:pPr>
      <w:pStyle w:val="a9"/>
    </w:pPr>
    <w:r>
      <w:rPr>
        <w:noProof/>
      </w:rPr>
      <mc:AlternateContent>
        <mc:Choice Requires="wps">
          <w:drawing>
            <wp:anchor distT="0" distB="0" distL="114300" distR="114300" simplePos="0" relativeHeight="251661312" behindDoc="0" locked="0" layoutInCell="1" allowOverlap="1">
              <wp:simplePos x="0" y="0"/>
              <wp:positionH relativeFrom="column">
                <wp:posOffset>4559300</wp:posOffset>
              </wp:positionH>
              <wp:positionV relativeFrom="paragraph">
                <wp:posOffset>51435</wp:posOffset>
              </wp:positionV>
              <wp:extent cx="1530985" cy="2190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3C4" w:rsidRPr="00EC05E0" w:rsidRDefault="009023C4" w:rsidP="00F771D8">
                          <w:pPr>
                            <w:rPr>
                              <w:rFonts w:asciiTheme="minorBidi" w:hAnsiTheme="minorBidi"/>
                              <w:sz w:val="18"/>
                              <w:szCs w:val="18"/>
                              <w:rt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8="http://schemas.microsoft.com/office/drawing/2016/5/14/chartex" xmlns:cx7="http://schemas.microsoft.com/office/drawing/2016/5/13/chartex" xmlns:cx6="http://schemas.microsoft.com/office/drawing/2016/5/12/chartex">
          <w:pict>
            <v:shapetype id="_x0000_t202" coordsize="21600,21600" o:spt="202" path="m,l,21600r21600,l21600,xe">
              <v:stroke joinstyle="miter"/>
              <v:path gradientshapeok="t" o:connecttype="rect"/>
            </v:shapetype>
            <v:shape id="Text Box 1" o:spid="_x0000_s1026" type="#_x0000_t202" style="position:absolute;left:0;text-align:left;margin-left:359pt;margin-top:4.05pt;width:120.55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" filled="f" stroked="f">
              <v:textbox>
                <w:txbxContent>
                  <w:p w:rsidR="009023C4" w:rsidRPr="00EC05E0" w:rsidRDefault="009023C4" w:rsidP="00F771D8">
                    <w:pPr>
                      <w:rPr>
                        <w:rFonts w:asciiTheme="minorBidi" w:hAnsiTheme="minorBidi"/>
                        <w:sz w:val="18"/>
                        <w:szCs w:val="18"/>
                        <w:rtl/>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CE1"/>
    <w:multiLevelType w:val="hybridMultilevel"/>
    <w:tmpl w:val="DAA203EC"/>
    <w:lvl w:ilvl="0" w:tplc="BA6C320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A1E83"/>
    <w:multiLevelType w:val="multilevel"/>
    <w:tmpl w:val="0608B0F0"/>
    <w:lvl w:ilvl="0">
      <w:start w:val="1"/>
      <w:numFmt w:val="decimal"/>
      <w:pStyle w:val="a"/>
      <w:lvlText w:val="%1."/>
      <w:lvlJc w:val="left"/>
      <w:pPr>
        <w:tabs>
          <w:tab w:val="num" w:pos="567"/>
        </w:tabs>
        <w:ind w:left="567" w:right="567" w:hanging="567"/>
      </w:pPr>
      <w:rPr>
        <w:rFonts w:hint="default"/>
        <w:b/>
        <w:bCs w:val="0"/>
        <w:i w:val="0"/>
        <w:iCs w:val="0"/>
        <w:u w:val="none"/>
      </w:rPr>
    </w:lvl>
    <w:lvl w:ilvl="1">
      <w:start w:val="1"/>
      <w:numFmt w:val="decimal"/>
      <w:lvlText w:val="%1.%2"/>
      <w:lvlJc w:val="left"/>
      <w:pPr>
        <w:tabs>
          <w:tab w:val="num" w:pos="1134"/>
        </w:tabs>
        <w:ind w:left="1134" w:right="1134" w:hanging="567"/>
      </w:pPr>
      <w:rPr>
        <w:rFonts w:hint="default"/>
      </w:rPr>
    </w:lvl>
    <w:lvl w:ilvl="2">
      <w:start w:val="1"/>
      <w:numFmt w:val="decimal"/>
      <w:lvlText w:val="%1.%2.%3"/>
      <w:lvlJc w:val="left"/>
      <w:pPr>
        <w:tabs>
          <w:tab w:val="num" w:pos="1377"/>
        </w:tabs>
        <w:ind w:left="1377" w:right="1701" w:hanging="567"/>
      </w:pPr>
      <w:rPr>
        <w:rFonts w:hint="default"/>
        <w:lang w:bidi="he-IL"/>
      </w:rPr>
    </w:lvl>
    <w:lvl w:ilvl="3">
      <w:start w:val="1"/>
      <w:numFmt w:val="lowerLetter"/>
      <w:lvlText w:val="(%4)"/>
      <w:lvlJc w:val="left"/>
      <w:pPr>
        <w:tabs>
          <w:tab w:val="num" w:pos="2268"/>
        </w:tabs>
        <w:ind w:left="2268" w:right="2268" w:hanging="567"/>
      </w:pPr>
      <w:rPr>
        <w:rFonts w:hint="default"/>
      </w:rPr>
    </w:lvl>
    <w:lvl w:ilvl="4">
      <w:start w:val="1"/>
      <w:numFmt w:val="decimal"/>
      <w:lvlText w:val="(%5)"/>
      <w:lvlJc w:val="left"/>
      <w:pPr>
        <w:tabs>
          <w:tab w:val="num" w:pos="2835"/>
        </w:tabs>
        <w:ind w:left="2835" w:right="2835" w:hanging="567"/>
      </w:pPr>
      <w:rPr>
        <w:rFonts w:hint="default"/>
      </w:rPr>
    </w:lvl>
    <w:lvl w:ilvl="5">
      <w:start w:val="1"/>
      <w:numFmt w:val="lowerLetter"/>
      <w:lvlText w:val="(%6)"/>
      <w:lvlJc w:val="left"/>
      <w:pPr>
        <w:tabs>
          <w:tab w:val="num" w:pos="3402"/>
        </w:tabs>
        <w:ind w:left="3402" w:right="3402" w:hanging="567"/>
      </w:pPr>
      <w:rPr>
        <w:rFonts w:hint="default"/>
      </w:rPr>
    </w:lvl>
    <w:lvl w:ilvl="6">
      <w:start w:val="1"/>
      <w:numFmt w:val="decimal"/>
      <w:lvlText w:val="(%7)"/>
      <w:lvlJc w:val="left"/>
      <w:pPr>
        <w:tabs>
          <w:tab w:val="num" w:pos="3969"/>
        </w:tabs>
        <w:ind w:left="3969" w:right="3969" w:hanging="567"/>
      </w:pPr>
      <w:rPr>
        <w:rFonts w:hint="default"/>
      </w:rPr>
    </w:lvl>
    <w:lvl w:ilvl="7">
      <w:start w:val="1"/>
      <w:numFmt w:val="lowerLetter"/>
      <w:lvlText w:val="(%8)"/>
      <w:lvlJc w:val="left"/>
      <w:pPr>
        <w:tabs>
          <w:tab w:val="num" w:pos="4536"/>
        </w:tabs>
        <w:ind w:left="4536" w:right="4536" w:hanging="567"/>
      </w:pPr>
      <w:rPr>
        <w:rFonts w:hint="default"/>
      </w:rPr>
    </w:lvl>
    <w:lvl w:ilvl="8">
      <w:start w:val="1"/>
      <w:numFmt w:val="decimal"/>
      <w:lvlText w:val="(%9)"/>
      <w:lvlJc w:val="left"/>
      <w:pPr>
        <w:tabs>
          <w:tab w:val="num" w:pos="5103"/>
        </w:tabs>
        <w:ind w:left="5103" w:right="5103" w:hanging="567"/>
      </w:pPr>
      <w:rPr>
        <w:rFonts w:hint="default"/>
      </w:rPr>
    </w:lvl>
  </w:abstractNum>
  <w:abstractNum w:abstractNumId="2" w15:restartNumberingAfterBreak="0">
    <w:nsid w:val="2AF546E6"/>
    <w:multiLevelType w:val="hybridMultilevel"/>
    <w:tmpl w:val="FE3013EC"/>
    <w:lvl w:ilvl="0" w:tplc="EA0C5E02">
      <w:start w:val="1"/>
      <w:numFmt w:val="decimal"/>
      <w:lvlText w:val="%1"/>
      <w:lvlJc w:val="left"/>
      <w:pPr>
        <w:ind w:left="1965" w:hanging="360"/>
      </w:pPr>
      <w:rPr>
        <w:rFonts w:hint="default"/>
      </w:rPr>
    </w:lvl>
    <w:lvl w:ilvl="1" w:tplc="04090019" w:tentative="1">
      <w:start w:val="1"/>
      <w:numFmt w:val="lowerLetter"/>
      <w:lvlText w:val="%2."/>
      <w:lvlJc w:val="left"/>
      <w:pPr>
        <w:ind w:left="2685" w:hanging="360"/>
      </w:pPr>
    </w:lvl>
    <w:lvl w:ilvl="2" w:tplc="0409001B" w:tentative="1">
      <w:start w:val="1"/>
      <w:numFmt w:val="lowerRoman"/>
      <w:lvlText w:val="%3."/>
      <w:lvlJc w:val="right"/>
      <w:pPr>
        <w:ind w:left="3405" w:hanging="180"/>
      </w:pPr>
    </w:lvl>
    <w:lvl w:ilvl="3" w:tplc="0409000F" w:tentative="1">
      <w:start w:val="1"/>
      <w:numFmt w:val="decimal"/>
      <w:lvlText w:val="%4."/>
      <w:lvlJc w:val="left"/>
      <w:pPr>
        <w:ind w:left="4125" w:hanging="360"/>
      </w:pPr>
    </w:lvl>
    <w:lvl w:ilvl="4" w:tplc="04090019" w:tentative="1">
      <w:start w:val="1"/>
      <w:numFmt w:val="lowerLetter"/>
      <w:lvlText w:val="%5."/>
      <w:lvlJc w:val="left"/>
      <w:pPr>
        <w:ind w:left="4845" w:hanging="360"/>
      </w:pPr>
    </w:lvl>
    <w:lvl w:ilvl="5" w:tplc="0409001B" w:tentative="1">
      <w:start w:val="1"/>
      <w:numFmt w:val="lowerRoman"/>
      <w:lvlText w:val="%6."/>
      <w:lvlJc w:val="right"/>
      <w:pPr>
        <w:ind w:left="5565" w:hanging="180"/>
      </w:pPr>
    </w:lvl>
    <w:lvl w:ilvl="6" w:tplc="0409000F" w:tentative="1">
      <w:start w:val="1"/>
      <w:numFmt w:val="decimal"/>
      <w:lvlText w:val="%7."/>
      <w:lvlJc w:val="left"/>
      <w:pPr>
        <w:ind w:left="6285" w:hanging="360"/>
      </w:pPr>
    </w:lvl>
    <w:lvl w:ilvl="7" w:tplc="04090019" w:tentative="1">
      <w:start w:val="1"/>
      <w:numFmt w:val="lowerLetter"/>
      <w:lvlText w:val="%8."/>
      <w:lvlJc w:val="left"/>
      <w:pPr>
        <w:ind w:left="7005" w:hanging="360"/>
      </w:pPr>
    </w:lvl>
    <w:lvl w:ilvl="8" w:tplc="0409001B" w:tentative="1">
      <w:start w:val="1"/>
      <w:numFmt w:val="lowerRoman"/>
      <w:lvlText w:val="%9."/>
      <w:lvlJc w:val="right"/>
      <w:pPr>
        <w:ind w:left="7725" w:hanging="180"/>
      </w:pPr>
    </w:lvl>
  </w:abstractNum>
  <w:abstractNum w:abstractNumId="3" w15:restartNumberingAfterBreak="0">
    <w:nsid w:val="2D93111A"/>
    <w:multiLevelType w:val="hybridMultilevel"/>
    <w:tmpl w:val="09EC12FE"/>
    <w:lvl w:ilvl="0" w:tplc="8E806730">
      <w:start w:val="1"/>
      <w:numFmt w:val="bullet"/>
      <w:lvlText w:val=""/>
      <w:lvlJc w:val="left"/>
      <w:pPr>
        <w:ind w:left="720" w:hanging="360"/>
      </w:pPr>
      <w:rPr>
        <w:rFonts w:ascii="Wingdings" w:hAnsi="Wingdings"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317043"/>
    <w:multiLevelType w:val="multilevel"/>
    <w:tmpl w:val="2222CFA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530"/>
        </w:tabs>
        <w:ind w:left="15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7A601837"/>
    <w:multiLevelType w:val="hybridMultilevel"/>
    <w:tmpl w:val="92E854A2"/>
    <w:lvl w:ilvl="0" w:tplc="1B88BA34">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D7"/>
    <w:rsid w:val="0000789E"/>
    <w:rsid w:val="00010510"/>
    <w:rsid w:val="0001482B"/>
    <w:rsid w:val="000231EF"/>
    <w:rsid w:val="0002470E"/>
    <w:rsid w:val="000271A0"/>
    <w:rsid w:val="00034127"/>
    <w:rsid w:val="000623A9"/>
    <w:rsid w:val="000628E9"/>
    <w:rsid w:val="00065BF1"/>
    <w:rsid w:val="00075AB9"/>
    <w:rsid w:val="000B0838"/>
    <w:rsid w:val="000B3D78"/>
    <w:rsid w:val="000C1568"/>
    <w:rsid w:val="000C5582"/>
    <w:rsid w:val="000C6DE9"/>
    <w:rsid w:val="000D1409"/>
    <w:rsid w:val="000D143B"/>
    <w:rsid w:val="000E63D5"/>
    <w:rsid w:val="00105874"/>
    <w:rsid w:val="001075A5"/>
    <w:rsid w:val="001078B5"/>
    <w:rsid w:val="00111266"/>
    <w:rsid w:val="00121D7F"/>
    <w:rsid w:val="00122874"/>
    <w:rsid w:val="00122C0B"/>
    <w:rsid w:val="001263DB"/>
    <w:rsid w:val="0013122F"/>
    <w:rsid w:val="001336EC"/>
    <w:rsid w:val="0014219F"/>
    <w:rsid w:val="00160A6B"/>
    <w:rsid w:val="0017638A"/>
    <w:rsid w:val="0018591C"/>
    <w:rsid w:val="0019516F"/>
    <w:rsid w:val="001B4258"/>
    <w:rsid w:val="001B52BB"/>
    <w:rsid w:val="001C0505"/>
    <w:rsid w:val="001D586D"/>
    <w:rsid w:val="001E2282"/>
    <w:rsid w:val="001E712C"/>
    <w:rsid w:val="001F5B7D"/>
    <w:rsid w:val="00200C0A"/>
    <w:rsid w:val="00201384"/>
    <w:rsid w:val="00221CA4"/>
    <w:rsid w:val="00252CE7"/>
    <w:rsid w:val="00256325"/>
    <w:rsid w:val="00256F58"/>
    <w:rsid w:val="00261AF0"/>
    <w:rsid w:val="00266EEC"/>
    <w:rsid w:val="002A2D50"/>
    <w:rsid w:val="002B4309"/>
    <w:rsid w:val="003105A5"/>
    <w:rsid w:val="00311E18"/>
    <w:rsid w:val="003313CC"/>
    <w:rsid w:val="00333F9C"/>
    <w:rsid w:val="00342B73"/>
    <w:rsid w:val="00347195"/>
    <w:rsid w:val="00380F49"/>
    <w:rsid w:val="00397B3D"/>
    <w:rsid w:val="003A22A5"/>
    <w:rsid w:val="003A4CB9"/>
    <w:rsid w:val="003D6C26"/>
    <w:rsid w:val="0040208E"/>
    <w:rsid w:val="00416A37"/>
    <w:rsid w:val="00420755"/>
    <w:rsid w:val="00421437"/>
    <w:rsid w:val="0043276B"/>
    <w:rsid w:val="004765BE"/>
    <w:rsid w:val="00482E26"/>
    <w:rsid w:val="00495521"/>
    <w:rsid w:val="004D50E2"/>
    <w:rsid w:val="004E1F05"/>
    <w:rsid w:val="004E634F"/>
    <w:rsid w:val="00517186"/>
    <w:rsid w:val="0052278A"/>
    <w:rsid w:val="005257AB"/>
    <w:rsid w:val="00525EAB"/>
    <w:rsid w:val="00535FDB"/>
    <w:rsid w:val="0054708A"/>
    <w:rsid w:val="005539BE"/>
    <w:rsid w:val="00556445"/>
    <w:rsid w:val="00565492"/>
    <w:rsid w:val="005850C0"/>
    <w:rsid w:val="005925CB"/>
    <w:rsid w:val="005D19BC"/>
    <w:rsid w:val="005E5D6B"/>
    <w:rsid w:val="005E643A"/>
    <w:rsid w:val="00610C6C"/>
    <w:rsid w:val="006202FB"/>
    <w:rsid w:val="00642D1B"/>
    <w:rsid w:val="00645587"/>
    <w:rsid w:val="00645EBD"/>
    <w:rsid w:val="00673BDF"/>
    <w:rsid w:val="00680D76"/>
    <w:rsid w:val="00693EEE"/>
    <w:rsid w:val="0069553B"/>
    <w:rsid w:val="006956DA"/>
    <w:rsid w:val="00696E31"/>
    <w:rsid w:val="006C7D71"/>
    <w:rsid w:val="006F2416"/>
    <w:rsid w:val="00722A5C"/>
    <w:rsid w:val="007311B5"/>
    <w:rsid w:val="007442B5"/>
    <w:rsid w:val="0074606A"/>
    <w:rsid w:val="0077048F"/>
    <w:rsid w:val="00786D05"/>
    <w:rsid w:val="007C0A5C"/>
    <w:rsid w:val="007C6CEE"/>
    <w:rsid w:val="007F66D5"/>
    <w:rsid w:val="008108C7"/>
    <w:rsid w:val="00814AF0"/>
    <w:rsid w:val="00830F04"/>
    <w:rsid w:val="00830F38"/>
    <w:rsid w:val="008435F4"/>
    <w:rsid w:val="0084493C"/>
    <w:rsid w:val="00845EAF"/>
    <w:rsid w:val="00865395"/>
    <w:rsid w:val="008671F1"/>
    <w:rsid w:val="00867571"/>
    <w:rsid w:val="008838DB"/>
    <w:rsid w:val="00886E23"/>
    <w:rsid w:val="008A5616"/>
    <w:rsid w:val="008B60DA"/>
    <w:rsid w:val="008C761F"/>
    <w:rsid w:val="008F338F"/>
    <w:rsid w:val="009023C4"/>
    <w:rsid w:val="00904264"/>
    <w:rsid w:val="009134A2"/>
    <w:rsid w:val="009135C3"/>
    <w:rsid w:val="009200A8"/>
    <w:rsid w:val="00920C76"/>
    <w:rsid w:val="009526FA"/>
    <w:rsid w:val="00954275"/>
    <w:rsid w:val="00967953"/>
    <w:rsid w:val="00967D27"/>
    <w:rsid w:val="009759CA"/>
    <w:rsid w:val="009A4BCD"/>
    <w:rsid w:val="009B7B79"/>
    <w:rsid w:val="009C2194"/>
    <w:rsid w:val="009E01C2"/>
    <w:rsid w:val="009E451B"/>
    <w:rsid w:val="009E6D49"/>
    <w:rsid w:val="009F4843"/>
    <w:rsid w:val="00A027DD"/>
    <w:rsid w:val="00A131DD"/>
    <w:rsid w:val="00A2192B"/>
    <w:rsid w:val="00A3619E"/>
    <w:rsid w:val="00A461E7"/>
    <w:rsid w:val="00A5683C"/>
    <w:rsid w:val="00A64FD3"/>
    <w:rsid w:val="00AC38CE"/>
    <w:rsid w:val="00AD63AA"/>
    <w:rsid w:val="00AE2B15"/>
    <w:rsid w:val="00AF19E2"/>
    <w:rsid w:val="00AF64E3"/>
    <w:rsid w:val="00B04E42"/>
    <w:rsid w:val="00B16CB8"/>
    <w:rsid w:val="00B20F5F"/>
    <w:rsid w:val="00B21BDE"/>
    <w:rsid w:val="00B35BBB"/>
    <w:rsid w:val="00B42299"/>
    <w:rsid w:val="00B67539"/>
    <w:rsid w:val="00B80C92"/>
    <w:rsid w:val="00B849E7"/>
    <w:rsid w:val="00BC57EA"/>
    <w:rsid w:val="00BD493C"/>
    <w:rsid w:val="00BE264C"/>
    <w:rsid w:val="00BF35E8"/>
    <w:rsid w:val="00C17D96"/>
    <w:rsid w:val="00C51876"/>
    <w:rsid w:val="00C71E35"/>
    <w:rsid w:val="00D01A56"/>
    <w:rsid w:val="00D30B40"/>
    <w:rsid w:val="00D3174D"/>
    <w:rsid w:val="00D31D28"/>
    <w:rsid w:val="00D35EB6"/>
    <w:rsid w:val="00D56E71"/>
    <w:rsid w:val="00D77D42"/>
    <w:rsid w:val="00D81270"/>
    <w:rsid w:val="00D81774"/>
    <w:rsid w:val="00D91843"/>
    <w:rsid w:val="00DA419E"/>
    <w:rsid w:val="00DC432A"/>
    <w:rsid w:val="00DD2CC7"/>
    <w:rsid w:val="00DD304E"/>
    <w:rsid w:val="00DF5AF6"/>
    <w:rsid w:val="00E03479"/>
    <w:rsid w:val="00E42D61"/>
    <w:rsid w:val="00E43BA2"/>
    <w:rsid w:val="00E504F2"/>
    <w:rsid w:val="00E50975"/>
    <w:rsid w:val="00E614E1"/>
    <w:rsid w:val="00E70FFA"/>
    <w:rsid w:val="00E72FBF"/>
    <w:rsid w:val="00E7777E"/>
    <w:rsid w:val="00E806D7"/>
    <w:rsid w:val="00E9514A"/>
    <w:rsid w:val="00EA0513"/>
    <w:rsid w:val="00EB08E8"/>
    <w:rsid w:val="00EC05B7"/>
    <w:rsid w:val="00EC05E0"/>
    <w:rsid w:val="00EC2CD8"/>
    <w:rsid w:val="00EC4882"/>
    <w:rsid w:val="00ED0B18"/>
    <w:rsid w:val="00EF114E"/>
    <w:rsid w:val="00EF1770"/>
    <w:rsid w:val="00EF746B"/>
    <w:rsid w:val="00F04D99"/>
    <w:rsid w:val="00F07338"/>
    <w:rsid w:val="00F11FB3"/>
    <w:rsid w:val="00F26C1B"/>
    <w:rsid w:val="00F26C57"/>
    <w:rsid w:val="00F4479B"/>
    <w:rsid w:val="00F469E6"/>
    <w:rsid w:val="00F771D8"/>
    <w:rsid w:val="00F83033"/>
    <w:rsid w:val="00FA3ADC"/>
    <w:rsid w:val="00FA5AD1"/>
    <w:rsid w:val="00FB16EB"/>
    <w:rsid w:val="00FC5AFB"/>
    <w:rsid w:val="00FC68E7"/>
    <w:rsid w:val="00FE35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CBA5A"/>
  <w15:docId w15:val="{26FECBFE-5F67-40BD-B6B2-A913695F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0">
    <w:name w:val="Normal"/>
    <w:qFormat/>
    <w:rsid w:val="00DF5AF6"/>
    <w:pPr>
      <w:bidi/>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E806D7"/>
    <w:pPr>
      <w:spacing w:after="0" w:line="240" w:lineRule="auto"/>
    </w:pPr>
    <w:rPr>
      <w:rFonts w:ascii="Tahoma" w:hAnsi="Tahoma" w:cs="Tahoma"/>
      <w:sz w:val="16"/>
      <w:szCs w:val="16"/>
    </w:rPr>
  </w:style>
  <w:style w:type="character" w:customStyle="1" w:styleId="a5">
    <w:name w:val="טקסט בלונים תו"/>
    <w:basedOn w:val="a1"/>
    <w:link w:val="a4"/>
    <w:uiPriority w:val="99"/>
    <w:semiHidden/>
    <w:rsid w:val="00E806D7"/>
    <w:rPr>
      <w:rFonts w:ascii="Tahoma" w:hAnsi="Tahoma" w:cs="Tahoma"/>
      <w:sz w:val="16"/>
      <w:szCs w:val="16"/>
    </w:rPr>
  </w:style>
  <w:style w:type="paragraph" w:styleId="a6">
    <w:name w:val="endnote text"/>
    <w:basedOn w:val="a0"/>
    <w:link w:val="a7"/>
    <w:uiPriority w:val="99"/>
    <w:semiHidden/>
    <w:unhideWhenUsed/>
    <w:rsid w:val="00B16CB8"/>
    <w:pPr>
      <w:spacing w:after="0" w:line="240" w:lineRule="auto"/>
    </w:pPr>
    <w:rPr>
      <w:sz w:val="20"/>
      <w:szCs w:val="20"/>
    </w:rPr>
  </w:style>
  <w:style w:type="character" w:customStyle="1" w:styleId="a7">
    <w:name w:val="טקסט הערת סיום תו"/>
    <w:basedOn w:val="a1"/>
    <w:link w:val="a6"/>
    <w:uiPriority w:val="99"/>
    <w:semiHidden/>
    <w:rsid w:val="00B16CB8"/>
    <w:rPr>
      <w:sz w:val="20"/>
      <w:szCs w:val="20"/>
    </w:rPr>
  </w:style>
  <w:style w:type="character" w:styleId="a8">
    <w:name w:val="endnote reference"/>
    <w:basedOn w:val="a1"/>
    <w:uiPriority w:val="99"/>
    <w:semiHidden/>
    <w:unhideWhenUsed/>
    <w:rsid w:val="00B16CB8"/>
    <w:rPr>
      <w:vertAlign w:val="superscript"/>
    </w:rPr>
  </w:style>
  <w:style w:type="paragraph" w:styleId="a9">
    <w:name w:val="header"/>
    <w:basedOn w:val="a0"/>
    <w:link w:val="aa"/>
    <w:uiPriority w:val="99"/>
    <w:unhideWhenUsed/>
    <w:rsid w:val="00B16CB8"/>
    <w:pPr>
      <w:tabs>
        <w:tab w:val="center" w:pos="4153"/>
        <w:tab w:val="right" w:pos="8306"/>
      </w:tabs>
      <w:spacing w:after="0" w:line="240" w:lineRule="auto"/>
    </w:pPr>
  </w:style>
  <w:style w:type="character" w:customStyle="1" w:styleId="aa">
    <w:name w:val="כותרת עליונה תו"/>
    <w:basedOn w:val="a1"/>
    <w:link w:val="a9"/>
    <w:uiPriority w:val="99"/>
    <w:rsid w:val="00B16CB8"/>
  </w:style>
  <w:style w:type="paragraph" w:styleId="ab">
    <w:name w:val="footer"/>
    <w:basedOn w:val="a0"/>
    <w:link w:val="ac"/>
    <w:uiPriority w:val="99"/>
    <w:unhideWhenUsed/>
    <w:rsid w:val="00B16CB8"/>
    <w:pPr>
      <w:tabs>
        <w:tab w:val="center" w:pos="4153"/>
        <w:tab w:val="right" w:pos="8306"/>
      </w:tabs>
      <w:spacing w:after="0" w:line="240" w:lineRule="auto"/>
    </w:pPr>
  </w:style>
  <w:style w:type="character" w:customStyle="1" w:styleId="ac">
    <w:name w:val="כותרת תחתונה תו"/>
    <w:basedOn w:val="a1"/>
    <w:link w:val="ab"/>
    <w:uiPriority w:val="99"/>
    <w:rsid w:val="00B16CB8"/>
  </w:style>
  <w:style w:type="paragraph" w:styleId="ad">
    <w:name w:val="List Paragraph"/>
    <w:basedOn w:val="a0"/>
    <w:qFormat/>
    <w:rsid w:val="00034127"/>
    <w:pPr>
      <w:ind w:left="720"/>
      <w:contextualSpacing/>
    </w:pPr>
  </w:style>
  <w:style w:type="character" w:styleId="Hyperlink">
    <w:name w:val="Hyperlink"/>
    <w:basedOn w:val="a1"/>
    <w:uiPriority w:val="99"/>
    <w:semiHidden/>
    <w:unhideWhenUsed/>
    <w:rsid w:val="00034127"/>
    <w:rPr>
      <w:color w:val="0000FF"/>
      <w:u w:val="single"/>
    </w:rPr>
  </w:style>
  <w:style w:type="paragraph" w:styleId="ae">
    <w:name w:val="footnote text"/>
    <w:basedOn w:val="a0"/>
    <w:link w:val="af"/>
    <w:uiPriority w:val="99"/>
    <w:semiHidden/>
    <w:unhideWhenUsed/>
    <w:rsid w:val="00105874"/>
    <w:pPr>
      <w:bidi w:val="0"/>
    </w:pPr>
    <w:rPr>
      <w:rFonts w:ascii="Calibri" w:eastAsia="Calibri" w:hAnsi="Calibri" w:cs="Arial"/>
      <w:sz w:val="20"/>
      <w:szCs w:val="20"/>
    </w:rPr>
  </w:style>
  <w:style w:type="character" w:customStyle="1" w:styleId="af">
    <w:name w:val="טקסט הערת שוליים תו"/>
    <w:basedOn w:val="a1"/>
    <w:link w:val="ae"/>
    <w:uiPriority w:val="99"/>
    <w:semiHidden/>
    <w:rsid w:val="00105874"/>
    <w:rPr>
      <w:rFonts w:ascii="Calibri" w:eastAsia="Calibri" w:hAnsi="Calibri" w:cs="Arial"/>
      <w:sz w:val="20"/>
      <w:szCs w:val="20"/>
    </w:rPr>
  </w:style>
  <w:style w:type="character" w:styleId="af0">
    <w:name w:val="footnote reference"/>
    <w:basedOn w:val="a1"/>
    <w:uiPriority w:val="99"/>
    <w:semiHidden/>
    <w:unhideWhenUsed/>
    <w:rsid w:val="00105874"/>
    <w:rPr>
      <w:vertAlign w:val="superscript"/>
    </w:rPr>
  </w:style>
  <w:style w:type="paragraph" w:customStyle="1" w:styleId="HeadHatzaotHok">
    <w:name w:val="Head HatzaotHok"/>
    <w:basedOn w:val="a0"/>
    <w:rsid w:val="008A561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f1">
    <w:name w:val="Body Text"/>
    <w:basedOn w:val="a0"/>
    <w:link w:val="af2"/>
    <w:uiPriority w:val="99"/>
    <w:semiHidden/>
    <w:unhideWhenUsed/>
    <w:rsid w:val="007C0A5C"/>
    <w:pPr>
      <w:bidi w:val="0"/>
      <w:spacing w:after="120" w:line="240" w:lineRule="auto"/>
    </w:pPr>
    <w:rPr>
      <w:rFonts w:ascii="Times New Roman" w:eastAsia="Times New Roman" w:hAnsi="Times New Roman" w:cs="Miriam"/>
      <w:sz w:val="24"/>
      <w:szCs w:val="20"/>
      <w:lang w:eastAsia="he-IL"/>
    </w:rPr>
  </w:style>
  <w:style w:type="character" w:customStyle="1" w:styleId="af2">
    <w:name w:val="גוף טקסט תו"/>
    <w:basedOn w:val="a1"/>
    <w:link w:val="af1"/>
    <w:uiPriority w:val="99"/>
    <w:semiHidden/>
    <w:rsid w:val="007C0A5C"/>
    <w:rPr>
      <w:rFonts w:ascii="Times New Roman" w:eastAsia="Times New Roman" w:hAnsi="Times New Roman" w:cs="Miriam"/>
      <w:sz w:val="24"/>
      <w:szCs w:val="20"/>
      <w:lang w:eastAsia="he-IL"/>
    </w:rPr>
  </w:style>
  <w:style w:type="paragraph" w:customStyle="1" w:styleId="a">
    <w:name w:val="מיספור אותיות"/>
    <w:basedOn w:val="a0"/>
    <w:uiPriority w:val="99"/>
    <w:rsid w:val="007C0A5C"/>
    <w:pPr>
      <w:numPr>
        <w:numId w:val="2"/>
      </w:num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60" w:line="280" w:lineRule="exact"/>
      <w:jc w:val="both"/>
    </w:pPr>
    <w:rPr>
      <w:rFonts w:ascii="Times New Roman" w:eastAsia="Times New Roman" w:hAnsi="Times New Roman" w:cs="David"/>
      <w:sz w:val="20"/>
      <w:szCs w:val="24"/>
      <w:lang w:eastAsia="he-IL"/>
    </w:rPr>
  </w:style>
  <w:style w:type="paragraph" w:styleId="af3">
    <w:name w:val="Title"/>
    <w:basedOn w:val="a0"/>
    <w:link w:val="af4"/>
    <w:qFormat/>
    <w:rsid w:val="007C0A5C"/>
    <w:pPr>
      <w:tabs>
        <w:tab w:val="left" w:pos="567"/>
        <w:tab w:val="left" w:pos="1134"/>
        <w:tab w:val="left" w:pos="1701"/>
        <w:tab w:val="left" w:pos="2268"/>
        <w:tab w:val="left" w:pos="2835"/>
        <w:tab w:val="left" w:pos="3402"/>
        <w:tab w:val="left" w:pos="3969"/>
        <w:tab w:val="center" w:pos="4512"/>
        <w:tab w:val="left" w:pos="5103"/>
        <w:tab w:val="left" w:pos="5670"/>
        <w:tab w:val="left" w:pos="6237"/>
        <w:tab w:val="left" w:pos="6804"/>
        <w:tab w:val="left" w:pos="7371"/>
        <w:tab w:val="left" w:pos="7938"/>
        <w:tab w:val="left" w:pos="8505"/>
        <w:tab w:val="left" w:pos="9072"/>
      </w:tabs>
      <w:bidi w:val="0"/>
      <w:spacing w:after="0" w:line="240" w:lineRule="auto"/>
      <w:jc w:val="center"/>
    </w:pPr>
    <w:rPr>
      <w:rFonts w:ascii="Times" w:eastAsia="Times New Roman" w:hAnsi="Times" w:cs="Times New Roman"/>
      <w:b/>
      <w:bCs/>
      <w:smallCaps/>
      <w:u w:val="single"/>
      <w:lang w:eastAsia="he-IL"/>
    </w:rPr>
  </w:style>
  <w:style w:type="character" w:customStyle="1" w:styleId="af4">
    <w:name w:val="כותרת טקסט תו"/>
    <w:basedOn w:val="a1"/>
    <w:link w:val="af3"/>
    <w:rsid w:val="007C0A5C"/>
    <w:rPr>
      <w:rFonts w:ascii="Times" w:eastAsia="Times New Roman" w:hAnsi="Times" w:cs="Times New Roman"/>
      <w:b/>
      <w:bCs/>
      <w:smallCaps/>
      <w:u w:val="single"/>
      <w:lang w:eastAsia="he-IL"/>
    </w:rPr>
  </w:style>
  <w:style w:type="paragraph" w:customStyle="1" w:styleId="af5">
    <w:name w:val="פסקה תלויה"/>
    <w:basedOn w:val="a0"/>
    <w:uiPriority w:val="99"/>
    <w:rsid w:val="007C0A5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bidi w:val="0"/>
      <w:spacing w:after="160" w:line="280" w:lineRule="exact"/>
      <w:ind w:left="567" w:right="567" w:hanging="567"/>
      <w:jc w:val="both"/>
    </w:pPr>
    <w:rPr>
      <w:rFonts w:ascii="Times New Roman" w:eastAsia="Times New Roman" w:hAnsi="Times New Roman" w:cs="David"/>
      <w:sz w:val="20"/>
      <w:szCs w:val="24"/>
      <w:lang w:eastAsia="he-IL"/>
    </w:rPr>
  </w:style>
  <w:style w:type="paragraph" w:styleId="2">
    <w:name w:val="Body Text 2"/>
    <w:basedOn w:val="a0"/>
    <w:link w:val="20"/>
    <w:rsid w:val="007C0A5C"/>
    <w:pPr>
      <w:spacing w:after="120" w:line="480" w:lineRule="auto"/>
    </w:pPr>
    <w:rPr>
      <w:rFonts w:ascii="Times New Roman" w:eastAsia="Times New Roman" w:hAnsi="Times New Roman" w:cs="Times New Roman"/>
      <w:sz w:val="24"/>
      <w:szCs w:val="24"/>
      <w:lang w:eastAsia="he-IL"/>
    </w:rPr>
  </w:style>
  <w:style w:type="character" w:customStyle="1" w:styleId="20">
    <w:name w:val="גוף טקסט 2 תו"/>
    <w:basedOn w:val="a1"/>
    <w:link w:val="2"/>
    <w:rsid w:val="007C0A5C"/>
    <w:rPr>
      <w:rFonts w:ascii="Times New Roman" w:eastAsia="Times New Roman" w:hAnsi="Times New Roman" w:cs="Times New Roman"/>
      <w:sz w:val="24"/>
      <w:szCs w:val="24"/>
      <w:lang w:eastAsia="he-IL"/>
    </w:rPr>
  </w:style>
  <w:style w:type="character" w:styleId="af6">
    <w:name w:val="annotation reference"/>
    <w:basedOn w:val="a1"/>
    <w:uiPriority w:val="99"/>
    <w:semiHidden/>
    <w:unhideWhenUsed/>
    <w:rsid w:val="00252CE7"/>
    <w:rPr>
      <w:sz w:val="16"/>
      <w:szCs w:val="16"/>
    </w:rPr>
  </w:style>
  <w:style w:type="paragraph" w:styleId="af7">
    <w:name w:val="annotation text"/>
    <w:basedOn w:val="a0"/>
    <w:link w:val="af8"/>
    <w:uiPriority w:val="99"/>
    <w:semiHidden/>
    <w:unhideWhenUsed/>
    <w:rsid w:val="00252CE7"/>
    <w:pPr>
      <w:spacing w:line="240" w:lineRule="auto"/>
    </w:pPr>
    <w:rPr>
      <w:sz w:val="20"/>
      <w:szCs w:val="20"/>
    </w:rPr>
  </w:style>
  <w:style w:type="character" w:customStyle="1" w:styleId="af8">
    <w:name w:val="טקסט הערה תו"/>
    <w:basedOn w:val="a1"/>
    <w:link w:val="af7"/>
    <w:uiPriority w:val="99"/>
    <w:semiHidden/>
    <w:rsid w:val="00252CE7"/>
    <w:rPr>
      <w:sz w:val="20"/>
      <w:szCs w:val="20"/>
    </w:rPr>
  </w:style>
  <w:style w:type="paragraph" w:styleId="af9">
    <w:name w:val="annotation subject"/>
    <w:basedOn w:val="af7"/>
    <w:next w:val="af7"/>
    <w:link w:val="afa"/>
    <w:uiPriority w:val="99"/>
    <w:semiHidden/>
    <w:unhideWhenUsed/>
    <w:rsid w:val="00252CE7"/>
    <w:rPr>
      <w:b/>
      <w:bCs/>
    </w:rPr>
  </w:style>
  <w:style w:type="character" w:customStyle="1" w:styleId="afa">
    <w:name w:val="נושא הערה תו"/>
    <w:basedOn w:val="af8"/>
    <w:link w:val="af9"/>
    <w:uiPriority w:val="99"/>
    <w:semiHidden/>
    <w:rsid w:val="00252CE7"/>
    <w:rPr>
      <w:b/>
      <w:bCs/>
      <w:sz w:val="20"/>
      <w:szCs w:val="20"/>
    </w:rPr>
  </w:style>
  <w:style w:type="paragraph" w:customStyle="1" w:styleId="big-header">
    <w:name w:val="big-header"/>
    <w:basedOn w:val="a0"/>
    <w:rsid w:val="0095427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62476">
      <w:bodyDiv w:val="1"/>
      <w:marLeft w:val="0"/>
      <w:marRight w:val="0"/>
      <w:marTop w:val="0"/>
      <w:marBottom w:val="0"/>
      <w:divBdr>
        <w:top w:val="none" w:sz="0" w:space="0" w:color="auto"/>
        <w:left w:val="none" w:sz="0" w:space="0" w:color="auto"/>
        <w:bottom w:val="none" w:sz="0" w:space="0" w:color="auto"/>
        <w:right w:val="none" w:sz="0" w:space="0" w:color="auto"/>
      </w:divBdr>
    </w:div>
    <w:div w:id="143794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622A78-0DC0-49DA-982A-4DA6CD5903AD}">
  <ds:schemaRefs>
    <ds:schemaRef ds:uri="http://schemas.openxmlformats.org/officeDocument/2006/bibliography"/>
  </ds:schemaRefs>
</ds:datastoreItem>
</file>

<file path=customXml/itemProps2.xml><?xml version="1.0" encoding="utf-8"?>
<ds:datastoreItem xmlns:ds="http://schemas.openxmlformats.org/officeDocument/2006/customXml" ds:itemID="{EE0906EE-B23F-49CF-AD12-583DC7574073}"/>
</file>

<file path=customXml/itemProps3.xml><?xml version="1.0" encoding="utf-8"?>
<ds:datastoreItem xmlns:ds="http://schemas.openxmlformats.org/officeDocument/2006/customXml" ds:itemID="{0009FEE8-8E76-4780-AADE-B44F48D38B22}"/>
</file>

<file path=customXml/itemProps4.xml><?xml version="1.0" encoding="utf-8"?>
<ds:datastoreItem xmlns:ds="http://schemas.openxmlformats.org/officeDocument/2006/customXml" ds:itemID="{3D7EC9A8-AE8F-4F4D-BFFA-A533E7D04969}"/>
</file>

<file path=docProps/app.xml><?xml version="1.0" encoding="utf-8"?>
<Properties xmlns="http://schemas.openxmlformats.org/officeDocument/2006/extended-properties" xmlns:vt="http://schemas.openxmlformats.org/officeDocument/2006/docPropsVTypes">
  <Template>Normal.dotm</Template>
  <TotalTime>95</TotalTime>
  <Pages>5</Pages>
  <Words>1173</Words>
  <Characters>6691</Characters>
  <Application>Microsoft Office Word</Application>
  <DocSecurity>0</DocSecurity>
  <Lines>55</Lines>
  <Paragraphs>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Keshet Broadcasting</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orel.bob</dc:creator>
  <cp:lastModifiedBy>Varda</cp:lastModifiedBy>
  <cp:revision>17</cp:revision>
  <cp:lastPrinted>2014-04-21T18:27:00Z</cp:lastPrinted>
  <dcterms:created xsi:type="dcterms:W3CDTF">2017-03-26T08:19:00Z</dcterms:created>
  <dcterms:modified xsi:type="dcterms:W3CDTF">2017-03-28T06:38:00Z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2016118</vt:r8>
  </property>
</Properties>
</file>