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2009911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4CEED4A" w:rsidR="00E13C27" w:rsidRPr="00CF1AA2" w:rsidRDefault="008F6665" w:rsidP="007F560F">
      <w:pPr>
        <w:pStyle w:val="David"/>
        <w:spacing w:line="360" w:lineRule="auto"/>
        <w:ind w:left="3544"/>
        <w:rPr>
          <w:b/>
          <w:bCs/>
          <w:sz w:val="16"/>
          <w:szCs w:val="16"/>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דוד אמסלם</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76316223" w:rsidR="00E13C27" w:rsidRDefault="00904591" w:rsidP="007F7A58">
      <w:pPr>
        <w:pStyle w:val="David"/>
        <w:spacing w:before="0" w:line="240" w:lineRule="auto"/>
        <w:ind w:left="3544"/>
        <w:rPr>
          <w:rtl/>
        </w:rPr>
      </w:pPr>
      <w:r>
        <w:t xml:space="preserve">                                            </w:t>
      </w:r>
      <w:r w:rsidR="008F1308">
        <w:t xml:space="preserve"> </w:t>
      </w:r>
      <w:bookmarkStart w:id="7" w:name="Private_Number"/>
      <w:r>
        <w:rPr>
          <w:rFonts w:hint="cs"/>
          <w:rtl/>
        </w:rPr>
        <w:t>פ/3581/20</w:t>
      </w:r>
      <w:bookmarkEnd w:id="7"/>
    </w:p>
    <w:p w14:paraId="7F6961AD" w14:textId="77777777" w:rsidR="00E13C27" w:rsidRPr="00F67051" w:rsidRDefault="00A443CF" w:rsidP="0021633A">
      <w:pPr>
        <w:pStyle w:val="HeadHatzaotHok"/>
        <w:rPr>
          <w:rtl/>
        </w:rPr>
      </w:pPr>
      <w:bookmarkStart w:id="8" w:name="LGS_Subject"/>
      <w:r>
        <w:rPr>
          <w:rFonts w:hint="cs"/>
          <w:rtl/>
        </w:rPr>
        <w:t xml:space="preserve">הצעת חוק הסדרים במשק המדינה (תיקוני חקיקה להשגת יעדי התקציב) (תיקון – נכס המשמש למגורי נכה), </w:t>
      </w:r>
      <w:proofErr w:type="spellStart"/>
      <w:r>
        <w:rPr>
          <w:rFonts w:hint="cs"/>
          <w:rtl/>
        </w:rPr>
        <w:t>התשע"ז</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121AB6" w:rsidRPr="00DE1634" w14:paraId="2BCD1480" w14:textId="77777777" w:rsidTr="00290140">
        <w:trPr>
          <w:cantSplit/>
        </w:trPr>
        <w:tc>
          <w:tcPr>
            <w:tcW w:w="1871" w:type="dxa"/>
          </w:tcPr>
          <w:p w14:paraId="4C2968B8" w14:textId="77777777" w:rsidR="00121AB6" w:rsidRPr="00714943" w:rsidRDefault="00121AB6" w:rsidP="00290140">
            <w:pPr>
              <w:pStyle w:val="TableSideHeading"/>
              <w:ind w:right="0"/>
            </w:pPr>
            <w:r w:rsidRPr="00714943">
              <w:rPr>
                <w:rtl/>
              </w:rPr>
              <w:t>תיקון סעיף 12</w:t>
            </w:r>
          </w:p>
        </w:tc>
        <w:tc>
          <w:tcPr>
            <w:tcW w:w="624" w:type="dxa"/>
          </w:tcPr>
          <w:p w14:paraId="6BA33C9D" w14:textId="77777777" w:rsidR="00121AB6" w:rsidRPr="00714943" w:rsidRDefault="00121AB6" w:rsidP="00290140">
            <w:pPr>
              <w:pStyle w:val="TableText"/>
              <w:ind w:right="0"/>
              <w:jc w:val="both"/>
            </w:pPr>
            <w:r w:rsidRPr="00714943">
              <w:rPr>
                <w:rtl/>
              </w:rPr>
              <w:t>1.</w:t>
            </w:r>
          </w:p>
        </w:tc>
        <w:tc>
          <w:tcPr>
            <w:tcW w:w="7146" w:type="dxa"/>
            <w:gridSpan w:val="2"/>
          </w:tcPr>
          <w:p w14:paraId="70594586" w14:textId="77777777" w:rsidR="00121AB6" w:rsidRPr="00DE1634" w:rsidRDefault="00121AB6" w:rsidP="00290140">
            <w:pPr>
              <w:pStyle w:val="TableBlock"/>
              <w:rPr>
                <w:rtl/>
              </w:rPr>
            </w:pPr>
            <w:r w:rsidRPr="00714943">
              <w:rPr>
                <w:rtl/>
              </w:rPr>
              <w:t xml:space="preserve">בחוק הסדרים במשק המדינה (תיקוני חקיקה להשגת יעדי התקציב), </w:t>
            </w:r>
            <w:proofErr w:type="spellStart"/>
            <w:r w:rsidRPr="00714943">
              <w:rPr>
                <w:rtl/>
              </w:rPr>
              <w:t>התשנ"ג</w:t>
            </w:r>
            <w:proofErr w:type="spellEnd"/>
            <w:r w:rsidRPr="00714943">
              <w:rPr>
                <w:rtl/>
              </w:rPr>
              <w:t>–1992</w:t>
            </w:r>
            <w:r w:rsidRPr="008D1D15">
              <w:rPr>
                <w:vertAlign w:val="superscript"/>
                <w:rtl/>
              </w:rPr>
              <w:footnoteReference w:id="2"/>
            </w:r>
            <w:r w:rsidRPr="00714943">
              <w:rPr>
                <w:rtl/>
              </w:rPr>
              <w:t xml:space="preserve">, בסעיף 12(ו)(1), </w:t>
            </w:r>
            <w:r>
              <w:rPr>
                <w:rtl/>
              </w:rPr>
              <w:t xml:space="preserve">בהגדרה </w:t>
            </w:r>
            <w:r w:rsidRPr="00714943">
              <w:rPr>
                <w:rtl/>
              </w:rPr>
              <w:t>"נכס המשמש למגורי נכה"</w:t>
            </w:r>
            <w:r>
              <w:rPr>
                <w:rtl/>
              </w:rPr>
              <w:t>,</w:t>
            </w:r>
            <w:r w:rsidRPr="00714943">
              <w:rPr>
                <w:rtl/>
              </w:rPr>
              <w:t xml:space="preserve"> </w:t>
            </w:r>
            <w:r>
              <w:rPr>
                <w:rtl/>
              </w:rPr>
              <w:t xml:space="preserve">האמור בה יסומן </w:t>
            </w:r>
            <w:r w:rsidRPr="00714943">
              <w:rPr>
                <w:rtl/>
              </w:rPr>
              <w:t>"(</w:t>
            </w:r>
            <w:r>
              <w:rPr>
                <w:rtl/>
              </w:rPr>
              <w:t>ב</w:t>
            </w:r>
            <w:r w:rsidRPr="00714943">
              <w:rPr>
                <w:rtl/>
              </w:rPr>
              <w:t xml:space="preserve">)" </w:t>
            </w:r>
            <w:r>
              <w:rPr>
                <w:rtl/>
              </w:rPr>
              <w:t xml:space="preserve">ולפניו </w:t>
            </w:r>
            <w:r w:rsidRPr="00714943">
              <w:rPr>
                <w:rtl/>
              </w:rPr>
              <w:t>יבוא:</w:t>
            </w:r>
          </w:p>
        </w:tc>
      </w:tr>
      <w:tr w:rsidR="007F560F" w14:paraId="522C8A74" w14:textId="77777777">
        <w:trPr>
          <w:cantSplit/>
          <w:trHeight w:val="60"/>
        </w:trPr>
        <w:tc>
          <w:tcPr>
            <w:tcW w:w="1871" w:type="dxa"/>
          </w:tcPr>
          <w:p w14:paraId="4597C26A" w14:textId="73505640" w:rsidR="007F560F" w:rsidRDefault="007F560F" w:rsidP="007F560F">
            <w:pPr>
              <w:pStyle w:val="TableSideHeading"/>
            </w:pPr>
          </w:p>
        </w:tc>
        <w:tc>
          <w:tcPr>
            <w:tcW w:w="624" w:type="dxa"/>
          </w:tcPr>
          <w:p w14:paraId="6A0A3EE3" w14:textId="77777777" w:rsidR="007F560F" w:rsidRDefault="007F560F" w:rsidP="007F560F">
            <w:pPr>
              <w:pStyle w:val="TableText"/>
            </w:pPr>
          </w:p>
        </w:tc>
        <w:tc>
          <w:tcPr>
            <w:tcW w:w="624" w:type="dxa"/>
          </w:tcPr>
          <w:p w14:paraId="261B7743" w14:textId="77777777" w:rsidR="007F560F" w:rsidRDefault="007F560F" w:rsidP="007F560F">
            <w:pPr>
              <w:pStyle w:val="TableText"/>
            </w:pPr>
          </w:p>
        </w:tc>
        <w:tc>
          <w:tcPr>
            <w:tcW w:w="6522" w:type="dxa"/>
          </w:tcPr>
          <w:p w14:paraId="06BB154B" w14:textId="0B771AEB" w:rsidR="007F560F" w:rsidRDefault="007F560F" w:rsidP="007F560F">
            <w:pPr>
              <w:pStyle w:val="TableBlock"/>
            </w:pPr>
            <w:r>
              <w:rPr>
                <w:rtl/>
              </w:rPr>
              <w:t>"כל אחד מאלה:</w:t>
            </w:r>
          </w:p>
        </w:tc>
      </w:tr>
      <w:tr w:rsidR="007F560F" w14:paraId="3B73B8A4" w14:textId="77777777">
        <w:trPr>
          <w:cantSplit/>
          <w:trHeight w:val="60"/>
        </w:trPr>
        <w:tc>
          <w:tcPr>
            <w:tcW w:w="1871" w:type="dxa"/>
          </w:tcPr>
          <w:p w14:paraId="0A24D501" w14:textId="353D1141" w:rsidR="007F560F" w:rsidRDefault="007F560F" w:rsidP="007F560F">
            <w:pPr>
              <w:pStyle w:val="TableSideHeading"/>
              <w:rPr>
                <w:rtl/>
              </w:rPr>
            </w:pPr>
          </w:p>
        </w:tc>
        <w:tc>
          <w:tcPr>
            <w:tcW w:w="624" w:type="dxa"/>
          </w:tcPr>
          <w:p w14:paraId="420C4C26" w14:textId="77777777" w:rsidR="007F560F" w:rsidRDefault="007F560F" w:rsidP="007F560F">
            <w:pPr>
              <w:pStyle w:val="TableText"/>
            </w:pPr>
          </w:p>
        </w:tc>
        <w:tc>
          <w:tcPr>
            <w:tcW w:w="624" w:type="dxa"/>
          </w:tcPr>
          <w:p w14:paraId="6CD21DE7" w14:textId="77777777" w:rsidR="007F560F" w:rsidRDefault="007F560F" w:rsidP="007F560F">
            <w:pPr>
              <w:pStyle w:val="TableText"/>
            </w:pPr>
          </w:p>
        </w:tc>
        <w:tc>
          <w:tcPr>
            <w:tcW w:w="6522" w:type="dxa"/>
          </w:tcPr>
          <w:p w14:paraId="53D2076D" w14:textId="0CB9213E" w:rsidR="007F560F" w:rsidRDefault="007F560F" w:rsidP="007F560F">
            <w:pPr>
              <w:pStyle w:val="TableBlock"/>
              <w:rPr>
                <w:rtl/>
              </w:rPr>
            </w:pPr>
            <w:r>
              <w:rPr>
                <w:rtl/>
              </w:rPr>
              <w:t>(א</w:t>
            </w:r>
            <w:r w:rsidRPr="00714943">
              <w:rPr>
                <w:rtl/>
              </w:rPr>
              <w:t>)</w:t>
            </w:r>
            <w:r w:rsidRPr="00714943">
              <w:rPr>
                <w:rtl/>
              </w:rPr>
              <w:tab/>
              <w:t xml:space="preserve">נכס שהוא מעון כהגדרתו בחוק הפיקוח על מעונות, </w:t>
            </w:r>
            <w:proofErr w:type="spellStart"/>
            <w:r w:rsidRPr="00714943">
              <w:rPr>
                <w:rtl/>
              </w:rPr>
              <w:t>התשכ"ה</w:t>
            </w:r>
            <w:proofErr w:type="spellEnd"/>
            <w:r w:rsidRPr="00714943">
              <w:rPr>
                <w:rtl/>
              </w:rPr>
              <w:t>–1965</w:t>
            </w:r>
            <w:r w:rsidRPr="008D1D15">
              <w:rPr>
                <w:vertAlign w:val="superscript"/>
                <w:rtl/>
              </w:rPr>
              <w:footnoteReference w:id="3"/>
            </w:r>
            <w:r w:rsidRPr="00714943">
              <w:rPr>
                <w:rtl/>
              </w:rPr>
              <w:t xml:space="preserve">, ומתגורר בו, בהתאם להפניה של משרד הרווחה והשירותים החברתיים, נכה שמשתלמת לו </w:t>
            </w:r>
            <w:r>
              <w:rPr>
                <w:rtl/>
              </w:rPr>
              <w:t xml:space="preserve">קצבת נכות </w:t>
            </w:r>
            <w:r w:rsidRPr="00714943">
              <w:rPr>
                <w:rtl/>
              </w:rPr>
              <w:t xml:space="preserve">לפי פרק ט' לחוק הביטוח הלאומי [נוסח משולב], </w:t>
            </w:r>
            <w:proofErr w:type="spellStart"/>
            <w:r w:rsidRPr="00714943">
              <w:rPr>
                <w:rtl/>
              </w:rPr>
              <w:t>התשנ"ה</w:t>
            </w:r>
            <w:proofErr w:type="spellEnd"/>
            <w:r w:rsidRPr="00714943">
              <w:rPr>
                <w:rtl/>
              </w:rPr>
              <w:t>–1995</w:t>
            </w:r>
            <w:r w:rsidRPr="008D1D15">
              <w:rPr>
                <w:vertAlign w:val="superscript"/>
                <w:rtl/>
              </w:rPr>
              <w:footnoteReference w:id="4"/>
            </w:r>
            <w:r>
              <w:rPr>
                <w:rtl/>
              </w:rPr>
              <w:t>;</w:t>
            </w:r>
            <w:r w:rsidRPr="00714943">
              <w:rPr>
                <w:rtl/>
              </w:rPr>
              <w:t>"</w:t>
            </w:r>
            <w:r>
              <w:rPr>
                <w:rtl/>
              </w:rPr>
              <w:t>.</w:t>
            </w:r>
          </w:p>
        </w:tc>
      </w:tr>
    </w:tbl>
    <w:p w14:paraId="7F6961CA" w14:textId="77777777" w:rsidR="002D1EE3" w:rsidRDefault="002D1EE3" w:rsidP="002D1EE3">
      <w:pPr>
        <w:pStyle w:val="HeadDivreiHesber"/>
        <w:rPr>
          <w:rtl/>
        </w:rPr>
      </w:pPr>
      <w:r w:rsidRPr="0027450A">
        <w:rPr>
          <w:rFonts w:hint="cs"/>
          <w:rtl/>
        </w:rPr>
        <w:t>דברי הסבר</w:t>
      </w:r>
    </w:p>
    <w:p w14:paraId="22086A6D" w14:textId="654D570A" w:rsidR="00121AB6" w:rsidRDefault="00121AB6" w:rsidP="007F7A58">
      <w:pPr>
        <w:pStyle w:val="Hesber"/>
        <w:rPr>
          <w:rtl/>
        </w:rPr>
      </w:pPr>
      <w:r w:rsidRPr="00714943">
        <w:rPr>
          <w:rtl/>
        </w:rPr>
        <w:t>אדם עם מוגבלות שזכאי לקצבת נכות, זכאי להנחה מארנונה שהרשות המקומית מעניקה לנכים כאמור בעד הדירה שבה הוא מתגורר, וזאת אם הוא ה"מחזיק" בדירה – דהיינו, הבעלים או השוכר. לעומת זאת, אם אדם עם מוגבלות כאמור מתגורר בדירת מגורים או בהוסטל ששוכר עבורו ארגון, בין בשל חוסר יכולתו לשכור דירה בעצמו, או בשל סירוב המשכיר להשכיר לו דירה, הרשות המקומית עשויה לטעון כי אינו ה"מחזיק" בדירה ולא להעניק בעד דירת מגוריו את ההנחה האמורה.</w:t>
      </w:r>
    </w:p>
    <w:p w14:paraId="37E7A9A5" w14:textId="77777777" w:rsidR="00121AB6" w:rsidRPr="00714943" w:rsidRDefault="00121AB6" w:rsidP="00121AB6">
      <w:pPr>
        <w:pStyle w:val="Hesber"/>
        <w:rPr>
          <w:rtl/>
        </w:rPr>
      </w:pPr>
      <w:r w:rsidRPr="00714943">
        <w:rPr>
          <w:rtl/>
        </w:rPr>
        <w:t xml:space="preserve">חוק הסדרים במשק המדינה (תיקוני חקיקה להשגת יעדי התקציב) (תיקון מס' 11), </w:t>
      </w:r>
      <w:proofErr w:type="spellStart"/>
      <w:r w:rsidRPr="00714943">
        <w:rPr>
          <w:rtl/>
        </w:rPr>
        <w:t>התש"ע</w:t>
      </w:r>
      <w:proofErr w:type="spellEnd"/>
      <w:r w:rsidRPr="00714943">
        <w:rPr>
          <w:rtl/>
        </w:rPr>
        <w:t xml:space="preserve">–2010, חייב רשות מקומית שקבעה הנחה בארנונה לנכה, לתת את אותה הנחה, ובאותם תנאים שקבעה, לגבי נכס שבו מתגורר הנכה שהיה זכאי להנחה האמורה, גם אם אדם אחר נחשב מחזיק בנכס, ואולם הוראה זו חלה רק לגבי נכים שהם נכי נפש. </w:t>
      </w:r>
    </w:p>
    <w:p w14:paraId="513FFFA5" w14:textId="7D4BC526" w:rsidR="007F560F" w:rsidRDefault="007F560F" w:rsidP="007F560F">
      <w:pPr>
        <w:pStyle w:val="Hesber"/>
        <w:rPr>
          <w:rtl/>
        </w:rPr>
      </w:pPr>
    </w:p>
    <w:p w14:paraId="5ED73A64" w14:textId="77777777" w:rsidR="007F560F" w:rsidRDefault="007F560F">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tl/>
        </w:rPr>
      </w:pPr>
      <w:r>
        <w:rPr>
          <w:rtl/>
        </w:rPr>
        <w:br w:type="page"/>
      </w:r>
    </w:p>
    <w:p w14:paraId="45AF9DF6" w14:textId="77777777" w:rsidR="007F560F" w:rsidRDefault="007F560F" w:rsidP="007F560F">
      <w:pPr>
        <w:pStyle w:val="Hesber"/>
        <w:rPr>
          <w:rtl/>
        </w:rPr>
      </w:pPr>
    </w:p>
    <w:p w14:paraId="55735BDB" w14:textId="77777777" w:rsidR="007F560F" w:rsidRDefault="007F560F" w:rsidP="007F560F">
      <w:pPr>
        <w:pStyle w:val="Hesber"/>
        <w:rPr>
          <w:rtl/>
        </w:rPr>
      </w:pPr>
    </w:p>
    <w:p w14:paraId="4D63F4CF" w14:textId="1F3F2B78" w:rsidR="00121AB6" w:rsidRDefault="00121AB6" w:rsidP="007F560F">
      <w:pPr>
        <w:pStyle w:val="Hesber"/>
        <w:rPr>
          <w:rtl/>
        </w:rPr>
      </w:pPr>
      <w:r w:rsidRPr="00714943">
        <w:rPr>
          <w:rtl/>
        </w:rPr>
        <w:t xml:space="preserve">הצעת חוק זו </w:t>
      </w:r>
      <w:r w:rsidR="007F560F">
        <w:rPr>
          <w:rFonts w:hint="cs"/>
          <w:rtl/>
        </w:rPr>
        <w:t xml:space="preserve">נועדה </w:t>
      </w:r>
      <w:r w:rsidRPr="00714943">
        <w:rPr>
          <w:rtl/>
        </w:rPr>
        <w:t>להחיל הוראה דומה גם לגבי נכים בעלי מוגבלויות פיזיות וקוגניטיביות, שהופנו לדירה כאמור על ידי משרד הרווחה והשירותים החברתי</w:t>
      </w:r>
      <w:r>
        <w:rPr>
          <w:rtl/>
        </w:rPr>
        <w:t xml:space="preserve">ים, ובכך לאפשר את מתן ההנחה </w:t>
      </w:r>
      <w:proofErr w:type="spellStart"/>
      <w:r>
        <w:rPr>
          <w:rtl/>
        </w:rPr>
        <w:t>שהי</w:t>
      </w:r>
      <w:r w:rsidRPr="00714943">
        <w:rPr>
          <w:rtl/>
        </w:rPr>
        <w:t>תה</w:t>
      </w:r>
      <w:proofErr w:type="spellEnd"/>
      <w:r w:rsidRPr="00714943">
        <w:rPr>
          <w:rtl/>
        </w:rPr>
        <w:t xml:space="preserve"> מגיעה להם אילו היו שוכרים בעצמם את הדירה.</w:t>
      </w:r>
    </w:p>
    <w:p w14:paraId="77176EFA" w14:textId="1B5CFC00" w:rsidR="007554FF" w:rsidRDefault="007554FF" w:rsidP="00121AB6">
      <w:pPr>
        <w:pStyle w:val="Hesber"/>
        <w:rPr>
          <w:rtl/>
        </w:rPr>
      </w:pPr>
      <w:r>
        <w:rPr>
          <w:rFonts w:hint="cs"/>
          <w:rtl/>
        </w:rPr>
        <w:t>הצעות חוק זהות הונחו על שולחן הכנסת התשע-עשרה על ידי חבר הכנסת חיים כץ וקבוצת חברי הכנסת (פ/2082/19) ועל שולחן הכנסת העשרים על ידי חבר הכנסת איציק שמולי (פ/1849/20).</w:t>
      </w:r>
    </w:p>
    <w:p w14:paraId="33E7E906" w14:textId="03562F43" w:rsidR="007F560F" w:rsidRDefault="007F560F" w:rsidP="00121AB6">
      <w:pPr>
        <w:pStyle w:val="Hesber"/>
        <w:rPr>
          <w:rtl/>
        </w:rPr>
      </w:pPr>
    </w:p>
    <w:p w14:paraId="4E5739EE" w14:textId="77777777" w:rsidR="007F560F" w:rsidRDefault="007F560F" w:rsidP="00121AB6">
      <w:pPr>
        <w:pStyle w:val="Hesber"/>
        <w:rPr>
          <w:rtl/>
        </w:rPr>
      </w:pPr>
    </w:p>
    <w:p w14:paraId="1AB6561E" w14:textId="77777777" w:rsidR="007F560F" w:rsidRDefault="007F560F" w:rsidP="00121AB6">
      <w:pPr>
        <w:pStyle w:val="Hesber"/>
        <w:rPr>
          <w:rtl/>
        </w:rPr>
      </w:pPr>
    </w:p>
    <w:p w14:paraId="1DD9237A" w14:textId="77777777" w:rsidR="007F560F" w:rsidRDefault="007F560F" w:rsidP="007F560F">
      <w:pPr>
        <w:pStyle w:val="Hesber"/>
        <w:rPr>
          <w:rtl/>
        </w:rPr>
      </w:pPr>
      <w:r>
        <w:rPr>
          <w:rtl/>
        </w:rPr>
        <w:t>---------------------------------</w:t>
      </w:r>
    </w:p>
    <w:p w14:paraId="2E32D1D1" w14:textId="77777777" w:rsidR="007F560F" w:rsidRDefault="007F560F" w:rsidP="007F560F">
      <w:pPr>
        <w:pStyle w:val="Hesber"/>
        <w:rPr>
          <w:rtl/>
        </w:rPr>
      </w:pPr>
      <w:r>
        <w:rPr>
          <w:rtl/>
        </w:rPr>
        <w:t>הוגשה ליו"ר הכנסת והסגנים</w:t>
      </w:r>
    </w:p>
    <w:p w14:paraId="6EA8183D" w14:textId="77777777" w:rsidR="007F560F" w:rsidRDefault="007F560F" w:rsidP="007F560F">
      <w:pPr>
        <w:pStyle w:val="Hesber"/>
        <w:rPr>
          <w:rtl/>
        </w:rPr>
      </w:pPr>
      <w:r>
        <w:rPr>
          <w:rtl/>
        </w:rPr>
        <w:t>והונחה על שולחן הכנסת ביום</w:t>
      </w:r>
    </w:p>
    <w:p w14:paraId="7F6961CB" w14:textId="41B6C9C8" w:rsidR="00E13C27" w:rsidRDefault="007F560F" w:rsidP="007F560F">
      <w:pPr>
        <w:pStyle w:val="Hesber"/>
        <w:rPr>
          <w:rtl/>
        </w:rPr>
      </w:pPr>
      <w:r>
        <w:rPr>
          <w:rtl/>
        </w:rPr>
        <w:t xml:space="preserve">י"ט בכסלו </w:t>
      </w:r>
      <w:proofErr w:type="spellStart"/>
      <w:r>
        <w:rPr>
          <w:rtl/>
        </w:rPr>
        <w:t>התשע"ז</w:t>
      </w:r>
      <w:proofErr w:type="spellEnd"/>
      <w:r>
        <w:rPr>
          <w:rtl/>
        </w:rPr>
        <w:t xml:space="preserve"> - 19.12.16</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966347" w14:textId="77777777" w:rsidR="00A529EC" w:rsidRDefault="00A529EC">
      <w:r>
        <w:separator/>
      </w:r>
    </w:p>
  </w:endnote>
  <w:endnote w:type="continuationSeparator" w:id="0">
    <w:p w14:paraId="62F3EFBC" w14:textId="77777777" w:rsidR="00A529EC" w:rsidRDefault="00A529EC">
      <w:r>
        <w:continuationSeparator/>
      </w:r>
    </w:p>
  </w:endnote>
  <w:endnote w:type="continuationNotice" w:id="1">
    <w:p w14:paraId="2CDF0278" w14:textId="77777777" w:rsidR="00A529EC" w:rsidRDefault="00A529E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4222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4A151" w14:textId="77777777" w:rsidR="00A529EC" w:rsidRDefault="00A529EC">
      <w:r>
        <w:separator/>
      </w:r>
    </w:p>
  </w:footnote>
  <w:footnote w:type="continuationSeparator" w:id="0">
    <w:p w14:paraId="06F9E65F" w14:textId="77777777" w:rsidR="00A529EC" w:rsidRDefault="00A529EC">
      <w:r>
        <w:continuationSeparator/>
      </w:r>
    </w:p>
  </w:footnote>
  <w:footnote w:type="continuationNotice" w:id="1">
    <w:p w14:paraId="07031E61" w14:textId="77777777" w:rsidR="00A529EC" w:rsidRDefault="00A529EC"/>
  </w:footnote>
  <w:footnote w:id="2">
    <w:p w14:paraId="01FFC8A4" w14:textId="77777777" w:rsidR="00121AB6" w:rsidRDefault="00121AB6" w:rsidP="00121AB6">
      <w:pPr>
        <w:pStyle w:val="a4"/>
      </w:pPr>
      <w:r w:rsidRPr="0022340B">
        <w:rPr>
          <w:rStyle w:val="a6"/>
        </w:rPr>
        <w:footnoteRef/>
      </w:r>
      <w:r w:rsidRPr="0022340B">
        <w:rPr>
          <w:rtl/>
        </w:rPr>
        <w:t xml:space="preserve"> ס"ח </w:t>
      </w:r>
      <w:proofErr w:type="spellStart"/>
      <w:r w:rsidRPr="0022340B">
        <w:rPr>
          <w:rtl/>
        </w:rPr>
        <w:t>התשנ"ג</w:t>
      </w:r>
      <w:proofErr w:type="spellEnd"/>
      <w:r w:rsidRPr="0022340B">
        <w:rPr>
          <w:rtl/>
        </w:rPr>
        <w:t xml:space="preserve">, עמ' </w:t>
      </w:r>
      <w:r>
        <w:rPr>
          <w:rtl/>
        </w:rPr>
        <w:t>10.</w:t>
      </w:r>
    </w:p>
  </w:footnote>
  <w:footnote w:id="3">
    <w:p w14:paraId="5E447C20" w14:textId="77777777" w:rsidR="007F560F" w:rsidRDefault="007F560F" w:rsidP="00121AB6">
      <w:pPr>
        <w:pStyle w:val="a4"/>
      </w:pPr>
      <w:r>
        <w:rPr>
          <w:rStyle w:val="a6"/>
        </w:rPr>
        <w:footnoteRef/>
      </w:r>
      <w:r>
        <w:rPr>
          <w:rtl/>
        </w:rPr>
        <w:t xml:space="preserve"> </w:t>
      </w:r>
      <w:r>
        <w:rPr>
          <w:rtl/>
        </w:rPr>
        <w:t xml:space="preserve">ס"ח </w:t>
      </w:r>
      <w:proofErr w:type="spellStart"/>
      <w:r>
        <w:rPr>
          <w:rtl/>
        </w:rPr>
        <w:t>התשכ"ה</w:t>
      </w:r>
      <w:proofErr w:type="spellEnd"/>
      <w:r>
        <w:rPr>
          <w:rtl/>
        </w:rPr>
        <w:t>, עמ' 48.</w:t>
      </w:r>
    </w:p>
  </w:footnote>
  <w:footnote w:id="4">
    <w:p w14:paraId="045AB058" w14:textId="77777777" w:rsidR="007F560F" w:rsidRDefault="007F560F" w:rsidP="00121AB6">
      <w:pPr>
        <w:pStyle w:val="a4"/>
      </w:pPr>
      <w:r>
        <w:rPr>
          <w:rStyle w:val="a6"/>
        </w:rPr>
        <w:footnoteRef/>
      </w:r>
      <w:r>
        <w:rPr>
          <w:rtl/>
        </w:rPr>
        <w:t xml:space="preserve"> </w:t>
      </w:r>
      <w:r>
        <w:rPr>
          <w:rtl/>
        </w:rPr>
        <w:t xml:space="preserve">ס"ח </w:t>
      </w:r>
      <w:proofErr w:type="spellStart"/>
      <w:r>
        <w:rPr>
          <w:rtl/>
        </w:rPr>
        <w:t>התשנ"ה</w:t>
      </w:r>
      <w:proofErr w:type="spellEnd"/>
      <w:r>
        <w:rPr>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1AB6"/>
    <w:rsid w:val="001279A8"/>
    <w:rsid w:val="0014195F"/>
    <w:rsid w:val="00152609"/>
    <w:rsid w:val="00153E1B"/>
    <w:rsid w:val="001A0623"/>
    <w:rsid w:val="001C23B0"/>
    <w:rsid w:val="001D7AAF"/>
    <w:rsid w:val="00203A7F"/>
    <w:rsid w:val="0021633A"/>
    <w:rsid w:val="002200A1"/>
    <w:rsid w:val="002362BF"/>
    <w:rsid w:val="00241B97"/>
    <w:rsid w:val="00242229"/>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580F"/>
    <w:rsid w:val="006363B2"/>
    <w:rsid w:val="00644940"/>
    <w:rsid w:val="006818A9"/>
    <w:rsid w:val="006A2D81"/>
    <w:rsid w:val="006C1D0D"/>
    <w:rsid w:val="0070601E"/>
    <w:rsid w:val="00712C72"/>
    <w:rsid w:val="00735FE9"/>
    <w:rsid w:val="007554FF"/>
    <w:rsid w:val="00763CAA"/>
    <w:rsid w:val="00765F66"/>
    <w:rsid w:val="0078664F"/>
    <w:rsid w:val="007C3FA6"/>
    <w:rsid w:val="007D585A"/>
    <w:rsid w:val="007D5A12"/>
    <w:rsid w:val="007E59F9"/>
    <w:rsid w:val="007F560F"/>
    <w:rsid w:val="007F7A58"/>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29EC"/>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D5C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121AB6"/>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83949-1873-4582-85A7-7CBDC1FD7F9F}"/>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716CED5-566F-4940-A31D-10CC9CFD4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318</Words>
  <Characters>1595</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2016-12-14T13:59:00Z</cp:lastPrinted>
  <dcterms:created xsi:type="dcterms:W3CDTF">2017-04-06T10:31:00Z</dcterms:created>
  <dcterms:modified xsi:type="dcterms:W3CDTF">2017-04-06T10:31:00Z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2016306</vt:r8>
  </property>
</Properties>
</file>