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563545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634D0D">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אורי מקלב</w:t>
      </w:r>
      <w:r>
        <w:br/>
      </w:r>
      <w:r>
        <w:rPr>
          <w:rFonts w:hint="cs"/>
          <w:b/>
          <w:bCs/>
          <w:rtl/>
        </w:rPr>
        <w:t xml:space="preserve"> </w:t>
      </w:r>
      <w:r>
        <w:tab/>
      </w:r>
      <w:r>
        <w:tab/>
      </w:r>
      <w:r>
        <w:tab/>
      </w:r>
      <w:r>
        <w:tab/>
      </w:r>
      <w:r>
        <w:rPr>
          <w:rFonts w:hint="cs"/>
          <w:b/>
          <w:bCs/>
          <w:rtl/>
        </w:rPr>
        <w:t>משה גפני</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0B6BC2"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פ/1162/20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634D0D">
      <w:pPr>
        <w:pStyle w:val="HeadHatzaotHok"/>
        <w:rPr>
          <w:rtl/>
        </w:rPr>
      </w:pPr>
      <w:bookmarkStart w:id="8" w:name="LGS_Subject"/>
      <w:r>
        <w:rPr>
          <w:rFonts w:hint="cs"/>
          <w:rtl/>
        </w:rPr>
        <w:t>הצעת חוק חוזה הביטוח (תיקון – מיצוי הליכים בתביעות תחלוף), התשע"ה–2015</w:t>
      </w:r>
      <w:bookmarkEnd w:id="8"/>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6C4967" w:rsidRPr="003504D4" w14:paraId="57A1BF46" w14:textId="77777777" w:rsidTr="00DD7202">
        <w:trPr>
          <w:cantSplit/>
        </w:trPr>
        <w:tc>
          <w:tcPr>
            <w:tcW w:w="1871" w:type="dxa"/>
          </w:tcPr>
          <w:p w14:paraId="69624481" w14:textId="77777777" w:rsidR="006C4967" w:rsidRPr="003504D4" w:rsidRDefault="006C4967" w:rsidP="004D7476">
            <w:pPr>
              <w:pStyle w:val="TableSideHeading"/>
              <w:keepLines w:val="0"/>
            </w:pPr>
            <w:r w:rsidRPr="003504D4">
              <w:rPr>
                <w:rFonts w:hint="cs"/>
                <w:rtl/>
              </w:rPr>
              <w:t>תיקון סעיף 62</w:t>
            </w:r>
          </w:p>
        </w:tc>
        <w:tc>
          <w:tcPr>
            <w:tcW w:w="624" w:type="dxa"/>
          </w:tcPr>
          <w:p w14:paraId="79EAF3C8" w14:textId="77777777" w:rsidR="006C4967" w:rsidRPr="003504D4" w:rsidRDefault="006C4967" w:rsidP="004D7476">
            <w:pPr>
              <w:pStyle w:val="TableText"/>
              <w:keepLines w:val="0"/>
            </w:pPr>
            <w:r w:rsidRPr="003504D4">
              <w:rPr>
                <w:rFonts w:hint="cs"/>
                <w:rtl/>
              </w:rPr>
              <w:t>1.</w:t>
            </w:r>
          </w:p>
        </w:tc>
        <w:tc>
          <w:tcPr>
            <w:tcW w:w="7143" w:type="dxa"/>
            <w:gridSpan w:val="2"/>
          </w:tcPr>
          <w:p w14:paraId="45974793" w14:textId="62197EA6" w:rsidR="006C4967" w:rsidRPr="003504D4" w:rsidRDefault="00634D0D" w:rsidP="00634D0D">
            <w:pPr>
              <w:pStyle w:val="TableHead"/>
              <w:jc w:val="both"/>
              <w:rPr>
                <w:b w:val="0"/>
                <w:bCs w:val="0"/>
              </w:rPr>
            </w:pPr>
            <w:r>
              <w:rPr>
                <w:rFonts w:hint="cs"/>
                <w:b w:val="0"/>
                <w:bCs w:val="0"/>
                <w:rtl/>
              </w:rPr>
              <w:t>ב</w:t>
            </w:r>
            <w:r w:rsidR="006C4967" w:rsidRPr="003504D4">
              <w:rPr>
                <w:rFonts w:hint="cs"/>
                <w:b w:val="0"/>
                <w:bCs w:val="0"/>
                <w:rtl/>
              </w:rPr>
              <w:t xml:space="preserve">חוק חוזה הביטוח, </w:t>
            </w:r>
            <w:proofErr w:type="spellStart"/>
            <w:r w:rsidR="006C4967" w:rsidRPr="003504D4">
              <w:rPr>
                <w:rFonts w:hint="cs"/>
                <w:b w:val="0"/>
                <w:bCs w:val="0"/>
                <w:rtl/>
              </w:rPr>
              <w:t>התשמ"א</w:t>
            </w:r>
            <w:proofErr w:type="spellEnd"/>
            <w:r w:rsidR="006C4967" w:rsidRPr="003504D4">
              <w:rPr>
                <w:rFonts w:hint="eastAsia"/>
                <w:b w:val="0"/>
                <w:bCs w:val="0"/>
                <w:rtl/>
              </w:rPr>
              <w:t>–</w:t>
            </w:r>
            <w:r w:rsidR="006C4967" w:rsidRPr="003504D4">
              <w:rPr>
                <w:rFonts w:hint="cs"/>
                <w:b w:val="0"/>
                <w:bCs w:val="0"/>
                <w:rtl/>
              </w:rPr>
              <w:t>1981</w:t>
            </w:r>
            <w:r w:rsidR="006C4967" w:rsidRPr="003504D4">
              <w:rPr>
                <w:rStyle w:val="a6"/>
                <w:b w:val="0"/>
                <w:bCs w:val="0"/>
                <w:rtl/>
              </w:rPr>
              <w:footnoteReference w:id="2"/>
            </w:r>
            <w:r w:rsidR="006C4967" w:rsidRPr="003504D4">
              <w:rPr>
                <w:rFonts w:hint="cs"/>
                <w:b w:val="0"/>
                <w:bCs w:val="0"/>
                <w:rtl/>
              </w:rPr>
              <w:t xml:space="preserve">, </w:t>
            </w:r>
            <w:r>
              <w:rPr>
                <w:rFonts w:hint="cs"/>
                <w:b w:val="0"/>
                <w:bCs w:val="0"/>
                <w:rtl/>
              </w:rPr>
              <w:t xml:space="preserve">בסעיף 62, </w:t>
            </w:r>
            <w:r w:rsidR="006C4967" w:rsidRPr="003504D4">
              <w:rPr>
                <w:rFonts w:hint="cs"/>
                <w:b w:val="0"/>
                <w:bCs w:val="0"/>
                <w:rtl/>
              </w:rPr>
              <w:t>אחרי סעיף קטן (ד) יבוא</w:t>
            </w:r>
            <w:r w:rsidR="006C4967" w:rsidRPr="00141D77">
              <w:rPr>
                <w:rFonts w:hint="cs"/>
                <w:b w:val="0"/>
                <w:bCs w:val="0"/>
                <w:rtl/>
              </w:rPr>
              <w:t>:</w:t>
            </w:r>
          </w:p>
        </w:tc>
      </w:tr>
      <w:tr w:rsidR="006C4967" w:rsidRPr="003504D4" w:rsidDel="00E16E12" w14:paraId="4C66BE87" w14:textId="77777777" w:rsidTr="00DD7202">
        <w:trPr>
          <w:cantSplit/>
        </w:trPr>
        <w:tc>
          <w:tcPr>
            <w:tcW w:w="1871" w:type="dxa"/>
          </w:tcPr>
          <w:p w14:paraId="7333B758" w14:textId="77777777" w:rsidR="006C4967" w:rsidRPr="003504D4" w:rsidRDefault="006C4967" w:rsidP="004D7476">
            <w:pPr>
              <w:pStyle w:val="TableSideHeading"/>
            </w:pPr>
          </w:p>
        </w:tc>
        <w:tc>
          <w:tcPr>
            <w:tcW w:w="624" w:type="dxa"/>
          </w:tcPr>
          <w:p w14:paraId="220D9FC9" w14:textId="77777777" w:rsidR="006C4967" w:rsidRPr="003504D4" w:rsidRDefault="006C4967" w:rsidP="004D7476">
            <w:pPr>
              <w:pStyle w:val="TableText"/>
            </w:pPr>
          </w:p>
        </w:tc>
        <w:tc>
          <w:tcPr>
            <w:tcW w:w="624" w:type="dxa"/>
          </w:tcPr>
          <w:p w14:paraId="7FB79C63" w14:textId="77777777" w:rsidR="006C4967" w:rsidRPr="003504D4" w:rsidRDefault="006C4967" w:rsidP="004D7476">
            <w:pPr>
              <w:pStyle w:val="TableText"/>
            </w:pPr>
            <w:r w:rsidRPr="003504D4">
              <w:rPr>
                <w:rFonts w:hint="cs"/>
                <w:rtl/>
              </w:rPr>
              <w:t>"(ה)</w:t>
            </w:r>
          </w:p>
        </w:tc>
        <w:tc>
          <w:tcPr>
            <w:tcW w:w="6519" w:type="dxa"/>
          </w:tcPr>
          <w:p w14:paraId="41F76EE9" w14:textId="0E8A6745" w:rsidR="006C4967" w:rsidRPr="003504D4" w:rsidDel="00E16E12" w:rsidRDefault="006C4967" w:rsidP="00DD7202">
            <w:pPr>
              <w:pStyle w:val="TableBlock"/>
              <w:rPr>
                <w:rtl/>
              </w:rPr>
            </w:pPr>
            <w:r w:rsidRPr="003504D4">
              <w:rPr>
                <w:rFonts w:hint="cs"/>
                <w:rtl/>
              </w:rPr>
              <w:t>(1)</w:t>
            </w:r>
            <w:r w:rsidRPr="003504D4">
              <w:rPr>
                <w:rtl/>
              </w:rPr>
              <w:tab/>
            </w:r>
            <w:r w:rsidRPr="003504D4">
              <w:rPr>
                <w:rFonts w:hint="cs"/>
                <w:rtl/>
              </w:rPr>
              <w:t>לא יגיש מבטח תביעה לפיצוי או לשיפוי נגד אדם שלישי אלא בתום 30 ימים מיום ששלח אליו התרא</w:t>
            </w:r>
            <w:r w:rsidR="008D6F06">
              <w:rPr>
                <w:rFonts w:hint="cs"/>
                <w:rtl/>
              </w:rPr>
              <w:t xml:space="preserve">ה בדבר כוונתו להגיש את התביעה; </w:t>
            </w:r>
            <w:r w:rsidRPr="003504D4">
              <w:rPr>
                <w:rFonts w:hint="cs"/>
                <w:rtl/>
              </w:rPr>
              <w:t>שר</w:t>
            </w:r>
            <w:r w:rsidR="008D6F06">
              <w:rPr>
                <w:rFonts w:hint="cs"/>
                <w:rtl/>
              </w:rPr>
              <w:t xml:space="preserve"> המשפטים</w:t>
            </w:r>
            <w:r w:rsidRPr="003504D4">
              <w:rPr>
                <w:rFonts w:hint="cs"/>
                <w:rtl/>
              </w:rPr>
              <w:t xml:space="preserve"> יקבע הוראות בדבר פרטי ההתראה ודרכי מסירתה. </w:t>
            </w:r>
          </w:p>
        </w:tc>
      </w:tr>
      <w:tr w:rsidR="006C4967" w:rsidRPr="003504D4" w14:paraId="0B43C6C1" w14:textId="77777777" w:rsidTr="00DD7202">
        <w:trPr>
          <w:cantSplit/>
        </w:trPr>
        <w:tc>
          <w:tcPr>
            <w:tcW w:w="1871" w:type="dxa"/>
          </w:tcPr>
          <w:p w14:paraId="1CA831BD" w14:textId="77777777" w:rsidR="006C4967" w:rsidRPr="003504D4" w:rsidRDefault="006C4967" w:rsidP="004D7476">
            <w:pPr>
              <w:pStyle w:val="TableSideHeading"/>
            </w:pPr>
            <w:r w:rsidRPr="003504D4">
              <w:rPr>
                <w:rFonts w:hint="cs"/>
                <w:rtl/>
              </w:rPr>
              <w:t xml:space="preserve">  </w:t>
            </w:r>
          </w:p>
        </w:tc>
        <w:tc>
          <w:tcPr>
            <w:tcW w:w="624" w:type="dxa"/>
          </w:tcPr>
          <w:p w14:paraId="7B88DA53" w14:textId="77777777" w:rsidR="006C4967" w:rsidRPr="003504D4" w:rsidRDefault="006C4967" w:rsidP="004D7476">
            <w:pPr>
              <w:pStyle w:val="TableText"/>
            </w:pPr>
          </w:p>
        </w:tc>
        <w:tc>
          <w:tcPr>
            <w:tcW w:w="624" w:type="dxa"/>
          </w:tcPr>
          <w:p w14:paraId="4C2CAAF9" w14:textId="77777777" w:rsidR="006C4967" w:rsidRPr="003504D4" w:rsidRDefault="006C4967" w:rsidP="004D7476">
            <w:pPr>
              <w:pStyle w:val="TableText"/>
            </w:pPr>
          </w:p>
        </w:tc>
        <w:tc>
          <w:tcPr>
            <w:tcW w:w="6519" w:type="dxa"/>
          </w:tcPr>
          <w:p w14:paraId="68A7DFDB" w14:textId="77777777" w:rsidR="006C4967" w:rsidRPr="003504D4" w:rsidRDefault="006C4967" w:rsidP="00DD7202">
            <w:pPr>
              <w:pStyle w:val="TableBlock"/>
              <w:rPr>
                <w:rtl/>
              </w:rPr>
            </w:pPr>
            <w:r w:rsidRPr="003504D4">
              <w:rPr>
                <w:rFonts w:hint="cs"/>
                <w:rtl/>
              </w:rPr>
              <w:t>(2)</w:t>
            </w:r>
            <w:r w:rsidRPr="003504D4">
              <w:rPr>
                <w:rtl/>
              </w:rPr>
              <w:tab/>
            </w:r>
            <w:r w:rsidRPr="003504D4">
              <w:rPr>
                <w:rFonts w:hint="cs"/>
                <w:rtl/>
              </w:rPr>
              <w:t>הגיש המבטח תביעה נגד אדם שלישי ולא ניתנה התראה כאמור בפסקה (1), רשאי בית המשפט להטיל על המבטח, ללא קשר עם תוצאות המשפט, הוצאות לטובת האדם השלישי או לטובת אוצר המדינה, או לטובת ש</w:t>
            </w:r>
            <w:r w:rsidRPr="003504D4">
              <w:rPr>
                <w:rtl/>
              </w:rPr>
              <w:t>נ</w:t>
            </w:r>
            <w:r w:rsidRPr="003504D4">
              <w:rPr>
                <w:rFonts w:hint="cs"/>
                <w:rtl/>
              </w:rPr>
              <w:t>י</w:t>
            </w:r>
            <w:r w:rsidRPr="003504D4">
              <w:rPr>
                <w:rtl/>
              </w:rPr>
              <w:t>ה</w:t>
            </w:r>
            <w:r w:rsidRPr="003504D4">
              <w:rPr>
                <w:rFonts w:hint="cs"/>
                <w:rtl/>
              </w:rPr>
              <w:t>ם, בשיעור שימצא לנכון בנסיבות העני</w:t>
            </w:r>
            <w:r>
              <w:rPr>
                <w:rFonts w:hint="cs"/>
                <w:rtl/>
              </w:rPr>
              <w:t>י</w:t>
            </w:r>
            <w:r w:rsidRPr="003504D4">
              <w:rPr>
                <w:rFonts w:hint="cs"/>
                <w:rtl/>
              </w:rPr>
              <w:t>ן."</w:t>
            </w:r>
            <w:r w:rsidRPr="003504D4">
              <w:rPr>
                <w:rtl/>
              </w:rPr>
              <w:t xml:space="preserve"> </w:t>
            </w:r>
          </w:p>
        </w:tc>
      </w:tr>
    </w:tbl>
    <w:p w14:paraId="7F6961CA" w14:textId="77777777" w:rsidR="002D1EE3" w:rsidRDefault="002D1EE3" w:rsidP="002D1EE3">
      <w:pPr>
        <w:pStyle w:val="HeadDivreiHesber"/>
        <w:rPr>
          <w:rtl/>
        </w:rPr>
      </w:pPr>
      <w:r w:rsidRPr="0027450A">
        <w:rPr>
          <w:rFonts w:hint="cs"/>
          <w:rtl/>
        </w:rPr>
        <w:t>דברי הסבר</w:t>
      </w:r>
    </w:p>
    <w:p w14:paraId="3EBDD991" w14:textId="4E5C168F" w:rsidR="006C4967" w:rsidRPr="00DD7202" w:rsidRDefault="006C4967" w:rsidP="00DD7202">
      <w:pPr>
        <w:pStyle w:val="Hesber"/>
        <w:rPr>
          <w:rtl/>
        </w:rPr>
      </w:pPr>
      <w:r w:rsidRPr="00DD7202">
        <w:rPr>
          <w:rtl/>
        </w:rPr>
        <w:t xml:space="preserve">סעיף 62 לחוק חוזה הביטוח, </w:t>
      </w:r>
      <w:proofErr w:type="spellStart"/>
      <w:r w:rsidRPr="00DD7202">
        <w:rPr>
          <w:rtl/>
        </w:rPr>
        <w:t>התשמ"א</w:t>
      </w:r>
      <w:proofErr w:type="spellEnd"/>
      <w:r w:rsidRPr="00DD7202">
        <w:rPr>
          <w:rtl/>
        </w:rPr>
        <w:t xml:space="preserve">–1981, מאפשר לחברות הביטוח, לאחר ששילמו פיצוי למבוטח, להיפרע כנגד הפיצוי ממי שגרם לאירוע </w:t>
      </w:r>
      <w:proofErr w:type="spellStart"/>
      <w:r w:rsidRPr="00DD7202">
        <w:rPr>
          <w:rtl/>
        </w:rPr>
        <w:t>הביטוחי</w:t>
      </w:r>
      <w:proofErr w:type="spellEnd"/>
      <w:r w:rsidRPr="00DD7202">
        <w:rPr>
          <w:rtl/>
        </w:rPr>
        <w:t>. לדוגמה: בתאונת דרכים תפצה חברת הביטוח את הלקוח שלה ולאחר מכ</w:t>
      </w:r>
      <w:r w:rsidR="008D6F06" w:rsidRPr="00DD7202">
        <w:rPr>
          <w:rtl/>
        </w:rPr>
        <w:t>ן תדרוש את סכום הפיצוי מנהג שאי</w:t>
      </w:r>
      <w:r w:rsidRPr="00DD7202">
        <w:rPr>
          <w:rtl/>
        </w:rPr>
        <w:t>נו הלקוח שלה. תביעות אלו מכונות תביעות שיבוב</w:t>
      </w:r>
      <w:r w:rsidRPr="00DD7202">
        <w:rPr>
          <w:rFonts w:hint="cs"/>
          <w:rtl/>
        </w:rPr>
        <w:t xml:space="preserve"> והנתבע בהן מכונה "צד שלישי"</w:t>
      </w:r>
      <w:r w:rsidRPr="00DD7202">
        <w:rPr>
          <w:rtl/>
        </w:rPr>
        <w:t>.</w:t>
      </w:r>
    </w:p>
    <w:p w14:paraId="14507296" w14:textId="77777777" w:rsidR="006C4967" w:rsidRPr="00DD7202" w:rsidRDefault="006C4967" w:rsidP="00DD7202">
      <w:pPr>
        <w:pStyle w:val="Hesber"/>
        <w:rPr>
          <w:rtl/>
        </w:rPr>
      </w:pPr>
      <w:r w:rsidRPr="00DD7202">
        <w:rPr>
          <w:rtl/>
        </w:rPr>
        <w:t>הזכות שבסעיף זה יוצרת תופעה שלילית ופוגענית</w:t>
      </w:r>
      <w:r w:rsidRPr="00DD7202">
        <w:rPr>
          <w:rFonts w:hint="cs"/>
          <w:rtl/>
        </w:rPr>
        <w:t xml:space="preserve"> כש</w:t>
      </w:r>
      <w:r w:rsidRPr="00DD7202">
        <w:rPr>
          <w:rtl/>
        </w:rPr>
        <w:t xml:space="preserve">חברות הביטוח תובעות מעורבים בתאונה בבית המשפט, בלי להקדים ולברר את מידת אחריותם לאירוע </w:t>
      </w:r>
      <w:proofErr w:type="spellStart"/>
      <w:r w:rsidRPr="00DD7202">
        <w:rPr>
          <w:rtl/>
        </w:rPr>
        <w:t>הביטוחי</w:t>
      </w:r>
      <w:proofErr w:type="spellEnd"/>
      <w:r w:rsidRPr="00DD7202">
        <w:rPr>
          <w:rFonts w:hint="cs"/>
          <w:rtl/>
        </w:rPr>
        <w:t xml:space="preserve"> טרם</w:t>
      </w:r>
      <w:r w:rsidRPr="00DD7202">
        <w:rPr>
          <w:rtl/>
        </w:rPr>
        <w:t xml:space="preserve"> הפנייה לערכאות. הליכים אלה מתבצעים לרוב בסדר דין מהיר.</w:t>
      </w:r>
    </w:p>
    <w:p w14:paraId="6D488EF9" w14:textId="06AF3756" w:rsidR="006C4967" w:rsidRPr="00DD7202" w:rsidRDefault="006C4967" w:rsidP="00DD7202">
      <w:pPr>
        <w:pStyle w:val="Hesber"/>
        <w:rPr>
          <w:rtl/>
        </w:rPr>
      </w:pPr>
      <w:r w:rsidRPr="00DD7202">
        <w:rPr>
          <w:rtl/>
        </w:rPr>
        <w:t xml:space="preserve">התוצאה של תופעה זו היא פגיעה </w:t>
      </w:r>
      <w:r w:rsidRPr="00DD7202">
        <w:rPr>
          <w:rFonts w:hint="cs"/>
          <w:rtl/>
        </w:rPr>
        <w:t xml:space="preserve">משמעותית </w:t>
      </w:r>
      <w:r w:rsidRPr="00DD7202">
        <w:rPr>
          <w:rtl/>
        </w:rPr>
        <w:t>באזרחים שהיו מעורבים בתאונה ואינם בהכרח אשמים ב</w:t>
      </w:r>
      <w:r w:rsidRPr="00DD7202">
        <w:rPr>
          <w:rFonts w:hint="cs"/>
          <w:rtl/>
        </w:rPr>
        <w:t xml:space="preserve">גרימתה, </w:t>
      </w:r>
      <w:r w:rsidRPr="00DD7202">
        <w:rPr>
          <w:rtl/>
        </w:rPr>
        <w:t xml:space="preserve">אך חסרים את המשאבים הדרושים כדי להתמודד באופן נאות בבית המשפט. גם במקרה שנתבע מודה באשמה באופן מלא או חלקי, הפנייה לערכאות תחייב אותו בהוצאות המשפט של חברת </w:t>
      </w:r>
      <w:r w:rsidR="008D6F06" w:rsidRPr="00DD7202">
        <w:rPr>
          <w:rtl/>
        </w:rPr>
        <w:t xml:space="preserve">הביטוח, שלא היה נדרש לשלם אילו </w:t>
      </w:r>
      <w:r w:rsidR="008D6F06" w:rsidRPr="00DD7202">
        <w:rPr>
          <w:rFonts w:hint="cs"/>
          <w:rtl/>
        </w:rPr>
        <w:t>ה</w:t>
      </w:r>
      <w:r w:rsidRPr="00DD7202">
        <w:rPr>
          <w:rtl/>
        </w:rPr>
        <w:t>תבררה עמו מראש מידת אחריותו.</w:t>
      </w:r>
    </w:p>
    <w:p w14:paraId="13A1E64A" w14:textId="77777777" w:rsidR="006C4967" w:rsidRPr="00DD7202" w:rsidRDefault="006C4967" w:rsidP="00DD7202">
      <w:pPr>
        <w:pStyle w:val="Hesber"/>
        <w:rPr>
          <w:rtl/>
        </w:rPr>
      </w:pPr>
    </w:p>
    <w:p w14:paraId="450C53B7" w14:textId="77777777" w:rsidR="006C4967" w:rsidRPr="00DD7202" w:rsidRDefault="006C4967" w:rsidP="00DD7202">
      <w:pPr>
        <w:pStyle w:val="Hesber"/>
        <w:rPr>
          <w:rtl/>
        </w:rPr>
      </w:pPr>
      <w:r w:rsidRPr="00DD7202">
        <w:rPr>
          <w:rFonts w:hint="cs"/>
          <w:rtl/>
        </w:rPr>
        <w:t xml:space="preserve">פניית חברות הביטוח להליך משפטי כאמצעי ראשון, בלי שלמעורבים ניתנה התראה, </w:t>
      </w:r>
      <w:r w:rsidRPr="00DD7202">
        <w:rPr>
          <w:rtl/>
        </w:rPr>
        <w:t xml:space="preserve">מוסיפה </w:t>
      </w:r>
      <w:r w:rsidRPr="00DD7202">
        <w:rPr>
          <w:rFonts w:hint="cs"/>
          <w:rtl/>
        </w:rPr>
        <w:t>ל</w:t>
      </w:r>
      <w:r w:rsidRPr="00DD7202">
        <w:rPr>
          <w:rtl/>
        </w:rPr>
        <w:t>עומס המוטל על בתי המשפט</w:t>
      </w:r>
      <w:r w:rsidRPr="00DD7202">
        <w:rPr>
          <w:rFonts w:hint="cs"/>
          <w:rtl/>
        </w:rPr>
        <w:t xml:space="preserve"> וכן, עשויה לפגוע באותם מעורבים</w:t>
      </w:r>
      <w:r w:rsidRPr="00DD7202">
        <w:rPr>
          <w:rtl/>
        </w:rPr>
        <w:t xml:space="preserve">, בין אם הם אשמים באירוע </w:t>
      </w:r>
      <w:proofErr w:type="spellStart"/>
      <w:r w:rsidRPr="00DD7202">
        <w:rPr>
          <w:rtl/>
        </w:rPr>
        <w:t>הביטוחי</w:t>
      </w:r>
      <w:proofErr w:type="spellEnd"/>
      <w:r w:rsidRPr="00DD7202">
        <w:rPr>
          <w:rtl/>
        </w:rPr>
        <w:t xml:space="preserve"> ובין אם לאו</w:t>
      </w:r>
      <w:r w:rsidRPr="00DD7202">
        <w:rPr>
          <w:rFonts w:hint="cs"/>
          <w:rtl/>
        </w:rPr>
        <w:t>.</w:t>
      </w:r>
      <w:r w:rsidRPr="00DD7202">
        <w:rPr>
          <w:rtl/>
        </w:rPr>
        <w:t xml:space="preserve"> </w:t>
      </w:r>
    </w:p>
    <w:p w14:paraId="04F45B1E" w14:textId="0AEA9924" w:rsidR="006C4967" w:rsidRPr="00DD7202" w:rsidRDefault="006C4967" w:rsidP="00DD7202">
      <w:pPr>
        <w:pStyle w:val="Hesber"/>
        <w:rPr>
          <w:rtl/>
        </w:rPr>
      </w:pPr>
      <w:r w:rsidRPr="00DD7202">
        <w:rPr>
          <w:rFonts w:hint="cs"/>
          <w:rtl/>
        </w:rPr>
        <w:t>מוצע לאפשר לחברת הביטוח להגיש תביעה נגד צד שלישי רק לאחר ששלחה לו התראה על כוונתה להגיש תביעה כאמור ובחלוף 30 ימים ממועד שליחת התראה זו. תקופת זמן זו נועדה לאפשר לחברת הביטוח ולאדם השלישי להסדיר את סוגיית הפיצוי או השיפוי מחוץ לכ</w:t>
      </w:r>
      <w:r w:rsidR="008D6F06" w:rsidRPr="00DD7202">
        <w:rPr>
          <w:rFonts w:hint="cs"/>
          <w:rtl/>
        </w:rPr>
        <w:t>ו</w:t>
      </w:r>
      <w:r w:rsidRPr="00DD7202">
        <w:rPr>
          <w:rFonts w:hint="cs"/>
          <w:rtl/>
        </w:rPr>
        <w:t>תלי בית המשפט.</w:t>
      </w:r>
    </w:p>
    <w:p w14:paraId="2D5833E3" w14:textId="77777777" w:rsidR="006C4967" w:rsidRPr="00DD7202" w:rsidRDefault="006C4967" w:rsidP="00DD7202">
      <w:pPr>
        <w:pStyle w:val="Hesber"/>
        <w:rPr>
          <w:rtl/>
        </w:rPr>
      </w:pPr>
      <w:r w:rsidRPr="00DD7202">
        <w:rPr>
          <w:rFonts w:hint="cs"/>
          <w:rtl/>
        </w:rPr>
        <w:t xml:space="preserve">במקרה שהתביעה הגיעה לבירור בפני בית המשפט ומתברר כי חברת הביטוח לא שלחה לאדם השלישי התראה כאמור, מוצע כי בית המשפט יוכל להטיל עליה הוצאות בסכום שימצא לנכון, לטובת האדם השלישי, אוצר המדינה או שניהם, ללא קשר לתוצאות המשפט.   </w:t>
      </w:r>
    </w:p>
    <w:p w14:paraId="2BCB68D4" w14:textId="04E478BB" w:rsidR="006C4967" w:rsidRPr="00DD7202" w:rsidRDefault="006C4967" w:rsidP="00634D0D">
      <w:pPr>
        <w:pStyle w:val="Hesber"/>
        <w:rPr>
          <w:rtl/>
        </w:rPr>
      </w:pPr>
      <w:r w:rsidRPr="00DD7202">
        <w:rPr>
          <w:rtl/>
        </w:rPr>
        <w:t xml:space="preserve">הצעת חוק </w:t>
      </w:r>
      <w:r w:rsidRPr="00DD7202">
        <w:rPr>
          <w:rFonts w:hint="cs"/>
          <w:rtl/>
        </w:rPr>
        <w:t xml:space="preserve">דומה בעיקרה </w:t>
      </w:r>
      <w:r w:rsidRPr="00DD7202">
        <w:rPr>
          <w:rtl/>
        </w:rPr>
        <w:t>הונחה על שולחן הכנסת השמונה-עשרה על</w:t>
      </w:r>
      <w:r w:rsidR="00634D0D">
        <w:rPr>
          <w:rFonts w:hint="cs"/>
          <w:rtl/>
        </w:rPr>
        <w:t xml:space="preserve"> </w:t>
      </w:r>
      <w:r w:rsidRPr="00DD7202">
        <w:rPr>
          <w:rtl/>
        </w:rPr>
        <w:t>ידי חבר הכנסת אורי אריאל (פ/4090/18).</w:t>
      </w:r>
    </w:p>
    <w:p w14:paraId="3C711DFA" w14:textId="4BF85681" w:rsidR="006C4967" w:rsidRPr="00DD7202" w:rsidRDefault="006C4967" w:rsidP="00DD7202">
      <w:pPr>
        <w:pStyle w:val="Hesber"/>
        <w:rPr>
          <w:rtl/>
        </w:rPr>
      </w:pPr>
      <w:r w:rsidRPr="00DD7202">
        <w:rPr>
          <w:rtl/>
        </w:rPr>
        <w:t>הצע</w:t>
      </w:r>
      <w:r w:rsidR="00634D0D">
        <w:rPr>
          <w:rFonts w:hint="cs"/>
          <w:rtl/>
        </w:rPr>
        <w:t>ו</w:t>
      </w:r>
      <w:r w:rsidRPr="00DD7202">
        <w:rPr>
          <w:rtl/>
        </w:rPr>
        <w:t xml:space="preserve">ת חוק </w:t>
      </w:r>
      <w:r w:rsidRPr="00DD7202">
        <w:rPr>
          <w:rFonts w:hint="cs"/>
          <w:rtl/>
        </w:rPr>
        <w:t>זה</w:t>
      </w:r>
      <w:r w:rsidR="008D6F06" w:rsidRPr="00DD7202">
        <w:rPr>
          <w:rFonts w:hint="cs"/>
          <w:rtl/>
        </w:rPr>
        <w:t>ות</w:t>
      </w:r>
      <w:r w:rsidRPr="00DD7202">
        <w:rPr>
          <w:rFonts w:hint="cs"/>
          <w:rtl/>
        </w:rPr>
        <w:t xml:space="preserve"> </w:t>
      </w:r>
      <w:r w:rsidRPr="00DD7202">
        <w:rPr>
          <w:rtl/>
        </w:rPr>
        <w:t>הונח</w:t>
      </w:r>
      <w:r w:rsidR="008D6F06" w:rsidRPr="00DD7202">
        <w:rPr>
          <w:rFonts w:hint="cs"/>
          <w:rtl/>
        </w:rPr>
        <w:t>ו</w:t>
      </w:r>
      <w:r w:rsidRPr="00DD7202">
        <w:rPr>
          <w:rtl/>
        </w:rPr>
        <w:t xml:space="preserve"> על שולחן הכנסת השמונה-עשרה על</w:t>
      </w:r>
      <w:r w:rsidRPr="00DD7202">
        <w:rPr>
          <w:rFonts w:hint="cs"/>
          <w:rtl/>
        </w:rPr>
        <w:t xml:space="preserve"> </w:t>
      </w:r>
      <w:r w:rsidRPr="00DD7202">
        <w:rPr>
          <w:rtl/>
        </w:rPr>
        <w:t>ידי</w:t>
      </w:r>
      <w:r w:rsidRPr="00DD7202">
        <w:rPr>
          <w:rFonts w:hint="cs"/>
          <w:rtl/>
        </w:rPr>
        <w:t xml:space="preserve"> חבר הכנסת אורי מקלב (</w:t>
      </w:r>
      <w:r w:rsidRPr="00DD7202">
        <w:rPr>
          <w:rtl/>
        </w:rPr>
        <w:t>פ/4302/18</w:t>
      </w:r>
      <w:r w:rsidRPr="00DD7202">
        <w:rPr>
          <w:rFonts w:hint="cs"/>
          <w:rtl/>
        </w:rPr>
        <w:t>)</w:t>
      </w:r>
      <w:r w:rsidR="008D6F06" w:rsidRPr="00DD7202">
        <w:rPr>
          <w:rFonts w:hint="cs"/>
          <w:rtl/>
        </w:rPr>
        <w:t xml:space="preserve"> ו</w:t>
      </w:r>
      <w:r w:rsidRPr="00DD7202">
        <w:rPr>
          <w:rFonts w:hint="cs"/>
          <w:rtl/>
        </w:rPr>
        <w:t xml:space="preserve">על שולחן הכנסת התשע-עשרה על ידי חבר הכנסת אורי מקלב וקבוצת חברי </w:t>
      </w:r>
      <w:r w:rsidR="00634D0D">
        <w:rPr>
          <w:rFonts w:hint="cs"/>
          <w:rtl/>
        </w:rPr>
        <w:t>ה</w:t>
      </w:r>
      <w:r w:rsidRPr="00DD7202">
        <w:rPr>
          <w:rFonts w:hint="cs"/>
          <w:rtl/>
        </w:rPr>
        <w:t>כנסת (</w:t>
      </w:r>
      <w:r w:rsidRPr="00DD7202">
        <w:rPr>
          <w:rtl/>
        </w:rPr>
        <w:t>פ/10/19</w:t>
      </w:r>
      <w:r w:rsidRPr="00DD7202">
        <w:rPr>
          <w:rFonts w:hint="cs"/>
          <w:rtl/>
        </w:rPr>
        <w:t>)</w:t>
      </w:r>
      <w:r w:rsidR="008D6F06" w:rsidRPr="00DD7202">
        <w:rPr>
          <w:rFonts w:hint="cs"/>
          <w:rtl/>
        </w:rPr>
        <w:t>.</w:t>
      </w:r>
    </w:p>
    <w:p w14:paraId="37712871" w14:textId="77777777" w:rsidR="00634D0D" w:rsidRDefault="00634D0D" w:rsidP="00454AC5">
      <w:pPr>
        <w:pStyle w:val="Hesber"/>
      </w:pPr>
      <w:r>
        <w:rPr>
          <w:rFonts w:hint="cs"/>
          <w:rtl/>
        </w:rPr>
        <w:t>---------------------------------</w:t>
      </w:r>
    </w:p>
    <w:p w14:paraId="0B293984" w14:textId="77777777" w:rsidR="00634D0D" w:rsidRDefault="00634D0D" w:rsidP="00454AC5">
      <w:pPr>
        <w:pStyle w:val="Hesber"/>
        <w:rPr>
          <w:rtl/>
        </w:rPr>
      </w:pPr>
      <w:r>
        <w:rPr>
          <w:rFonts w:hint="cs"/>
          <w:rtl/>
        </w:rPr>
        <w:t>הוגשה ליו"ר הכנסת והסגנים</w:t>
      </w:r>
    </w:p>
    <w:p w14:paraId="479034D9" w14:textId="77777777" w:rsidR="00634D0D" w:rsidRDefault="00634D0D" w:rsidP="00454AC5">
      <w:pPr>
        <w:pStyle w:val="Hesber"/>
        <w:rPr>
          <w:rtl/>
        </w:rPr>
      </w:pPr>
      <w:r>
        <w:rPr>
          <w:rFonts w:hint="cs"/>
          <w:rtl/>
        </w:rPr>
        <w:t>והונחה על שולחן הכנסת ביום</w:t>
      </w:r>
    </w:p>
    <w:p w14:paraId="02485602" w14:textId="77777777" w:rsidR="00634D0D" w:rsidRDefault="00634D0D" w:rsidP="00454AC5">
      <w:pPr>
        <w:pStyle w:val="Hesber"/>
        <w:rPr>
          <w:rtl/>
        </w:rPr>
      </w:pPr>
      <w:r>
        <w:rPr>
          <w:rFonts w:hint="cs"/>
          <w:rtl/>
        </w:rPr>
        <w:t>י"ד בסיוון התשע"ה – 1.6.15</w:t>
      </w:r>
    </w:p>
    <w:p w14:paraId="2C1830CB" w14:textId="77777777" w:rsidR="00634D0D" w:rsidRPr="004A4098" w:rsidRDefault="00634D0D" w:rsidP="00935520">
      <w:pPr>
        <w:ind w:left="340" w:firstLine="0"/>
        <w:rPr>
          <w:rFonts w:ascii="Arial" w:eastAsia="Arial Unicode MS" w:hAnsi="Arial" w:cs="David"/>
          <w:snapToGrid w:val="0"/>
          <w:spacing w:val="0"/>
          <w:sz w:val="20"/>
          <w:szCs w:val="26"/>
          <w:rtl/>
        </w:rPr>
      </w:pPr>
    </w:p>
    <w:p w14:paraId="7F6961CB" w14:textId="37CBA6B7" w:rsidR="00E13C27" w:rsidRPr="00DD7202" w:rsidRDefault="00E13C27" w:rsidP="00634D0D">
      <w:pPr>
        <w:spacing w:line="360" w:lineRule="auto"/>
        <w:rPr>
          <w:rtl/>
        </w:rPr>
      </w:pPr>
    </w:p>
    <w:sectPr w:rsidR="00E13C27" w:rsidRPr="00DD7202" w:rsidSect="001207F8">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D139E">
      <w:rPr>
        <w:rStyle w:val="ab"/>
        <w:noProof/>
        <w:rtl/>
      </w:rPr>
      <w:t>2</w:t>
    </w:r>
    <w:r>
      <w:rPr>
        <w:rStyle w:val="ab"/>
        <w:rtl/>
      </w:rPr>
      <w:fldChar w:fldCharType="end"/>
    </w:r>
  </w:p>
  <w:p w14:paraId="7F6961D8" w14:textId="77777777" w:rsidR="001A0623" w:rsidRDefault="001A062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FFF51" w14:textId="77777777" w:rsidR="007D139E" w:rsidRDefault="007D139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422C86B2" w14:textId="77777777" w:rsidR="006C4967" w:rsidRDefault="006C4967" w:rsidP="006C4967">
      <w:pPr>
        <w:pStyle w:val="a4"/>
      </w:pPr>
      <w:r>
        <w:rPr>
          <w:rStyle w:val="a6"/>
        </w:rPr>
        <w:footnoteRef/>
      </w:r>
      <w:r>
        <w:rPr>
          <w:rtl/>
        </w:rPr>
        <w:t xml:space="preserve"> </w:t>
      </w:r>
      <w:r>
        <w:rPr>
          <w:rFonts w:hint="cs"/>
          <w:rtl/>
        </w:rPr>
        <w:t xml:space="preserve">ס"ח </w:t>
      </w:r>
      <w:proofErr w:type="spellStart"/>
      <w:r>
        <w:rPr>
          <w:rFonts w:hint="cs"/>
          <w:rtl/>
        </w:rPr>
        <w:t>התשמ"א</w:t>
      </w:r>
      <w:proofErr w:type="spellEnd"/>
      <w:r>
        <w:rPr>
          <w:rFonts w:hint="cs"/>
          <w:rtl/>
        </w:rPr>
        <w:t>, עמ' 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54DB9" w14:textId="77777777" w:rsidR="007D139E" w:rsidRDefault="007D139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CA5A7" w14:textId="77777777" w:rsidR="007D139E" w:rsidRDefault="007D139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A19E7" w14:textId="77777777" w:rsidR="007D139E" w:rsidRDefault="007D139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4D0D"/>
    <w:rsid w:val="006363B2"/>
    <w:rsid w:val="00644940"/>
    <w:rsid w:val="006818A9"/>
    <w:rsid w:val="006A2D81"/>
    <w:rsid w:val="006C1D0D"/>
    <w:rsid w:val="006C4967"/>
    <w:rsid w:val="0070601E"/>
    <w:rsid w:val="00712C72"/>
    <w:rsid w:val="00735FE9"/>
    <w:rsid w:val="00763CAA"/>
    <w:rsid w:val="00765F66"/>
    <w:rsid w:val="007C3FA6"/>
    <w:rsid w:val="007D139E"/>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D6F0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9F6CC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63620"/>
    <w:rsid w:val="00D8410D"/>
    <w:rsid w:val="00D867D7"/>
    <w:rsid w:val="00DB7060"/>
    <w:rsid w:val="00DD7202"/>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5DB4CFF-9BD0-46D9-97E3-28B68E024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20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D720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D7202"/>
    <w:rPr>
      <w:sz w:val="36"/>
      <w:szCs w:val="52"/>
    </w:rPr>
  </w:style>
  <w:style w:type="paragraph" w:customStyle="1" w:styleId="Cover3-Haknesset">
    <w:name w:val="Cover 3-Haknesset"/>
    <w:basedOn w:val="Cover1-Reshumot"/>
    <w:rsid w:val="00DD7202"/>
    <w:rPr>
      <w:b/>
      <w:bCs/>
      <w:spacing w:val="60"/>
    </w:rPr>
  </w:style>
  <w:style w:type="paragraph" w:customStyle="1" w:styleId="Cover4-Date">
    <w:name w:val="Cover 4-Date"/>
    <w:basedOn w:val="a"/>
    <w:rsid w:val="00DD720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D720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D720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D7202"/>
    <w:pPr>
      <w:spacing w:before="120" w:after="120"/>
    </w:pPr>
    <w:rPr>
      <w:color w:val="FF0000"/>
      <w:w w:val="80"/>
    </w:rPr>
  </w:style>
  <w:style w:type="paragraph" w:styleId="a3">
    <w:name w:val="endnote text"/>
    <w:basedOn w:val="a"/>
    <w:semiHidden/>
    <w:rsid w:val="00DD7202"/>
    <w:pPr>
      <w:ind w:left="227" w:hanging="227"/>
    </w:pPr>
    <w:rPr>
      <w:sz w:val="14"/>
      <w:szCs w:val="22"/>
    </w:rPr>
  </w:style>
  <w:style w:type="paragraph" w:customStyle="1" w:styleId="TableText">
    <w:name w:val="Table Text"/>
    <w:basedOn w:val="a"/>
    <w:rsid w:val="00DD720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D7202"/>
  </w:style>
  <w:style w:type="paragraph" w:customStyle="1" w:styleId="TableBlock">
    <w:name w:val="Table Block"/>
    <w:basedOn w:val="TableText"/>
    <w:rsid w:val="00DD7202"/>
    <w:pPr>
      <w:ind w:right="0"/>
      <w:jc w:val="both"/>
    </w:pPr>
  </w:style>
  <w:style w:type="paragraph" w:customStyle="1" w:styleId="TableHead">
    <w:name w:val="Table Head"/>
    <w:basedOn w:val="TableText"/>
    <w:rsid w:val="00DD7202"/>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D7202"/>
  </w:style>
  <w:style w:type="paragraph" w:customStyle="1" w:styleId="Hesber">
    <w:name w:val="Hesber"/>
    <w:basedOn w:val="a"/>
    <w:rsid w:val="00DD7202"/>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DD7202"/>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DD7202"/>
    <w:rPr>
      <w:vertAlign w:val="superscript"/>
    </w:rPr>
  </w:style>
  <w:style w:type="paragraph" w:customStyle="1" w:styleId="HesberHeading">
    <w:name w:val="Hesber Heading"/>
    <w:basedOn w:val="Hesber"/>
    <w:rsid w:val="00DD7202"/>
    <w:pPr>
      <w:tabs>
        <w:tab w:val="left" w:pos="624"/>
        <w:tab w:val="left" w:pos="1247"/>
      </w:tabs>
      <w:ind w:firstLine="0"/>
    </w:pPr>
    <w:rPr>
      <w:b/>
      <w:bCs/>
    </w:rPr>
  </w:style>
  <w:style w:type="paragraph" w:customStyle="1" w:styleId="HesberWriters">
    <w:name w:val="Hesber Writers"/>
    <w:basedOn w:val="Hesber"/>
    <w:rsid w:val="00DD7202"/>
    <w:pPr>
      <w:spacing w:before="120" w:after="6000"/>
      <w:ind w:left="1418" w:firstLine="0"/>
      <w:jc w:val="right"/>
    </w:pPr>
    <w:rPr>
      <w:b/>
      <w:bCs/>
    </w:rPr>
  </w:style>
  <w:style w:type="paragraph" w:customStyle="1" w:styleId="Hesber1st">
    <w:name w:val="Hesber 1st"/>
    <w:basedOn w:val="Hesber"/>
    <w:rsid w:val="00DD7202"/>
    <w:pPr>
      <w:tabs>
        <w:tab w:val="left" w:pos="680"/>
        <w:tab w:val="left" w:pos="1020"/>
      </w:tabs>
      <w:ind w:firstLine="0"/>
    </w:pPr>
  </w:style>
  <w:style w:type="character" w:styleId="a7">
    <w:name w:val="endnote reference"/>
    <w:basedOn w:val="a0"/>
    <w:semiHidden/>
    <w:rsid w:val="00DD7202"/>
    <w:rPr>
      <w:vertAlign w:val="superscript"/>
    </w:rPr>
  </w:style>
  <w:style w:type="paragraph" w:customStyle="1" w:styleId="TableBlockOutdent">
    <w:name w:val="Table BlockOutdent"/>
    <w:basedOn w:val="TableBlock"/>
    <w:rsid w:val="00DD7202"/>
    <w:pPr>
      <w:ind w:left="624" w:hanging="624"/>
    </w:pPr>
  </w:style>
  <w:style w:type="paragraph" w:styleId="a8">
    <w:name w:val="header"/>
    <w:basedOn w:val="a"/>
    <w:rsid w:val="00DD7202"/>
    <w:pPr>
      <w:tabs>
        <w:tab w:val="center" w:pos="4153"/>
        <w:tab w:val="right" w:pos="8306"/>
      </w:tabs>
    </w:pPr>
  </w:style>
  <w:style w:type="paragraph" w:styleId="a9">
    <w:name w:val="footer"/>
    <w:basedOn w:val="a"/>
    <w:rsid w:val="00DD7202"/>
    <w:pPr>
      <w:tabs>
        <w:tab w:val="center" w:pos="4153"/>
        <w:tab w:val="right" w:pos="8306"/>
      </w:tabs>
    </w:pPr>
  </w:style>
  <w:style w:type="paragraph" w:customStyle="1" w:styleId="HeadDivreiHesber">
    <w:name w:val="Head DivreiHesber"/>
    <w:basedOn w:val="a"/>
    <w:rsid w:val="00DD720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D7202"/>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DD7202"/>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6C496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C2E6B-D720-479A-9912-70D4331AC202}"/>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dcmitype/"/>
    <ds:schemaRef ds:uri="http://purl.org/dc/elements/1.1/"/>
    <ds:schemaRef ds:uri="f7660851-4ffa-4136-bafb-a5c8c40811cf"/>
    <ds:schemaRef ds:uri="http://purl.org/dc/term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FF553FC2-B6CE-4662-9A5B-7DA2B13E5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2086</Characters>
  <Application>Microsoft Office Word</Application>
  <DocSecurity>0</DocSecurity>
  <Lines>59</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הצעת חוק חוזה הביטוח (תיקון – מיצוי הליכים בתביעות תחלוף), התשע"ה–2015</vt:lpstr>
      <vt:lpstr>רשומות</vt:lpstr>
    </vt:vector>
  </TitlesOfParts>
  <Company>Knesset</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חוזה הביטוח (תיקון – מיצוי הליכים בתביעות תחלוף), התשע"ה–2015</dc:title>
  <dc:creator>מיקה צור</dc:creator>
  <cp:lastModifiedBy>מיכל יצחקוב</cp:lastModifiedBy>
  <cp:revision>2</cp:revision>
  <cp:lastPrinted>2013-07-04T08:25:00Z</cp:lastPrinted>
  <dcterms:created xsi:type="dcterms:W3CDTF">2017-05-01T10:05:00Z</dcterms:created>
  <dcterms:modified xsi:type="dcterms:W3CDTF">2017-05-01T10:05:00Z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2016528</vt:r8>
  </property>
  <property fmtid="{D5CDD505-2E9C-101B-9397-08002B2CF9AE}" pid="6" name="ContentType">
    <vt:lpwstr>בסיס</vt:lpwstr>
  </property>
  <property fmtid="{D5CDD505-2E9C-101B-9397-08002B2CF9AE}" pid="7" name="SDCategoryID">
    <vt:lpwstr>875f595883d8;#</vt:lpwstr>
  </property>
  <property fmtid="{D5CDD505-2E9C-101B-9397-08002B2CF9AE}" pid="8" name="z">
    <vt:lpwstr>#RowsetSchema</vt:lpwstr>
  </property>
  <property fmtid="{D5CDD505-2E9C-101B-9397-08002B2CF9AE}" pid="9" name="Author">
    <vt:lpwstr>1210;#מיכל יצחקוב</vt:lpwstr>
  </property>
  <property fmtid="{D5CDD505-2E9C-101B-9397-08002B2CF9AE}" pid="10" name="FileLeafRef">
    <vt:lpwstr>6674;#01345617.docx</vt:lpwstr>
  </property>
  <property fmtid="{D5CDD505-2E9C-101B-9397-08002B2CF9AE}" pid="11" name="Modified_x0020_By">
    <vt:lpwstr>LAN_KNESSET\michali</vt:lpwstr>
  </property>
  <property fmtid="{D5CDD505-2E9C-101B-9397-08002B2CF9AE}" pid="12" name="Created_x0020_By">
    <vt:lpwstr>LAN_KNESSET\michali</vt:lpwstr>
  </property>
  <property fmtid="{D5CDD505-2E9C-101B-9397-08002B2CF9AE}" pid="13" name="File_x0020_Type">
    <vt:lpwstr>docx</vt:lpwstr>
  </property>
  <property fmtid="{D5CDD505-2E9C-101B-9397-08002B2CF9AE}" pid="14" name="AutoNumber">
    <vt:lpwstr>01345617</vt:lpwstr>
  </property>
  <property fmtid="{D5CDD505-2E9C-101B-9397-08002B2CF9AE}" pid="15" name="SDCategories">
    <vt:lpwstr>:ועדות:ועדת הכספים:ספר סיכום הכנסת ה- 20 - תיקי ועדה:הצעות חוק פרטיות:(תיק 26) - הצעת חוק חוזה הביטוח (תיקון – מיצוי הליכים בתביעות תחלוף), התשע"ה-2015 (פ/1162/20), ח"כ אורי מקלב ומשה גפני - 21.3.17;#</vt:lpwstr>
  </property>
  <property fmtid="{D5CDD505-2E9C-101B-9397-08002B2CF9AE}" pid="16" name="SDAuthor">
    <vt:lpwstr>מיכל יצחקוב</vt:lpwstr>
  </property>
  <property fmtid="{D5CDD505-2E9C-101B-9397-08002B2CF9AE}" pid="17" name="SDDocDate">
    <vt:lpwstr>22/03/2017</vt:lpwstr>
  </property>
  <property fmtid="{D5CDD505-2E9C-101B-9397-08002B2CF9AE}" pid="18" name="SDHebDate">
    <vt:lpwstr>כ"ד באדר, התשע"ז</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6674</vt:lpwstr>
  </property>
  <property fmtid="{D5CDD505-2E9C-101B-9397-08002B2CF9AE}" pid="22" name="Created">
    <vt:lpwstr>22/03/2017</vt:lpwstr>
  </property>
  <property fmtid="{D5CDD505-2E9C-101B-9397-08002B2CF9AE}" pid="23" name="Modified">
    <vt:lpwstr>22/03/2017</vt:lpwstr>
  </property>
  <property fmtid="{D5CDD505-2E9C-101B-9397-08002B2CF9AE}" pid="24" name="Editor">
    <vt:lpwstr>1210;#מיכל יצחקוב</vt:lpwstr>
  </property>
  <property fmtid="{D5CDD505-2E9C-101B-9397-08002B2CF9AE}" pid="25" name="_ModerationStatus">
    <vt:lpwstr>0</vt:lpwstr>
  </property>
  <property fmtid="{D5CDD505-2E9C-101B-9397-08002B2CF9AE}" pid="26" name="FileRef">
    <vt:lpwstr>6674;#sites/VEADOT/VaadatKsafim/DocLib9/DocLib9 automatically created by sharedocs 4/01345617.docx</vt:lpwstr>
  </property>
  <property fmtid="{D5CDD505-2E9C-101B-9397-08002B2CF9AE}" pid="27" name="FileDirRef">
    <vt:lpwstr>6674;#sites/VEADOT/VaadatKsafim/DocLib9/DocLib9 automatically created by sharedocs 4</vt:lpwstr>
  </property>
  <property fmtid="{D5CDD505-2E9C-101B-9397-08002B2CF9AE}" pid="28" name="Last_x0020_Modified">
    <vt:lpwstr>6674;#2017-03-22 08:27:51</vt:lpwstr>
  </property>
  <property fmtid="{D5CDD505-2E9C-101B-9397-08002B2CF9AE}" pid="29" name="Created_x0020_Date">
    <vt:lpwstr>6674;#2017-03-22 08:27:51</vt:lpwstr>
  </property>
  <property fmtid="{D5CDD505-2E9C-101B-9397-08002B2CF9AE}" pid="30" name="File_x0020_Size">
    <vt:lpwstr>6674;#37591</vt:lpwstr>
  </property>
  <property fmtid="{D5CDD505-2E9C-101B-9397-08002B2CF9AE}" pid="31" name="FSObjType">
    <vt:lpwstr>6674;#0</vt:lpwstr>
  </property>
  <property fmtid="{D5CDD505-2E9C-101B-9397-08002B2CF9AE}" pid="32" name="PermMask">
    <vt:lpwstr>0x1b03c5f1bff</vt:lpwstr>
  </property>
  <property fmtid="{D5CDD505-2E9C-101B-9397-08002B2CF9AE}" pid="33" name="CheckedOutUserId">
    <vt:lpwstr>6674;#</vt:lpwstr>
  </property>
  <property fmtid="{D5CDD505-2E9C-101B-9397-08002B2CF9AE}" pid="34" name="IsCheckedoutToLocal">
    <vt:lpwstr>6674;#0</vt:lpwstr>
  </property>
  <property fmtid="{D5CDD505-2E9C-101B-9397-08002B2CF9AE}" pid="35" name="UniqueId">
    <vt:lpwstr>6674;#{B2B3DB8D-329D-438B-985E-D2437E626F57}</vt:lpwstr>
  </property>
  <property fmtid="{D5CDD505-2E9C-101B-9397-08002B2CF9AE}" pid="36" name="ProgId">
    <vt:lpwstr>6674;#</vt:lpwstr>
  </property>
  <property fmtid="{D5CDD505-2E9C-101B-9397-08002B2CF9AE}" pid="37" name="ScopeId">
    <vt:lpwstr>6674;#{8D759270-68F4-4828-B1B7-E0DF846C5364}</vt:lpwstr>
  </property>
  <property fmtid="{D5CDD505-2E9C-101B-9397-08002B2CF9AE}" pid="38" name="VirusStatus">
    <vt:lpwstr>6674;#37591</vt:lpwstr>
  </property>
  <property fmtid="{D5CDD505-2E9C-101B-9397-08002B2CF9AE}" pid="39" name="CheckedOutTitle">
    <vt:lpwstr>6674;#</vt:lpwstr>
  </property>
  <property fmtid="{D5CDD505-2E9C-101B-9397-08002B2CF9AE}" pid="40" name="_CheckinComment">
    <vt:lpwstr>6674;#</vt:lpwstr>
  </property>
  <property fmtid="{D5CDD505-2E9C-101B-9397-08002B2CF9AE}" pid="41" name="_EditMenuTableStart">
    <vt:lpwstr>01345617.docx</vt:lpwstr>
  </property>
  <property fmtid="{D5CDD505-2E9C-101B-9397-08002B2CF9AE}" pid="42" name="_EditMenuTableEnd">
    <vt:lpwstr>6674</vt:lpwstr>
  </property>
  <property fmtid="{D5CDD505-2E9C-101B-9397-08002B2CF9AE}" pid="43" name="LinkFilenameNoMenu">
    <vt:lpwstr>01345617.docx</vt:lpwstr>
  </property>
  <property fmtid="{D5CDD505-2E9C-101B-9397-08002B2CF9AE}" pid="44" name="LinkFilename">
    <vt:lpwstr>01345617.docx</vt:lpwstr>
  </property>
  <property fmtid="{D5CDD505-2E9C-101B-9397-08002B2CF9AE}" pid="45" name="DocIcon">
    <vt:lpwstr>docx</vt:lpwstr>
  </property>
  <property fmtid="{D5CDD505-2E9C-101B-9397-08002B2CF9AE}" pid="46" name="ServerUrl">
    <vt:lpwstr>/sites/VEADOT/VaadatKsafim/DocLib9/DocLib9 automatically created by sharedocs 4/01345617.docx</vt:lpwstr>
  </property>
  <property fmtid="{D5CDD505-2E9C-101B-9397-08002B2CF9AE}" pid="47" name="EncodedAbsUrl">
    <vt:lpwstr>http://sd3portal/sites/VEADOT/VaadatKsafim/DocLib9/DocLib9%20automatically%20created%20by%20sharedocs%204/01345617.docx</vt:lpwstr>
  </property>
  <property fmtid="{D5CDD505-2E9C-101B-9397-08002B2CF9AE}" pid="48" name="BaseName">
    <vt:lpwstr>01345617</vt:lpwstr>
  </property>
  <property fmtid="{D5CDD505-2E9C-101B-9397-08002B2CF9AE}" pid="49" name="FileSizeDisplay">
    <vt:lpwstr>37591</vt:lpwstr>
  </property>
  <property fmtid="{D5CDD505-2E9C-101B-9397-08002B2CF9AE}" pid="50" name="MetaInfo">
    <vt:lpwstr>6674;#SanhedrinItemID:DW|563545.000000000
vti_parserversion:SR|12.0.0.6662
SDCategories:LW|:ועדות:ועדת הכספים:ספר סיכום הכנסת ה- 20 - תיקי ועדה:הצעות חוק פרטיות:(תיק 26) - הצעת חוק חוזה הביטוח (תיקון – מיצוי הליכים בתביעות תחלוף), התשע''ה-2015 (פ/1162/20)</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6674</vt:lpwstr>
  </property>
  <property fmtid="{D5CDD505-2E9C-101B-9397-08002B2CF9AE}" pid="54" name="SelectFilename">
    <vt:lpwstr>6674</vt:lpwstr>
  </property>
  <property fmtid="{D5CDD505-2E9C-101B-9397-08002B2CF9AE}" pid="55" name="Edit">
    <vt:lpwstr>0</vt:lpwstr>
  </property>
  <property fmtid="{D5CDD505-2E9C-101B-9397-08002B2CF9AE}" pid="56" name="owshiddenversion">
    <vt:lpwstr>1</vt:lpwstr>
  </property>
  <property fmtid="{D5CDD505-2E9C-101B-9397-08002B2CF9AE}" pid="57" name="_UIVersion">
    <vt:lpwstr>512</vt:lpwstr>
  </property>
  <property fmtid="{D5CDD505-2E9C-101B-9397-08002B2CF9AE}" pid="58" name="Order">
    <vt:lpwstr>667400.000000000</vt:lpwstr>
  </property>
  <property fmtid="{D5CDD505-2E9C-101B-9397-08002B2CF9AE}" pid="59" name="GUID">
    <vt:lpwstr>{166D4986-3D30-40E0-8A50-2E6B656F1B7D}</vt:lpwstr>
  </property>
  <property fmtid="{D5CDD505-2E9C-101B-9397-08002B2CF9AE}" pid="60" name="WorkflowVersion">
    <vt:lpwstr>1</vt:lpwstr>
  </property>
  <property fmtid="{D5CDD505-2E9C-101B-9397-08002B2CF9AE}" pid="61" name="ParentVersionString">
    <vt:lpwstr>6674;#</vt:lpwstr>
  </property>
  <property fmtid="{D5CDD505-2E9C-101B-9397-08002B2CF9AE}" pid="62" name="ParentLeafName">
    <vt:lpwstr>6674;#</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6674;#2017-03-22 08:27:51</vt:lpwstr>
  </property>
  <property fmtid="{D5CDD505-2E9C-101B-9397-08002B2CF9AE}" pid="67" name="Created Date">
    <vt:lpwstr>6674;#2017-03-22 08:27:51</vt:lpwstr>
  </property>
  <property fmtid="{D5CDD505-2E9C-101B-9397-08002B2CF9AE}" pid="68" name="Created By">
    <vt:lpwstr>LAN_KNESSET\michali</vt:lpwstr>
  </property>
  <property fmtid="{D5CDD505-2E9C-101B-9397-08002B2CF9AE}" pid="69" name="File Type">
    <vt:lpwstr>docx</vt:lpwstr>
  </property>
  <property fmtid="{D5CDD505-2E9C-101B-9397-08002B2CF9AE}" pid="70" name="File Size">
    <vt:lpwstr>6674;#37591</vt:lpwstr>
  </property>
  <property fmtid="{D5CDD505-2E9C-101B-9397-08002B2CF9AE}" pid="71" name="Modified By">
    <vt:lpwstr>LAN_KNESSET\michali</vt:lpwstr>
  </property>
</Properties>
</file>