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2004677</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34DB4103" w14:textId="06460259" w:rsidR="00904591" w:rsidRPr="00904591" w:rsidRDefault="008F6665" w:rsidP="00E12D4F">
      <w:pPr>
        <w:pStyle w:val="David"/>
        <w:spacing w:line="360" w:lineRule="auto"/>
        <w:ind w:left="3544"/>
        <w:rPr>
          <w:sz w:val="4"/>
          <w:szCs w:val="4"/>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דוד אמסלם</w:t>
      </w:r>
      <w:r>
        <w:br/>
      </w:r>
      <w:r>
        <w:rPr>
          <w:rFonts w:hint="cs"/>
          <w:b/>
          <w:bCs/>
          <w:rtl/>
        </w:rPr>
        <w:t xml:space="preserve"> </w:t>
      </w:r>
      <w:r>
        <w:tab/>
      </w:r>
      <w:r>
        <w:tab/>
      </w:r>
      <w:r>
        <w:tab/>
      </w:r>
      <w:r>
        <w:tab/>
      </w:r>
      <w:r>
        <w:rPr>
          <w:rFonts w:hint="cs"/>
          <w:b/>
          <w:bCs/>
          <w:rtl/>
        </w:rPr>
        <w:t>אוסאמה סעדי</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 xml:space="preserve">אורי </w:t>
      </w:r>
      <w:proofErr w:type="spellStart"/>
      <w:r>
        <w:rPr>
          <w:rFonts w:hint="cs"/>
          <w:b/>
          <w:bCs/>
          <w:rtl/>
        </w:rPr>
        <w:t>מקלב</w:t>
      </w:r>
      <w:proofErr w:type="spellEnd"/>
      <w:r>
        <w:br/>
      </w:r>
      <w:r>
        <w:rPr>
          <w:rFonts w:hint="cs"/>
          <w:b/>
          <w:bCs/>
          <w:rtl/>
        </w:rPr>
        <w:t xml:space="preserve"> </w:t>
      </w:r>
      <w:r>
        <w:tab/>
      </w:r>
      <w:r>
        <w:tab/>
      </w:r>
      <w:r>
        <w:tab/>
      </w:r>
      <w:r>
        <w:tab/>
      </w:r>
      <w:r>
        <w:rPr>
          <w:rFonts w:hint="cs"/>
          <w:b/>
          <w:bCs/>
          <w:rtl/>
        </w:rPr>
        <w:t>עבד אל חכים חאג' יחיא</w:t>
      </w:r>
      <w:r>
        <w:br/>
      </w:r>
      <w:r>
        <w:rPr>
          <w:rFonts w:hint="cs"/>
          <w:b/>
          <w:bCs/>
          <w:rtl/>
        </w:rPr>
        <w:t xml:space="preserve"> </w:t>
      </w:r>
      <w:r>
        <w:tab/>
      </w:r>
      <w:r>
        <w:tab/>
      </w:r>
      <w:r>
        <w:tab/>
      </w:r>
      <w:r>
        <w:tab/>
      </w:r>
      <w:r>
        <w:rPr>
          <w:rFonts w:hint="cs"/>
          <w:b/>
          <w:bCs/>
          <w:rtl/>
        </w:rPr>
        <w:t>ניסן סלומינסקי</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עליזה לביא</w:t>
      </w:r>
      <w:r>
        <w:br/>
      </w:r>
      <w:r>
        <w:rPr>
          <w:rFonts w:hint="cs"/>
          <w:b/>
          <w:bCs/>
          <w:rtl/>
        </w:rPr>
        <w:t xml:space="preserve"> </w:t>
      </w:r>
      <w:r>
        <w:tab/>
      </w:r>
      <w:r>
        <w:tab/>
      </w:r>
      <w:r>
        <w:tab/>
      </w:r>
      <w:r>
        <w:tab/>
      </w:r>
      <w:r>
        <w:rPr>
          <w:rFonts w:hint="cs"/>
          <w:b/>
          <w:bCs/>
          <w:rtl/>
        </w:rPr>
        <w:t xml:space="preserve">רוברט </w:t>
      </w:r>
      <w:proofErr w:type="spellStart"/>
      <w:r>
        <w:rPr>
          <w:rFonts w:hint="cs"/>
          <w:b/>
          <w:bCs/>
          <w:rtl/>
        </w:rPr>
        <w:t>אילטוב</w:t>
      </w:r>
      <w:proofErr w:type="spellEnd"/>
      <w:r>
        <w:br/>
      </w:r>
      <w:r>
        <w:rPr>
          <w:rFonts w:hint="cs"/>
          <w:b/>
          <w:bCs/>
          <w:rtl/>
        </w:rPr>
        <w:t xml:space="preserve"> </w:t>
      </w:r>
      <w:r>
        <w:tab/>
      </w:r>
      <w:r>
        <w:tab/>
      </w:r>
      <w:r>
        <w:tab/>
      </w:r>
      <w:r>
        <w:tab/>
      </w:r>
      <w:r>
        <w:rPr>
          <w:rFonts w:hint="cs"/>
          <w:b/>
          <w:bCs/>
          <w:rtl/>
        </w:rPr>
        <w:t>יהודה גליק</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רויטל סויד</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אורן אסף חזן</w:t>
      </w:r>
      <w:r>
        <w:br/>
      </w:r>
      <w:r>
        <w:rPr>
          <w:rFonts w:hint="cs"/>
          <w:b/>
          <w:bCs/>
          <w:rtl/>
        </w:rPr>
        <w:t xml:space="preserve"> </w:t>
      </w:r>
      <w:r>
        <w:tab/>
      </w:r>
      <w:r>
        <w:tab/>
      </w:r>
      <w:r>
        <w:tab/>
      </w:r>
      <w:r>
        <w:tab/>
      </w:r>
      <w:r>
        <w:rPr>
          <w:rFonts w:hint="cs"/>
          <w:b/>
          <w:bCs/>
          <w:rtl/>
        </w:rPr>
        <w:t>אכרם חסון</w:t>
      </w:r>
      <w:r>
        <w:br/>
      </w:r>
      <w:r>
        <w:rPr>
          <w:rFonts w:hint="cs"/>
          <w:b/>
          <w:bCs/>
          <w:rtl/>
        </w:rPr>
        <w:t xml:space="preserve"> </w:t>
      </w:r>
      <w:r>
        <w:tab/>
      </w:r>
      <w:r>
        <w:tab/>
      </w:r>
      <w:r>
        <w:tab/>
      </w:r>
      <w:r>
        <w:tab/>
      </w:r>
      <w:r>
        <w:rPr>
          <w:rFonts w:hint="cs"/>
          <w:b/>
          <w:bCs/>
          <w:rtl/>
        </w:rPr>
        <w:t xml:space="preserve">יחיאל </w:t>
      </w:r>
      <w:proofErr w:type="spellStart"/>
      <w:r>
        <w:rPr>
          <w:rFonts w:hint="cs"/>
          <w:b/>
          <w:bCs/>
          <w:rtl/>
        </w:rPr>
        <w:t>חיליק</w:t>
      </w:r>
      <w:proofErr w:type="spellEnd"/>
      <w:r>
        <w:rPr>
          <w:rFonts w:hint="cs"/>
          <w:b/>
          <w:bCs/>
          <w:rtl/>
        </w:rPr>
        <w:t xml:space="preserve"> בר</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 xml:space="preserve">דב </w:t>
      </w:r>
      <w:proofErr w:type="spellStart"/>
      <w:r>
        <w:rPr>
          <w:rFonts w:hint="cs"/>
          <w:b/>
          <w:bCs/>
          <w:rtl/>
        </w:rPr>
        <w:t>חנין</w:t>
      </w:r>
      <w:proofErr w:type="spellEnd"/>
      <w:r>
        <w:br/>
      </w:r>
      <w:r>
        <w:rPr>
          <w:rFonts w:hint="cs"/>
          <w:b/>
          <w:bCs/>
          <w:rtl/>
        </w:rPr>
        <w:t xml:space="preserve"> </w:t>
      </w:r>
      <w:r>
        <w:tab/>
      </w:r>
      <w:r>
        <w:tab/>
      </w:r>
      <w:r>
        <w:tab/>
      </w:r>
      <w:r>
        <w:tab/>
      </w:r>
      <w:r>
        <w:rPr>
          <w:rFonts w:hint="cs"/>
          <w:b/>
          <w:bCs/>
          <w:rtl/>
        </w:rPr>
        <w:t>איל בן ראובן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r w:rsidR="00266D86">
        <w:t>____</w:t>
      </w:r>
      <w:r w:rsidR="00E374F2">
        <w:t>__</w:t>
      </w:r>
      <w:r w:rsidR="00266D86">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פ/3242/20</w:t>
      </w:r>
      <w:bookmarkEnd w:id="7"/>
    </w:p>
    <w:p w14:paraId="11211764" w14:textId="77777777" w:rsidR="00E12D4F" w:rsidRDefault="00E12D4F" w:rsidP="00E12D4F">
      <w:pPr>
        <w:pStyle w:val="HeadHatzaotHok"/>
        <w:spacing w:before="0" w:line="276" w:lineRule="auto"/>
        <w:rPr>
          <w:rtl/>
        </w:rPr>
      </w:pPr>
      <w:bookmarkStart w:id="8" w:name="LGS_Subject"/>
    </w:p>
    <w:p w14:paraId="7F6961AD" w14:textId="707F6904" w:rsidR="00E13C27" w:rsidRDefault="00023A69" w:rsidP="00E12D4F">
      <w:pPr>
        <w:pStyle w:val="HeadHatzaotHok"/>
        <w:spacing w:before="0" w:line="276" w:lineRule="auto"/>
        <w:rPr>
          <w:rtl/>
        </w:rPr>
      </w:pPr>
      <w:r>
        <w:rPr>
          <w:rFonts w:hint="cs"/>
          <w:rtl/>
        </w:rPr>
        <w:t xml:space="preserve">הצעת חוק חניה לנכים (תיקון – הקצאת מקום חניה לנכה סמוך למקום מגוריו), </w:t>
      </w:r>
      <w:proofErr w:type="spellStart"/>
      <w:r>
        <w:rPr>
          <w:rFonts w:hint="cs"/>
          <w:rtl/>
        </w:rPr>
        <w:t>התשע"ו</w:t>
      </w:r>
      <w:proofErr w:type="spellEnd"/>
      <w:r>
        <w:rPr>
          <w:rFonts w:hint="cs"/>
          <w:rtl/>
        </w:rPr>
        <w:t>–2016</w:t>
      </w:r>
      <w:bookmarkEnd w:id="8"/>
    </w:p>
    <w:p w14:paraId="5630038E" w14:textId="77777777" w:rsidR="00E12D4F" w:rsidRPr="00F67051" w:rsidRDefault="00E12D4F" w:rsidP="00E12D4F">
      <w:pPr>
        <w:pStyle w:val="HeadHatzaotHok"/>
        <w:spacing w:before="0" w:line="276" w:lineRule="auto"/>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4026"/>
      </w:tblGrid>
      <w:tr w:rsidR="00D8231B" w14:paraId="37589C81" w14:textId="77777777" w:rsidTr="002A1541">
        <w:trPr>
          <w:cantSplit/>
        </w:trPr>
        <w:tc>
          <w:tcPr>
            <w:tcW w:w="1871" w:type="dxa"/>
            <w:hideMark/>
          </w:tcPr>
          <w:p w14:paraId="53876E4D" w14:textId="77777777" w:rsidR="00D8231B" w:rsidRDefault="00D8231B" w:rsidP="00454116">
            <w:pPr>
              <w:pStyle w:val="TableSideHeading"/>
              <w:ind w:right="0"/>
            </w:pPr>
            <w:r>
              <w:rPr>
                <w:rFonts w:hint="cs"/>
                <w:rtl/>
              </w:rPr>
              <w:t>הוספת סעיף 4ג</w:t>
            </w:r>
            <w:r>
              <w:rPr>
                <w:rFonts w:hint="cs"/>
              </w:rPr>
              <w:t xml:space="preserve"> </w:t>
            </w:r>
          </w:p>
        </w:tc>
        <w:tc>
          <w:tcPr>
            <w:tcW w:w="624" w:type="dxa"/>
            <w:hideMark/>
          </w:tcPr>
          <w:p w14:paraId="0D9F6282" w14:textId="77777777" w:rsidR="00D8231B" w:rsidRDefault="00D8231B" w:rsidP="00454116">
            <w:pPr>
              <w:pStyle w:val="TableText"/>
              <w:ind w:right="0"/>
              <w:jc w:val="both"/>
            </w:pPr>
            <w:r>
              <w:rPr>
                <w:rFonts w:hint="cs"/>
                <w:rtl/>
              </w:rPr>
              <w:t>1.</w:t>
            </w:r>
          </w:p>
        </w:tc>
        <w:tc>
          <w:tcPr>
            <w:tcW w:w="7146" w:type="dxa"/>
            <w:gridSpan w:val="6"/>
            <w:hideMark/>
          </w:tcPr>
          <w:p w14:paraId="3692C33C" w14:textId="77777777" w:rsidR="00D8231B" w:rsidRDefault="00D8231B" w:rsidP="00454116">
            <w:pPr>
              <w:pStyle w:val="TableBlock"/>
            </w:pPr>
            <w:r>
              <w:rPr>
                <w:rFonts w:hint="cs"/>
                <w:rtl/>
              </w:rPr>
              <w:t xml:space="preserve">בחוק חניה לנכים, </w:t>
            </w:r>
            <w:proofErr w:type="spellStart"/>
            <w:r>
              <w:rPr>
                <w:rFonts w:hint="cs"/>
                <w:rtl/>
              </w:rPr>
              <w:t>התשנ"ד</w:t>
            </w:r>
            <w:proofErr w:type="spellEnd"/>
            <w:r>
              <w:rPr>
                <w:rFonts w:hint="eastAsia"/>
                <w:rtl/>
              </w:rPr>
              <w:t>–</w:t>
            </w:r>
            <w:r>
              <w:rPr>
                <w:rFonts w:hint="cs"/>
                <w:rtl/>
              </w:rPr>
              <w:t>1993</w:t>
            </w:r>
            <w:r>
              <w:rPr>
                <w:rStyle w:val="a6"/>
                <w:rtl/>
              </w:rPr>
              <w:footnoteReference w:id="2"/>
            </w:r>
            <w:r>
              <w:rPr>
                <w:rFonts w:hint="cs"/>
                <w:rtl/>
              </w:rPr>
              <w:t>, אחרי סעיף 4ב יבוא:</w:t>
            </w:r>
          </w:p>
        </w:tc>
      </w:tr>
      <w:tr w:rsidR="00D8231B" w14:paraId="6671E0C8" w14:textId="77777777" w:rsidTr="002A1541">
        <w:tblPrEx>
          <w:tblLook w:val="01E0" w:firstRow="1" w:lastRow="1" w:firstColumn="1" w:lastColumn="1" w:noHBand="0" w:noVBand="0"/>
        </w:tblPrEx>
        <w:trPr>
          <w:cantSplit/>
          <w:trHeight w:val="60"/>
        </w:trPr>
        <w:tc>
          <w:tcPr>
            <w:tcW w:w="1871" w:type="dxa"/>
          </w:tcPr>
          <w:p w14:paraId="5D78D42F" w14:textId="77777777" w:rsidR="00D8231B" w:rsidRDefault="00D8231B" w:rsidP="00454116">
            <w:pPr>
              <w:pStyle w:val="TableSideHeading"/>
              <w:keepLines w:val="0"/>
            </w:pPr>
          </w:p>
        </w:tc>
        <w:tc>
          <w:tcPr>
            <w:tcW w:w="624" w:type="dxa"/>
          </w:tcPr>
          <w:p w14:paraId="7F70E84F" w14:textId="77777777" w:rsidR="00D8231B" w:rsidRDefault="00D8231B" w:rsidP="00454116">
            <w:pPr>
              <w:pStyle w:val="TableText"/>
              <w:keepLines w:val="0"/>
            </w:pPr>
          </w:p>
        </w:tc>
        <w:tc>
          <w:tcPr>
            <w:tcW w:w="1872" w:type="dxa"/>
            <w:gridSpan w:val="3"/>
          </w:tcPr>
          <w:p w14:paraId="298D2BB7" w14:textId="77777777" w:rsidR="00D8231B" w:rsidRDefault="00D8231B" w:rsidP="00454116">
            <w:pPr>
              <w:pStyle w:val="TableText"/>
            </w:pPr>
            <w:r>
              <w:rPr>
                <w:rFonts w:hint="cs"/>
                <w:rtl/>
              </w:rPr>
              <w:t>"הקצאת מקום חניה לנכה סמוך למקום מגוריו</w:t>
            </w:r>
          </w:p>
        </w:tc>
        <w:tc>
          <w:tcPr>
            <w:tcW w:w="624" w:type="dxa"/>
          </w:tcPr>
          <w:p w14:paraId="27D2DF7A" w14:textId="77777777" w:rsidR="00D8231B" w:rsidRDefault="00D8231B" w:rsidP="00454116">
            <w:pPr>
              <w:pStyle w:val="TableText"/>
            </w:pPr>
            <w:r>
              <w:rPr>
                <w:rFonts w:hint="cs"/>
                <w:rtl/>
              </w:rPr>
              <w:t>4ג.</w:t>
            </w:r>
          </w:p>
        </w:tc>
        <w:tc>
          <w:tcPr>
            <w:tcW w:w="4650" w:type="dxa"/>
            <w:gridSpan w:val="2"/>
          </w:tcPr>
          <w:p w14:paraId="5FD4168C" w14:textId="77777777" w:rsidR="00D8231B" w:rsidRDefault="00D8231B" w:rsidP="00454116">
            <w:pPr>
              <w:pStyle w:val="TableBlock"/>
            </w:pPr>
            <w:r>
              <w:rPr>
                <w:rFonts w:hint="cs"/>
                <w:rtl/>
              </w:rPr>
              <w:t>(א)</w:t>
            </w:r>
            <w:r>
              <w:rPr>
                <w:rFonts w:hint="cs"/>
                <w:rtl/>
              </w:rPr>
              <w:tab/>
              <w:t>רשות מקומית תקצה לנכה המתגורר בתחומה מקום חניה אחד סמוך ככל האפשר למקום מגוריו, ובמרחק שאינו עולה על 250 מטרים מביתו.</w:t>
            </w:r>
          </w:p>
        </w:tc>
      </w:tr>
      <w:tr w:rsidR="00D8231B" w14:paraId="265E28C4" w14:textId="77777777" w:rsidTr="002A1541">
        <w:tblPrEx>
          <w:tblLook w:val="01E0" w:firstRow="1" w:lastRow="1" w:firstColumn="1" w:lastColumn="1" w:noHBand="0" w:noVBand="0"/>
        </w:tblPrEx>
        <w:trPr>
          <w:cantSplit/>
          <w:trHeight w:val="60"/>
        </w:trPr>
        <w:tc>
          <w:tcPr>
            <w:tcW w:w="1871" w:type="dxa"/>
          </w:tcPr>
          <w:p w14:paraId="39C95663" w14:textId="77777777" w:rsidR="00D8231B" w:rsidRDefault="00D8231B" w:rsidP="00454116">
            <w:pPr>
              <w:pStyle w:val="TableSideHeading"/>
              <w:keepLines w:val="0"/>
            </w:pPr>
          </w:p>
        </w:tc>
        <w:tc>
          <w:tcPr>
            <w:tcW w:w="624" w:type="dxa"/>
          </w:tcPr>
          <w:p w14:paraId="7C03E5DC" w14:textId="77777777" w:rsidR="00D8231B" w:rsidRDefault="00D8231B" w:rsidP="00454116">
            <w:pPr>
              <w:pStyle w:val="TableText"/>
            </w:pPr>
          </w:p>
        </w:tc>
        <w:tc>
          <w:tcPr>
            <w:tcW w:w="1872" w:type="dxa"/>
            <w:gridSpan w:val="3"/>
          </w:tcPr>
          <w:p w14:paraId="3C961738" w14:textId="77777777" w:rsidR="00D8231B" w:rsidRDefault="00D8231B" w:rsidP="00454116">
            <w:pPr>
              <w:pStyle w:val="TableText"/>
              <w:rPr>
                <w:rtl/>
              </w:rPr>
            </w:pPr>
          </w:p>
        </w:tc>
        <w:tc>
          <w:tcPr>
            <w:tcW w:w="624" w:type="dxa"/>
          </w:tcPr>
          <w:p w14:paraId="65058134" w14:textId="77777777" w:rsidR="00D8231B" w:rsidRDefault="00D8231B" w:rsidP="00454116">
            <w:pPr>
              <w:pStyle w:val="TableText"/>
              <w:rPr>
                <w:rtl/>
              </w:rPr>
            </w:pPr>
          </w:p>
        </w:tc>
        <w:tc>
          <w:tcPr>
            <w:tcW w:w="4650" w:type="dxa"/>
            <w:gridSpan w:val="2"/>
          </w:tcPr>
          <w:p w14:paraId="1F3A9B22" w14:textId="3CDF886C" w:rsidR="00D8231B" w:rsidRDefault="00D8231B" w:rsidP="00454116">
            <w:pPr>
              <w:pStyle w:val="TableBlock"/>
            </w:pPr>
            <w:r>
              <w:rPr>
                <w:rFonts w:hint="cs"/>
                <w:rtl/>
              </w:rPr>
              <w:t>(ב)</w:t>
            </w:r>
            <w:r>
              <w:rPr>
                <w:rFonts w:hint="cs"/>
                <w:rtl/>
              </w:rPr>
              <w:tab/>
              <w:t>רשות התמרור המקומית תציב במקום החניה שהוקצה כאמור בסעיף קטן (א), על חשבונה, תמרור המייחד את מקום החניה לרכב מזכה אחד של הנכה, אשר על פרטיו יודיע לה הנכה</w:t>
            </w:r>
            <w:r w:rsidR="005E1BEC">
              <w:rPr>
                <w:rFonts w:hint="cs"/>
                <w:rtl/>
              </w:rPr>
              <w:t xml:space="preserve"> והם יצוינו על התמרור</w:t>
            </w:r>
            <w:r>
              <w:rPr>
                <w:rFonts w:hint="cs"/>
                <w:rtl/>
              </w:rPr>
              <w:t>.</w:t>
            </w:r>
          </w:p>
        </w:tc>
      </w:tr>
      <w:tr w:rsidR="00D8231B" w14:paraId="2E0783AE" w14:textId="77777777" w:rsidTr="002A1541">
        <w:tblPrEx>
          <w:tblLook w:val="01E0" w:firstRow="1" w:lastRow="1" w:firstColumn="1" w:lastColumn="1" w:noHBand="0" w:noVBand="0"/>
        </w:tblPrEx>
        <w:trPr>
          <w:cantSplit/>
          <w:trHeight w:val="60"/>
        </w:trPr>
        <w:tc>
          <w:tcPr>
            <w:tcW w:w="1871" w:type="dxa"/>
          </w:tcPr>
          <w:p w14:paraId="054EB0A3" w14:textId="77777777" w:rsidR="00D8231B" w:rsidRDefault="00D8231B" w:rsidP="00454116">
            <w:pPr>
              <w:pStyle w:val="TableSideHeading"/>
              <w:keepLines w:val="0"/>
            </w:pPr>
          </w:p>
        </w:tc>
        <w:tc>
          <w:tcPr>
            <w:tcW w:w="624" w:type="dxa"/>
          </w:tcPr>
          <w:p w14:paraId="36DB10FE" w14:textId="77777777" w:rsidR="00D8231B" w:rsidRDefault="00D8231B" w:rsidP="00454116">
            <w:pPr>
              <w:pStyle w:val="TableText"/>
            </w:pPr>
          </w:p>
        </w:tc>
        <w:tc>
          <w:tcPr>
            <w:tcW w:w="1872" w:type="dxa"/>
            <w:gridSpan w:val="3"/>
          </w:tcPr>
          <w:p w14:paraId="0D27A775" w14:textId="77777777" w:rsidR="00D8231B" w:rsidRDefault="00D8231B" w:rsidP="00454116">
            <w:pPr>
              <w:pStyle w:val="TableText"/>
              <w:rPr>
                <w:rtl/>
              </w:rPr>
            </w:pPr>
          </w:p>
        </w:tc>
        <w:tc>
          <w:tcPr>
            <w:tcW w:w="624" w:type="dxa"/>
          </w:tcPr>
          <w:p w14:paraId="454FFC69" w14:textId="77777777" w:rsidR="00D8231B" w:rsidRDefault="00D8231B" w:rsidP="00454116">
            <w:pPr>
              <w:pStyle w:val="TableText"/>
              <w:rPr>
                <w:rtl/>
              </w:rPr>
            </w:pPr>
          </w:p>
        </w:tc>
        <w:tc>
          <w:tcPr>
            <w:tcW w:w="4650" w:type="dxa"/>
            <w:gridSpan w:val="2"/>
          </w:tcPr>
          <w:p w14:paraId="289317DF" w14:textId="1A2E5EFB" w:rsidR="00D8231B" w:rsidRDefault="00D8231B" w:rsidP="00454116">
            <w:pPr>
              <w:pStyle w:val="TableBlock"/>
            </w:pPr>
            <w:r>
              <w:rPr>
                <w:rFonts w:hint="cs"/>
                <w:rtl/>
              </w:rPr>
              <w:t>(ג)</w:t>
            </w:r>
            <w:r>
              <w:rPr>
                <w:rFonts w:hint="cs"/>
                <w:rtl/>
              </w:rPr>
              <w:tab/>
              <w:t>נכה או אדם המ</w:t>
            </w:r>
            <w:r w:rsidR="005E1BEC">
              <w:rPr>
                <w:rFonts w:hint="cs"/>
                <w:rtl/>
              </w:rPr>
              <w:t>ת</w:t>
            </w:r>
            <w:r>
              <w:rPr>
                <w:rFonts w:hint="cs"/>
                <w:rtl/>
              </w:rPr>
              <w:t xml:space="preserve">לווה </w:t>
            </w:r>
            <w:r w:rsidR="005E1BEC">
              <w:rPr>
                <w:rFonts w:hint="cs"/>
                <w:rtl/>
              </w:rPr>
              <w:t>אל ה</w:t>
            </w:r>
            <w:r>
              <w:rPr>
                <w:rFonts w:hint="cs"/>
                <w:rtl/>
              </w:rPr>
              <w:t>נכה</w:t>
            </w:r>
            <w:r w:rsidR="005E1BEC">
              <w:rPr>
                <w:rFonts w:hint="cs"/>
                <w:rtl/>
              </w:rPr>
              <w:t xml:space="preserve"> </w:t>
            </w:r>
            <w:r w:rsidR="005E1BEC" w:rsidRPr="005D1216">
              <w:rPr>
                <w:rFonts w:hint="eastAsia"/>
                <w:rtl/>
              </w:rPr>
              <w:t>והנוהג</w:t>
            </w:r>
            <w:r w:rsidR="005E1BEC" w:rsidRPr="005D1216">
              <w:rPr>
                <w:rtl/>
              </w:rPr>
              <w:t xml:space="preserve"> </w:t>
            </w:r>
            <w:r w:rsidR="005E1BEC" w:rsidRPr="005D1216">
              <w:rPr>
                <w:rFonts w:hint="eastAsia"/>
                <w:rtl/>
              </w:rPr>
              <w:t>עבורו</w:t>
            </w:r>
            <w:r w:rsidR="005E1BEC" w:rsidRPr="005D1216">
              <w:rPr>
                <w:rtl/>
              </w:rPr>
              <w:t xml:space="preserve"> </w:t>
            </w:r>
            <w:r w:rsidR="005E1BEC" w:rsidRPr="005D1216">
              <w:rPr>
                <w:rFonts w:hint="eastAsia"/>
                <w:rtl/>
              </w:rPr>
              <w:t>ברכב</w:t>
            </w:r>
            <w:r>
              <w:rPr>
                <w:rFonts w:hint="cs"/>
                <w:rtl/>
              </w:rPr>
              <w:t xml:space="preserve"> רשאי להחנות את הרכב המזכה שפרטיו צוינו בתמרור כאמור בסעיף קטן (ב) במקום החניה שהוקצה כאמור בסעיף קטן (א) ללא תשלום; לא תהא לנכה כל זכות אחרת או נוספת במקום החניה האמור.</w:t>
            </w:r>
          </w:p>
        </w:tc>
      </w:tr>
      <w:tr w:rsidR="00D8231B" w14:paraId="5D86DAA9" w14:textId="77777777" w:rsidTr="002A1541">
        <w:tblPrEx>
          <w:tblLook w:val="01E0" w:firstRow="1" w:lastRow="1" w:firstColumn="1" w:lastColumn="1" w:noHBand="0" w:noVBand="0"/>
        </w:tblPrEx>
        <w:trPr>
          <w:cantSplit/>
          <w:trHeight w:val="60"/>
        </w:trPr>
        <w:tc>
          <w:tcPr>
            <w:tcW w:w="1871" w:type="dxa"/>
          </w:tcPr>
          <w:p w14:paraId="7153707E" w14:textId="77777777" w:rsidR="00D8231B" w:rsidRDefault="00D8231B" w:rsidP="00454116">
            <w:pPr>
              <w:pStyle w:val="TableSideHeading"/>
              <w:keepLines w:val="0"/>
            </w:pPr>
          </w:p>
        </w:tc>
        <w:tc>
          <w:tcPr>
            <w:tcW w:w="624" w:type="dxa"/>
          </w:tcPr>
          <w:p w14:paraId="290F7A26" w14:textId="77777777" w:rsidR="00D8231B" w:rsidRDefault="00D8231B" w:rsidP="00454116">
            <w:pPr>
              <w:pStyle w:val="TableText"/>
            </w:pPr>
          </w:p>
        </w:tc>
        <w:tc>
          <w:tcPr>
            <w:tcW w:w="1872" w:type="dxa"/>
            <w:gridSpan w:val="3"/>
          </w:tcPr>
          <w:p w14:paraId="51CDDEB1" w14:textId="77777777" w:rsidR="00D8231B" w:rsidRDefault="00D8231B" w:rsidP="00454116">
            <w:pPr>
              <w:pStyle w:val="TableText"/>
              <w:rPr>
                <w:rtl/>
              </w:rPr>
            </w:pPr>
          </w:p>
        </w:tc>
        <w:tc>
          <w:tcPr>
            <w:tcW w:w="624" w:type="dxa"/>
          </w:tcPr>
          <w:p w14:paraId="61E512CD" w14:textId="77777777" w:rsidR="00D8231B" w:rsidRDefault="00D8231B" w:rsidP="00454116">
            <w:pPr>
              <w:pStyle w:val="TableText"/>
              <w:rPr>
                <w:rtl/>
              </w:rPr>
            </w:pPr>
          </w:p>
        </w:tc>
        <w:tc>
          <w:tcPr>
            <w:tcW w:w="4650" w:type="dxa"/>
            <w:gridSpan w:val="2"/>
          </w:tcPr>
          <w:p w14:paraId="2C0F2EE5" w14:textId="77777777" w:rsidR="00D8231B" w:rsidRDefault="00D8231B" w:rsidP="00454116">
            <w:pPr>
              <w:pStyle w:val="TableBlock"/>
            </w:pPr>
            <w:r>
              <w:rPr>
                <w:rFonts w:hint="cs"/>
                <w:rtl/>
              </w:rPr>
              <w:t>(ד)</w:t>
            </w:r>
            <w:r>
              <w:rPr>
                <w:rFonts w:hint="cs"/>
                <w:rtl/>
              </w:rPr>
              <w:tab/>
              <w:t>הוראות סעיף קטן (א) לא יחולו –</w:t>
            </w:r>
          </w:p>
        </w:tc>
      </w:tr>
      <w:tr w:rsidR="00D8231B" w14:paraId="3186CB44" w14:textId="77777777" w:rsidTr="002A1541">
        <w:tblPrEx>
          <w:tblLook w:val="01E0" w:firstRow="1" w:lastRow="1" w:firstColumn="1" w:lastColumn="1" w:noHBand="0" w:noVBand="0"/>
        </w:tblPrEx>
        <w:trPr>
          <w:cantSplit/>
          <w:trHeight w:val="60"/>
        </w:trPr>
        <w:tc>
          <w:tcPr>
            <w:tcW w:w="1871" w:type="dxa"/>
          </w:tcPr>
          <w:p w14:paraId="197F6C93" w14:textId="77777777" w:rsidR="00D8231B" w:rsidRDefault="00D8231B" w:rsidP="00454116">
            <w:pPr>
              <w:pStyle w:val="TableSideHeading"/>
            </w:pPr>
          </w:p>
        </w:tc>
        <w:tc>
          <w:tcPr>
            <w:tcW w:w="624" w:type="dxa"/>
          </w:tcPr>
          <w:p w14:paraId="4874FB73" w14:textId="77777777" w:rsidR="00D8231B" w:rsidRDefault="00D8231B" w:rsidP="00454116">
            <w:pPr>
              <w:pStyle w:val="TableText"/>
            </w:pPr>
          </w:p>
        </w:tc>
        <w:tc>
          <w:tcPr>
            <w:tcW w:w="624" w:type="dxa"/>
          </w:tcPr>
          <w:p w14:paraId="4ADF3F85" w14:textId="77777777" w:rsidR="00D8231B" w:rsidRDefault="00D8231B" w:rsidP="00454116">
            <w:pPr>
              <w:pStyle w:val="TableText"/>
            </w:pPr>
          </w:p>
        </w:tc>
        <w:tc>
          <w:tcPr>
            <w:tcW w:w="624" w:type="dxa"/>
          </w:tcPr>
          <w:p w14:paraId="7194BBDD" w14:textId="77777777" w:rsidR="00D8231B" w:rsidRDefault="00D8231B" w:rsidP="00454116">
            <w:pPr>
              <w:pStyle w:val="TableText"/>
            </w:pPr>
          </w:p>
        </w:tc>
        <w:tc>
          <w:tcPr>
            <w:tcW w:w="624" w:type="dxa"/>
          </w:tcPr>
          <w:p w14:paraId="71F7F25C" w14:textId="77777777" w:rsidR="00D8231B" w:rsidRDefault="00D8231B" w:rsidP="00454116">
            <w:pPr>
              <w:pStyle w:val="TableText"/>
            </w:pPr>
          </w:p>
        </w:tc>
        <w:tc>
          <w:tcPr>
            <w:tcW w:w="624" w:type="dxa"/>
          </w:tcPr>
          <w:p w14:paraId="5019B4F9" w14:textId="77777777" w:rsidR="00D8231B" w:rsidRDefault="00D8231B" w:rsidP="00454116">
            <w:pPr>
              <w:pStyle w:val="TableText"/>
            </w:pPr>
          </w:p>
        </w:tc>
        <w:tc>
          <w:tcPr>
            <w:tcW w:w="624" w:type="dxa"/>
          </w:tcPr>
          <w:p w14:paraId="0540908C" w14:textId="77777777" w:rsidR="00D8231B" w:rsidRDefault="00D8231B" w:rsidP="00454116">
            <w:pPr>
              <w:pStyle w:val="TableText"/>
            </w:pPr>
          </w:p>
        </w:tc>
        <w:tc>
          <w:tcPr>
            <w:tcW w:w="4026" w:type="dxa"/>
          </w:tcPr>
          <w:p w14:paraId="18F60767" w14:textId="77777777" w:rsidR="00D8231B" w:rsidRDefault="00D8231B" w:rsidP="00454116">
            <w:pPr>
              <w:pStyle w:val="TableBlock"/>
            </w:pPr>
            <w:r>
              <w:rPr>
                <w:rFonts w:hint="cs"/>
                <w:rtl/>
              </w:rPr>
              <w:t>(1)</w:t>
            </w:r>
            <w:r>
              <w:rPr>
                <w:rFonts w:hint="cs"/>
                <w:rtl/>
              </w:rPr>
              <w:tab/>
              <w:t>אם בבעלותו של הנכה מקום חניה במגרש שבו בנוי ביתו; לעניין זה, "בעלות" – לרבות חכירה לדורות וזכות להירשם כבעלים או חוכר לדורות;</w:t>
            </w:r>
          </w:p>
        </w:tc>
      </w:tr>
      <w:tr w:rsidR="00D8231B" w14:paraId="1E494FDB" w14:textId="77777777" w:rsidTr="002A1541">
        <w:tblPrEx>
          <w:tblLook w:val="01E0" w:firstRow="1" w:lastRow="1" w:firstColumn="1" w:lastColumn="1" w:noHBand="0" w:noVBand="0"/>
        </w:tblPrEx>
        <w:trPr>
          <w:cantSplit/>
          <w:trHeight w:val="60"/>
        </w:trPr>
        <w:tc>
          <w:tcPr>
            <w:tcW w:w="1871" w:type="dxa"/>
          </w:tcPr>
          <w:p w14:paraId="1B30C92C" w14:textId="77777777" w:rsidR="00D8231B" w:rsidRDefault="00D8231B" w:rsidP="00454116">
            <w:pPr>
              <w:pStyle w:val="TableSideHeading"/>
            </w:pPr>
          </w:p>
        </w:tc>
        <w:tc>
          <w:tcPr>
            <w:tcW w:w="624" w:type="dxa"/>
          </w:tcPr>
          <w:p w14:paraId="39A24BD1" w14:textId="77777777" w:rsidR="00D8231B" w:rsidRDefault="00D8231B" w:rsidP="00454116">
            <w:pPr>
              <w:pStyle w:val="TableText"/>
            </w:pPr>
          </w:p>
        </w:tc>
        <w:tc>
          <w:tcPr>
            <w:tcW w:w="624" w:type="dxa"/>
          </w:tcPr>
          <w:p w14:paraId="2243588F" w14:textId="77777777" w:rsidR="00D8231B" w:rsidRDefault="00D8231B" w:rsidP="00454116">
            <w:pPr>
              <w:pStyle w:val="TableText"/>
            </w:pPr>
          </w:p>
        </w:tc>
        <w:tc>
          <w:tcPr>
            <w:tcW w:w="624" w:type="dxa"/>
          </w:tcPr>
          <w:p w14:paraId="0CA9324E" w14:textId="77777777" w:rsidR="00D8231B" w:rsidRDefault="00D8231B" w:rsidP="00454116">
            <w:pPr>
              <w:pStyle w:val="TableText"/>
            </w:pPr>
          </w:p>
        </w:tc>
        <w:tc>
          <w:tcPr>
            <w:tcW w:w="624" w:type="dxa"/>
          </w:tcPr>
          <w:p w14:paraId="51FB9155" w14:textId="77777777" w:rsidR="00D8231B" w:rsidRDefault="00D8231B" w:rsidP="00454116">
            <w:pPr>
              <w:pStyle w:val="TableText"/>
            </w:pPr>
          </w:p>
        </w:tc>
        <w:tc>
          <w:tcPr>
            <w:tcW w:w="624" w:type="dxa"/>
          </w:tcPr>
          <w:p w14:paraId="3B035028" w14:textId="77777777" w:rsidR="00D8231B" w:rsidRDefault="00D8231B" w:rsidP="00454116">
            <w:pPr>
              <w:pStyle w:val="TableText"/>
            </w:pPr>
          </w:p>
        </w:tc>
        <w:tc>
          <w:tcPr>
            <w:tcW w:w="624" w:type="dxa"/>
          </w:tcPr>
          <w:p w14:paraId="0926E60D" w14:textId="77777777" w:rsidR="00D8231B" w:rsidRDefault="00D8231B" w:rsidP="00454116">
            <w:pPr>
              <w:pStyle w:val="TableText"/>
            </w:pPr>
          </w:p>
        </w:tc>
        <w:tc>
          <w:tcPr>
            <w:tcW w:w="4026" w:type="dxa"/>
          </w:tcPr>
          <w:p w14:paraId="34543A32" w14:textId="796ACBF6" w:rsidR="00D8231B" w:rsidRDefault="00D8231B" w:rsidP="00454116">
            <w:pPr>
              <w:pStyle w:val="TableBlock"/>
            </w:pPr>
            <w:r>
              <w:rPr>
                <w:rFonts w:hint="cs"/>
                <w:rtl/>
              </w:rPr>
              <w:t>(2)</w:t>
            </w:r>
            <w:r>
              <w:rPr>
                <w:rFonts w:hint="cs"/>
                <w:rtl/>
              </w:rPr>
              <w:tab/>
              <w:t>אם אין מקומות חניה במרחק שאינו עולה על 250 מטרים מביתו של הנכה."</w:t>
            </w:r>
          </w:p>
        </w:tc>
      </w:tr>
      <w:tr w:rsidR="00D8231B" w14:paraId="3344A4BC" w14:textId="77777777" w:rsidTr="002A1541">
        <w:trPr>
          <w:cantSplit/>
        </w:trPr>
        <w:tc>
          <w:tcPr>
            <w:tcW w:w="1871" w:type="dxa"/>
            <w:hideMark/>
          </w:tcPr>
          <w:p w14:paraId="7D89472B" w14:textId="77777777" w:rsidR="00D8231B" w:rsidRDefault="00D8231B" w:rsidP="00454116">
            <w:pPr>
              <w:pStyle w:val="TableSideHeading"/>
              <w:ind w:right="0"/>
            </w:pPr>
            <w:r>
              <w:rPr>
                <w:rFonts w:hint="cs"/>
                <w:rtl/>
              </w:rPr>
              <w:t>תחילה</w:t>
            </w:r>
          </w:p>
        </w:tc>
        <w:tc>
          <w:tcPr>
            <w:tcW w:w="624" w:type="dxa"/>
            <w:hideMark/>
          </w:tcPr>
          <w:p w14:paraId="167C28D2" w14:textId="77777777" w:rsidR="00D8231B" w:rsidRDefault="00D8231B" w:rsidP="00454116">
            <w:pPr>
              <w:pStyle w:val="TableText"/>
              <w:ind w:right="0"/>
              <w:jc w:val="both"/>
            </w:pPr>
            <w:r>
              <w:rPr>
                <w:rFonts w:hint="cs"/>
                <w:rtl/>
              </w:rPr>
              <w:t>2.</w:t>
            </w:r>
          </w:p>
        </w:tc>
        <w:tc>
          <w:tcPr>
            <w:tcW w:w="7146" w:type="dxa"/>
            <w:gridSpan w:val="6"/>
            <w:hideMark/>
          </w:tcPr>
          <w:p w14:paraId="3436BEDB" w14:textId="77777777" w:rsidR="00D8231B" w:rsidRDefault="00D8231B" w:rsidP="00454116">
            <w:pPr>
              <w:pStyle w:val="TableBlock"/>
            </w:pPr>
            <w:r>
              <w:rPr>
                <w:rFonts w:hint="cs"/>
                <w:rtl/>
              </w:rPr>
              <w:t>תחילתו של חוק זה שישה חודשים מיום פרסומו.</w:t>
            </w:r>
            <w:r>
              <w:t xml:space="preserve">  </w:t>
            </w:r>
          </w:p>
        </w:tc>
      </w:tr>
    </w:tbl>
    <w:p w14:paraId="7F6961CA" w14:textId="77777777" w:rsidR="002D1EE3" w:rsidRDefault="002D1EE3" w:rsidP="002D1EE3">
      <w:pPr>
        <w:pStyle w:val="HeadDivreiHesber"/>
        <w:rPr>
          <w:rtl/>
        </w:rPr>
      </w:pPr>
      <w:r w:rsidRPr="0027450A">
        <w:rPr>
          <w:rFonts w:hint="cs"/>
          <w:rtl/>
        </w:rPr>
        <w:t>דברי הסבר</w:t>
      </w:r>
    </w:p>
    <w:p w14:paraId="485C9CC4" w14:textId="1405B521" w:rsidR="00D8231B" w:rsidRDefault="00D8231B" w:rsidP="00D8231B">
      <w:pPr>
        <w:pStyle w:val="Hesber"/>
        <w:rPr>
          <w:rtl/>
        </w:rPr>
      </w:pPr>
      <w:r>
        <w:rPr>
          <w:rFonts w:hint="cs"/>
          <w:rtl/>
        </w:rPr>
        <w:t xml:space="preserve">חוק חניה לנכים, </w:t>
      </w:r>
      <w:proofErr w:type="spellStart"/>
      <w:r>
        <w:rPr>
          <w:rFonts w:hint="cs"/>
          <w:rtl/>
        </w:rPr>
        <w:t>התשנ"ד</w:t>
      </w:r>
      <w:proofErr w:type="spellEnd"/>
      <w:r>
        <w:rPr>
          <w:rFonts w:hint="eastAsia"/>
          <w:rtl/>
        </w:rPr>
        <w:t>–</w:t>
      </w:r>
      <w:r>
        <w:rPr>
          <w:rFonts w:hint="cs"/>
          <w:rtl/>
        </w:rPr>
        <w:t xml:space="preserve">1993 (להלן – החוק), קובע הסדרים מיוחדים לחנייתם של כלי רכב המשרתים נכים, מתוך הכרה בצורך החיוני לאפשר לנכים להתנייד באמצעות רכב ולהחנות את רכבם סמוך ככל האפשר למקומות שבהם הם </w:t>
      </w:r>
      <w:r w:rsidR="00C62C7B">
        <w:rPr>
          <w:rFonts w:hint="cs"/>
          <w:rtl/>
        </w:rPr>
        <w:t>צריכים</w:t>
      </w:r>
      <w:r>
        <w:rPr>
          <w:rFonts w:hint="cs"/>
          <w:rtl/>
        </w:rPr>
        <w:t xml:space="preserve"> לשהות. ברם, החוק אינו מסדיר הקצאת מקום חניה קבוע לנכה סמוך למקום מגוריו וכך נוצר קושי של ממש לנכים המגיעים לביתם ולעיתים נאלצים לחפש מקום חניה פנוי או להחנות את רכבם במקום </w:t>
      </w:r>
      <w:r w:rsidR="00385B89">
        <w:rPr>
          <w:rFonts w:hint="cs"/>
          <w:rtl/>
        </w:rPr>
        <w:t xml:space="preserve">שהחניה אינה מותרת בו, אך </w:t>
      </w:r>
      <w:r w:rsidR="00C62C7B">
        <w:rPr>
          <w:rFonts w:hint="cs"/>
          <w:rtl/>
        </w:rPr>
        <w:t>נכה רשאי להחנות את רכבו שם, בהתאם להוראות סעיף 2 לחוק.</w:t>
      </w:r>
      <w:r>
        <w:rPr>
          <w:rFonts w:hint="cs"/>
          <w:rtl/>
        </w:rPr>
        <w:t xml:space="preserve"> לעיתים אף נוצר מצב שבו לא נמצא מקום חניה מותר או </w:t>
      </w:r>
      <w:r w:rsidR="00C62C7B">
        <w:rPr>
          <w:rFonts w:hint="cs"/>
          <w:rtl/>
        </w:rPr>
        <w:t>מקום שבו הנכה רשאי להחנות את רכבו בהתאם להוראות סעיף 2 לחוק</w:t>
      </w:r>
      <w:r>
        <w:rPr>
          <w:rFonts w:hint="cs"/>
          <w:rtl/>
        </w:rPr>
        <w:t>, והנכה נאלץ לחנות הרחק מביתו</w:t>
      </w:r>
      <w:r w:rsidR="00C62C7B">
        <w:rPr>
          <w:rFonts w:hint="cs"/>
          <w:rtl/>
        </w:rPr>
        <w:t>,</w:t>
      </w:r>
      <w:r>
        <w:rPr>
          <w:rFonts w:hint="cs"/>
          <w:rtl/>
        </w:rPr>
        <w:t xml:space="preserve"> דבר </w:t>
      </w:r>
      <w:r w:rsidR="00C62C7B">
        <w:rPr>
          <w:rFonts w:hint="cs"/>
          <w:rtl/>
        </w:rPr>
        <w:t>ה</w:t>
      </w:r>
      <w:r>
        <w:rPr>
          <w:rFonts w:hint="cs"/>
          <w:rtl/>
        </w:rPr>
        <w:t xml:space="preserve">מקשה עליו את </w:t>
      </w:r>
      <w:proofErr w:type="spellStart"/>
      <w:r>
        <w:rPr>
          <w:rFonts w:hint="cs"/>
          <w:rtl/>
        </w:rPr>
        <w:t>ההתניידות</w:t>
      </w:r>
      <w:proofErr w:type="spellEnd"/>
      <w:r>
        <w:rPr>
          <w:rFonts w:hint="cs"/>
          <w:rtl/>
        </w:rPr>
        <w:t xml:space="preserve"> </w:t>
      </w:r>
      <w:r w:rsidR="00C62C7B">
        <w:rPr>
          <w:rFonts w:hint="cs"/>
          <w:rtl/>
        </w:rPr>
        <w:t xml:space="preserve">אל </w:t>
      </w:r>
      <w:r>
        <w:rPr>
          <w:rFonts w:hint="cs"/>
          <w:rtl/>
        </w:rPr>
        <w:t>מקום מגוריו</w:t>
      </w:r>
      <w:r w:rsidR="00C62C7B">
        <w:rPr>
          <w:rFonts w:hint="cs"/>
          <w:rtl/>
        </w:rPr>
        <w:t xml:space="preserve"> </w:t>
      </w:r>
      <w:r>
        <w:rPr>
          <w:rFonts w:hint="cs"/>
          <w:rtl/>
        </w:rPr>
        <w:t xml:space="preserve">וממנו. </w:t>
      </w:r>
    </w:p>
    <w:p w14:paraId="23F6F501" w14:textId="1A7867C3" w:rsidR="00D8231B" w:rsidRDefault="00D8231B" w:rsidP="00D8231B">
      <w:pPr>
        <w:pStyle w:val="Hesber"/>
        <w:rPr>
          <w:rtl/>
        </w:rPr>
      </w:pPr>
      <w:r>
        <w:rPr>
          <w:rFonts w:hint="cs"/>
          <w:rtl/>
        </w:rPr>
        <w:t>חלק מהרשויות המקומיות הכירו בקושי זה ומקצות לנכים מסוימים מקומות חניה קבועים סמוך למקום מגוריהם. ואולם, עניין זה נתון לשיקול דעתן של הרשויות המקומיות</w:t>
      </w:r>
      <w:r w:rsidR="0057595D">
        <w:rPr>
          <w:rFonts w:hint="cs"/>
          <w:rtl/>
        </w:rPr>
        <w:t>.</w:t>
      </w:r>
      <w:r>
        <w:rPr>
          <w:rFonts w:hint="cs"/>
          <w:rtl/>
        </w:rPr>
        <w:t xml:space="preserve"> חלק</w:t>
      </w:r>
      <w:r w:rsidR="0057595D">
        <w:rPr>
          <w:rFonts w:hint="cs"/>
          <w:rtl/>
        </w:rPr>
        <w:t xml:space="preserve"> מהרשויות המקומיות</w:t>
      </w:r>
      <w:r>
        <w:rPr>
          <w:rFonts w:hint="cs"/>
          <w:rtl/>
        </w:rPr>
        <w:t xml:space="preserve"> לא מכירות בצורך זה ואינן מקצות מקומות חניה קבועים לנכים בכלל או </w:t>
      </w:r>
      <w:r w:rsidR="00385B89">
        <w:rPr>
          <w:rFonts w:hint="cs"/>
          <w:rtl/>
        </w:rPr>
        <w:t xml:space="preserve">מקצות </w:t>
      </w:r>
      <w:r>
        <w:rPr>
          <w:rFonts w:hint="cs"/>
          <w:rtl/>
        </w:rPr>
        <w:t xml:space="preserve">לסוגים מסוימים של </w:t>
      </w:r>
      <w:r>
        <w:rPr>
          <w:rFonts w:hint="cs"/>
          <w:rtl/>
        </w:rPr>
        <w:lastRenderedPageBreak/>
        <w:t xml:space="preserve">נכים. </w:t>
      </w:r>
    </w:p>
    <w:p w14:paraId="5421ED1F" w14:textId="34C960ED" w:rsidR="00D8231B" w:rsidRDefault="00D8231B" w:rsidP="00D8231B">
      <w:pPr>
        <w:pStyle w:val="Hesber"/>
        <w:rPr>
          <w:rtl/>
        </w:rPr>
      </w:pPr>
      <w:r>
        <w:rPr>
          <w:rFonts w:hint="cs"/>
          <w:rtl/>
        </w:rPr>
        <w:t>לאור האמור, מוצע לקבוע הסדר ארצי אחיד</w:t>
      </w:r>
      <w:r w:rsidR="0057595D">
        <w:rPr>
          <w:rFonts w:hint="cs"/>
          <w:rtl/>
        </w:rPr>
        <w:t>,</w:t>
      </w:r>
      <w:r>
        <w:rPr>
          <w:rFonts w:hint="cs"/>
          <w:rtl/>
        </w:rPr>
        <w:t xml:space="preserve"> שלפיו רשות מקומית תקצה לנכה</w:t>
      </w:r>
      <w:r w:rsidR="0057595D">
        <w:rPr>
          <w:rFonts w:hint="cs"/>
          <w:rtl/>
        </w:rPr>
        <w:t>,</w:t>
      </w:r>
      <w:r>
        <w:rPr>
          <w:rFonts w:hint="cs"/>
          <w:rtl/>
        </w:rPr>
        <w:t xml:space="preserve"> כהגדרתו בחוק</w:t>
      </w:r>
      <w:r w:rsidR="0057595D">
        <w:rPr>
          <w:rFonts w:hint="cs"/>
          <w:rtl/>
        </w:rPr>
        <w:t>,</w:t>
      </w:r>
      <w:r>
        <w:rPr>
          <w:rFonts w:hint="cs"/>
          <w:rtl/>
        </w:rPr>
        <w:t xml:space="preserve"> מקום חניה קבוע סמוך ככל האפשר למקום מגוריו, אשר ייוחד לרכב אחד של הנכה ויוקצה לו ללא תשלום. רשות התמרור המקומית תציב במקום החניה שהוקצה כאמור תמרור מתאים על חשבונה. ההסדר האמור לא יחול </w:t>
      </w:r>
      <w:r w:rsidR="0057595D">
        <w:rPr>
          <w:rFonts w:hint="cs"/>
          <w:rtl/>
        </w:rPr>
        <w:t>אם בבעלותו של ה</w:t>
      </w:r>
      <w:r>
        <w:rPr>
          <w:rFonts w:hint="cs"/>
          <w:rtl/>
        </w:rPr>
        <w:t>נכה מקום חניה בתחום המגרש שבו נמצא ביתו</w:t>
      </w:r>
      <w:r w:rsidR="0057595D">
        <w:rPr>
          <w:rFonts w:hint="cs"/>
          <w:rtl/>
        </w:rPr>
        <w:t>,</w:t>
      </w:r>
      <w:r>
        <w:rPr>
          <w:rFonts w:hint="cs"/>
          <w:rtl/>
        </w:rPr>
        <w:t xml:space="preserve"> או אם באזור כולו שסמוך למקום מגוריו של הנכה אין כלל מקומות חניה המוסדרים על ידי הרשות המקומית.</w:t>
      </w:r>
    </w:p>
    <w:p w14:paraId="521DCE93" w14:textId="6434A5F2" w:rsidR="0057595D" w:rsidRDefault="0057595D" w:rsidP="00D8231B">
      <w:pPr>
        <w:pStyle w:val="Hesber"/>
        <w:rPr>
          <w:rtl/>
        </w:rPr>
      </w:pPr>
      <w:r>
        <w:rPr>
          <w:rFonts w:hint="cs"/>
          <w:rtl/>
        </w:rPr>
        <w:t>הצעות חוק זהות הונחו על שולחן הכנסת התשע-עשרה על ידי חבר הכנסת דוד אזולאי וקבוצת חברי הכנסת (פ/2657/19), ועל שולחן הכנסת העשרים על ידי חבר הכנסת איציק שמולי (פ/1411/20).</w:t>
      </w:r>
    </w:p>
    <w:p w14:paraId="7F6961CB" w14:textId="77777777" w:rsidR="00E13C27" w:rsidRDefault="00E13C27" w:rsidP="00E13C27">
      <w:pPr>
        <w:pStyle w:val="Hesber"/>
        <w:rPr>
          <w:rtl/>
        </w:rPr>
      </w:pPr>
    </w:p>
    <w:p w14:paraId="25615670" w14:textId="14338D3A" w:rsidR="00E12D4F" w:rsidRDefault="00E12D4F" w:rsidP="00E13C27">
      <w:pPr>
        <w:pStyle w:val="Hesber"/>
        <w:rPr>
          <w:rtl/>
        </w:rPr>
      </w:pPr>
    </w:p>
    <w:p w14:paraId="0FF48930" w14:textId="77777777" w:rsidR="00E12D4F" w:rsidRPr="00D73212" w:rsidRDefault="00E12D4F" w:rsidP="00E12D4F">
      <w:pPr>
        <w:pStyle w:val="Hesber"/>
        <w:rPr>
          <w:color w:val="auto"/>
          <w:rtl/>
          <w:lang w:eastAsia="en-US"/>
        </w:rPr>
      </w:pPr>
      <w:r w:rsidRPr="00D73212">
        <w:rPr>
          <w:color w:val="auto"/>
          <w:rtl/>
          <w:lang w:eastAsia="en-US"/>
        </w:rPr>
        <w:t>---------------------------------</w:t>
      </w:r>
    </w:p>
    <w:p w14:paraId="333FB7ED" w14:textId="77777777" w:rsidR="00E12D4F" w:rsidRPr="00D73212" w:rsidRDefault="00E12D4F" w:rsidP="00E12D4F">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2E7FCF7F" w14:textId="77777777" w:rsidR="00E12D4F" w:rsidRPr="00D73212" w:rsidRDefault="00E12D4F" w:rsidP="00E12D4F">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8481127" w14:textId="77777777" w:rsidR="00E12D4F" w:rsidRPr="00317312" w:rsidRDefault="00E12D4F" w:rsidP="00E12D4F">
      <w:pPr>
        <w:pStyle w:val="Hesber"/>
      </w:pPr>
      <w:r>
        <w:rPr>
          <w:rFonts w:hint="cs"/>
          <w:color w:val="auto"/>
          <w:rtl/>
          <w:lang w:eastAsia="en-US"/>
        </w:rPr>
        <w:t>כ"ו בתמוז</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1.8</w:t>
      </w:r>
      <w:r w:rsidRPr="00D73212">
        <w:rPr>
          <w:color w:val="auto"/>
          <w:rtl/>
          <w:lang w:eastAsia="en-US"/>
        </w:rPr>
        <w:t>.1</w:t>
      </w:r>
      <w:r>
        <w:rPr>
          <w:rFonts w:hint="cs"/>
          <w:color w:val="auto"/>
          <w:rtl/>
          <w:lang w:eastAsia="en-US"/>
        </w:rPr>
        <w:t>6</w:t>
      </w:r>
    </w:p>
    <w:p w14:paraId="7426EBDE" w14:textId="767A15EF" w:rsidR="00E12D4F" w:rsidRDefault="00E12D4F" w:rsidP="00E12D4F">
      <w:pPr>
        <w:pStyle w:val="Hesber"/>
        <w:rPr>
          <w:rtl/>
        </w:rPr>
      </w:pPr>
    </w:p>
    <w:sectPr w:rsidR="00E12D4F" w:rsidSect="00E12D4F">
      <w:footerReference w:type="even" r:id="rId11"/>
      <w:footerReference w:type="default" r:id="rId12"/>
      <w:pgSz w:w="11907" w:h="16840" w:code="9"/>
      <w:pgMar w:top="709"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C064E" w14:textId="77777777" w:rsidR="001A0187" w:rsidRDefault="001A0187">
      <w:r>
        <w:separator/>
      </w:r>
    </w:p>
  </w:endnote>
  <w:endnote w:type="continuationSeparator" w:id="0">
    <w:p w14:paraId="7744BF26" w14:textId="77777777" w:rsidR="001A0187" w:rsidRDefault="001A0187">
      <w:r>
        <w:continuationSeparator/>
      </w:r>
    </w:p>
  </w:endnote>
  <w:endnote w:type="continuationNotice" w:id="1">
    <w:p w14:paraId="1E85BC5F" w14:textId="77777777" w:rsidR="001A0187" w:rsidRDefault="001A018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E108B">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66584" w14:textId="77777777" w:rsidR="001A0187" w:rsidRDefault="001A0187">
      <w:r>
        <w:separator/>
      </w:r>
    </w:p>
  </w:footnote>
  <w:footnote w:type="continuationSeparator" w:id="0">
    <w:p w14:paraId="53F0EE9D" w14:textId="77777777" w:rsidR="001A0187" w:rsidRDefault="001A0187">
      <w:r>
        <w:continuationSeparator/>
      </w:r>
    </w:p>
  </w:footnote>
  <w:footnote w:type="continuationNotice" w:id="1">
    <w:p w14:paraId="38DF1187" w14:textId="77777777" w:rsidR="001A0187" w:rsidRDefault="001A0187"/>
  </w:footnote>
  <w:footnote w:id="2">
    <w:p w14:paraId="6B709D95" w14:textId="77777777" w:rsidR="00D8231B" w:rsidRDefault="00D8231B" w:rsidP="00D8231B">
      <w:pPr>
        <w:pStyle w:val="a4"/>
      </w:pPr>
      <w:r>
        <w:rPr>
          <w:rStyle w:val="a6"/>
        </w:rPr>
        <w:footnoteRef/>
      </w:r>
      <w:r>
        <w:rPr>
          <w:rFonts w:hint="cs"/>
          <w:rtl/>
        </w:rPr>
        <w:t xml:space="preserve"> ס"ח </w:t>
      </w:r>
      <w:proofErr w:type="spellStart"/>
      <w:r>
        <w:rPr>
          <w:rFonts w:hint="cs"/>
          <w:rtl/>
        </w:rPr>
        <w:t>התשנ"ד</w:t>
      </w:r>
      <w:proofErr w:type="spellEnd"/>
      <w:r>
        <w:rPr>
          <w:rFonts w:hint="cs"/>
          <w:rtl/>
        </w:rPr>
        <w:t>, עמ' 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3A69"/>
    <w:rsid w:val="00063A3E"/>
    <w:rsid w:val="00072CAC"/>
    <w:rsid w:val="0007681A"/>
    <w:rsid w:val="000A542E"/>
    <w:rsid w:val="00102B6B"/>
    <w:rsid w:val="001052D4"/>
    <w:rsid w:val="0010644B"/>
    <w:rsid w:val="001207F8"/>
    <w:rsid w:val="00121924"/>
    <w:rsid w:val="001279A8"/>
    <w:rsid w:val="0014195F"/>
    <w:rsid w:val="00152609"/>
    <w:rsid w:val="00153E1B"/>
    <w:rsid w:val="001A0187"/>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1541"/>
    <w:rsid w:val="002A487D"/>
    <w:rsid w:val="002C2E29"/>
    <w:rsid w:val="002C3041"/>
    <w:rsid w:val="002D1EE3"/>
    <w:rsid w:val="002F1D80"/>
    <w:rsid w:val="003232A2"/>
    <w:rsid w:val="00325C14"/>
    <w:rsid w:val="0036422C"/>
    <w:rsid w:val="003710F6"/>
    <w:rsid w:val="00385B89"/>
    <w:rsid w:val="00386E88"/>
    <w:rsid w:val="00396585"/>
    <w:rsid w:val="003B5F72"/>
    <w:rsid w:val="003D6E38"/>
    <w:rsid w:val="003D74A0"/>
    <w:rsid w:val="004033D8"/>
    <w:rsid w:val="004073F0"/>
    <w:rsid w:val="00412A7D"/>
    <w:rsid w:val="00416B4D"/>
    <w:rsid w:val="00417CFC"/>
    <w:rsid w:val="004A06DC"/>
    <w:rsid w:val="004B24ED"/>
    <w:rsid w:val="004B6625"/>
    <w:rsid w:val="004D2D82"/>
    <w:rsid w:val="004D3876"/>
    <w:rsid w:val="004E108B"/>
    <w:rsid w:val="004E4552"/>
    <w:rsid w:val="004E6CDF"/>
    <w:rsid w:val="00553C9D"/>
    <w:rsid w:val="00562A66"/>
    <w:rsid w:val="0057595D"/>
    <w:rsid w:val="005B064E"/>
    <w:rsid w:val="005D1216"/>
    <w:rsid w:val="005D51AE"/>
    <w:rsid w:val="005E1BEC"/>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2377"/>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62C7B"/>
    <w:rsid w:val="00C9176A"/>
    <w:rsid w:val="00CF1AA2"/>
    <w:rsid w:val="00D17774"/>
    <w:rsid w:val="00D63620"/>
    <w:rsid w:val="00D8231B"/>
    <w:rsid w:val="00D8410D"/>
    <w:rsid w:val="00D867D7"/>
    <w:rsid w:val="00DB7060"/>
    <w:rsid w:val="00DE3153"/>
    <w:rsid w:val="00E06736"/>
    <w:rsid w:val="00E12D4F"/>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2E0A2581-BA75-43E5-81A5-7AE6E2383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D8231B"/>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60E5D-347A-46F2-B421-AF57FC7C6D66}"/>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893DEC6-9D35-452B-A31E-1A4C41C55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548</Words>
  <Characters>2741</Characters>
  <Application>Microsoft Office Word</Application>
  <DocSecurity>0</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2016-07-27T14:30:00Z</cp:lastPrinted>
  <dcterms:created xsi:type="dcterms:W3CDTF">2017-05-04T10:56:00Z</dcterms:created>
  <dcterms:modified xsi:type="dcterms:W3CDTF">2017-05-04T10:56:00Z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2016305</vt:r8>
  </property>
</Properties>
</file>