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562293</w:t>
      </w:r>
      <w:bookmarkEnd w:id="1"/>
    </w:p>
    <w:p w14:paraId="7F6961A2" w14:textId="705402C3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 w:rsidR="00B5634B">
        <w:rPr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CF1AA2">
      <w:pPr>
        <w:pStyle w:val="David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מרדכי יוגב</w:t>
      </w:r>
      <w:bookmarkEnd w:id="4"/>
    </w:p>
    <w:p w14:paraId="7F6961AA" w14:textId="77777777" w:rsidR="00E13C27" w:rsidRPr="00CF1AA2" w:rsidRDefault="007D585A" w:rsidP="00CF1AA2">
      <w:pPr>
        <w:pStyle w:val="David"/>
        <w:ind w:left="3544"/>
        <w:rPr>
          <w:b/>
          <w:bCs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F6961AB" w14:textId="1A02760E" w:rsidR="00E13C27" w:rsidRPr="00E06736" w:rsidRDefault="0014195F" w:rsidP="00416B4D">
      <w:pPr>
        <w:pStyle w:val="David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6961CE" wp14:editId="7F6961CF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BCBD5DC" id="Freeform 7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E06736">
        <w:rPr>
          <w:rFonts w:hint="cs"/>
          <w:rtl/>
        </w:rPr>
        <w:tab/>
      </w:r>
      <w:r w:rsidR="00416B4D">
        <w:tab/>
      </w:r>
      <w:r w:rsidR="00FA5E88">
        <w:tab/>
      </w:r>
      <w:r w:rsidR="00E13C27" w:rsidRPr="00E06736">
        <w:rPr>
          <w:rFonts w:hint="cs"/>
          <w:rtl/>
        </w:rPr>
        <w:tab/>
      </w:r>
      <w:r w:rsidR="00E06736" w:rsidRPr="00E06736">
        <w:tab/>
      </w:r>
      <w:bookmarkStart w:id="7" w:name="Private_Number"/>
      <w:r>
        <w:rPr>
          <w:rFonts w:hint="cs"/>
          <w:rtl/>
        </w:rPr>
        <w:t>פ/672/20</w:t>
      </w:r>
      <w:bookmarkEnd w:id="7"/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3BD45582" w14:textId="77777777" w:rsidR="000C19AD" w:rsidRDefault="00A443CF" w:rsidP="00433272">
      <w:pPr>
        <w:pStyle w:val="HeadHatzaotHok"/>
        <w:spacing w:before="0"/>
        <w:rPr>
          <w:rtl/>
        </w:rPr>
      </w:pPr>
      <w:bookmarkStart w:id="8" w:name="LGS_Subject"/>
      <w:r>
        <w:rPr>
          <w:rFonts w:hint="cs"/>
          <w:rtl/>
        </w:rPr>
        <w:t xml:space="preserve">הצעת חוק קליטת חיילים משוחררים (תיקון </w:t>
      </w:r>
      <w:r w:rsidR="000C19AD">
        <w:rPr>
          <w:rFonts w:hint="eastAsia"/>
          <w:rtl/>
        </w:rPr>
        <w:t>–</w:t>
      </w:r>
      <w:r>
        <w:rPr>
          <w:rFonts w:hint="cs"/>
          <w:rtl/>
        </w:rPr>
        <w:t xml:space="preserve"> הארכת תקופת מימוש הזכאות לפיקדון), </w:t>
      </w:r>
    </w:p>
    <w:p w14:paraId="7F6961AD" w14:textId="5BE13F21" w:rsidR="00E13C27" w:rsidRDefault="00A443CF" w:rsidP="00433272">
      <w:pPr>
        <w:pStyle w:val="HeadHatzaotHok"/>
        <w:spacing w:before="0"/>
        <w:rPr>
          <w:rtl/>
        </w:rPr>
      </w:pPr>
      <w:proofErr w:type="spellStart"/>
      <w:r>
        <w:rPr>
          <w:rFonts w:hint="cs"/>
          <w:rtl/>
        </w:rPr>
        <w:t>התשע"ה</w:t>
      </w:r>
      <w:proofErr w:type="spellEnd"/>
      <w:r w:rsidR="000C19AD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8"/>
    </w:p>
    <w:p w14:paraId="1D599B92" w14:textId="77777777" w:rsidR="009D7516" w:rsidRPr="00F67051" w:rsidRDefault="009D7516" w:rsidP="00A443CF">
      <w:pPr>
        <w:pStyle w:val="HeadHatzaotHok"/>
        <w:spacing w:line="240" w:lineRule="auto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5894"/>
        <w:gridCol w:w="7"/>
      </w:tblGrid>
      <w:tr w:rsidR="009D7516" w14:paraId="0F6A3626" w14:textId="77777777" w:rsidTr="00B051EB">
        <w:trPr>
          <w:cantSplit/>
          <w:trHeight w:val="60"/>
        </w:trPr>
        <w:tc>
          <w:tcPr>
            <w:tcW w:w="1872" w:type="dxa"/>
            <w:hideMark/>
          </w:tcPr>
          <w:p w14:paraId="356FB5CF" w14:textId="77777777" w:rsidR="009D7516" w:rsidRDefault="009D751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19</w:t>
            </w:r>
          </w:p>
        </w:tc>
        <w:tc>
          <w:tcPr>
            <w:tcW w:w="624" w:type="dxa"/>
            <w:hideMark/>
          </w:tcPr>
          <w:p w14:paraId="199E9F11" w14:textId="77777777" w:rsidR="009D7516" w:rsidRDefault="009D7516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4"/>
            <w:hideMark/>
          </w:tcPr>
          <w:p w14:paraId="754912FC" w14:textId="438CCE20" w:rsidR="009D7516" w:rsidRDefault="009D7516" w:rsidP="009D6E23">
            <w:pPr>
              <w:pStyle w:val="TableHead"/>
              <w:keepLines w:val="0"/>
              <w:jc w:val="both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rtl/>
              </w:rPr>
              <w:t xml:space="preserve">בחוק קליטת חיילים משוחררים, </w:t>
            </w:r>
            <w:proofErr w:type="spellStart"/>
            <w:r>
              <w:rPr>
                <w:rFonts w:hint="cs"/>
                <w:b w:val="0"/>
                <w:bCs w:val="0"/>
                <w:rtl/>
              </w:rPr>
              <w:t>התשנ"ד</w:t>
            </w:r>
            <w:proofErr w:type="spellEnd"/>
            <w:r w:rsidR="00B051EB">
              <w:rPr>
                <w:rFonts w:hint="eastAsia"/>
                <w:b w:val="0"/>
                <w:bCs w:val="0"/>
                <w:rtl/>
              </w:rPr>
              <w:t>–</w:t>
            </w:r>
            <w:r>
              <w:rPr>
                <w:rFonts w:hint="cs"/>
                <w:b w:val="0"/>
                <w:bCs w:val="0"/>
                <w:rtl/>
              </w:rPr>
              <w:t>1994</w:t>
            </w:r>
            <w:r>
              <w:rPr>
                <w:rStyle w:val="a6"/>
                <w:b w:val="0"/>
                <w:bCs w:val="0"/>
                <w:rtl/>
              </w:rPr>
              <w:footnoteReference w:id="2"/>
            </w:r>
            <w:r>
              <w:rPr>
                <w:rFonts w:hint="cs"/>
                <w:b w:val="0"/>
                <w:bCs w:val="0"/>
                <w:rtl/>
              </w:rPr>
              <w:t>, בסעיף 19</w:t>
            </w:r>
            <w:r w:rsidR="00B051EB">
              <w:rPr>
                <w:rFonts w:hint="cs"/>
                <w:b w:val="0"/>
                <w:bCs w:val="0"/>
                <w:rtl/>
              </w:rPr>
              <w:t xml:space="preserve"> </w:t>
            </w:r>
            <w:r w:rsidR="00B051EB">
              <w:rPr>
                <w:rFonts w:hint="eastAsia"/>
                <w:b w:val="0"/>
                <w:bCs w:val="0"/>
                <w:rtl/>
              </w:rPr>
              <w:t>–</w:t>
            </w:r>
          </w:p>
        </w:tc>
      </w:tr>
      <w:tr w:rsidR="00B051EB" w14:paraId="7B2E24C3" w14:textId="77777777" w:rsidTr="00EA34E0">
        <w:trPr>
          <w:cantSplit/>
          <w:trHeight w:val="60"/>
        </w:trPr>
        <w:tc>
          <w:tcPr>
            <w:tcW w:w="1872" w:type="dxa"/>
          </w:tcPr>
          <w:p w14:paraId="5511754D" w14:textId="003AAED4" w:rsidR="00B051EB" w:rsidRDefault="00B051EB" w:rsidP="00EA34E0">
            <w:pPr>
              <w:pStyle w:val="TableSideHeading"/>
              <w:keepLines w:val="0"/>
            </w:pPr>
          </w:p>
        </w:tc>
        <w:tc>
          <w:tcPr>
            <w:tcW w:w="624" w:type="dxa"/>
            <w:hideMark/>
          </w:tcPr>
          <w:p w14:paraId="19CDE5CA" w14:textId="77777777" w:rsidR="00B051EB" w:rsidRDefault="00B051EB" w:rsidP="00EA34E0">
            <w:pPr>
              <w:pStyle w:val="TableText"/>
              <w:keepLines w:val="0"/>
            </w:pPr>
          </w:p>
        </w:tc>
        <w:tc>
          <w:tcPr>
            <w:tcW w:w="7149" w:type="dxa"/>
            <w:gridSpan w:val="4"/>
            <w:hideMark/>
          </w:tcPr>
          <w:p w14:paraId="0AF52F8F" w14:textId="77777777" w:rsidR="00B051EB" w:rsidRDefault="00B051EB" w:rsidP="00EA34E0">
            <w:pPr>
              <w:pStyle w:val="TableBlock"/>
              <w:keepLines w:val="0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(א) יבוא:</w:t>
            </w:r>
          </w:p>
        </w:tc>
      </w:tr>
      <w:tr w:rsidR="00B051EB" w14:paraId="0C883AC0" w14:textId="77777777" w:rsidTr="009D6E23">
        <w:trPr>
          <w:gridAfter w:val="1"/>
          <w:wAfter w:w="7" w:type="dxa"/>
          <w:cantSplit/>
        </w:trPr>
        <w:tc>
          <w:tcPr>
            <w:tcW w:w="1872" w:type="dxa"/>
          </w:tcPr>
          <w:p w14:paraId="3445464D" w14:textId="77777777" w:rsidR="00B051EB" w:rsidRPr="00887119" w:rsidRDefault="00B051EB" w:rsidP="00EA34E0">
            <w:pPr>
              <w:pStyle w:val="TableSideHeading"/>
            </w:pPr>
          </w:p>
        </w:tc>
        <w:tc>
          <w:tcPr>
            <w:tcW w:w="624" w:type="dxa"/>
          </w:tcPr>
          <w:p w14:paraId="60A6BC61" w14:textId="77777777" w:rsidR="00B051EB" w:rsidRDefault="00B051EB" w:rsidP="00EA34E0">
            <w:pPr>
              <w:pStyle w:val="TableText"/>
            </w:pPr>
          </w:p>
        </w:tc>
        <w:tc>
          <w:tcPr>
            <w:tcW w:w="624" w:type="dxa"/>
          </w:tcPr>
          <w:p w14:paraId="7795CF38" w14:textId="77777777" w:rsidR="00B051EB" w:rsidRDefault="00B051EB" w:rsidP="00EA34E0">
            <w:pPr>
              <w:pStyle w:val="TableText"/>
            </w:pPr>
          </w:p>
        </w:tc>
        <w:tc>
          <w:tcPr>
            <w:tcW w:w="6518" w:type="dxa"/>
            <w:gridSpan w:val="2"/>
          </w:tcPr>
          <w:p w14:paraId="493B8C75" w14:textId="10947975" w:rsidR="00B051EB" w:rsidRDefault="00B051EB" w:rsidP="00EA34E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"(א1)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על אף האמור בסעיף קטן (א), רשאי מנהל המחלקה לשירותים חברתיים של הרשות המקומית שבה מתגורר החייל המשוחרר לאשר לחייל כאמור לקבל את הפ</w:t>
            </w:r>
            <w:r w:rsidR="00A647CD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קדון לידיו לצורכי רווחה שלו או של קרוב משפחה שלו; לעניין זה, </w:t>
            </w:r>
            <w:r w:rsidRPr="002A4399">
              <w:rPr>
                <w:rFonts w:hint="cs"/>
                <w:rtl/>
              </w:rPr>
              <w:t xml:space="preserve">"קרוב משפחה" </w:t>
            </w:r>
            <w:r>
              <w:rPr>
                <w:rFonts w:hint="eastAsia"/>
                <w:rtl/>
              </w:rPr>
              <w:t>–</w:t>
            </w:r>
            <w:r w:rsidRPr="002A4399">
              <w:rPr>
                <w:rtl/>
              </w:rPr>
              <w:t xml:space="preserve"> </w:t>
            </w:r>
            <w:r w:rsidRPr="002A4399">
              <w:rPr>
                <w:rFonts w:hint="cs"/>
                <w:rtl/>
              </w:rPr>
              <w:t>הורים, בן זוג, ילדים, אחים ואחיות</w:t>
            </w:r>
            <w:r>
              <w:rPr>
                <w:rFonts w:hint="cs"/>
                <w:rtl/>
              </w:rPr>
              <w:t>.</w:t>
            </w:r>
            <w:r w:rsidRPr="002A4399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;</w:t>
            </w:r>
          </w:p>
        </w:tc>
      </w:tr>
      <w:tr w:rsidR="00B051EB" w14:paraId="4E9E0E65" w14:textId="77777777" w:rsidTr="00EA34E0">
        <w:trPr>
          <w:gridAfter w:val="1"/>
          <w:wAfter w:w="7" w:type="dxa"/>
          <w:cantSplit/>
        </w:trPr>
        <w:tc>
          <w:tcPr>
            <w:tcW w:w="1872" w:type="dxa"/>
          </w:tcPr>
          <w:p w14:paraId="32788C29" w14:textId="0B8AEBED" w:rsidR="00B051EB" w:rsidRDefault="00B051EB" w:rsidP="00EA34E0">
            <w:pPr>
              <w:pStyle w:val="TableSideHeading"/>
            </w:pPr>
          </w:p>
        </w:tc>
        <w:tc>
          <w:tcPr>
            <w:tcW w:w="624" w:type="dxa"/>
          </w:tcPr>
          <w:p w14:paraId="55A5C8F9" w14:textId="77777777" w:rsidR="00B051EB" w:rsidRDefault="00B051EB" w:rsidP="00EA34E0">
            <w:pPr>
              <w:pStyle w:val="TableText"/>
            </w:pPr>
          </w:p>
        </w:tc>
        <w:tc>
          <w:tcPr>
            <w:tcW w:w="7142" w:type="dxa"/>
            <w:gridSpan w:val="3"/>
          </w:tcPr>
          <w:p w14:paraId="541BEE9E" w14:textId="77777777" w:rsidR="00B051EB" w:rsidRDefault="00B051EB" w:rsidP="00EA34E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(ב) –</w:t>
            </w:r>
          </w:p>
        </w:tc>
      </w:tr>
      <w:tr w:rsidR="00172DD1" w14:paraId="04CCD3F9" w14:textId="77777777" w:rsidTr="00EA34E0">
        <w:trPr>
          <w:gridAfter w:val="1"/>
          <w:wAfter w:w="7" w:type="dxa"/>
          <w:cantSplit/>
        </w:trPr>
        <w:tc>
          <w:tcPr>
            <w:tcW w:w="1872" w:type="dxa"/>
          </w:tcPr>
          <w:p w14:paraId="00F1F6F5" w14:textId="5085C3D0" w:rsidR="00172DD1" w:rsidRDefault="00172DD1" w:rsidP="00EA34E0">
            <w:pPr>
              <w:pStyle w:val="TableSideHeading"/>
            </w:pPr>
          </w:p>
        </w:tc>
        <w:tc>
          <w:tcPr>
            <w:tcW w:w="624" w:type="dxa"/>
          </w:tcPr>
          <w:p w14:paraId="5D9BD1FE" w14:textId="77777777" w:rsidR="00172DD1" w:rsidRDefault="00172DD1" w:rsidP="00EA34E0">
            <w:pPr>
              <w:pStyle w:val="TableText"/>
            </w:pPr>
          </w:p>
        </w:tc>
        <w:tc>
          <w:tcPr>
            <w:tcW w:w="624" w:type="dxa"/>
          </w:tcPr>
          <w:p w14:paraId="3DD3F7EF" w14:textId="77777777" w:rsidR="00172DD1" w:rsidRDefault="00172DD1" w:rsidP="00EA34E0">
            <w:pPr>
              <w:pStyle w:val="TableText"/>
            </w:pPr>
          </w:p>
        </w:tc>
        <w:tc>
          <w:tcPr>
            <w:tcW w:w="6518" w:type="dxa"/>
            <w:gridSpan w:val="2"/>
          </w:tcPr>
          <w:p w14:paraId="07DB5808" w14:textId="77777777" w:rsidR="00172DD1" w:rsidRDefault="00172DD1" w:rsidP="00EA34E0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(1) –</w:t>
            </w:r>
          </w:p>
        </w:tc>
      </w:tr>
      <w:tr w:rsidR="00172DD1" w14:paraId="652A0A58" w14:textId="77777777" w:rsidTr="00EA34E0">
        <w:trPr>
          <w:gridAfter w:val="1"/>
          <w:wAfter w:w="7" w:type="dxa"/>
          <w:cantSplit/>
        </w:trPr>
        <w:tc>
          <w:tcPr>
            <w:tcW w:w="1872" w:type="dxa"/>
          </w:tcPr>
          <w:p w14:paraId="40EC9940" w14:textId="77777777" w:rsidR="00172DD1" w:rsidRDefault="00172DD1" w:rsidP="00EA34E0">
            <w:pPr>
              <w:pStyle w:val="TableSideHeading"/>
            </w:pPr>
          </w:p>
        </w:tc>
        <w:tc>
          <w:tcPr>
            <w:tcW w:w="624" w:type="dxa"/>
          </w:tcPr>
          <w:p w14:paraId="4FC00304" w14:textId="77777777" w:rsidR="00172DD1" w:rsidRDefault="00172DD1" w:rsidP="00EA34E0">
            <w:pPr>
              <w:pStyle w:val="TableText"/>
            </w:pPr>
          </w:p>
        </w:tc>
        <w:tc>
          <w:tcPr>
            <w:tcW w:w="624" w:type="dxa"/>
          </w:tcPr>
          <w:p w14:paraId="14409755" w14:textId="77777777" w:rsidR="00172DD1" w:rsidRDefault="00172DD1" w:rsidP="00EA34E0">
            <w:pPr>
              <w:pStyle w:val="TableText"/>
            </w:pPr>
          </w:p>
        </w:tc>
        <w:tc>
          <w:tcPr>
            <w:tcW w:w="624" w:type="dxa"/>
          </w:tcPr>
          <w:p w14:paraId="0CFA5A6B" w14:textId="77777777" w:rsidR="00172DD1" w:rsidRDefault="00172DD1" w:rsidP="00EA34E0">
            <w:pPr>
              <w:pStyle w:val="TableText"/>
            </w:pPr>
          </w:p>
        </w:tc>
        <w:tc>
          <w:tcPr>
            <w:tcW w:w="5894" w:type="dxa"/>
          </w:tcPr>
          <w:p w14:paraId="7B6B79BC" w14:textId="77777777" w:rsidR="00172DD1" w:rsidRDefault="00172DD1" w:rsidP="00EA34E0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"שנתיים" יבוא "עשר שנים";</w:t>
            </w:r>
          </w:p>
        </w:tc>
      </w:tr>
      <w:tr w:rsidR="00172DD1" w14:paraId="1F9C5E05" w14:textId="77777777" w:rsidTr="00EA34E0">
        <w:trPr>
          <w:gridAfter w:val="1"/>
          <w:wAfter w:w="7" w:type="dxa"/>
          <w:cantSplit/>
        </w:trPr>
        <w:tc>
          <w:tcPr>
            <w:tcW w:w="1872" w:type="dxa"/>
          </w:tcPr>
          <w:p w14:paraId="18DBC523" w14:textId="77777777" w:rsidR="00172DD1" w:rsidRDefault="00172DD1" w:rsidP="00EA34E0">
            <w:pPr>
              <w:pStyle w:val="TableSideHeading"/>
            </w:pPr>
          </w:p>
        </w:tc>
        <w:tc>
          <w:tcPr>
            <w:tcW w:w="624" w:type="dxa"/>
          </w:tcPr>
          <w:p w14:paraId="42268A29" w14:textId="77777777" w:rsidR="00172DD1" w:rsidRDefault="00172DD1" w:rsidP="00EA34E0">
            <w:pPr>
              <w:pStyle w:val="TableText"/>
            </w:pPr>
          </w:p>
        </w:tc>
        <w:tc>
          <w:tcPr>
            <w:tcW w:w="624" w:type="dxa"/>
          </w:tcPr>
          <w:p w14:paraId="5B8F1472" w14:textId="77777777" w:rsidR="00172DD1" w:rsidRDefault="00172DD1" w:rsidP="00EA34E0">
            <w:pPr>
              <w:pStyle w:val="TableText"/>
            </w:pPr>
          </w:p>
        </w:tc>
        <w:tc>
          <w:tcPr>
            <w:tcW w:w="624" w:type="dxa"/>
          </w:tcPr>
          <w:p w14:paraId="1B10332E" w14:textId="77777777" w:rsidR="00172DD1" w:rsidRDefault="00172DD1" w:rsidP="00EA34E0">
            <w:pPr>
              <w:pStyle w:val="TableText"/>
            </w:pPr>
          </w:p>
        </w:tc>
        <w:tc>
          <w:tcPr>
            <w:tcW w:w="5894" w:type="dxa"/>
          </w:tcPr>
          <w:p w14:paraId="5788366A" w14:textId="3E9BA942" w:rsidR="00172DD1" w:rsidRDefault="00172DD1" w:rsidP="00EA34E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בסופה יבוא "</w:t>
            </w:r>
            <w:r w:rsidRPr="00F03373">
              <w:rPr>
                <w:rtl/>
              </w:rPr>
              <w:t xml:space="preserve">או </w:t>
            </w:r>
            <w:r>
              <w:rPr>
                <w:rFonts w:hint="cs"/>
                <w:rtl/>
              </w:rPr>
              <w:t>עד מועד השחרור</w:t>
            </w:r>
            <w:r w:rsidRPr="00F03373">
              <w:rPr>
                <w:rtl/>
              </w:rPr>
              <w:t xml:space="preserve"> משירות מילואים פעיל</w:t>
            </w:r>
            <w:r>
              <w:rPr>
                <w:rFonts w:hint="cs"/>
                <w:rtl/>
              </w:rPr>
              <w:t>, לפי המאוחר";</w:t>
            </w:r>
          </w:p>
        </w:tc>
      </w:tr>
      <w:tr w:rsidR="00172DD1" w14:paraId="3A487026" w14:textId="77777777" w:rsidTr="00EA34E0">
        <w:trPr>
          <w:gridAfter w:val="1"/>
          <w:wAfter w:w="7" w:type="dxa"/>
          <w:cantSplit/>
        </w:trPr>
        <w:tc>
          <w:tcPr>
            <w:tcW w:w="1872" w:type="dxa"/>
          </w:tcPr>
          <w:p w14:paraId="3FAAD0A5" w14:textId="075F1D9F" w:rsidR="00172DD1" w:rsidRDefault="00172DD1" w:rsidP="00EA34E0">
            <w:pPr>
              <w:pStyle w:val="TableSideHeading"/>
            </w:pPr>
          </w:p>
        </w:tc>
        <w:tc>
          <w:tcPr>
            <w:tcW w:w="624" w:type="dxa"/>
          </w:tcPr>
          <w:p w14:paraId="17132A4D" w14:textId="77777777" w:rsidR="00172DD1" w:rsidRDefault="00172DD1" w:rsidP="00EA34E0">
            <w:pPr>
              <w:pStyle w:val="TableText"/>
            </w:pPr>
          </w:p>
        </w:tc>
        <w:tc>
          <w:tcPr>
            <w:tcW w:w="624" w:type="dxa"/>
          </w:tcPr>
          <w:p w14:paraId="554A9613" w14:textId="77777777" w:rsidR="00172DD1" w:rsidRDefault="00172DD1" w:rsidP="00EA34E0">
            <w:pPr>
              <w:pStyle w:val="TableText"/>
            </w:pPr>
          </w:p>
        </w:tc>
        <w:tc>
          <w:tcPr>
            <w:tcW w:w="6518" w:type="dxa"/>
            <w:gridSpan w:val="2"/>
          </w:tcPr>
          <w:p w14:paraId="296C4965" w14:textId="77777777" w:rsidR="00172DD1" w:rsidRDefault="00172DD1" w:rsidP="00EA34E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פסקה (2) – תימחק;</w:t>
            </w:r>
          </w:p>
        </w:tc>
      </w:tr>
      <w:tr w:rsidR="00172DD1" w14:paraId="51EC9F19" w14:textId="77777777" w:rsidTr="00EA34E0">
        <w:trPr>
          <w:gridAfter w:val="1"/>
          <w:wAfter w:w="7" w:type="dxa"/>
          <w:cantSplit/>
        </w:trPr>
        <w:tc>
          <w:tcPr>
            <w:tcW w:w="1872" w:type="dxa"/>
          </w:tcPr>
          <w:p w14:paraId="545DD014" w14:textId="2ADA339D" w:rsidR="00172DD1" w:rsidRDefault="00172DD1" w:rsidP="00EA34E0">
            <w:pPr>
              <w:pStyle w:val="TableSideHeading"/>
            </w:pPr>
          </w:p>
        </w:tc>
        <w:tc>
          <w:tcPr>
            <w:tcW w:w="624" w:type="dxa"/>
          </w:tcPr>
          <w:p w14:paraId="2E047CF6" w14:textId="77777777" w:rsidR="00172DD1" w:rsidRDefault="00172DD1" w:rsidP="00EA34E0">
            <w:pPr>
              <w:pStyle w:val="TableText"/>
            </w:pPr>
          </w:p>
        </w:tc>
        <w:tc>
          <w:tcPr>
            <w:tcW w:w="7142" w:type="dxa"/>
            <w:gridSpan w:val="3"/>
          </w:tcPr>
          <w:p w14:paraId="7D3AC035" w14:textId="77777777" w:rsidR="00172DD1" w:rsidRDefault="00172DD1" w:rsidP="00EA34E0">
            <w:pPr>
              <w:pStyle w:val="TableBlock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(ג) – </w:t>
            </w:r>
          </w:p>
        </w:tc>
      </w:tr>
      <w:tr w:rsidR="00172DD1" w14:paraId="1076223F" w14:textId="77777777" w:rsidTr="00EA34E0">
        <w:trPr>
          <w:gridAfter w:val="1"/>
          <w:wAfter w:w="7" w:type="dxa"/>
          <w:cantSplit/>
        </w:trPr>
        <w:tc>
          <w:tcPr>
            <w:tcW w:w="1872" w:type="dxa"/>
          </w:tcPr>
          <w:p w14:paraId="7DA066DB" w14:textId="77777777" w:rsidR="00172DD1" w:rsidRDefault="00172DD1" w:rsidP="00EA34E0">
            <w:pPr>
              <w:pStyle w:val="TableSideHeading"/>
            </w:pPr>
          </w:p>
        </w:tc>
        <w:tc>
          <w:tcPr>
            <w:tcW w:w="624" w:type="dxa"/>
          </w:tcPr>
          <w:p w14:paraId="0D96EB87" w14:textId="77777777" w:rsidR="00172DD1" w:rsidRDefault="00172DD1" w:rsidP="00EA34E0">
            <w:pPr>
              <w:pStyle w:val="TableText"/>
            </w:pPr>
          </w:p>
        </w:tc>
        <w:tc>
          <w:tcPr>
            <w:tcW w:w="624" w:type="dxa"/>
          </w:tcPr>
          <w:p w14:paraId="71D65934" w14:textId="77777777" w:rsidR="00172DD1" w:rsidRDefault="00172DD1" w:rsidP="00EA34E0">
            <w:pPr>
              <w:pStyle w:val="TableText"/>
            </w:pPr>
          </w:p>
        </w:tc>
        <w:tc>
          <w:tcPr>
            <w:tcW w:w="6518" w:type="dxa"/>
            <w:gridSpan w:val="2"/>
          </w:tcPr>
          <w:p w14:paraId="472924D0" w14:textId="77777777" w:rsidR="00172DD1" w:rsidRDefault="00172DD1" w:rsidP="00EA34E0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"(ב)(1) או (2), לפי העניין" יבוא "(ב)(1)";</w:t>
            </w:r>
          </w:p>
        </w:tc>
      </w:tr>
      <w:tr w:rsidR="00172DD1" w14:paraId="1F7DF453" w14:textId="77777777" w:rsidTr="00EA34E0">
        <w:trPr>
          <w:gridAfter w:val="1"/>
          <w:wAfter w:w="7" w:type="dxa"/>
          <w:cantSplit/>
        </w:trPr>
        <w:tc>
          <w:tcPr>
            <w:tcW w:w="1872" w:type="dxa"/>
          </w:tcPr>
          <w:p w14:paraId="1F0C86D5" w14:textId="77777777" w:rsidR="00172DD1" w:rsidRDefault="00172DD1" w:rsidP="00EA34E0">
            <w:pPr>
              <w:pStyle w:val="TableSideHeading"/>
            </w:pPr>
          </w:p>
        </w:tc>
        <w:tc>
          <w:tcPr>
            <w:tcW w:w="624" w:type="dxa"/>
          </w:tcPr>
          <w:p w14:paraId="3E9D58D8" w14:textId="77777777" w:rsidR="00172DD1" w:rsidRDefault="00172DD1" w:rsidP="00EA34E0">
            <w:pPr>
              <w:pStyle w:val="TableText"/>
            </w:pPr>
          </w:p>
        </w:tc>
        <w:tc>
          <w:tcPr>
            <w:tcW w:w="624" w:type="dxa"/>
          </w:tcPr>
          <w:p w14:paraId="35662A8A" w14:textId="77777777" w:rsidR="00172DD1" w:rsidRDefault="00172DD1" w:rsidP="00EA34E0">
            <w:pPr>
              <w:pStyle w:val="TableText"/>
            </w:pPr>
          </w:p>
        </w:tc>
        <w:tc>
          <w:tcPr>
            <w:tcW w:w="6518" w:type="dxa"/>
            <w:gridSpan w:val="2"/>
          </w:tcPr>
          <w:p w14:paraId="2B7AC255" w14:textId="77777777" w:rsidR="00172DD1" w:rsidRDefault="00172DD1" w:rsidP="00EA34E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"שבע שנים" יבוא "חמש עשרה שנים";</w:t>
            </w:r>
          </w:p>
        </w:tc>
      </w:tr>
      <w:tr w:rsidR="00172DD1" w14:paraId="7F0661C0" w14:textId="77777777" w:rsidTr="00EA34E0">
        <w:trPr>
          <w:gridAfter w:val="1"/>
          <w:wAfter w:w="7" w:type="dxa"/>
          <w:cantSplit/>
        </w:trPr>
        <w:tc>
          <w:tcPr>
            <w:tcW w:w="1872" w:type="dxa"/>
          </w:tcPr>
          <w:p w14:paraId="3E12C588" w14:textId="77777777" w:rsidR="00172DD1" w:rsidRDefault="00172DD1" w:rsidP="00EA34E0">
            <w:pPr>
              <w:pStyle w:val="TableSideHeading"/>
            </w:pPr>
          </w:p>
        </w:tc>
        <w:tc>
          <w:tcPr>
            <w:tcW w:w="624" w:type="dxa"/>
          </w:tcPr>
          <w:p w14:paraId="7130C0C7" w14:textId="77777777" w:rsidR="00172DD1" w:rsidRDefault="00172DD1" w:rsidP="00EA34E0">
            <w:pPr>
              <w:pStyle w:val="TableText"/>
            </w:pPr>
          </w:p>
        </w:tc>
        <w:tc>
          <w:tcPr>
            <w:tcW w:w="624" w:type="dxa"/>
          </w:tcPr>
          <w:p w14:paraId="76609258" w14:textId="77777777" w:rsidR="00172DD1" w:rsidRDefault="00172DD1" w:rsidP="00EA34E0">
            <w:pPr>
              <w:pStyle w:val="TableText"/>
            </w:pPr>
          </w:p>
        </w:tc>
        <w:tc>
          <w:tcPr>
            <w:tcW w:w="6518" w:type="dxa"/>
            <w:gridSpan w:val="2"/>
          </w:tcPr>
          <w:p w14:paraId="71DB2424" w14:textId="77777777" w:rsidR="00172DD1" w:rsidRDefault="00172DD1" w:rsidP="00EA34E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"הסדיר" יבוא "או במועד שחרורו משירות מילואים פעיל, לפי המאוחר";</w:t>
            </w:r>
          </w:p>
        </w:tc>
      </w:tr>
      <w:tr w:rsidR="00172DD1" w14:paraId="4E8C55E4" w14:textId="77777777" w:rsidTr="00EA34E0">
        <w:trPr>
          <w:gridAfter w:val="1"/>
          <w:wAfter w:w="7" w:type="dxa"/>
          <w:cantSplit/>
        </w:trPr>
        <w:tc>
          <w:tcPr>
            <w:tcW w:w="1872" w:type="dxa"/>
          </w:tcPr>
          <w:p w14:paraId="5E981206" w14:textId="33FF57C0" w:rsidR="00172DD1" w:rsidRDefault="00172DD1" w:rsidP="00EA34E0">
            <w:pPr>
              <w:pStyle w:val="TableSideHeading"/>
            </w:pPr>
          </w:p>
        </w:tc>
        <w:tc>
          <w:tcPr>
            <w:tcW w:w="624" w:type="dxa"/>
          </w:tcPr>
          <w:p w14:paraId="0AF8655F" w14:textId="77777777" w:rsidR="00172DD1" w:rsidRDefault="00172DD1" w:rsidP="00EA34E0">
            <w:pPr>
              <w:pStyle w:val="TableText"/>
            </w:pPr>
          </w:p>
        </w:tc>
        <w:tc>
          <w:tcPr>
            <w:tcW w:w="7142" w:type="dxa"/>
            <w:gridSpan w:val="3"/>
          </w:tcPr>
          <w:p w14:paraId="7655A448" w14:textId="77777777" w:rsidR="00172DD1" w:rsidRDefault="00172DD1" w:rsidP="00EA34E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סעיף קטן (ד) – בטל.</w:t>
            </w:r>
          </w:p>
        </w:tc>
      </w:tr>
    </w:tbl>
    <w:p w14:paraId="1F019780" w14:textId="77777777" w:rsidR="000C19AD" w:rsidRDefault="000C19AD" w:rsidP="009D7516">
      <w:pPr>
        <w:pStyle w:val="HeadDivreiHesber"/>
        <w:spacing w:before="0" w:after="0"/>
        <w:rPr>
          <w:rtl/>
        </w:rPr>
      </w:pPr>
    </w:p>
    <w:p w14:paraId="727D746D" w14:textId="77777777" w:rsidR="009D7516" w:rsidRDefault="009D7516" w:rsidP="009D7516">
      <w:pPr>
        <w:pStyle w:val="HeadDivreiHesber"/>
        <w:spacing w:before="0" w:after="0"/>
        <w:rPr>
          <w:rtl/>
        </w:rPr>
      </w:pPr>
      <w:r>
        <w:rPr>
          <w:rFonts w:hint="cs"/>
          <w:rtl/>
        </w:rPr>
        <w:t>דברי הסבר</w:t>
      </w:r>
    </w:p>
    <w:p w14:paraId="08F81672" w14:textId="77777777" w:rsidR="000C19AD" w:rsidRDefault="000C19AD" w:rsidP="009D7516">
      <w:pPr>
        <w:pStyle w:val="HeadDivreiHesber"/>
        <w:spacing w:before="0" w:after="0"/>
        <w:rPr>
          <w:rtl/>
        </w:rPr>
      </w:pPr>
    </w:p>
    <w:p w14:paraId="422A17B9" w14:textId="611A0996" w:rsidR="001D2B19" w:rsidRPr="002B374A" w:rsidRDefault="001D2B19" w:rsidP="000C19AD">
      <w:pPr>
        <w:pStyle w:val="Hesber"/>
        <w:rPr>
          <w:rtl/>
        </w:rPr>
      </w:pPr>
      <w:r w:rsidRPr="002B374A">
        <w:rPr>
          <w:rFonts w:hint="eastAsia"/>
          <w:rtl/>
        </w:rPr>
        <w:t>חוק</w:t>
      </w:r>
      <w:r w:rsidRPr="002B374A">
        <w:rPr>
          <w:rtl/>
        </w:rPr>
        <w:t xml:space="preserve"> קליטת חיילים משוחררים, </w:t>
      </w:r>
      <w:proofErr w:type="spellStart"/>
      <w:r w:rsidRPr="002B374A">
        <w:rPr>
          <w:rFonts w:hint="eastAsia"/>
          <w:rtl/>
        </w:rPr>
        <w:t>התשנ</w:t>
      </w:r>
      <w:r w:rsidRPr="002B374A">
        <w:rPr>
          <w:rtl/>
        </w:rPr>
        <w:t>"ד</w:t>
      </w:r>
      <w:proofErr w:type="spellEnd"/>
      <w:r w:rsidRPr="002B374A">
        <w:rPr>
          <w:rFonts w:hint="eastAsia"/>
          <w:rtl/>
        </w:rPr>
        <w:t>–</w:t>
      </w:r>
      <w:r w:rsidR="000C19AD">
        <w:rPr>
          <w:rFonts w:hint="cs"/>
          <w:rtl/>
        </w:rPr>
        <w:t>1994</w:t>
      </w:r>
      <w:r w:rsidRPr="002B374A">
        <w:rPr>
          <w:rtl/>
        </w:rPr>
        <w:t xml:space="preserve"> (להלן – החוק), קובע שחייל משוחרר שסיים את שירותו הסדיר, </w:t>
      </w:r>
      <w:r w:rsidRPr="002B374A">
        <w:rPr>
          <w:rFonts w:hint="eastAsia"/>
          <w:rtl/>
        </w:rPr>
        <w:t>תפתח</w:t>
      </w:r>
      <w:r w:rsidRPr="002B374A">
        <w:rPr>
          <w:rtl/>
        </w:rPr>
        <w:t xml:space="preserve"> הקרן לקליטת החייל המשוחרר </w:t>
      </w:r>
      <w:r w:rsidRPr="002B374A">
        <w:rPr>
          <w:rFonts w:hint="eastAsia"/>
          <w:rtl/>
        </w:rPr>
        <w:t>פ</w:t>
      </w:r>
      <w:r>
        <w:rPr>
          <w:rFonts w:hint="cs"/>
          <w:rtl/>
        </w:rPr>
        <w:t>י</w:t>
      </w:r>
      <w:r w:rsidRPr="002B374A">
        <w:rPr>
          <w:rFonts w:hint="eastAsia"/>
          <w:rtl/>
        </w:rPr>
        <w:t>קדון</w:t>
      </w:r>
      <w:r w:rsidRPr="002B374A">
        <w:rPr>
          <w:rtl/>
        </w:rPr>
        <w:t xml:space="preserve"> על שמו. עוד קובע החוק שהשימוש </w:t>
      </w:r>
      <w:r w:rsidRPr="002B374A">
        <w:rPr>
          <w:rFonts w:hint="eastAsia"/>
          <w:rtl/>
        </w:rPr>
        <w:t>בפ</w:t>
      </w:r>
      <w:r>
        <w:rPr>
          <w:rFonts w:hint="cs"/>
          <w:rtl/>
        </w:rPr>
        <w:t>י</w:t>
      </w:r>
      <w:r w:rsidRPr="002B374A">
        <w:rPr>
          <w:rFonts w:hint="eastAsia"/>
          <w:rtl/>
        </w:rPr>
        <w:t>קדון</w:t>
      </w:r>
      <w:r w:rsidRPr="002B374A">
        <w:rPr>
          <w:rtl/>
        </w:rPr>
        <w:t xml:space="preserve"> ייעשה רק למטרות הקבועות בחוק בתקופת חמש השנים הראשונות שלאחר סיום השירות הסדיר של אותו חייל </w:t>
      </w:r>
      <w:r w:rsidRPr="002B374A">
        <w:rPr>
          <w:rFonts w:hint="eastAsia"/>
          <w:rtl/>
        </w:rPr>
        <w:t>כאמור</w:t>
      </w:r>
      <w:r w:rsidRPr="002B374A">
        <w:rPr>
          <w:rtl/>
        </w:rPr>
        <w:t xml:space="preserve">. בתום חמש השנים, זכאי החייל לקבל לידיו את </w:t>
      </w:r>
      <w:r w:rsidRPr="002B374A">
        <w:rPr>
          <w:rFonts w:hint="eastAsia"/>
          <w:rtl/>
        </w:rPr>
        <w:t>הפ</w:t>
      </w:r>
      <w:r>
        <w:rPr>
          <w:rFonts w:hint="cs"/>
          <w:rtl/>
        </w:rPr>
        <w:t>י</w:t>
      </w:r>
      <w:r w:rsidRPr="002B374A">
        <w:rPr>
          <w:rFonts w:hint="eastAsia"/>
          <w:rtl/>
        </w:rPr>
        <w:t>קדון</w:t>
      </w:r>
      <w:r w:rsidRPr="002B374A">
        <w:rPr>
          <w:rtl/>
        </w:rPr>
        <w:t xml:space="preserve">, </w:t>
      </w:r>
      <w:r w:rsidRPr="002B374A">
        <w:rPr>
          <w:rFonts w:hint="eastAsia"/>
          <w:rtl/>
        </w:rPr>
        <w:t>ובלבד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שהגיש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בקשה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לכך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בתוך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שנתיים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מתום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חמש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השנים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האמורות</w:t>
      </w:r>
      <w:r w:rsidRPr="002B374A">
        <w:rPr>
          <w:rtl/>
        </w:rPr>
        <w:t>.</w:t>
      </w:r>
    </w:p>
    <w:p w14:paraId="63DCDBE9" w14:textId="577CC5C3" w:rsidR="001D2B19" w:rsidRPr="002B374A" w:rsidRDefault="001D2B19" w:rsidP="001D2B19">
      <w:pPr>
        <w:pStyle w:val="Hesber"/>
        <w:rPr>
          <w:rtl/>
        </w:rPr>
      </w:pPr>
      <w:r w:rsidRPr="002B374A">
        <w:rPr>
          <w:rFonts w:hint="eastAsia"/>
          <w:rtl/>
        </w:rPr>
        <w:t>בתום</w:t>
      </w:r>
      <w:r w:rsidRPr="002B374A">
        <w:rPr>
          <w:rtl/>
        </w:rPr>
        <w:t xml:space="preserve"> שנתיים אלו, אם לא הגיש החייל המשוחרר בקשה לקבלת יתרת </w:t>
      </w:r>
      <w:r w:rsidRPr="002B374A">
        <w:rPr>
          <w:rFonts w:hint="eastAsia"/>
          <w:rtl/>
        </w:rPr>
        <w:t>הפ</w:t>
      </w:r>
      <w:r w:rsidR="00A647CD">
        <w:rPr>
          <w:rFonts w:hint="cs"/>
          <w:rtl/>
        </w:rPr>
        <w:t>י</w:t>
      </w:r>
      <w:r w:rsidRPr="002B374A">
        <w:rPr>
          <w:rFonts w:hint="eastAsia"/>
          <w:rtl/>
        </w:rPr>
        <w:t>קדון</w:t>
      </w:r>
      <w:r w:rsidRPr="002B374A">
        <w:rPr>
          <w:rtl/>
        </w:rPr>
        <w:t xml:space="preserve">, הוא אינו יכול לקבל עוד את כספי </w:t>
      </w:r>
      <w:r w:rsidRPr="002B374A">
        <w:rPr>
          <w:rFonts w:hint="eastAsia"/>
          <w:rtl/>
        </w:rPr>
        <w:t>הפ</w:t>
      </w:r>
      <w:r>
        <w:rPr>
          <w:rFonts w:hint="cs"/>
          <w:rtl/>
        </w:rPr>
        <w:t>י</w:t>
      </w:r>
      <w:r w:rsidRPr="002B374A">
        <w:rPr>
          <w:rFonts w:hint="eastAsia"/>
          <w:rtl/>
        </w:rPr>
        <w:t>קדון</w:t>
      </w:r>
      <w:r w:rsidRPr="002B374A">
        <w:rPr>
          <w:rtl/>
        </w:rPr>
        <w:t xml:space="preserve"> והם עוברים לקרן לסיוע נוסף. </w:t>
      </w:r>
    </w:p>
    <w:p w14:paraId="51E8663E" w14:textId="151CFC27" w:rsidR="009D7516" w:rsidRDefault="009D7516" w:rsidP="009D6E23">
      <w:pPr>
        <w:pStyle w:val="Hesber1st"/>
        <w:tabs>
          <w:tab w:val="clear" w:pos="680"/>
        </w:tabs>
        <w:rPr>
          <w:rtl/>
        </w:rPr>
      </w:pPr>
      <w:r>
        <w:rPr>
          <w:rFonts w:hint="cs"/>
          <w:rtl/>
        </w:rPr>
        <w:t xml:space="preserve">אין </w:t>
      </w:r>
      <w:r w:rsidR="001D2B19">
        <w:rPr>
          <w:rFonts w:hint="cs"/>
          <w:rtl/>
        </w:rPr>
        <w:t>סיבה</w:t>
      </w:r>
      <w:r>
        <w:rPr>
          <w:rFonts w:hint="cs"/>
          <w:rtl/>
        </w:rPr>
        <w:t xml:space="preserve"> שחייל ששרת ומילא חובתו כלפי המדינה וממשיך </w:t>
      </w:r>
      <w:r w:rsidR="001D2B19">
        <w:rPr>
          <w:rFonts w:hint="cs"/>
          <w:rtl/>
        </w:rPr>
        <w:t>להתייצב</w:t>
      </w:r>
      <w:r>
        <w:rPr>
          <w:rFonts w:hint="cs"/>
          <w:rtl/>
        </w:rPr>
        <w:t xml:space="preserve"> לש</w:t>
      </w:r>
      <w:r w:rsidR="001D2B19">
        <w:rPr>
          <w:rFonts w:hint="cs"/>
          <w:rtl/>
        </w:rPr>
        <w:t>י</w:t>
      </w:r>
      <w:r>
        <w:rPr>
          <w:rFonts w:hint="cs"/>
          <w:rtl/>
        </w:rPr>
        <w:t>רות מילואים</w:t>
      </w:r>
      <w:r w:rsidR="001D2B19">
        <w:rPr>
          <w:rFonts w:hint="cs"/>
          <w:rtl/>
        </w:rPr>
        <w:t xml:space="preserve"> פעיל</w:t>
      </w:r>
      <w:r>
        <w:rPr>
          <w:rFonts w:hint="cs"/>
          <w:rtl/>
        </w:rPr>
        <w:t xml:space="preserve">, </w:t>
      </w:r>
      <w:r w:rsidR="001D2B19" w:rsidRPr="002B374A">
        <w:rPr>
          <w:rFonts w:hint="eastAsia"/>
          <w:rtl/>
        </w:rPr>
        <w:t>לא</w:t>
      </w:r>
      <w:r w:rsidR="001D2B19" w:rsidRPr="002B374A">
        <w:rPr>
          <w:rtl/>
        </w:rPr>
        <w:t xml:space="preserve"> יוכל להמשיך ולהשתמש בכספי </w:t>
      </w:r>
      <w:r w:rsidR="001D2B19" w:rsidRPr="002B374A">
        <w:rPr>
          <w:rFonts w:hint="eastAsia"/>
          <w:rtl/>
        </w:rPr>
        <w:t>הפ</w:t>
      </w:r>
      <w:r w:rsidR="00A647CD">
        <w:rPr>
          <w:rFonts w:hint="cs"/>
          <w:rtl/>
        </w:rPr>
        <w:t>י</w:t>
      </w:r>
      <w:r w:rsidR="001D2B19" w:rsidRPr="002B374A">
        <w:rPr>
          <w:rFonts w:hint="eastAsia"/>
          <w:rtl/>
        </w:rPr>
        <w:t>קדון</w:t>
      </w:r>
      <w:r w:rsidR="001D2B19" w:rsidRPr="002B374A">
        <w:rPr>
          <w:rtl/>
        </w:rPr>
        <w:t xml:space="preserve"> גם בתום </w:t>
      </w:r>
      <w:r w:rsidR="001D2B19" w:rsidRPr="002B374A">
        <w:rPr>
          <w:rFonts w:hint="eastAsia"/>
          <w:rtl/>
        </w:rPr>
        <w:t>שבע</w:t>
      </w:r>
      <w:r w:rsidR="001D2B19" w:rsidRPr="002B374A">
        <w:rPr>
          <w:rtl/>
        </w:rPr>
        <w:t xml:space="preserve"> שנים משחרורו.</w:t>
      </w:r>
    </w:p>
    <w:p w14:paraId="5713A6A0" w14:textId="03A8232F" w:rsidR="00824292" w:rsidRPr="002B374A" w:rsidRDefault="00824292" w:rsidP="009D6E23">
      <w:pPr>
        <w:pStyle w:val="Hesber"/>
        <w:rPr>
          <w:rtl/>
        </w:rPr>
      </w:pPr>
      <w:r w:rsidRPr="002B374A">
        <w:rPr>
          <w:rFonts w:hint="eastAsia"/>
          <w:rtl/>
        </w:rPr>
        <w:t>לכן</w:t>
      </w:r>
      <w:r>
        <w:rPr>
          <w:rFonts w:hint="cs"/>
          <w:rtl/>
        </w:rPr>
        <w:t xml:space="preserve"> </w:t>
      </w:r>
      <w:r w:rsidRPr="002B374A">
        <w:rPr>
          <w:rFonts w:hint="eastAsia"/>
          <w:rtl/>
        </w:rPr>
        <w:t>מוצע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להאריך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את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התקופה</w:t>
      </w:r>
      <w:r w:rsidRPr="002B374A">
        <w:rPr>
          <w:rtl/>
        </w:rPr>
        <w:t xml:space="preserve"> שחייל משוחרר יוכל לקבל לידיו את כספי </w:t>
      </w:r>
      <w:r w:rsidRPr="002B374A">
        <w:rPr>
          <w:rFonts w:hint="eastAsia"/>
          <w:rtl/>
        </w:rPr>
        <w:t>הפ</w:t>
      </w:r>
      <w:r w:rsidR="00A647CD">
        <w:rPr>
          <w:rFonts w:hint="cs"/>
          <w:rtl/>
        </w:rPr>
        <w:t>י</w:t>
      </w:r>
      <w:r w:rsidRPr="002B374A">
        <w:rPr>
          <w:rFonts w:hint="eastAsia"/>
          <w:rtl/>
        </w:rPr>
        <w:t>קדון</w:t>
      </w:r>
      <w:r w:rsidRPr="002B374A">
        <w:rPr>
          <w:rtl/>
        </w:rPr>
        <w:t xml:space="preserve"> ולקבוע </w:t>
      </w:r>
      <w:r w:rsidRPr="002B374A">
        <w:rPr>
          <w:rFonts w:hint="eastAsia"/>
          <w:rtl/>
        </w:rPr>
        <w:t>שמתום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חמש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השנים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שלאחר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סיום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השירות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הסדיר</w:t>
      </w:r>
      <w:r w:rsidRPr="002B374A">
        <w:rPr>
          <w:rtl/>
        </w:rPr>
        <w:t xml:space="preserve"> ועד תום </w:t>
      </w:r>
      <w:r w:rsidRPr="002B374A">
        <w:rPr>
          <w:rFonts w:hint="eastAsia"/>
          <w:rtl/>
        </w:rPr>
        <w:t>חמש</w:t>
      </w:r>
      <w:r w:rsidRPr="002B374A">
        <w:rPr>
          <w:rtl/>
        </w:rPr>
        <w:t xml:space="preserve"> </w:t>
      </w:r>
      <w:r w:rsidRPr="002B374A">
        <w:rPr>
          <w:rFonts w:hint="eastAsia"/>
          <w:rtl/>
        </w:rPr>
        <w:t>עשרה</w:t>
      </w:r>
      <w:r w:rsidRPr="002B374A">
        <w:rPr>
          <w:rtl/>
        </w:rPr>
        <w:t xml:space="preserve"> שנים מיום סיום השירות כאמור, או עד השחרור משירות מילואים פעיל, לפי המאוחר, </w:t>
      </w:r>
      <w:r w:rsidRPr="002B374A">
        <w:rPr>
          <w:rFonts w:hint="eastAsia"/>
          <w:rtl/>
        </w:rPr>
        <w:t>יהיה</w:t>
      </w:r>
      <w:r w:rsidRPr="002B374A">
        <w:rPr>
          <w:rtl/>
        </w:rPr>
        <w:t xml:space="preserve"> החייל המשוחרר </w:t>
      </w:r>
      <w:r>
        <w:rPr>
          <w:rFonts w:hint="cs"/>
          <w:rtl/>
        </w:rPr>
        <w:t xml:space="preserve">זכאי </w:t>
      </w:r>
      <w:r w:rsidRPr="002B374A">
        <w:rPr>
          <w:rtl/>
        </w:rPr>
        <w:t xml:space="preserve">לקבל לידיו את כספי </w:t>
      </w:r>
      <w:r w:rsidRPr="002B374A">
        <w:rPr>
          <w:rFonts w:hint="eastAsia"/>
          <w:rtl/>
        </w:rPr>
        <w:t>הפ</w:t>
      </w:r>
      <w:r w:rsidR="00A647CD">
        <w:rPr>
          <w:rFonts w:hint="cs"/>
          <w:rtl/>
        </w:rPr>
        <w:t>י</w:t>
      </w:r>
      <w:r w:rsidRPr="002B374A">
        <w:rPr>
          <w:rFonts w:hint="eastAsia"/>
          <w:rtl/>
        </w:rPr>
        <w:t>קדון</w:t>
      </w:r>
      <w:r w:rsidRPr="002B374A">
        <w:rPr>
          <w:rtl/>
        </w:rPr>
        <w:t xml:space="preserve"> האמורים.</w:t>
      </w:r>
    </w:p>
    <w:p w14:paraId="27EC1F0B" w14:textId="7E4B1571" w:rsidR="00824292" w:rsidRDefault="00824292" w:rsidP="00824292">
      <w:pPr>
        <w:pStyle w:val="Hesber"/>
        <w:rPr>
          <w:rtl/>
        </w:rPr>
      </w:pPr>
      <w:r w:rsidRPr="002B374A">
        <w:rPr>
          <w:rFonts w:hint="eastAsia"/>
          <w:rtl/>
        </w:rPr>
        <w:t>עוד</w:t>
      </w:r>
      <w:r w:rsidRPr="002B374A">
        <w:rPr>
          <w:rtl/>
        </w:rPr>
        <w:t xml:space="preserve"> מוצע שמנהל המחלקה לשירותים חברתיים של הרשות המקומית שבה מתגורר החייל המשוחרר  יהיה רשאי לאשר לחייל </w:t>
      </w:r>
      <w:r w:rsidRPr="002B374A">
        <w:rPr>
          <w:rFonts w:hint="eastAsia"/>
          <w:rtl/>
        </w:rPr>
        <w:t>משוחרר</w:t>
      </w:r>
      <w:r w:rsidRPr="002B374A">
        <w:rPr>
          <w:rtl/>
        </w:rPr>
        <w:t xml:space="preserve"> לקבל את הפיקדון לידיו</w:t>
      </w:r>
      <w:r>
        <w:rPr>
          <w:rFonts w:hint="cs"/>
          <w:rtl/>
        </w:rPr>
        <w:t>,</w:t>
      </w:r>
      <w:r w:rsidRPr="002B374A">
        <w:rPr>
          <w:rtl/>
        </w:rPr>
        <w:t xml:space="preserve"> לצ</w:t>
      </w:r>
      <w:r>
        <w:rPr>
          <w:rFonts w:hint="cs"/>
          <w:rtl/>
        </w:rPr>
        <w:t>ו</w:t>
      </w:r>
      <w:r w:rsidRPr="002B374A">
        <w:rPr>
          <w:rtl/>
        </w:rPr>
        <w:t>רכי רווחה שלו או של משפחתו מדרגת קרבה ראשונה</w:t>
      </w:r>
      <w:r>
        <w:rPr>
          <w:rFonts w:hint="cs"/>
          <w:rtl/>
        </w:rPr>
        <w:t>,</w:t>
      </w:r>
      <w:r w:rsidRPr="002B374A">
        <w:rPr>
          <w:rtl/>
        </w:rPr>
        <w:t xml:space="preserve"> גם במהלך חמש השנים הראשונות שלאחר סיום השירות הסדיר של אותו חייל.</w:t>
      </w:r>
    </w:p>
    <w:p w14:paraId="31BA4129" w14:textId="3F1106C8" w:rsidR="005F5293" w:rsidRDefault="005F5293" w:rsidP="00824292">
      <w:pPr>
        <w:pStyle w:val="Hesber"/>
        <w:rPr>
          <w:rtl/>
        </w:rPr>
      </w:pPr>
      <w:r>
        <w:rPr>
          <w:rFonts w:hint="cs"/>
          <w:rtl/>
        </w:rPr>
        <w:t>הצעת חוק זהה הונחה על שולחן הכנסת התשע-עשרה על ידי חבר הכנסת מרדכי יוגב וקבוצת חברי הכנסת (פ/2544/19).</w:t>
      </w:r>
    </w:p>
    <w:p w14:paraId="08364B03" w14:textId="50485967" w:rsidR="00433272" w:rsidRDefault="00433272" w:rsidP="009D7516">
      <w:pPr>
        <w:pStyle w:val="HeadDivreiHesber"/>
        <w:spacing w:before="0" w:after="0" w:line="240" w:lineRule="auto"/>
        <w:rPr>
          <w:rtl/>
        </w:rPr>
      </w:pPr>
    </w:p>
    <w:p w14:paraId="0FE9212C" w14:textId="77777777" w:rsidR="00433272" w:rsidRDefault="00433272" w:rsidP="009D7516">
      <w:pPr>
        <w:pStyle w:val="HeadDivreiHesber"/>
        <w:spacing w:before="0" w:after="0" w:line="240" w:lineRule="auto"/>
        <w:rPr>
          <w:rtl/>
        </w:rPr>
      </w:pPr>
    </w:p>
    <w:p w14:paraId="7DAA5CE9" w14:textId="77777777" w:rsidR="00433272" w:rsidRDefault="00433272" w:rsidP="009D7516">
      <w:pPr>
        <w:pStyle w:val="HeadDivreiHesber"/>
        <w:spacing w:before="0" w:after="0" w:line="240" w:lineRule="auto"/>
        <w:rPr>
          <w:rtl/>
        </w:rPr>
      </w:pPr>
    </w:p>
    <w:p w14:paraId="63D17B95" w14:textId="77777777" w:rsidR="00433272" w:rsidRPr="0022704F" w:rsidRDefault="00433272" w:rsidP="00433272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767EEE80" w14:textId="77777777" w:rsidR="00433272" w:rsidRPr="0022704F" w:rsidRDefault="00433272" w:rsidP="00433272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7E908980" w14:textId="77777777" w:rsidR="00433272" w:rsidRPr="0022704F" w:rsidRDefault="00433272" w:rsidP="00433272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09F7EE03" w14:textId="77777777" w:rsidR="00433272" w:rsidRPr="00935520" w:rsidRDefault="00433272" w:rsidP="00433272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כ"ט באייר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התשע"ה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18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5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07729BF8" w14:textId="77777777" w:rsidR="00433272" w:rsidRPr="00E635D3" w:rsidRDefault="00433272" w:rsidP="00433272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52D63962" w14:textId="77777777" w:rsidR="00433272" w:rsidRPr="00BE2391" w:rsidRDefault="00433272" w:rsidP="00433272">
      <w:pPr>
        <w:spacing w:line="360" w:lineRule="auto"/>
      </w:pPr>
    </w:p>
    <w:p w14:paraId="7366F816" w14:textId="77777777" w:rsidR="00433272" w:rsidRDefault="00433272" w:rsidP="009D7516">
      <w:pPr>
        <w:pStyle w:val="HeadDivreiHesber"/>
        <w:spacing w:before="0" w:after="0" w:line="240" w:lineRule="auto"/>
        <w:rPr>
          <w:rtl/>
        </w:rPr>
      </w:pPr>
    </w:p>
    <w:sectPr w:rsidR="00433272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414BE8" w14:textId="77777777" w:rsidR="00A806BF" w:rsidRDefault="00A806BF">
      <w:r>
        <w:separator/>
      </w:r>
    </w:p>
  </w:endnote>
  <w:endnote w:type="continuationSeparator" w:id="0">
    <w:p w14:paraId="4C205EA0" w14:textId="77777777" w:rsidR="00A806BF" w:rsidRDefault="00A80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1166A8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46ECF" w14:textId="77777777" w:rsidR="00A806BF" w:rsidRDefault="00A806BF">
      <w:r>
        <w:separator/>
      </w:r>
    </w:p>
  </w:footnote>
  <w:footnote w:type="continuationSeparator" w:id="0">
    <w:p w14:paraId="5C76B48F" w14:textId="77777777" w:rsidR="00A806BF" w:rsidRDefault="00A806BF">
      <w:r>
        <w:continuationSeparator/>
      </w:r>
    </w:p>
  </w:footnote>
  <w:footnote w:type="continuationNotice" w:id="1">
    <w:p w14:paraId="19FA5F9C" w14:textId="77777777" w:rsidR="00A806BF" w:rsidRDefault="00A806BF"/>
  </w:footnote>
  <w:footnote w:id="2">
    <w:p w14:paraId="1E45A6C1" w14:textId="77777777" w:rsidR="009D7516" w:rsidRDefault="009D7516" w:rsidP="009D7516">
      <w:pPr>
        <w:pStyle w:val="a4"/>
        <w:rPr>
          <w:rtl/>
        </w:rPr>
      </w:pPr>
      <w:r>
        <w:rPr>
          <w:rStyle w:val="a6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התשנ"ד</w:t>
      </w:r>
      <w:proofErr w:type="spellEnd"/>
      <w:r>
        <w:rPr>
          <w:rFonts w:hint="cs"/>
          <w:rtl/>
        </w:rPr>
        <w:t>, עמ' 132.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7681A"/>
    <w:rsid w:val="000A542E"/>
    <w:rsid w:val="000C19AD"/>
    <w:rsid w:val="00102B6B"/>
    <w:rsid w:val="001052D4"/>
    <w:rsid w:val="0010644B"/>
    <w:rsid w:val="001166A8"/>
    <w:rsid w:val="001207F8"/>
    <w:rsid w:val="00121924"/>
    <w:rsid w:val="001279A8"/>
    <w:rsid w:val="0014195F"/>
    <w:rsid w:val="00152609"/>
    <w:rsid w:val="00153E1B"/>
    <w:rsid w:val="00172DD1"/>
    <w:rsid w:val="001A0623"/>
    <w:rsid w:val="001C23B0"/>
    <w:rsid w:val="001D2B19"/>
    <w:rsid w:val="00203A7F"/>
    <w:rsid w:val="002200A1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C2E29"/>
    <w:rsid w:val="002D1EE3"/>
    <w:rsid w:val="002F1D80"/>
    <w:rsid w:val="003232A2"/>
    <w:rsid w:val="00325C14"/>
    <w:rsid w:val="003710F6"/>
    <w:rsid w:val="00386E88"/>
    <w:rsid w:val="00396585"/>
    <w:rsid w:val="003D74A0"/>
    <w:rsid w:val="004033D8"/>
    <w:rsid w:val="004073F0"/>
    <w:rsid w:val="00412A7D"/>
    <w:rsid w:val="00416B4D"/>
    <w:rsid w:val="00417CFC"/>
    <w:rsid w:val="00433272"/>
    <w:rsid w:val="004B24ED"/>
    <w:rsid w:val="004D2D82"/>
    <w:rsid w:val="004D3876"/>
    <w:rsid w:val="004E4552"/>
    <w:rsid w:val="00553C9D"/>
    <w:rsid w:val="00562A66"/>
    <w:rsid w:val="005B064E"/>
    <w:rsid w:val="005D51AE"/>
    <w:rsid w:val="005F5293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47BF6"/>
    <w:rsid w:val="00763CAA"/>
    <w:rsid w:val="00765F66"/>
    <w:rsid w:val="007C3FA6"/>
    <w:rsid w:val="007D585A"/>
    <w:rsid w:val="007D5A12"/>
    <w:rsid w:val="007E59F9"/>
    <w:rsid w:val="00810BCD"/>
    <w:rsid w:val="00812C98"/>
    <w:rsid w:val="00814D92"/>
    <w:rsid w:val="00824292"/>
    <w:rsid w:val="0083181D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2C35"/>
    <w:rsid w:val="008F6665"/>
    <w:rsid w:val="0091204F"/>
    <w:rsid w:val="009203DB"/>
    <w:rsid w:val="00923CD4"/>
    <w:rsid w:val="00943386"/>
    <w:rsid w:val="009456B6"/>
    <w:rsid w:val="00957589"/>
    <w:rsid w:val="00966D06"/>
    <w:rsid w:val="00982412"/>
    <w:rsid w:val="00983A8D"/>
    <w:rsid w:val="009A7257"/>
    <w:rsid w:val="009D6E0A"/>
    <w:rsid w:val="009D6E23"/>
    <w:rsid w:val="009D7516"/>
    <w:rsid w:val="00A14672"/>
    <w:rsid w:val="00A26BD6"/>
    <w:rsid w:val="00A443CF"/>
    <w:rsid w:val="00A647CD"/>
    <w:rsid w:val="00A6611D"/>
    <w:rsid w:val="00A806BF"/>
    <w:rsid w:val="00A82CB7"/>
    <w:rsid w:val="00AA2F03"/>
    <w:rsid w:val="00AC36F7"/>
    <w:rsid w:val="00AC63A4"/>
    <w:rsid w:val="00AD239E"/>
    <w:rsid w:val="00B051EB"/>
    <w:rsid w:val="00B10265"/>
    <w:rsid w:val="00B21211"/>
    <w:rsid w:val="00B35784"/>
    <w:rsid w:val="00B5634B"/>
    <w:rsid w:val="00B733A7"/>
    <w:rsid w:val="00B975AD"/>
    <w:rsid w:val="00BC45FB"/>
    <w:rsid w:val="00BF148D"/>
    <w:rsid w:val="00C23B1A"/>
    <w:rsid w:val="00C310EB"/>
    <w:rsid w:val="00C9176A"/>
    <w:rsid w:val="00CF1AA2"/>
    <w:rsid w:val="00D63620"/>
    <w:rsid w:val="00D8410D"/>
    <w:rsid w:val="00D867D7"/>
    <w:rsid w:val="00DB7060"/>
    <w:rsid w:val="00DE3153"/>
    <w:rsid w:val="00E06736"/>
    <w:rsid w:val="00E13C27"/>
    <w:rsid w:val="00E33BBD"/>
    <w:rsid w:val="00E45103"/>
    <w:rsid w:val="00E665B9"/>
    <w:rsid w:val="00EA01E6"/>
    <w:rsid w:val="00EA3DE8"/>
    <w:rsid w:val="00EA758F"/>
    <w:rsid w:val="00ED4A6F"/>
    <w:rsid w:val="00EF3A3A"/>
    <w:rsid w:val="00F628D6"/>
    <w:rsid w:val="00F67051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B28C5B02-991C-45E4-ACF8-080A78C20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9D7516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8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7819-1810-4CE7-8D12-4379D6F37944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A9B8B01-09EF-4C21-98BE-6EC6FB05C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1965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2015-05-12T06:53:00Z</cp:lastPrinted>
  <dcterms:created xsi:type="dcterms:W3CDTF">2017-05-16T11:59:00Z</dcterms:created>
  <dcterms:modified xsi:type="dcterms:W3CDTF">2017-05-16T11:59:00Z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88</vt:r8>
  </property>
  <property fmtid="{D5CDD505-2E9C-101B-9397-08002B2CF9AE}" pid="5" name="SanhedrinItemID">
    <vt:r8>2017203</vt:r8>
  </property>
</Properties>
</file>