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2012753</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יוזמת:</w:t>
      </w:r>
      <w:r>
        <w:tab/>
      </w:r>
      <w:r>
        <w:rPr>
          <w:b/>
          <w:bCs/>
          <w:rtl/>
        </w:rPr>
        <w:t xml:space="preserve">      חברת הכנסת</w:t>
      </w:r>
      <w:bookmarkEnd w:id="3"/>
      <w:r w:rsidR="00B35784" w:rsidRPr="00F67051">
        <w:rPr>
          <w:b/>
          <w:bCs/>
        </w:rPr>
        <w:tab/>
      </w:r>
      <w:bookmarkStart w:id="4" w:name="LGS_PM_Names"/>
      <w:r>
        <w:rPr>
          <w:rFonts w:hint="cs"/>
          <w:b/>
          <w:bCs/>
          <w:rtl/>
        </w:rPr>
        <w:t>סתיו שפיר</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C" w14:textId="67397CD0" w:rsidR="00E13C27" w:rsidRDefault="00904591" w:rsidP="00BB1FFD">
      <w:pPr>
        <w:pStyle w:val="David"/>
        <w:spacing w:before="0" w:line="240" w:lineRule="auto"/>
        <w:ind w:left="3544"/>
        <w:rPr>
          <w:rtl/>
        </w:rPr>
      </w:pPr>
      <w:r>
        <w:t xml:space="preserve">                                            </w:t>
      </w:r>
      <w:r w:rsidR="008F1308">
        <w:t xml:space="preserve"> </w:t>
      </w:r>
      <w:bookmarkStart w:id="7" w:name="Private_Number"/>
      <w:r>
        <w:rPr>
          <w:rFonts w:hint="cs"/>
          <w:rtl/>
        </w:rPr>
        <w:t>פ/3814/20</w:t>
      </w:r>
      <w:bookmarkEnd w:id="7"/>
    </w:p>
    <w:p w14:paraId="7F6961AD" w14:textId="4E982D8A" w:rsidR="00E13C27" w:rsidRPr="00F67051" w:rsidRDefault="00A443CF" w:rsidP="004F7707">
      <w:pPr>
        <w:pStyle w:val="HeadHatzaotHok"/>
        <w:rPr>
          <w:rtl/>
        </w:rPr>
      </w:pPr>
      <w:bookmarkStart w:id="8" w:name="LGS_Subject"/>
      <w:r>
        <w:rPr>
          <w:rFonts w:hint="cs"/>
          <w:rtl/>
        </w:rPr>
        <w:t xml:space="preserve">הצעת חוק קליטת חיילים משוחררים (תיקון – הבטחת מימוש כספי הפיקדון על ידי חיילים משוחררים), </w:t>
      </w:r>
      <w:proofErr w:type="spellStart"/>
      <w:r>
        <w:rPr>
          <w:rFonts w:hint="cs"/>
          <w:rtl/>
        </w:rPr>
        <w:t>התשע"ז</w:t>
      </w:r>
      <w:proofErr w:type="spellEnd"/>
      <w:r w:rsidR="004F7707">
        <w:rPr>
          <w:rFonts w:hint="eastAsia"/>
          <w:rtl/>
        </w:rPr>
        <w:t>–</w:t>
      </w:r>
      <w:r>
        <w:rPr>
          <w:rFonts w:hint="cs"/>
          <w:rtl/>
        </w:rPr>
        <w:t>2017</w:t>
      </w:r>
      <w:bookmarkEnd w:id="8"/>
    </w:p>
    <w:p w14:paraId="7F6961AE" w14:textId="77777777" w:rsidR="00E13C27" w:rsidRDefault="00E13C27" w:rsidP="0021633A">
      <w:pPr>
        <w:pStyle w:val="HeadDivreiHesber"/>
        <w:spacing w:before="0" w:after="0"/>
        <w:rPr>
          <w:rtl/>
        </w:rPr>
      </w:pPr>
    </w:p>
    <w:tbl>
      <w:tblPr>
        <w:tblStyle w:val="ad"/>
        <w:bidiVisual/>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BB1FFD" w:rsidRPr="005A58F4" w14:paraId="479CC442" w14:textId="77777777" w:rsidTr="00D840D8">
        <w:trPr>
          <w:cantSplit/>
        </w:trPr>
        <w:tc>
          <w:tcPr>
            <w:tcW w:w="1871" w:type="dxa"/>
          </w:tcPr>
          <w:p w14:paraId="5262B872" w14:textId="77777777" w:rsidR="00BB1FFD" w:rsidRDefault="00BB1FFD" w:rsidP="00C419BF">
            <w:pPr>
              <w:pStyle w:val="TableSideHeading"/>
              <w:rPr>
                <w:sz w:val="26"/>
                <w:rtl/>
              </w:rPr>
            </w:pPr>
            <w:r>
              <w:rPr>
                <w:rFonts w:hint="cs"/>
                <w:sz w:val="26"/>
                <w:rtl/>
              </w:rPr>
              <w:t>תיקון סעיף 19</w:t>
            </w:r>
          </w:p>
        </w:tc>
        <w:tc>
          <w:tcPr>
            <w:tcW w:w="624" w:type="dxa"/>
          </w:tcPr>
          <w:p w14:paraId="304AD1BF" w14:textId="77777777" w:rsidR="00BB1FFD" w:rsidRDefault="00BB1FFD" w:rsidP="00C419BF">
            <w:pPr>
              <w:pStyle w:val="TableText"/>
              <w:rPr>
                <w:sz w:val="26"/>
                <w:rtl/>
              </w:rPr>
            </w:pPr>
            <w:r>
              <w:rPr>
                <w:rFonts w:hint="cs"/>
                <w:sz w:val="26"/>
                <w:rtl/>
              </w:rPr>
              <w:t>1.</w:t>
            </w:r>
          </w:p>
        </w:tc>
        <w:tc>
          <w:tcPr>
            <w:tcW w:w="7143" w:type="dxa"/>
            <w:gridSpan w:val="2"/>
          </w:tcPr>
          <w:p w14:paraId="32A6E49A" w14:textId="052BDC79" w:rsidR="00BB1FFD" w:rsidRDefault="009674EA" w:rsidP="009674EA">
            <w:pPr>
              <w:pStyle w:val="TableBlock"/>
              <w:rPr>
                <w:sz w:val="26"/>
                <w:rtl/>
              </w:rPr>
            </w:pPr>
            <w:r>
              <w:rPr>
                <w:rFonts w:hint="cs"/>
                <w:sz w:val="26"/>
                <w:rtl/>
              </w:rPr>
              <w:t xml:space="preserve">בחוק </w:t>
            </w:r>
            <w:r w:rsidR="00BB1FFD" w:rsidRPr="00497BBD">
              <w:rPr>
                <w:sz w:val="26"/>
                <w:rtl/>
              </w:rPr>
              <w:t xml:space="preserve">קליטת חיילים משוחררים, </w:t>
            </w:r>
            <w:proofErr w:type="spellStart"/>
            <w:r>
              <w:rPr>
                <w:rFonts w:hint="cs"/>
                <w:sz w:val="26"/>
                <w:rtl/>
              </w:rPr>
              <w:t>ה</w:t>
            </w:r>
            <w:r w:rsidR="00BB1FFD" w:rsidRPr="00497BBD">
              <w:rPr>
                <w:sz w:val="26"/>
                <w:rtl/>
              </w:rPr>
              <w:t>תשנ"ד</w:t>
            </w:r>
            <w:proofErr w:type="spellEnd"/>
            <w:r>
              <w:rPr>
                <w:rFonts w:hint="cs"/>
                <w:sz w:val="26"/>
                <w:rtl/>
              </w:rPr>
              <w:t>–</w:t>
            </w:r>
            <w:r w:rsidR="00BB1FFD" w:rsidRPr="00497BBD">
              <w:rPr>
                <w:sz w:val="26"/>
                <w:rtl/>
              </w:rPr>
              <w:t>1994</w:t>
            </w:r>
            <w:r>
              <w:rPr>
                <w:rStyle w:val="a5"/>
                <w:sz w:val="26"/>
                <w:rtl/>
              </w:rPr>
              <w:footnoteReference w:id="2"/>
            </w:r>
            <w:r>
              <w:rPr>
                <w:rFonts w:hint="cs"/>
                <w:sz w:val="26"/>
                <w:rtl/>
              </w:rPr>
              <w:t>, בסעיף 19</w:t>
            </w:r>
            <w:r w:rsidR="00BB1FFD" w:rsidRPr="00497BBD">
              <w:rPr>
                <w:sz w:val="26"/>
                <w:rtl/>
              </w:rPr>
              <w:t xml:space="preserve"> </w:t>
            </w:r>
            <w:r w:rsidR="00BB1FFD">
              <w:rPr>
                <w:rFonts w:hint="cs"/>
                <w:sz w:val="26"/>
                <w:rtl/>
              </w:rPr>
              <w:t xml:space="preserve"> </w:t>
            </w:r>
            <w:r w:rsidR="00BB1FFD">
              <w:rPr>
                <w:sz w:val="26"/>
                <w:rtl/>
              </w:rPr>
              <w:t>–</w:t>
            </w:r>
            <w:r w:rsidR="00D840D8">
              <w:rPr>
                <w:sz w:val="26"/>
                <w:rtl/>
              </w:rPr>
              <w:t xml:space="preserve"> </w:t>
            </w:r>
          </w:p>
        </w:tc>
      </w:tr>
      <w:tr w:rsidR="00D840D8" w:rsidRPr="005A58F4" w14:paraId="0D5B52DA" w14:textId="77777777" w:rsidTr="00E523F9">
        <w:trPr>
          <w:cantSplit/>
        </w:trPr>
        <w:tc>
          <w:tcPr>
            <w:tcW w:w="1871" w:type="dxa"/>
          </w:tcPr>
          <w:p w14:paraId="2521DE7A" w14:textId="77777777" w:rsidR="00D840D8" w:rsidRPr="002F1FB1" w:rsidRDefault="00D840D8" w:rsidP="00C419BF">
            <w:pPr>
              <w:pStyle w:val="TableSideHeading"/>
              <w:rPr>
                <w:sz w:val="26"/>
                <w:rtl/>
              </w:rPr>
            </w:pPr>
          </w:p>
        </w:tc>
        <w:tc>
          <w:tcPr>
            <w:tcW w:w="624" w:type="dxa"/>
          </w:tcPr>
          <w:p w14:paraId="1F60B97A" w14:textId="77777777" w:rsidR="00D840D8" w:rsidRDefault="00D840D8" w:rsidP="00C419BF">
            <w:pPr>
              <w:pStyle w:val="TableText"/>
              <w:rPr>
                <w:sz w:val="26"/>
                <w:rtl/>
              </w:rPr>
            </w:pPr>
          </w:p>
        </w:tc>
        <w:tc>
          <w:tcPr>
            <w:tcW w:w="7143" w:type="dxa"/>
            <w:gridSpan w:val="2"/>
          </w:tcPr>
          <w:p w14:paraId="6ECEC4A8" w14:textId="4D82E71F" w:rsidR="00D840D8" w:rsidRPr="00D840D8" w:rsidRDefault="00D840D8" w:rsidP="009674EA">
            <w:pPr>
              <w:pStyle w:val="TableText"/>
              <w:ind w:right="0"/>
              <w:jc w:val="both"/>
              <w:rPr>
                <w:rtl/>
              </w:rPr>
            </w:pPr>
            <w:r>
              <w:rPr>
                <w:rFonts w:hint="cs"/>
                <w:rtl/>
              </w:rPr>
              <w:t>(</w:t>
            </w:r>
            <w:r w:rsidR="009674EA">
              <w:rPr>
                <w:rFonts w:hint="cs"/>
                <w:rtl/>
              </w:rPr>
              <w:t>1</w:t>
            </w:r>
            <w:r>
              <w:rPr>
                <w:rFonts w:hint="cs"/>
                <w:rtl/>
              </w:rPr>
              <w:t>)</w:t>
            </w:r>
            <w:r>
              <w:rPr>
                <w:rtl/>
              </w:rPr>
              <w:tab/>
            </w:r>
            <w:r w:rsidRPr="00465AC0">
              <w:rPr>
                <w:sz w:val="26"/>
                <w:rtl/>
              </w:rPr>
              <w:t>בסעיף קטן (ב), במקום פסקה (1) יבוא</w:t>
            </w:r>
            <w:r w:rsidR="00B354FA">
              <w:rPr>
                <w:rFonts w:hint="cs"/>
                <w:sz w:val="26"/>
                <w:rtl/>
              </w:rPr>
              <w:t>:</w:t>
            </w:r>
          </w:p>
        </w:tc>
      </w:tr>
      <w:tr w:rsidR="00BB1FFD" w:rsidRPr="005A58F4" w14:paraId="05C26C5C" w14:textId="77777777" w:rsidTr="00D840D8">
        <w:trPr>
          <w:cantSplit/>
        </w:trPr>
        <w:tc>
          <w:tcPr>
            <w:tcW w:w="1871" w:type="dxa"/>
          </w:tcPr>
          <w:p w14:paraId="03862561" w14:textId="77777777" w:rsidR="00BB1FFD" w:rsidRPr="002F1FB1" w:rsidRDefault="00BB1FFD" w:rsidP="00C419BF">
            <w:pPr>
              <w:pStyle w:val="TableSideHeading"/>
              <w:rPr>
                <w:sz w:val="26"/>
                <w:rtl/>
              </w:rPr>
            </w:pPr>
          </w:p>
        </w:tc>
        <w:tc>
          <w:tcPr>
            <w:tcW w:w="624" w:type="dxa"/>
          </w:tcPr>
          <w:p w14:paraId="4C54A5D9" w14:textId="77777777" w:rsidR="00BB1FFD" w:rsidRDefault="00BB1FFD" w:rsidP="00C419BF">
            <w:pPr>
              <w:pStyle w:val="TableText"/>
              <w:rPr>
                <w:sz w:val="26"/>
                <w:rtl/>
              </w:rPr>
            </w:pPr>
          </w:p>
        </w:tc>
        <w:tc>
          <w:tcPr>
            <w:tcW w:w="624" w:type="dxa"/>
          </w:tcPr>
          <w:p w14:paraId="666B44BB" w14:textId="77777777" w:rsidR="00BB1FFD" w:rsidRPr="00D840D8" w:rsidRDefault="00BB1FFD" w:rsidP="00D840D8">
            <w:pPr>
              <w:pStyle w:val="TableText"/>
              <w:ind w:right="0"/>
              <w:jc w:val="both"/>
              <w:rPr>
                <w:rtl/>
              </w:rPr>
            </w:pPr>
          </w:p>
        </w:tc>
        <w:tc>
          <w:tcPr>
            <w:tcW w:w="6519" w:type="dxa"/>
          </w:tcPr>
          <w:p w14:paraId="6313B2E2" w14:textId="1B344E36" w:rsidR="00BB1FFD" w:rsidRDefault="00BB1FFD" w:rsidP="004F7707">
            <w:pPr>
              <w:pStyle w:val="TableBlock"/>
              <w:rPr>
                <w:sz w:val="26"/>
                <w:rtl/>
              </w:rPr>
            </w:pPr>
            <w:r>
              <w:rPr>
                <w:rFonts w:hint="cs"/>
                <w:rtl/>
              </w:rPr>
              <w:t xml:space="preserve">"(1) </w:t>
            </w:r>
            <w:r w:rsidRPr="00385855">
              <w:rPr>
                <w:rtl/>
              </w:rPr>
              <w:t>נ</w:t>
            </w:r>
            <w:r w:rsidRPr="00385855">
              <w:rPr>
                <w:rFonts w:hint="cs"/>
                <w:rtl/>
              </w:rPr>
              <w:t>ותרה יתרת פיקדון בתום חמש השנים האמורות בסעיף קטן (א), תעביר הקרן את יתרת הפ</w:t>
            </w:r>
            <w:r>
              <w:rPr>
                <w:rFonts w:hint="cs"/>
                <w:rtl/>
              </w:rPr>
              <w:t>י</w:t>
            </w:r>
            <w:r w:rsidRPr="00385855">
              <w:rPr>
                <w:rFonts w:hint="cs"/>
                <w:rtl/>
              </w:rPr>
              <w:t>קדון לחשבו</w:t>
            </w:r>
            <w:r>
              <w:rPr>
                <w:rFonts w:hint="cs"/>
                <w:rtl/>
              </w:rPr>
              <w:t>ן הבנק</w:t>
            </w:r>
            <w:r w:rsidRPr="00385855">
              <w:rPr>
                <w:rFonts w:hint="cs"/>
                <w:rtl/>
              </w:rPr>
              <w:t xml:space="preserve"> של החייל המשוחרר תוך 60 </w:t>
            </w:r>
            <w:r w:rsidR="004F7707">
              <w:rPr>
                <w:rFonts w:hint="cs"/>
                <w:rtl/>
              </w:rPr>
              <w:t xml:space="preserve">ימים </w:t>
            </w:r>
            <w:r>
              <w:rPr>
                <w:rFonts w:hint="cs"/>
                <w:rtl/>
              </w:rPr>
              <w:t>ותיידעו בדבר העברה זו</w:t>
            </w:r>
            <w:r w:rsidR="00B354FA">
              <w:rPr>
                <w:rFonts w:hint="cs"/>
                <w:rtl/>
              </w:rPr>
              <w:t>;</w:t>
            </w:r>
            <w:r w:rsidRPr="00385855">
              <w:rPr>
                <w:rFonts w:hint="cs"/>
                <w:rtl/>
              </w:rPr>
              <w:t xml:space="preserve"> </w:t>
            </w:r>
            <w:r w:rsidRPr="00707EDC">
              <w:rPr>
                <w:rtl/>
              </w:rPr>
              <w:t>לא איתרה הקרן את חשבון החייל המשוחרר</w:t>
            </w:r>
            <w:r>
              <w:rPr>
                <w:rtl/>
              </w:rPr>
              <w:t>, תפנה הקרן לחייל המשוחרר</w:t>
            </w:r>
            <w:r>
              <w:rPr>
                <w:rFonts w:hint="cs"/>
                <w:rtl/>
              </w:rPr>
              <w:t xml:space="preserve">, </w:t>
            </w:r>
            <w:r w:rsidRPr="00707EDC">
              <w:rPr>
                <w:rtl/>
              </w:rPr>
              <w:t xml:space="preserve">ותודיעו בכל דרך שתמצא לנכון כי יתרת הפיקדון תועבר לקרן לסיוע נוסף בתוך </w:t>
            </w:r>
            <w:r w:rsidR="00B354FA">
              <w:rPr>
                <w:rFonts w:hint="cs"/>
                <w:rtl/>
              </w:rPr>
              <w:t xml:space="preserve">תקופה שתצוין בפנייה, </w:t>
            </w:r>
            <w:r>
              <w:rPr>
                <w:rFonts w:hint="cs"/>
                <w:rtl/>
              </w:rPr>
              <w:t>אם לא יגיש החייל המשוחרר בקשה מטעמו</w:t>
            </w:r>
            <w:r w:rsidR="00C80CBE">
              <w:rPr>
                <w:rFonts w:hint="cs"/>
                <w:rtl/>
              </w:rPr>
              <w:t xml:space="preserve"> להעברה לחשבון שעליו יודיע החייל המשוחרר, בתוך תקופה שתנקוב הקרן בהודעה</w:t>
            </w:r>
            <w:r w:rsidR="00B354FA">
              <w:rPr>
                <w:rFonts w:hint="cs"/>
                <w:rtl/>
              </w:rPr>
              <w:t>.</w:t>
            </w:r>
            <w:r w:rsidR="004F7707">
              <w:rPr>
                <w:rFonts w:hint="cs"/>
                <w:rtl/>
              </w:rPr>
              <w:t>"</w:t>
            </w:r>
          </w:p>
        </w:tc>
      </w:tr>
      <w:tr w:rsidR="00B354FA" w:rsidRPr="005A58F4" w14:paraId="0491F11E" w14:textId="77777777" w:rsidTr="00B11DCE">
        <w:trPr>
          <w:cantSplit/>
        </w:trPr>
        <w:tc>
          <w:tcPr>
            <w:tcW w:w="1871" w:type="dxa"/>
          </w:tcPr>
          <w:p w14:paraId="0EC3BA40" w14:textId="77777777" w:rsidR="00B354FA" w:rsidRPr="002F1FB1" w:rsidRDefault="00B354FA" w:rsidP="00C419BF">
            <w:pPr>
              <w:pStyle w:val="TableSideHeading"/>
              <w:rPr>
                <w:sz w:val="26"/>
                <w:rtl/>
              </w:rPr>
            </w:pPr>
          </w:p>
        </w:tc>
        <w:tc>
          <w:tcPr>
            <w:tcW w:w="624" w:type="dxa"/>
          </w:tcPr>
          <w:p w14:paraId="05CCDEE7" w14:textId="77777777" w:rsidR="00B354FA" w:rsidRDefault="00B354FA" w:rsidP="00C419BF">
            <w:pPr>
              <w:pStyle w:val="TableText"/>
              <w:rPr>
                <w:sz w:val="26"/>
                <w:rtl/>
              </w:rPr>
            </w:pPr>
          </w:p>
        </w:tc>
        <w:tc>
          <w:tcPr>
            <w:tcW w:w="7143" w:type="dxa"/>
            <w:gridSpan w:val="2"/>
          </w:tcPr>
          <w:p w14:paraId="71632BBD" w14:textId="7801D907" w:rsidR="00B354FA" w:rsidRPr="00B354FA" w:rsidRDefault="00B354FA" w:rsidP="00B354FA">
            <w:pPr>
              <w:pStyle w:val="TableText"/>
              <w:ind w:right="0"/>
              <w:jc w:val="both"/>
              <w:rPr>
                <w:rtl/>
              </w:rPr>
            </w:pPr>
            <w:r w:rsidRPr="00D840D8">
              <w:rPr>
                <w:rFonts w:hint="cs"/>
                <w:rtl/>
              </w:rPr>
              <w:t>(</w:t>
            </w:r>
            <w:r>
              <w:rPr>
                <w:rFonts w:hint="cs"/>
                <w:rtl/>
              </w:rPr>
              <w:t>2</w:t>
            </w:r>
            <w:r w:rsidRPr="00D840D8">
              <w:rPr>
                <w:rFonts w:hint="cs"/>
                <w:rtl/>
              </w:rPr>
              <w:t>)</w:t>
            </w:r>
            <w:r>
              <w:rPr>
                <w:rtl/>
              </w:rPr>
              <w:tab/>
            </w:r>
            <w:r w:rsidRPr="00465AC0">
              <w:rPr>
                <w:sz w:val="26"/>
                <w:rtl/>
              </w:rPr>
              <w:t>סעיף קטן (ג) – יימחק.</w:t>
            </w:r>
            <w:r>
              <w:rPr>
                <w:rFonts w:hint="cs"/>
                <w:sz w:val="26"/>
                <w:rtl/>
              </w:rPr>
              <w:t xml:space="preserve"> </w:t>
            </w:r>
          </w:p>
        </w:tc>
      </w:tr>
    </w:tbl>
    <w:p w14:paraId="7F6961CA" w14:textId="77777777" w:rsidR="002D1EE3" w:rsidRDefault="002D1EE3" w:rsidP="002D1EE3">
      <w:pPr>
        <w:pStyle w:val="HeadDivreiHesber"/>
        <w:rPr>
          <w:rtl/>
        </w:rPr>
      </w:pPr>
      <w:r w:rsidRPr="0027450A">
        <w:rPr>
          <w:rFonts w:hint="cs"/>
          <w:rtl/>
        </w:rPr>
        <w:t>דברי הסבר</w:t>
      </w:r>
    </w:p>
    <w:p w14:paraId="36BE8127" w14:textId="71696857" w:rsidR="00BB1FFD" w:rsidRPr="00595442" w:rsidRDefault="00BB1FFD" w:rsidP="004F7707">
      <w:pPr>
        <w:pStyle w:val="Hesber"/>
        <w:rPr>
          <w:rtl/>
        </w:rPr>
      </w:pPr>
      <w:r w:rsidRPr="00595442">
        <w:rPr>
          <w:rFonts w:hint="cs"/>
          <w:rtl/>
        </w:rPr>
        <w:t xml:space="preserve">ההסדר הקבוע כיום בחוק </w:t>
      </w:r>
      <w:r w:rsidRPr="00595442">
        <w:rPr>
          <w:rtl/>
        </w:rPr>
        <w:t xml:space="preserve">קליטת חיילים משוחררים, </w:t>
      </w:r>
      <w:proofErr w:type="spellStart"/>
      <w:r w:rsidR="00316D1F" w:rsidRPr="00595442">
        <w:rPr>
          <w:rFonts w:hint="cs"/>
          <w:rtl/>
        </w:rPr>
        <w:t>ה</w:t>
      </w:r>
      <w:r w:rsidRPr="00595442">
        <w:rPr>
          <w:rtl/>
        </w:rPr>
        <w:t>תשנ"ד</w:t>
      </w:r>
      <w:proofErr w:type="spellEnd"/>
      <w:r w:rsidR="00316D1F" w:rsidRPr="00595442">
        <w:rPr>
          <w:rFonts w:hint="cs"/>
          <w:rtl/>
        </w:rPr>
        <w:t>–</w:t>
      </w:r>
      <w:r w:rsidRPr="00595442">
        <w:rPr>
          <w:rtl/>
        </w:rPr>
        <w:t>1994</w:t>
      </w:r>
      <w:r w:rsidR="00316D1F" w:rsidRPr="00595442">
        <w:rPr>
          <w:rFonts w:hint="cs"/>
          <w:rtl/>
        </w:rPr>
        <w:t>,</w:t>
      </w:r>
      <w:r w:rsidRPr="00595442">
        <w:rPr>
          <w:rtl/>
        </w:rPr>
        <w:t xml:space="preserve"> </w:t>
      </w:r>
      <w:r w:rsidR="00316D1F" w:rsidRPr="00595442">
        <w:rPr>
          <w:rFonts w:hint="cs"/>
          <w:rtl/>
        </w:rPr>
        <w:t>קובע כי חייל רשאי לממש את כספי הפיקדון שלו בתום חמש שנים מהשחרור רק למטרות מסוימות הקבועות בחוק</w:t>
      </w:r>
      <w:r w:rsidR="004F7707">
        <w:rPr>
          <w:rFonts w:hint="cs"/>
          <w:rtl/>
        </w:rPr>
        <w:t xml:space="preserve"> האמור</w:t>
      </w:r>
      <w:r w:rsidR="00316D1F" w:rsidRPr="00595442">
        <w:rPr>
          <w:rFonts w:hint="cs"/>
          <w:rtl/>
        </w:rPr>
        <w:t xml:space="preserve">. לאחר חמש שנים, יכול החייל המשוחרר להגיש בקשה לקבל את יתרת הפיקדון ללא תנאי אך זאת למשך שנתיים בלבד. מקץ שנתיים אלה, אם לא הוגשה בקשה, החייל המשוחרר לא יהא זכאי עוד לכספי הפיקדון אשר </w:t>
      </w:r>
      <w:r w:rsidR="004F7707">
        <w:rPr>
          <w:rFonts w:hint="cs"/>
          <w:rtl/>
        </w:rPr>
        <w:t xml:space="preserve">עשויים לעתים לעלות על </w:t>
      </w:r>
      <w:r w:rsidR="00316D1F" w:rsidRPr="00595442">
        <w:rPr>
          <w:rFonts w:hint="cs"/>
          <w:rtl/>
        </w:rPr>
        <w:t>28,000 ש</w:t>
      </w:r>
      <w:r w:rsidR="004F7707">
        <w:rPr>
          <w:rFonts w:hint="cs"/>
          <w:rtl/>
        </w:rPr>
        <w:t>קלים חדשים</w:t>
      </w:r>
      <w:r w:rsidR="00316D1F" w:rsidRPr="00595442">
        <w:rPr>
          <w:rFonts w:hint="cs"/>
          <w:rtl/>
        </w:rPr>
        <w:t xml:space="preserve">. </w:t>
      </w:r>
      <w:r w:rsidR="00595442">
        <w:rPr>
          <w:rFonts w:hint="cs"/>
          <w:rtl/>
        </w:rPr>
        <w:t>מ</w:t>
      </w:r>
      <w:r w:rsidRPr="00595442">
        <w:rPr>
          <w:rFonts w:hint="cs"/>
          <w:rtl/>
        </w:rPr>
        <w:t>נתונים עדכניים שהועברו ממשרד הביטחון עולה כי בשנת 2013 ו-2014 בלבד, נמחקו יתרות פיקדון לאלפים רבים של חיילים משוחררים (המספר המדויק אסור לפרסום בשל מגבלות ביטחון מידע)</w:t>
      </w:r>
      <w:r w:rsidR="00316D1F" w:rsidRPr="00595442">
        <w:rPr>
          <w:rFonts w:hint="cs"/>
          <w:rtl/>
        </w:rPr>
        <w:t>,</w:t>
      </w:r>
      <w:r w:rsidRPr="00595442">
        <w:rPr>
          <w:rFonts w:hint="cs"/>
          <w:rtl/>
        </w:rPr>
        <w:t xml:space="preserve"> בסכום ממוצע העולה על 2,100 </w:t>
      </w:r>
      <w:r w:rsidR="00316D1F" w:rsidRPr="00595442">
        <w:rPr>
          <w:rFonts w:hint="cs"/>
          <w:rtl/>
        </w:rPr>
        <w:t>שקלים חדשים</w:t>
      </w:r>
      <w:r w:rsidRPr="00595442">
        <w:rPr>
          <w:rFonts w:hint="cs"/>
          <w:rtl/>
        </w:rPr>
        <w:t xml:space="preserve"> לכל חייל. </w:t>
      </w:r>
    </w:p>
    <w:p w14:paraId="456D94A0" w14:textId="5194DC1B" w:rsidR="00BB1FFD" w:rsidRPr="00595442" w:rsidRDefault="00BB1FFD" w:rsidP="00595442">
      <w:pPr>
        <w:pStyle w:val="Hesber"/>
        <w:rPr>
          <w:rtl/>
        </w:rPr>
      </w:pPr>
      <w:r w:rsidRPr="00595442">
        <w:rPr>
          <w:rFonts w:hint="cs"/>
          <w:rtl/>
        </w:rPr>
        <w:t>כך</w:t>
      </w:r>
      <w:r w:rsidR="00316D1F" w:rsidRPr="00595442">
        <w:rPr>
          <w:rFonts w:hint="cs"/>
          <w:rtl/>
        </w:rPr>
        <w:t>,</w:t>
      </w:r>
      <w:r w:rsidRPr="00595442">
        <w:rPr>
          <w:rFonts w:hint="cs"/>
          <w:rtl/>
        </w:rPr>
        <w:t xml:space="preserve"> נוצר מצב לפיו כחמישה אחוזים מהחיילים המשוחררים מאבדים את פיקדון השחרור בשלב כה מוקדם בחייהם האזרחיים</w:t>
      </w:r>
      <w:r w:rsidR="00316D1F" w:rsidRPr="00595442">
        <w:rPr>
          <w:rFonts w:hint="cs"/>
          <w:rtl/>
        </w:rPr>
        <w:t>.</w:t>
      </w:r>
      <w:r w:rsidRPr="00595442">
        <w:rPr>
          <w:rFonts w:hint="cs"/>
          <w:rtl/>
        </w:rPr>
        <w:t xml:space="preserve"> בדומה למקרים אחרים הנוגעים למיצוי זכויות של האזרח מול המדינה, גם במקרה זה ניתן להניח כי דווקא החיילים המשוחררים המגיעים מרקע חברתי-כלכלי נמוך</w:t>
      </w:r>
      <w:r w:rsidR="00316D1F" w:rsidRPr="00595442">
        <w:rPr>
          <w:rFonts w:hint="cs"/>
          <w:rtl/>
        </w:rPr>
        <w:t>,</w:t>
      </w:r>
      <w:r w:rsidRPr="00595442">
        <w:rPr>
          <w:rFonts w:hint="cs"/>
          <w:rtl/>
        </w:rPr>
        <w:t xml:space="preserve"> ייטו פחות </w:t>
      </w:r>
      <w:r w:rsidRPr="00595442">
        <w:rPr>
          <w:rFonts w:hint="cs"/>
          <w:rtl/>
        </w:rPr>
        <w:lastRenderedPageBreak/>
        <w:t>להגיש בקשות שונות ולפעול בהתאם להסדר הקבוע בחוק</w:t>
      </w:r>
      <w:r w:rsidR="00316D1F" w:rsidRPr="00595442">
        <w:rPr>
          <w:rFonts w:hint="cs"/>
          <w:rtl/>
        </w:rPr>
        <w:t>,</w:t>
      </w:r>
      <w:r w:rsidRPr="00595442">
        <w:rPr>
          <w:rFonts w:hint="cs"/>
          <w:rtl/>
        </w:rPr>
        <w:t xml:space="preserve"> </w:t>
      </w:r>
      <w:r w:rsidR="00316D1F" w:rsidRPr="00595442">
        <w:rPr>
          <w:rFonts w:hint="cs"/>
          <w:rtl/>
        </w:rPr>
        <w:t>ויאבדו</w:t>
      </w:r>
      <w:r w:rsidRPr="00595442">
        <w:rPr>
          <w:rFonts w:hint="cs"/>
          <w:rtl/>
        </w:rPr>
        <w:t xml:space="preserve"> את יתרת הפיקדון בעבור שירותם למען המדינה. </w:t>
      </w:r>
    </w:p>
    <w:p w14:paraId="6AD5EB06" w14:textId="75D9E4E3" w:rsidR="00BB1FFD" w:rsidRPr="00595442" w:rsidRDefault="00316D1F" w:rsidP="00694A6D">
      <w:pPr>
        <w:pStyle w:val="Hesber"/>
        <w:rPr>
          <w:rtl/>
        </w:rPr>
      </w:pPr>
      <w:r w:rsidRPr="00595442">
        <w:rPr>
          <w:rFonts w:hint="cs"/>
          <w:rtl/>
        </w:rPr>
        <w:t xml:space="preserve">לפיכך, </w:t>
      </w:r>
      <w:r w:rsidR="00BB1FFD" w:rsidRPr="00595442">
        <w:rPr>
          <w:rFonts w:hint="cs"/>
          <w:rtl/>
        </w:rPr>
        <w:t xml:space="preserve">מוצע לקבוע כי </w:t>
      </w:r>
      <w:r w:rsidRPr="00595442">
        <w:rPr>
          <w:rFonts w:hint="cs"/>
          <w:rtl/>
        </w:rPr>
        <w:t>בתום</w:t>
      </w:r>
      <w:r w:rsidR="00BB1FFD" w:rsidRPr="00595442">
        <w:rPr>
          <w:rtl/>
        </w:rPr>
        <w:t xml:space="preserve"> חמש שנים</w:t>
      </w:r>
      <w:r w:rsidRPr="00595442">
        <w:rPr>
          <w:rFonts w:hint="cs"/>
          <w:rtl/>
        </w:rPr>
        <w:t xml:space="preserve"> מיום השחרור</w:t>
      </w:r>
      <w:r w:rsidR="00BB1FFD" w:rsidRPr="00595442">
        <w:rPr>
          <w:rtl/>
        </w:rPr>
        <w:t xml:space="preserve"> תעביר הקרן</w:t>
      </w:r>
      <w:r w:rsidRPr="00595442">
        <w:rPr>
          <w:rFonts w:hint="cs"/>
          <w:rtl/>
        </w:rPr>
        <w:t xml:space="preserve"> לחיילים משוחררים,</w:t>
      </w:r>
      <w:r w:rsidR="00BB1FFD" w:rsidRPr="00595442">
        <w:rPr>
          <w:rtl/>
        </w:rPr>
        <w:t xml:space="preserve"> באופן יזום וללא הגשת בקשה מצד החייל המשוחרר</w:t>
      </w:r>
      <w:r w:rsidRPr="00595442">
        <w:rPr>
          <w:rFonts w:hint="cs"/>
          <w:rtl/>
        </w:rPr>
        <w:t>,</w:t>
      </w:r>
      <w:r w:rsidR="00BB1FFD" w:rsidRPr="00595442">
        <w:rPr>
          <w:rtl/>
        </w:rPr>
        <w:t xml:space="preserve"> את כספי </w:t>
      </w:r>
      <w:proofErr w:type="spellStart"/>
      <w:r w:rsidR="00BB1FFD" w:rsidRPr="00595442">
        <w:rPr>
          <w:rtl/>
        </w:rPr>
        <w:t>הפקדון</w:t>
      </w:r>
      <w:proofErr w:type="spellEnd"/>
      <w:r w:rsidR="00BB1FFD" w:rsidRPr="00595442">
        <w:rPr>
          <w:rtl/>
        </w:rPr>
        <w:t xml:space="preserve"> לחשבון הבנק המצוי ברישומי הקרן</w:t>
      </w:r>
      <w:r w:rsidRPr="00595442">
        <w:rPr>
          <w:rFonts w:hint="cs"/>
          <w:rtl/>
        </w:rPr>
        <w:t xml:space="preserve">, שהוא </w:t>
      </w:r>
      <w:r w:rsidR="00BB1FFD" w:rsidRPr="00595442">
        <w:rPr>
          <w:rtl/>
        </w:rPr>
        <w:t xml:space="preserve">חשבון </w:t>
      </w:r>
      <w:r w:rsidRPr="00595442">
        <w:rPr>
          <w:rFonts w:hint="cs"/>
          <w:rtl/>
        </w:rPr>
        <w:t>ה</w:t>
      </w:r>
      <w:r w:rsidR="00BB1FFD" w:rsidRPr="00595442">
        <w:rPr>
          <w:rtl/>
        </w:rPr>
        <w:t xml:space="preserve">בנק המעודכן בצה"ל או </w:t>
      </w:r>
      <w:proofErr w:type="spellStart"/>
      <w:r w:rsidR="00BB1FFD" w:rsidRPr="00595442">
        <w:rPr>
          <w:rtl/>
        </w:rPr>
        <w:t>במ</w:t>
      </w:r>
      <w:r w:rsidR="00694A6D">
        <w:rPr>
          <w:rFonts w:hint="cs"/>
          <w:rtl/>
        </w:rPr>
        <w:t>י</w:t>
      </w:r>
      <w:r w:rsidR="00BB1FFD" w:rsidRPr="00595442">
        <w:rPr>
          <w:rtl/>
        </w:rPr>
        <w:t>נהלת</w:t>
      </w:r>
      <w:proofErr w:type="spellEnd"/>
      <w:r w:rsidR="00BB1FFD" w:rsidRPr="00595442">
        <w:rPr>
          <w:rtl/>
        </w:rPr>
        <w:t xml:space="preserve"> השירות ה</w:t>
      </w:r>
      <w:r w:rsidR="00694A6D">
        <w:rPr>
          <w:rFonts w:hint="cs"/>
          <w:rtl/>
        </w:rPr>
        <w:t>אזרחי</w:t>
      </w:r>
      <w:r w:rsidR="00BB1FFD" w:rsidRPr="00595442">
        <w:rPr>
          <w:rtl/>
        </w:rPr>
        <w:t>-</w:t>
      </w:r>
      <w:r w:rsidR="00694A6D">
        <w:rPr>
          <w:rFonts w:hint="cs"/>
          <w:rtl/>
        </w:rPr>
        <w:t>לאומי</w:t>
      </w:r>
      <w:r w:rsidR="00BB1FFD" w:rsidRPr="00595442">
        <w:rPr>
          <w:rtl/>
        </w:rPr>
        <w:t xml:space="preserve">. </w:t>
      </w:r>
      <w:r w:rsidR="00BB1FFD" w:rsidRPr="00595442">
        <w:rPr>
          <w:rFonts w:hint="cs"/>
          <w:rtl/>
        </w:rPr>
        <w:t xml:space="preserve">אם לא אותר חשבון הבנק של החייל המשוחרר, תפנה הקרן לחייל באופן יזום </w:t>
      </w:r>
      <w:r w:rsidRPr="00595442">
        <w:rPr>
          <w:rFonts w:hint="cs"/>
          <w:rtl/>
        </w:rPr>
        <w:t>ותודיע לו כי עליו להגיש בקשה לקבלת יתרת הפיקדון</w:t>
      </w:r>
      <w:r w:rsidR="00BB1FFD" w:rsidRPr="00595442">
        <w:rPr>
          <w:rFonts w:hint="cs"/>
          <w:rtl/>
        </w:rPr>
        <w:t xml:space="preserve">. רק אם חשבון הבנק של החייל המשוחרר לא אותר ואף לא ניתן היה לאתר את החייל עצמו </w:t>
      </w:r>
      <w:r w:rsidRPr="00595442">
        <w:rPr>
          <w:rFonts w:hint="eastAsia"/>
          <w:rtl/>
        </w:rPr>
        <w:t xml:space="preserve">– </w:t>
      </w:r>
      <w:r w:rsidR="00BB1FFD" w:rsidRPr="00595442">
        <w:rPr>
          <w:rFonts w:hint="cs"/>
          <w:rtl/>
        </w:rPr>
        <w:t xml:space="preserve">תועבר יתרת הפיקדון לקרן לסיוע נוסף. </w:t>
      </w:r>
    </w:p>
    <w:p w14:paraId="7F6961CB" w14:textId="021265A7" w:rsidR="00E13C27" w:rsidRDefault="00BB1FFD" w:rsidP="00595442">
      <w:pPr>
        <w:pStyle w:val="Hesber"/>
        <w:rPr>
          <w:rtl/>
        </w:rPr>
      </w:pPr>
      <w:r w:rsidRPr="00595442">
        <w:rPr>
          <w:rtl/>
        </w:rPr>
        <w:t>להצע</w:t>
      </w:r>
      <w:r w:rsidRPr="00595442">
        <w:rPr>
          <w:rFonts w:hint="cs"/>
          <w:rtl/>
        </w:rPr>
        <w:t xml:space="preserve">ת החוק לא צפויה </w:t>
      </w:r>
      <w:r w:rsidRPr="00595442">
        <w:rPr>
          <w:rtl/>
        </w:rPr>
        <w:t>השלכה על תקציב המדינה.</w:t>
      </w:r>
      <w:r w:rsidR="00316D1F" w:rsidRPr="00595442">
        <w:rPr>
          <w:rtl/>
        </w:rPr>
        <w:t xml:space="preserve"> </w:t>
      </w:r>
    </w:p>
    <w:p w14:paraId="78E88E47" w14:textId="772937C5" w:rsidR="00262646" w:rsidRDefault="00262646" w:rsidP="00595442">
      <w:pPr>
        <w:pStyle w:val="Hesber"/>
        <w:rPr>
          <w:rtl/>
        </w:rPr>
      </w:pPr>
    </w:p>
    <w:p w14:paraId="74E0643F" w14:textId="77777777" w:rsidR="00262646" w:rsidRPr="00D73212" w:rsidRDefault="00262646" w:rsidP="00262646">
      <w:pPr>
        <w:pStyle w:val="Hesber"/>
        <w:rPr>
          <w:color w:val="auto"/>
          <w:rtl/>
          <w:lang w:eastAsia="en-US"/>
        </w:rPr>
      </w:pPr>
      <w:r w:rsidRPr="00D73212">
        <w:rPr>
          <w:color w:val="auto"/>
          <w:rtl/>
          <w:lang w:eastAsia="en-US"/>
        </w:rPr>
        <w:t>---------------------------------</w:t>
      </w:r>
    </w:p>
    <w:p w14:paraId="5F72BB59" w14:textId="77777777" w:rsidR="00262646" w:rsidRPr="00D73212" w:rsidRDefault="00262646" w:rsidP="00262646">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F8A25EA" w14:textId="77777777" w:rsidR="00262646" w:rsidRPr="00D73212" w:rsidRDefault="00262646" w:rsidP="00262646">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01DD6105" w14:textId="77777777" w:rsidR="00262646" w:rsidRPr="00317312" w:rsidRDefault="00262646" w:rsidP="00262646">
      <w:pPr>
        <w:pStyle w:val="Hesber"/>
      </w:pPr>
      <w:r>
        <w:rPr>
          <w:rFonts w:hint="cs"/>
          <w:color w:val="auto"/>
          <w:rtl/>
          <w:lang w:eastAsia="en-US"/>
        </w:rPr>
        <w:t>י' בשבט</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6.2</w:t>
      </w:r>
      <w:r w:rsidRPr="00D73212">
        <w:rPr>
          <w:color w:val="auto"/>
          <w:rtl/>
          <w:lang w:eastAsia="en-US"/>
        </w:rPr>
        <w:t>.</w:t>
      </w:r>
      <w:r>
        <w:rPr>
          <w:rFonts w:hint="cs"/>
          <w:color w:val="auto"/>
          <w:rtl/>
          <w:lang w:eastAsia="en-US"/>
        </w:rPr>
        <w:t>17</w:t>
      </w:r>
    </w:p>
    <w:p w14:paraId="24DFBC95" w14:textId="77777777" w:rsidR="00262646" w:rsidRPr="00B15BBC" w:rsidRDefault="00262646" w:rsidP="00262646">
      <w:pPr>
        <w:spacing w:before="0" w:line="360" w:lineRule="auto"/>
        <w:ind w:left="340" w:firstLine="0"/>
        <w:rPr>
          <w:rFonts w:ascii="Arial" w:eastAsia="Arial Unicode MS" w:hAnsi="Arial" w:cs="David"/>
          <w:snapToGrid w:val="0"/>
          <w:spacing w:val="0"/>
          <w:sz w:val="20"/>
          <w:szCs w:val="26"/>
          <w:rtl/>
        </w:rPr>
      </w:pPr>
    </w:p>
    <w:p w14:paraId="35FE4852" w14:textId="77777777" w:rsidR="00262646" w:rsidRPr="00595442" w:rsidRDefault="00262646" w:rsidP="00595442">
      <w:pPr>
        <w:pStyle w:val="Hesber"/>
        <w:rPr>
          <w:rtl/>
        </w:rPr>
      </w:pPr>
    </w:p>
    <w:sectPr w:rsidR="00262646" w:rsidRPr="00595442"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50190D" w14:textId="77777777" w:rsidR="00D26CB4" w:rsidRDefault="00D26CB4">
      <w:r>
        <w:separator/>
      </w:r>
    </w:p>
  </w:endnote>
  <w:endnote w:type="continuationSeparator" w:id="0">
    <w:p w14:paraId="1C8A32E1" w14:textId="77777777" w:rsidR="00D26CB4" w:rsidRDefault="00D26CB4">
      <w:r>
        <w:continuationSeparator/>
      </w:r>
    </w:p>
  </w:endnote>
  <w:endnote w:type="continuationNotice" w:id="1">
    <w:p w14:paraId="1E75772D" w14:textId="77777777" w:rsidR="00D26CB4" w:rsidRDefault="00D26CB4">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BD7354">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8C82A2" w14:textId="77777777" w:rsidR="00D26CB4" w:rsidRDefault="00D26CB4">
      <w:r>
        <w:separator/>
      </w:r>
    </w:p>
  </w:footnote>
  <w:footnote w:type="continuationSeparator" w:id="0">
    <w:p w14:paraId="308822CE" w14:textId="77777777" w:rsidR="00D26CB4" w:rsidRDefault="00D26CB4">
      <w:r>
        <w:continuationSeparator/>
      </w:r>
    </w:p>
  </w:footnote>
  <w:footnote w:type="continuationNotice" w:id="1">
    <w:p w14:paraId="6F21E1DD" w14:textId="77777777" w:rsidR="00D26CB4" w:rsidRDefault="00D26CB4"/>
  </w:footnote>
  <w:footnote w:id="2">
    <w:p w14:paraId="01F8717B" w14:textId="1AEA9EDE" w:rsidR="009674EA" w:rsidRDefault="009674EA" w:rsidP="00696A51">
      <w:pPr>
        <w:pStyle w:val="a4"/>
      </w:pPr>
      <w:r>
        <w:rPr>
          <w:rStyle w:val="a5"/>
        </w:rPr>
        <w:footnoteRef/>
      </w:r>
      <w:r>
        <w:rPr>
          <w:rtl/>
        </w:rPr>
        <w:t xml:space="preserve"> </w:t>
      </w:r>
      <w:r w:rsidR="00696A51">
        <w:rPr>
          <w:rFonts w:hint="cs"/>
          <w:rtl/>
        </w:rPr>
        <w:t xml:space="preserve">ס"ח </w:t>
      </w:r>
      <w:proofErr w:type="spellStart"/>
      <w:r w:rsidR="00696A51">
        <w:rPr>
          <w:rFonts w:hint="cs"/>
          <w:rtl/>
        </w:rPr>
        <w:t>התשנ"ד</w:t>
      </w:r>
      <w:proofErr w:type="spellEnd"/>
      <w:r w:rsidR="00696A51">
        <w:rPr>
          <w:rFonts w:hint="cs"/>
          <w:rtl/>
        </w:rPr>
        <w:t>, עמ' 132.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221F4"/>
    <w:rsid w:val="002362BF"/>
    <w:rsid w:val="00241B97"/>
    <w:rsid w:val="002425D1"/>
    <w:rsid w:val="00246756"/>
    <w:rsid w:val="00251E58"/>
    <w:rsid w:val="00254605"/>
    <w:rsid w:val="00262646"/>
    <w:rsid w:val="00266D86"/>
    <w:rsid w:val="002728B4"/>
    <w:rsid w:val="0027600C"/>
    <w:rsid w:val="00292712"/>
    <w:rsid w:val="002A487D"/>
    <w:rsid w:val="002C2E29"/>
    <w:rsid w:val="002C3041"/>
    <w:rsid w:val="002D1EE3"/>
    <w:rsid w:val="002F1D80"/>
    <w:rsid w:val="00316D1F"/>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4F7707"/>
    <w:rsid w:val="00525395"/>
    <w:rsid w:val="00553C9D"/>
    <w:rsid w:val="00562A66"/>
    <w:rsid w:val="00595442"/>
    <w:rsid w:val="005B064E"/>
    <w:rsid w:val="005D51AE"/>
    <w:rsid w:val="0062674B"/>
    <w:rsid w:val="006363B2"/>
    <w:rsid w:val="00644940"/>
    <w:rsid w:val="006818A9"/>
    <w:rsid w:val="00694A6D"/>
    <w:rsid w:val="00696A51"/>
    <w:rsid w:val="006A2D81"/>
    <w:rsid w:val="006C1D0D"/>
    <w:rsid w:val="0070601E"/>
    <w:rsid w:val="00712C72"/>
    <w:rsid w:val="00735FE9"/>
    <w:rsid w:val="00742AD8"/>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674EA"/>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4FA"/>
    <w:rsid w:val="00B35784"/>
    <w:rsid w:val="00B733A7"/>
    <w:rsid w:val="00B75C91"/>
    <w:rsid w:val="00B975AD"/>
    <w:rsid w:val="00BB1FFD"/>
    <w:rsid w:val="00BC45FB"/>
    <w:rsid w:val="00BD7354"/>
    <w:rsid w:val="00BF148D"/>
    <w:rsid w:val="00C23B1A"/>
    <w:rsid w:val="00C310EB"/>
    <w:rsid w:val="00C80CBE"/>
    <w:rsid w:val="00C9176A"/>
    <w:rsid w:val="00CF1AA2"/>
    <w:rsid w:val="00D17774"/>
    <w:rsid w:val="00D26CB4"/>
    <w:rsid w:val="00D63620"/>
    <w:rsid w:val="00D81316"/>
    <w:rsid w:val="00D840D8"/>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DBB9878-7B4B-49E6-9C07-585B5A94E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40D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D840D8"/>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840D8"/>
    <w:rPr>
      <w:sz w:val="36"/>
      <w:szCs w:val="52"/>
    </w:rPr>
  </w:style>
  <w:style w:type="paragraph" w:customStyle="1" w:styleId="Cover3-Haknesset">
    <w:name w:val="Cover 3-Haknesset"/>
    <w:basedOn w:val="Cover1-Reshumot"/>
    <w:rsid w:val="00D840D8"/>
    <w:rPr>
      <w:b/>
      <w:bCs/>
      <w:spacing w:val="60"/>
    </w:rPr>
  </w:style>
  <w:style w:type="paragraph" w:customStyle="1" w:styleId="Cover4-Date">
    <w:name w:val="Cover 4-Date"/>
    <w:basedOn w:val="a"/>
    <w:rsid w:val="00D840D8"/>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D840D8"/>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D840D8"/>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D840D8"/>
    <w:pPr>
      <w:spacing w:before="120" w:after="120"/>
    </w:pPr>
    <w:rPr>
      <w:color w:val="FF0000"/>
      <w:w w:val="80"/>
    </w:rPr>
  </w:style>
  <w:style w:type="paragraph" w:styleId="a3">
    <w:name w:val="endnote text"/>
    <w:basedOn w:val="a"/>
    <w:semiHidden/>
    <w:rsid w:val="00D840D8"/>
    <w:pPr>
      <w:ind w:left="227" w:hanging="227"/>
    </w:pPr>
    <w:rPr>
      <w:sz w:val="14"/>
      <w:szCs w:val="22"/>
    </w:rPr>
  </w:style>
  <w:style w:type="paragraph" w:customStyle="1" w:styleId="TableText">
    <w:name w:val="Table Text"/>
    <w:basedOn w:val="a"/>
    <w:rsid w:val="00D840D8"/>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D840D8"/>
  </w:style>
  <w:style w:type="paragraph" w:customStyle="1" w:styleId="TableBlock">
    <w:name w:val="Table Block"/>
    <w:basedOn w:val="TableText"/>
    <w:rsid w:val="00D840D8"/>
    <w:pPr>
      <w:ind w:right="0"/>
      <w:jc w:val="both"/>
    </w:pPr>
  </w:style>
  <w:style w:type="paragraph" w:customStyle="1" w:styleId="TableHead">
    <w:name w:val="Table Head"/>
    <w:basedOn w:val="TableText"/>
    <w:rsid w:val="00D840D8"/>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D840D8"/>
  </w:style>
  <w:style w:type="paragraph" w:customStyle="1" w:styleId="Hesber">
    <w:name w:val="Hesber"/>
    <w:basedOn w:val="a"/>
    <w:rsid w:val="00D840D8"/>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D840D8"/>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D840D8"/>
    <w:rPr>
      <w:vertAlign w:val="superscript"/>
    </w:rPr>
  </w:style>
  <w:style w:type="paragraph" w:customStyle="1" w:styleId="HesberHeading">
    <w:name w:val="Hesber Heading"/>
    <w:basedOn w:val="Hesber"/>
    <w:rsid w:val="00D840D8"/>
    <w:pPr>
      <w:tabs>
        <w:tab w:val="left" w:pos="624"/>
        <w:tab w:val="left" w:pos="1247"/>
      </w:tabs>
      <w:ind w:firstLine="0"/>
    </w:pPr>
    <w:rPr>
      <w:b/>
      <w:bCs/>
    </w:rPr>
  </w:style>
  <w:style w:type="paragraph" w:customStyle="1" w:styleId="HesberWriters">
    <w:name w:val="Hesber Writers"/>
    <w:basedOn w:val="Hesber"/>
    <w:rsid w:val="00D840D8"/>
    <w:pPr>
      <w:spacing w:before="120" w:after="6000"/>
      <w:ind w:left="1418" w:firstLine="0"/>
      <w:jc w:val="right"/>
    </w:pPr>
    <w:rPr>
      <w:b/>
      <w:bCs/>
    </w:rPr>
  </w:style>
  <w:style w:type="paragraph" w:customStyle="1" w:styleId="Hesber1st">
    <w:name w:val="Hesber 1st"/>
    <w:basedOn w:val="Hesber"/>
    <w:rsid w:val="00D840D8"/>
    <w:pPr>
      <w:tabs>
        <w:tab w:val="left" w:pos="680"/>
        <w:tab w:val="left" w:pos="1020"/>
      </w:tabs>
      <w:ind w:firstLine="0"/>
    </w:pPr>
  </w:style>
  <w:style w:type="character" w:styleId="a6">
    <w:name w:val="endnote reference"/>
    <w:basedOn w:val="a0"/>
    <w:semiHidden/>
    <w:rsid w:val="00D840D8"/>
    <w:rPr>
      <w:vertAlign w:val="superscript"/>
    </w:rPr>
  </w:style>
  <w:style w:type="paragraph" w:customStyle="1" w:styleId="TableBlockOutdent">
    <w:name w:val="Table BlockOutdent"/>
    <w:basedOn w:val="TableBlock"/>
    <w:rsid w:val="00D840D8"/>
    <w:pPr>
      <w:ind w:left="624" w:hanging="624"/>
    </w:pPr>
  </w:style>
  <w:style w:type="paragraph" w:styleId="a7">
    <w:name w:val="header"/>
    <w:basedOn w:val="a"/>
    <w:rsid w:val="00D840D8"/>
    <w:pPr>
      <w:tabs>
        <w:tab w:val="center" w:pos="4153"/>
        <w:tab w:val="right" w:pos="8306"/>
      </w:tabs>
    </w:pPr>
  </w:style>
  <w:style w:type="paragraph" w:styleId="a8">
    <w:name w:val="footer"/>
    <w:basedOn w:val="a"/>
    <w:rsid w:val="00D840D8"/>
    <w:pPr>
      <w:tabs>
        <w:tab w:val="center" w:pos="4153"/>
        <w:tab w:val="right" w:pos="8306"/>
      </w:tabs>
    </w:pPr>
  </w:style>
  <w:style w:type="paragraph" w:customStyle="1" w:styleId="HeadDivreiHesber">
    <w:name w:val="Head DivreiHesber"/>
    <w:basedOn w:val="a"/>
    <w:rsid w:val="00D840D8"/>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D840D8"/>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D840D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table" w:styleId="ad">
    <w:name w:val="Table Grid"/>
    <w:basedOn w:val="a1"/>
    <w:uiPriority w:val="59"/>
    <w:rsid w:val="00BB1FF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3FFC49A-5CE0-433F-885B-FFAF9FC2F48B}"/>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80AF8687-EFDF-47B4-BCBC-2D39F926B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408</Words>
  <Characters>2043</Characters>
  <Application>Microsoft Office Word</Application>
  <DocSecurity>0</DocSecurity>
  <Lines>17</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2</cp:revision>
  <cp:lastPrinted>2017-01-30T11:42:00Z</cp:lastPrinted>
  <dcterms:created xsi:type="dcterms:W3CDTF">2017-05-16T12:11:00Z</dcterms:created>
  <dcterms:modified xsi:type="dcterms:W3CDTF">2017-05-16T12:11:00Z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2017203</vt:r8>
  </property>
</Properties>
</file>