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2008578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אורן אסף חזן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פ/3626/20</w:t>
      </w:r>
      <w:bookmarkEnd w:id="7"/>
    </w:p>
    <w:p w14:paraId="7F6961AC" w14:textId="77777777" w:rsidR="00E13C27" w:rsidRDefault="00E13C27" w:rsidP="00E13C27">
      <w:pPr>
        <w:spacing w:before="0" w:line="360" w:lineRule="auto"/>
        <w:ind w:left="2880" w:firstLine="720"/>
        <w:rPr>
          <w:rFonts w:cs="David"/>
          <w:sz w:val="26"/>
          <w:szCs w:val="26"/>
          <w:rtl/>
        </w:rPr>
      </w:pPr>
    </w:p>
    <w:p w14:paraId="12E7701D" w14:textId="77777777" w:rsidR="00F71D06" w:rsidRDefault="00F71D06" w:rsidP="00F71D06">
      <w:pPr>
        <w:pStyle w:val="HeadHatzaotHok"/>
        <w:rPr>
          <w:rtl/>
        </w:rPr>
      </w:pPr>
      <w:bookmarkStart w:id="8" w:name="LGS_Subject"/>
      <w:r>
        <w:rPr>
          <w:rFonts w:hint="cs"/>
          <w:rtl/>
        </w:rPr>
        <w:t xml:space="preserve">הצעת חוק תאגידי מים וביוב (תיקון </w:t>
      </w:r>
      <w:r>
        <w:rPr>
          <w:rFonts w:hint="eastAsia"/>
          <w:rtl/>
        </w:rPr>
        <w:t>–</w:t>
      </w:r>
      <w:r>
        <w:rPr>
          <w:rFonts w:hint="cs"/>
          <w:rtl/>
        </w:rPr>
        <w:t xml:space="preserve"> צמצום מספר תאגידי המים והביוב), התשע"ז</w:t>
      </w:r>
      <w:r>
        <w:rPr>
          <w:rFonts w:hint="eastAsia"/>
          <w:rtl/>
        </w:rPr>
        <w:t>–</w:t>
      </w:r>
      <w:r>
        <w:rPr>
          <w:rFonts w:hint="cs"/>
          <w:rtl/>
        </w:rPr>
        <w:t>2016</w:t>
      </w:r>
      <w:bookmarkEnd w:id="8"/>
    </w:p>
    <w:p w14:paraId="53C4D184" w14:textId="77777777" w:rsidR="00F71D06" w:rsidRDefault="00F71D06" w:rsidP="00F71D06">
      <w:pPr>
        <w:pStyle w:val="HeadDivreiHesber"/>
        <w:spacing w:before="0" w:after="0"/>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19"/>
      </w:tblGrid>
      <w:tr w:rsidR="00F71D06" w:rsidRPr="00AB52BB" w14:paraId="63C8750C" w14:textId="77777777" w:rsidTr="00F64F93">
        <w:trPr>
          <w:cantSplit/>
        </w:trPr>
        <w:tc>
          <w:tcPr>
            <w:tcW w:w="1869" w:type="dxa"/>
          </w:tcPr>
          <w:p w14:paraId="40A68BA5" w14:textId="77777777" w:rsidR="00F71D06" w:rsidRPr="00AB52BB" w:rsidRDefault="00F71D06" w:rsidP="00F64F93">
            <w:pPr>
              <w:pStyle w:val="TableSideHeading"/>
              <w:keepLines w:val="0"/>
              <w:rPr>
                <w:sz w:val="26"/>
                <w:rtl/>
              </w:rPr>
            </w:pPr>
            <w:r w:rsidRPr="00AB52BB">
              <w:rPr>
                <w:sz w:val="26"/>
                <w:rtl/>
              </w:rPr>
              <w:t>תיקון סעיף 2</w:t>
            </w:r>
          </w:p>
        </w:tc>
        <w:tc>
          <w:tcPr>
            <w:tcW w:w="624" w:type="dxa"/>
          </w:tcPr>
          <w:p w14:paraId="504818D9" w14:textId="77777777" w:rsidR="00F71D06" w:rsidRPr="00AB52BB" w:rsidRDefault="00F71D06" w:rsidP="00F64F93">
            <w:pPr>
              <w:pStyle w:val="TableText"/>
              <w:keepLines w:val="0"/>
              <w:rPr>
                <w:sz w:val="26"/>
                <w:rtl/>
              </w:rPr>
            </w:pPr>
            <w:r w:rsidRPr="00AB52BB">
              <w:rPr>
                <w:sz w:val="26"/>
                <w:rtl/>
              </w:rPr>
              <w:t>1.</w:t>
            </w:r>
          </w:p>
        </w:tc>
        <w:tc>
          <w:tcPr>
            <w:tcW w:w="7143" w:type="dxa"/>
            <w:gridSpan w:val="2"/>
          </w:tcPr>
          <w:p w14:paraId="78EE29D9" w14:textId="77777777" w:rsidR="00F71D06" w:rsidRPr="00AB52BB" w:rsidRDefault="00F71D06" w:rsidP="00F64F93">
            <w:pPr>
              <w:pStyle w:val="TableBlock"/>
              <w:rPr>
                <w:sz w:val="26"/>
                <w:rtl/>
              </w:rPr>
            </w:pPr>
            <w:r w:rsidRPr="00AB52BB">
              <w:rPr>
                <w:sz w:val="26"/>
                <w:rtl/>
              </w:rPr>
              <w:t>בחוק תאגידי מים וביוב, התשס"א–2001</w:t>
            </w:r>
            <w:r w:rsidRPr="00AB52BB">
              <w:rPr>
                <w:rStyle w:val="a6"/>
                <w:sz w:val="26"/>
                <w:rtl/>
              </w:rPr>
              <w:footnoteReference w:id="2"/>
            </w:r>
            <w:r w:rsidRPr="00AB52BB">
              <w:rPr>
                <w:sz w:val="26"/>
                <w:rtl/>
              </w:rPr>
              <w:t xml:space="preserve"> (להלן – החוק העיקרי), בסעיף 2 –</w:t>
            </w:r>
          </w:p>
        </w:tc>
      </w:tr>
      <w:tr w:rsidR="00F71D06" w:rsidRPr="00AB52BB" w14:paraId="2C30CAB2" w14:textId="77777777" w:rsidTr="00F64F93">
        <w:trPr>
          <w:cantSplit/>
        </w:trPr>
        <w:tc>
          <w:tcPr>
            <w:tcW w:w="1869" w:type="dxa"/>
          </w:tcPr>
          <w:p w14:paraId="1C3F3A15" w14:textId="77777777" w:rsidR="00F71D06" w:rsidRPr="00AB52BB" w:rsidRDefault="00F71D06" w:rsidP="00F64F93">
            <w:pPr>
              <w:pStyle w:val="TableSideHeading"/>
              <w:keepLines w:val="0"/>
              <w:rPr>
                <w:sz w:val="26"/>
                <w:rtl/>
              </w:rPr>
            </w:pPr>
          </w:p>
        </w:tc>
        <w:tc>
          <w:tcPr>
            <w:tcW w:w="624" w:type="dxa"/>
          </w:tcPr>
          <w:p w14:paraId="40A4009C" w14:textId="77777777" w:rsidR="00F71D06" w:rsidRPr="00AB52BB" w:rsidRDefault="00F71D06" w:rsidP="00F64F93">
            <w:pPr>
              <w:pStyle w:val="TableText"/>
              <w:rPr>
                <w:sz w:val="26"/>
                <w:rtl/>
              </w:rPr>
            </w:pPr>
          </w:p>
        </w:tc>
        <w:tc>
          <w:tcPr>
            <w:tcW w:w="7143" w:type="dxa"/>
            <w:gridSpan w:val="2"/>
          </w:tcPr>
          <w:p w14:paraId="6EB8375D" w14:textId="77777777" w:rsidR="00F71D06" w:rsidRPr="00AB52BB" w:rsidRDefault="00F71D06" w:rsidP="00F64F93">
            <w:pPr>
              <w:pStyle w:val="TableBlock"/>
              <w:rPr>
                <w:sz w:val="26"/>
                <w:rtl/>
              </w:rPr>
            </w:pPr>
            <w:r w:rsidRPr="00AB52BB">
              <w:rPr>
                <w:sz w:val="26"/>
                <w:rtl/>
              </w:rPr>
              <w:t>(1)</w:t>
            </w:r>
            <w:r w:rsidRPr="00AB52BB">
              <w:rPr>
                <w:sz w:val="26"/>
                <w:rtl/>
              </w:rPr>
              <w:tab/>
              <w:t>במקום ההגדרה "המועד הקובע" יבוא:</w:t>
            </w:r>
          </w:p>
        </w:tc>
      </w:tr>
      <w:tr w:rsidR="00F71D06" w:rsidRPr="00AB52BB" w14:paraId="4402A88D" w14:textId="77777777" w:rsidTr="00F64F93">
        <w:trPr>
          <w:cantSplit/>
        </w:trPr>
        <w:tc>
          <w:tcPr>
            <w:tcW w:w="1869" w:type="dxa"/>
          </w:tcPr>
          <w:p w14:paraId="66DCD552" w14:textId="77777777" w:rsidR="00F71D06" w:rsidRPr="00AB52BB" w:rsidRDefault="00F71D06" w:rsidP="00F64F93">
            <w:pPr>
              <w:pStyle w:val="TableSideHeading"/>
              <w:rPr>
                <w:sz w:val="26"/>
              </w:rPr>
            </w:pPr>
          </w:p>
        </w:tc>
        <w:tc>
          <w:tcPr>
            <w:tcW w:w="624" w:type="dxa"/>
          </w:tcPr>
          <w:p w14:paraId="40F08FA5" w14:textId="77777777" w:rsidR="00F71D06" w:rsidRPr="00AB52BB" w:rsidRDefault="00F71D06" w:rsidP="00F64F93">
            <w:pPr>
              <w:pStyle w:val="TableText"/>
              <w:rPr>
                <w:sz w:val="26"/>
              </w:rPr>
            </w:pPr>
          </w:p>
        </w:tc>
        <w:tc>
          <w:tcPr>
            <w:tcW w:w="624" w:type="dxa"/>
          </w:tcPr>
          <w:p w14:paraId="67C37326" w14:textId="77777777" w:rsidR="00F71D06" w:rsidRPr="00AB52BB" w:rsidRDefault="00F71D06" w:rsidP="00F64F93">
            <w:pPr>
              <w:pStyle w:val="TableText"/>
              <w:rPr>
                <w:sz w:val="26"/>
              </w:rPr>
            </w:pPr>
          </w:p>
        </w:tc>
        <w:tc>
          <w:tcPr>
            <w:tcW w:w="6519" w:type="dxa"/>
          </w:tcPr>
          <w:p w14:paraId="50255A36" w14:textId="77777777" w:rsidR="00F71D06" w:rsidRPr="00A53008" w:rsidRDefault="00F71D06" w:rsidP="00F64F93">
            <w:pPr>
              <w:pStyle w:val="TableBlockOutdent"/>
            </w:pPr>
            <w:r w:rsidRPr="00A53008">
              <w:rPr>
                <w:rtl/>
              </w:rPr>
              <w:t xml:space="preserve">""המועד הקובע" – </w:t>
            </w:r>
            <w:r w:rsidRPr="00A53008">
              <w:rPr>
                <w:rFonts w:hint="eastAsia"/>
                <w:rtl/>
              </w:rPr>
              <w:t>י</w:t>
            </w:r>
            <w:r w:rsidRPr="00A53008">
              <w:rPr>
                <w:rtl/>
              </w:rPr>
              <w:t xml:space="preserve">"ב </w:t>
            </w:r>
            <w:r w:rsidRPr="00A53008">
              <w:rPr>
                <w:rFonts w:hint="eastAsia"/>
                <w:rtl/>
              </w:rPr>
              <w:t>בטבת</w:t>
            </w:r>
            <w:r w:rsidRPr="00A53008">
              <w:rPr>
                <w:rtl/>
              </w:rPr>
              <w:t xml:space="preserve"> </w:t>
            </w:r>
            <w:r w:rsidRPr="00A53008">
              <w:rPr>
                <w:rFonts w:hint="eastAsia"/>
                <w:rtl/>
              </w:rPr>
              <w:t>התשע</w:t>
            </w:r>
            <w:r w:rsidRPr="00A53008">
              <w:rPr>
                <w:rtl/>
              </w:rPr>
              <w:t xml:space="preserve">"ח (30 </w:t>
            </w:r>
            <w:r w:rsidRPr="00A53008">
              <w:rPr>
                <w:rFonts w:hint="eastAsia"/>
                <w:rtl/>
              </w:rPr>
              <w:t>בדצמבר</w:t>
            </w:r>
            <w:r w:rsidRPr="00A53008">
              <w:rPr>
                <w:rtl/>
              </w:rPr>
              <w:t xml:space="preserve"> 2017)</w:t>
            </w:r>
            <w:r>
              <w:rPr>
                <w:rFonts w:hint="cs"/>
                <w:rtl/>
              </w:rPr>
              <w:t>;</w:t>
            </w:r>
            <w:r w:rsidRPr="00A53008">
              <w:rPr>
                <w:rtl/>
              </w:rPr>
              <w:t>"</w:t>
            </w:r>
            <w:r>
              <w:rPr>
                <w:rFonts w:hint="cs"/>
                <w:rtl/>
              </w:rPr>
              <w:t>;</w:t>
            </w:r>
          </w:p>
        </w:tc>
      </w:tr>
      <w:tr w:rsidR="00F71D06" w:rsidRPr="00AB52BB" w14:paraId="1A190950" w14:textId="77777777" w:rsidTr="00F64F93">
        <w:trPr>
          <w:cantSplit/>
        </w:trPr>
        <w:tc>
          <w:tcPr>
            <w:tcW w:w="1869" w:type="dxa"/>
          </w:tcPr>
          <w:p w14:paraId="35090862" w14:textId="77777777" w:rsidR="00F71D06" w:rsidRPr="00AB52BB" w:rsidRDefault="00F71D06" w:rsidP="00F64F93">
            <w:pPr>
              <w:pStyle w:val="TableSideHeading"/>
              <w:rPr>
                <w:sz w:val="26"/>
              </w:rPr>
            </w:pPr>
          </w:p>
        </w:tc>
        <w:tc>
          <w:tcPr>
            <w:tcW w:w="624" w:type="dxa"/>
          </w:tcPr>
          <w:p w14:paraId="3693654E" w14:textId="77777777" w:rsidR="00F71D06" w:rsidRPr="00AB52BB" w:rsidRDefault="00F71D06" w:rsidP="00F64F93">
            <w:pPr>
              <w:pStyle w:val="TableText"/>
              <w:rPr>
                <w:sz w:val="26"/>
              </w:rPr>
            </w:pPr>
          </w:p>
        </w:tc>
        <w:tc>
          <w:tcPr>
            <w:tcW w:w="7143" w:type="dxa"/>
            <w:gridSpan w:val="2"/>
          </w:tcPr>
          <w:p w14:paraId="4FA222AC" w14:textId="77777777" w:rsidR="00F71D06" w:rsidRPr="00A53008" w:rsidRDefault="00F71D06" w:rsidP="00F64F93">
            <w:pPr>
              <w:pStyle w:val="TableBlock"/>
              <w:rPr>
                <w:rtl/>
              </w:rPr>
            </w:pPr>
            <w:r w:rsidRPr="00AB52BB">
              <w:rPr>
                <w:sz w:val="26"/>
                <w:rtl/>
              </w:rPr>
              <w:t>(2)</w:t>
            </w:r>
            <w:r w:rsidRPr="00AB52BB">
              <w:rPr>
                <w:sz w:val="26"/>
                <w:rtl/>
              </w:rPr>
              <w:tab/>
              <w:t>אחרי ההגדרה "חוק המקרקעין" יבוא:</w:t>
            </w:r>
          </w:p>
        </w:tc>
      </w:tr>
      <w:tr w:rsidR="00F71D06" w14:paraId="259EED22" w14:textId="77777777" w:rsidTr="00F64F93">
        <w:trPr>
          <w:cantSplit/>
          <w:trHeight w:val="60"/>
        </w:trPr>
        <w:tc>
          <w:tcPr>
            <w:tcW w:w="1869" w:type="dxa"/>
          </w:tcPr>
          <w:p w14:paraId="4D86F9F5" w14:textId="77777777" w:rsidR="00F71D06" w:rsidRDefault="00F71D06" w:rsidP="00F64F93">
            <w:pPr>
              <w:pStyle w:val="TableSideHeading"/>
            </w:pPr>
          </w:p>
        </w:tc>
        <w:tc>
          <w:tcPr>
            <w:tcW w:w="624" w:type="dxa"/>
          </w:tcPr>
          <w:p w14:paraId="4E30192D" w14:textId="77777777" w:rsidR="00F71D06" w:rsidRDefault="00F71D06" w:rsidP="00F64F93">
            <w:pPr>
              <w:pStyle w:val="TableText"/>
            </w:pPr>
          </w:p>
        </w:tc>
        <w:tc>
          <w:tcPr>
            <w:tcW w:w="624" w:type="dxa"/>
          </w:tcPr>
          <w:p w14:paraId="26429FC7" w14:textId="77777777" w:rsidR="00F71D06" w:rsidRDefault="00F71D06" w:rsidP="00F64F93">
            <w:pPr>
              <w:pStyle w:val="TableText"/>
            </w:pPr>
          </w:p>
        </w:tc>
        <w:tc>
          <w:tcPr>
            <w:tcW w:w="6519" w:type="dxa"/>
          </w:tcPr>
          <w:p w14:paraId="64F85342" w14:textId="77777777" w:rsidR="00F71D06" w:rsidRPr="00EB2C53" w:rsidRDefault="00F71D06" w:rsidP="00F64F93">
            <w:pPr>
              <w:pStyle w:val="TableBlockOutdent"/>
            </w:pPr>
            <w:r w:rsidRPr="00EB2C53">
              <w:rPr>
                <w:rtl/>
              </w:rPr>
              <w:t>""החוק המתקן</w:t>
            </w:r>
            <w:r>
              <w:rPr>
                <w:rtl/>
              </w:rPr>
              <w:t>" – חוק תאגידי מים וביוב (תיקון</w:t>
            </w:r>
            <w:r>
              <w:rPr>
                <w:rFonts w:hint="cs"/>
              </w:rPr>
              <w:t xml:space="preserve"> </w:t>
            </w:r>
            <w:r>
              <w:rPr>
                <w:rFonts w:hint="cs"/>
                <w:rtl/>
              </w:rPr>
              <w:t>–</w:t>
            </w:r>
            <w:r>
              <w:rPr>
                <w:rFonts w:hint="cs"/>
              </w:rPr>
              <w:t xml:space="preserve"> </w:t>
            </w:r>
            <w:r>
              <w:rPr>
                <w:rFonts w:hint="cs"/>
                <w:rtl/>
              </w:rPr>
              <w:t>צמצום מספר תאגידי המים והביוב</w:t>
            </w:r>
            <w:r w:rsidRPr="00EB2C53">
              <w:rPr>
                <w:rtl/>
              </w:rPr>
              <w:t>), התשע"</w:t>
            </w:r>
            <w:r w:rsidRPr="00EB2C53">
              <w:rPr>
                <w:rFonts w:hint="cs"/>
                <w:rtl/>
              </w:rPr>
              <w:t>ז</w:t>
            </w:r>
            <w:r w:rsidRPr="00EB2C53">
              <w:rPr>
                <w:rtl/>
              </w:rPr>
              <w:t>–2016;";</w:t>
            </w:r>
          </w:p>
        </w:tc>
      </w:tr>
      <w:tr w:rsidR="00F71D06" w:rsidRPr="00AB52BB" w14:paraId="3F7A9649" w14:textId="77777777" w:rsidTr="00F64F93">
        <w:trPr>
          <w:cantSplit/>
        </w:trPr>
        <w:tc>
          <w:tcPr>
            <w:tcW w:w="1869" w:type="dxa"/>
          </w:tcPr>
          <w:p w14:paraId="5CFC093E" w14:textId="77777777" w:rsidR="00F71D06" w:rsidRPr="00AB52BB" w:rsidRDefault="00F71D06" w:rsidP="00F64F93">
            <w:pPr>
              <w:pStyle w:val="TableSideHeading"/>
              <w:keepLines w:val="0"/>
              <w:rPr>
                <w:sz w:val="26"/>
                <w:rtl/>
              </w:rPr>
            </w:pPr>
          </w:p>
        </w:tc>
        <w:tc>
          <w:tcPr>
            <w:tcW w:w="624" w:type="dxa"/>
          </w:tcPr>
          <w:p w14:paraId="4BFB6BD6" w14:textId="77777777" w:rsidR="00F71D06" w:rsidRPr="00AB52BB" w:rsidRDefault="00F71D06" w:rsidP="00F64F93">
            <w:pPr>
              <w:pStyle w:val="TableText"/>
              <w:rPr>
                <w:sz w:val="26"/>
                <w:rtl/>
              </w:rPr>
            </w:pPr>
          </w:p>
        </w:tc>
        <w:tc>
          <w:tcPr>
            <w:tcW w:w="7143" w:type="dxa"/>
            <w:gridSpan w:val="2"/>
          </w:tcPr>
          <w:p w14:paraId="0764C231" w14:textId="77777777" w:rsidR="00F71D06" w:rsidRPr="00AB52BB" w:rsidRDefault="00F71D06" w:rsidP="00F64F93">
            <w:pPr>
              <w:pStyle w:val="TableBlock"/>
              <w:rPr>
                <w:sz w:val="26"/>
                <w:rtl/>
              </w:rPr>
            </w:pPr>
            <w:r w:rsidRPr="00AB52BB">
              <w:rPr>
                <w:sz w:val="26"/>
                <w:rtl/>
              </w:rPr>
              <w:t>(</w:t>
            </w:r>
            <w:r>
              <w:rPr>
                <w:rFonts w:hint="cs"/>
                <w:sz w:val="26"/>
                <w:rtl/>
              </w:rPr>
              <w:t>3</w:t>
            </w:r>
            <w:r w:rsidRPr="00AB52BB">
              <w:rPr>
                <w:sz w:val="26"/>
                <w:rtl/>
              </w:rPr>
              <w:t>)</w:t>
            </w:r>
            <w:r w:rsidRPr="00AB52BB">
              <w:rPr>
                <w:sz w:val="26"/>
                <w:rtl/>
              </w:rPr>
              <w:tab/>
            </w:r>
            <w:r w:rsidRPr="00AB4A04">
              <w:rPr>
                <w:rFonts w:hint="cs"/>
                <w:rtl/>
              </w:rPr>
              <w:t>במקום ה</w:t>
            </w:r>
            <w:r w:rsidRPr="00AB4A04">
              <w:rPr>
                <w:rtl/>
              </w:rPr>
              <w:t xml:space="preserve">הגדרה "רשות מקומית בלא חברה" </w:t>
            </w:r>
            <w:r w:rsidRPr="00AB4A04">
              <w:rPr>
                <w:rFonts w:hint="cs"/>
                <w:rtl/>
              </w:rPr>
              <w:t xml:space="preserve">יבוא: </w:t>
            </w:r>
          </w:p>
        </w:tc>
      </w:tr>
      <w:tr w:rsidR="00F71D06" w:rsidRPr="00AB52BB" w14:paraId="6B98CF7F" w14:textId="77777777" w:rsidTr="00F64F93">
        <w:trPr>
          <w:cantSplit/>
        </w:trPr>
        <w:tc>
          <w:tcPr>
            <w:tcW w:w="1869" w:type="dxa"/>
          </w:tcPr>
          <w:p w14:paraId="5CE4491B" w14:textId="77777777" w:rsidR="00F71D06" w:rsidRPr="00274D4B" w:rsidRDefault="00F71D06" w:rsidP="00F64F93">
            <w:pPr>
              <w:pStyle w:val="TableSideHeading"/>
              <w:ind w:right="0"/>
            </w:pPr>
          </w:p>
        </w:tc>
        <w:tc>
          <w:tcPr>
            <w:tcW w:w="624" w:type="dxa"/>
          </w:tcPr>
          <w:p w14:paraId="3CD581CD" w14:textId="77777777" w:rsidR="00F71D06" w:rsidRPr="00AB52BB" w:rsidRDefault="00F71D06" w:rsidP="00F64F93">
            <w:pPr>
              <w:pStyle w:val="TableText"/>
              <w:rPr>
                <w:sz w:val="26"/>
              </w:rPr>
            </w:pPr>
          </w:p>
        </w:tc>
        <w:tc>
          <w:tcPr>
            <w:tcW w:w="624" w:type="dxa"/>
          </w:tcPr>
          <w:p w14:paraId="65E16C03" w14:textId="77777777" w:rsidR="00F71D06" w:rsidRPr="00AB52BB" w:rsidRDefault="00F71D06" w:rsidP="00F64F93">
            <w:pPr>
              <w:pStyle w:val="TableText"/>
              <w:rPr>
                <w:sz w:val="26"/>
              </w:rPr>
            </w:pPr>
          </w:p>
        </w:tc>
        <w:tc>
          <w:tcPr>
            <w:tcW w:w="6519" w:type="dxa"/>
          </w:tcPr>
          <w:p w14:paraId="13F9A76D" w14:textId="77777777" w:rsidR="00F71D06" w:rsidRPr="00EB2C53" w:rsidRDefault="00F71D06" w:rsidP="00F64F93">
            <w:pPr>
              <w:pStyle w:val="TableBlockOutdent"/>
            </w:pPr>
            <w:r w:rsidRPr="00EB2C53">
              <w:rPr>
                <w:rFonts w:hint="cs"/>
                <w:rtl/>
              </w:rPr>
              <w:t xml:space="preserve">""רשות מקומית בלא חברה" </w:t>
            </w:r>
            <w:r w:rsidRPr="00EB2C53">
              <w:rPr>
                <w:rFonts w:hint="eastAsia"/>
                <w:rtl/>
              </w:rPr>
              <w:t>–</w:t>
            </w:r>
            <w:r w:rsidRPr="00EB2C53">
              <w:rPr>
                <w:rFonts w:hint="cs"/>
                <w:rtl/>
              </w:rPr>
              <w:t xml:space="preserve"> עירייה או מועצה מקומית שעד יום תחילתו של החוק המתקן לא העבירה את הפעלת שירותי המים והביוב שבתחומה לידי חברה."</w:t>
            </w:r>
          </w:p>
        </w:tc>
      </w:tr>
      <w:tr w:rsidR="00F71D06" w:rsidRPr="00AB52BB" w14:paraId="3646E06A" w14:textId="77777777" w:rsidTr="00F64F93">
        <w:trPr>
          <w:cantSplit/>
        </w:trPr>
        <w:tc>
          <w:tcPr>
            <w:tcW w:w="1869" w:type="dxa"/>
          </w:tcPr>
          <w:p w14:paraId="605D1F3D" w14:textId="77777777" w:rsidR="00F71D06" w:rsidRPr="00AB52BB" w:rsidRDefault="00F71D06" w:rsidP="00F64F93">
            <w:pPr>
              <w:pStyle w:val="TableSideHeading"/>
              <w:keepLines w:val="0"/>
              <w:rPr>
                <w:sz w:val="26"/>
                <w:rtl/>
              </w:rPr>
            </w:pPr>
            <w:r w:rsidRPr="00AB52BB">
              <w:rPr>
                <w:sz w:val="26"/>
                <w:rtl/>
              </w:rPr>
              <w:t xml:space="preserve">תיקון סעיף </w:t>
            </w:r>
            <w:r>
              <w:rPr>
                <w:rFonts w:hint="cs"/>
                <w:sz w:val="26"/>
                <w:rtl/>
              </w:rPr>
              <w:t>6ב</w:t>
            </w:r>
          </w:p>
        </w:tc>
        <w:tc>
          <w:tcPr>
            <w:tcW w:w="624" w:type="dxa"/>
          </w:tcPr>
          <w:p w14:paraId="6F845AC6" w14:textId="77777777" w:rsidR="00F71D06" w:rsidRPr="00AB52BB" w:rsidRDefault="00F71D06" w:rsidP="00F64F93">
            <w:pPr>
              <w:pStyle w:val="TableText"/>
              <w:rPr>
                <w:sz w:val="26"/>
                <w:rtl/>
              </w:rPr>
            </w:pPr>
            <w:r w:rsidRPr="00AB52BB">
              <w:rPr>
                <w:sz w:val="26"/>
                <w:rtl/>
              </w:rPr>
              <w:t>2.</w:t>
            </w:r>
          </w:p>
        </w:tc>
        <w:tc>
          <w:tcPr>
            <w:tcW w:w="7143" w:type="dxa"/>
            <w:gridSpan w:val="2"/>
          </w:tcPr>
          <w:p w14:paraId="439B422F" w14:textId="77777777" w:rsidR="00F71D06" w:rsidRPr="00AB52BB" w:rsidRDefault="00F71D06" w:rsidP="00F64F93">
            <w:pPr>
              <w:pStyle w:val="TableBlock"/>
              <w:rPr>
                <w:sz w:val="26"/>
                <w:rtl/>
              </w:rPr>
            </w:pPr>
            <w:r w:rsidRPr="00AB52BB">
              <w:rPr>
                <w:sz w:val="26"/>
                <w:rtl/>
              </w:rPr>
              <w:t xml:space="preserve">בסעיף </w:t>
            </w:r>
            <w:r>
              <w:rPr>
                <w:rFonts w:hint="cs"/>
                <w:sz w:val="26"/>
                <w:rtl/>
              </w:rPr>
              <w:t>6ב</w:t>
            </w:r>
            <w:r w:rsidRPr="00AB52BB">
              <w:rPr>
                <w:sz w:val="26"/>
                <w:rtl/>
              </w:rPr>
              <w:t xml:space="preserve"> לחוק העיקרי</w:t>
            </w:r>
            <w:r>
              <w:rPr>
                <w:rFonts w:hint="cs"/>
                <w:sz w:val="26"/>
                <w:rtl/>
              </w:rPr>
              <w:t xml:space="preserve"> –</w:t>
            </w:r>
            <w:r w:rsidRPr="00AB52BB">
              <w:rPr>
                <w:sz w:val="26"/>
                <w:rtl/>
              </w:rPr>
              <w:t xml:space="preserve"> </w:t>
            </w:r>
          </w:p>
        </w:tc>
      </w:tr>
      <w:tr w:rsidR="00F71D06" w:rsidRPr="00AB52BB" w14:paraId="3AB1451E" w14:textId="77777777" w:rsidTr="00F64F93">
        <w:trPr>
          <w:cantSplit/>
        </w:trPr>
        <w:tc>
          <w:tcPr>
            <w:tcW w:w="1869" w:type="dxa"/>
          </w:tcPr>
          <w:p w14:paraId="581C0618" w14:textId="77777777" w:rsidR="00F71D06" w:rsidRPr="00274D4B" w:rsidRDefault="00F71D06" w:rsidP="00F64F93">
            <w:pPr>
              <w:pStyle w:val="TableSideHeading"/>
              <w:ind w:right="0"/>
              <w:rPr>
                <w:rtl/>
              </w:rPr>
            </w:pPr>
          </w:p>
        </w:tc>
        <w:tc>
          <w:tcPr>
            <w:tcW w:w="624" w:type="dxa"/>
          </w:tcPr>
          <w:p w14:paraId="46229A6A" w14:textId="77777777" w:rsidR="00F71D06" w:rsidRPr="00AB52BB" w:rsidRDefault="00F71D06" w:rsidP="00F64F93">
            <w:pPr>
              <w:pStyle w:val="TableText"/>
              <w:rPr>
                <w:rtl/>
              </w:rPr>
            </w:pPr>
          </w:p>
        </w:tc>
        <w:tc>
          <w:tcPr>
            <w:tcW w:w="7143" w:type="dxa"/>
            <w:gridSpan w:val="2"/>
          </w:tcPr>
          <w:p w14:paraId="388AAA3A" w14:textId="77777777" w:rsidR="00F71D06" w:rsidRPr="00AB52BB" w:rsidRDefault="00F71D06" w:rsidP="00F64F93">
            <w:pPr>
              <w:pStyle w:val="TableBlock"/>
              <w:rPr>
                <w:sz w:val="26"/>
                <w:rtl/>
              </w:rPr>
            </w:pPr>
            <w:r>
              <w:rPr>
                <w:rFonts w:hint="cs"/>
                <w:sz w:val="26"/>
                <w:rtl/>
              </w:rPr>
              <w:t xml:space="preserve">(1) </w:t>
            </w:r>
            <w:r>
              <w:rPr>
                <w:sz w:val="26"/>
                <w:rtl/>
              </w:rPr>
              <w:tab/>
            </w:r>
            <w:r>
              <w:rPr>
                <w:rFonts w:hint="cs"/>
                <w:sz w:val="26"/>
                <w:rtl/>
              </w:rPr>
              <w:t xml:space="preserve">האמור בו יסומן "(א)", ובו, בפסקה (2), המילים "ובלבד שלא קיבלה פטור לפי סעיף 6ו" </w:t>
            </w:r>
            <w:r>
              <w:rPr>
                <w:rFonts w:hint="eastAsia"/>
                <w:sz w:val="26"/>
                <w:rtl/>
              </w:rPr>
              <w:t>–</w:t>
            </w:r>
            <w:r>
              <w:rPr>
                <w:rFonts w:hint="cs"/>
                <w:sz w:val="26"/>
                <w:rtl/>
              </w:rPr>
              <w:t xml:space="preserve"> יימחקו ; </w:t>
            </w:r>
            <w:r w:rsidRPr="00AB52BB">
              <w:rPr>
                <w:sz w:val="26"/>
                <w:rtl/>
              </w:rPr>
              <w:t xml:space="preserve"> </w:t>
            </w:r>
          </w:p>
        </w:tc>
      </w:tr>
      <w:tr w:rsidR="00F71D06" w:rsidRPr="00AB52BB" w14:paraId="194E598C" w14:textId="77777777" w:rsidTr="00F64F93">
        <w:trPr>
          <w:cantSplit/>
        </w:trPr>
        <w:tc>
          <w:tcPr>
            <w:tcW w:w="1869" w:type="dxa"/>
          </w:tcPr>
          <w:p w14:paraId="3DB565C4" w14:textId="77777777" w:rsidR="00F71D06" w:rsidRPr="00274D4B" w:rsidRDefault="00F71D06" w:rsidP="00F64F93">
            <w:pPr>
              <w:pStyle w:val="TableSideHeading"/>
              <w:ind w:right="0"/>
              <w:rPr>
                <w:rtl/>
              </w:rPr>
            </w:pPr>
          </w:p>
        </w:tc>
        <w:tc>
          <w:tcPr>
            <w:tcW w:w="624" w:type="dxa"/>
          </w:tcPr>
          <w:p w14:paraId="730DF02F" w14:textId="77777777" w:rsidR="00F71D06" w:rsidRPr="00AB52BB" w:rsidRDefault="00F71D06" w:rsidP="00F64F93">
            <w:pPr>
              <w:pStyle w:val="TableText"/>
              <w:rPr>
                <w:rtl/>
              </w:rPr>
            </w:pPr>
          </w:p>
        </w:tc>
        <w:tc>
          <w:tcPr>
            <w:tcW w:w="7143" w:type="dxa"/>
            <w:gridSpan w:val="2"/>
          </w:tcPr>
          <w:p w14:paraId="78C42F0F" w14:textId="77777777" w:rsidR="00F71D06" w:rsidRDefault="00F71D06" w:rsidP="00F64F93">
            <w:pPr>
              <w:pStyle w:val="TableBlock"/>
              <w:rPr>
                <w:sz w:val="26"/>
                <w:rtl/>
              </w:rPr>
            </w:pPr>
            <w:r>
              <w:rPr>
                <w:rFonts w:hint="cs"/>
                <w:sz w:val="26"/>
                <w:rtl/>
              </w:rPr>
              <w:t>(2)</w:t>
            </w:r>
            <w:r>
              <w:rPr>
                <w:sz w:val="26"/>
                <w:rtl/>
              </w:rPr>
              <w:tab/>
            </w:r>
            <w:r>
              <w:rPr>
                <w:rFonts w:hint="cs"/>
                <w:sz w:val="26"/>
                <w:rtl/>
              </w:rPr>
              <w:t xml:space="preserve">אחרי סעיף קטן (א) יבוא: </w:t>
            </w:r>
          </w:p>
        </w:tc>
      </w:tr>
      <w:tr w:rsidR="00F71D06" w14:paraId="4C00D427" w14:textId="77777777" w:rsidTr="00F64F93">
        <w:trPr>
          <w:cantSplit/>
          <w:trHeight w:val="60"/>
        </w:trPr>
        <w:tc>
          <w:tcPr>
            <w:tcW w:w="1869" w:type="dxa"/>
          </w:tcPr>
          <w:p w14:paraId="6DCE1684" w14:textId="77777777" w:rsidR="00F71D06" w:rsidRDefault="00F71D06" w:rsidP="00F64F93">
            <w:pPr>
              <w:pStyle w:val="TableSideHeading"/>
            </w:pPr>
          </w:p>
        </w:tc>
        <w:tc>
          <w:tcPr>
            <w:tcW w:w="624" w:type="dxa"/>
          </w:tcPr>
          <w:p w14:paraId="1642AACF" w14:textId="77777777" w:rsidR="00F71D06" w:rsidRDefault="00F71D06" w:rsidP="00F64F93">
            <w:pPr>
              <w:pStyle w:val="TableText"/>
            </w:pPr>
          </w:p>
        </w:tc>
        <w:tc>
          <w:tcPr>
            <w:tcW w:w="624" w:type="dxa"/>
          </w:tcPr>
          <w:p w14:paraId="169F8D8F" w14:textId="77777777" w:rsidR="00F71D06" w:rsidRDefault="00F71D06" w:rsidP="00F64F93">
            <w:pPr>
              <w:pStyle w:val="TableText"/>
            </w:pPr>
          </w:p>
        </w:tc>
        <w:tc>
          <w:tcPr>
            <w:tcW w:w="6519" w:type="dxa"/>
          </w:tcPr>
          <w:p w14:paraId="02066FEF" w14:textId="77777777" w:rsidR="00F71D06" w:rsidRPr="00067B78" w:rsidRDefault="00F71D06" w:rsidP="00F64F93">
            <w:pPr>
              <w:pStyle w:val="TableBlock"/>
            </w:pPr>
            <w:r w:rsidRPr="00067B78">
              <w:rPr>
                <w:rtl/>
              </w:rPr>
              <w:t>"</w:t>
            </w:r>
            <w:r>
              <w:rPr>
                <w:rFonts w:hint="cs"/>
                <w:rtl/>
              </w:rPr>
              <w:t>(ב)</w:t>
            </w:r>
            <w:r>
              <w:rPr>
                <w:rtl/>
              </w:rPr>
              <w:tab/>
            </w:r>
            <w:r>
              <w:rPr>
                <w:rFonts w:hint="cs"/>
                <w:rtl/>
              </w:rPr>
              <w:t xml:space="preserve"> על אף האמור בסעיף קטן (א),  </w:t>
            </w:r>
            <w:r w:rsidRPr="00067B78">
              <w:rPr>
                <w:rtl/>
              </w:rPr>
              <w:t xml:space="preserve">עד ליום </w:t>
            </w:r>
            <w:r w:rsidRPr="00067B78">
              <w:rPr>
                <w:rFonts w:hint="eastAsia"/>
                <w:rtl/>
              </w:rPr>
              <w:t>ו</w:t>
            </w:r>
            <w:r w:rsidRPr="00067B78">
              <w:rPr>
                <w:rtl/>
              </w:rPr>
              <w:t xml:space="preserve">' </w:t>
            </w:r>
            <w:r w:rsidRPr="00067B78">
              <w:rPr>
                <w:rFonts w:hint="eastAsia"/>
                <w:rtl/>
              </w:rPr>
              <w:t>בתמוז</w:t>
            </w:r>
            <w:r w:rsidRPr="00067B78">
              <w:rPr>
                <w:rtl/>
              </w:rPr>
              <w:t xml:space="preserve"> </w:t>
            </w:r>
            <w:r w:rsidRPr="00067B78">
              <w:rPr>
                <w:rFonts w:hint="eastAsia"/>
                <w:rtl/>
              </w:rPr>
              <w:t>התשע</w:t>
            </w:r>
            <w:r w:rsidRPr="00067B78">
              <w:rPr>
                <w:rtl/>
              </w:rPr>
              <w:t xml:space="preserve">"ז (30 </w:t>
            </w:r>
            <w:r w:rsidRPr="00067B78">
              <w:rPr>
                <w:rFonts w:hint="eastAsia"/>
                <w:rtl/>
              </w:rPr>
              <w:t>ביוני</w:t>
            </w:r>
            <w:r w:rsidRPr="00067B78">
              <w:rPr>
                <w:rtl/>
              </w:rPr>
              <w:t xml:space="preserve"> 2017), </w:t>
            </w:r>
            <w:r>
              <w:rPr>
                <w:rFonts w:hint="cs"/>
                <w:rtl/>
              </w:rPr>
              <w:t>רשאית רשות מקומית בלא חברה לפנות לשר התשתיות הלאומיות, האנרגיה והמים בבקשה לקבלת אישור לבצע לאחר המועד הקובע פעילות חיונית שלא באמצעות חברה אזורית; פנתה הרשות המקומית בבקשה כאמור, רשאי שר התשתיות הלאומיות, האנרגיה והמים, לאחר התייעצות עם הרשות הממשלתית למים ולביוב, לפנות לשר האוצר ולשר הפנים בבקשה לקבלת הסכמתם למתן האישור; רשות מקומית בלא חברה לא תגיש בקשה לאישור, אלא אם כן עמדה בתנאים שקבע הממונה בעניין הפעלת משק המים שלה הרשות כמשק סגור וביצעה את מלוא תכניות הפיתוח השנתית שאישר הממונה לפי סעיף 112; לא ניתן אישור השרים כאמור בתוך 45 ימים ממועד פנייתה של הרשות המקומית, תהיה הרשות המקומית מחויבת לבצע פעילות חיונית שלה, או פעילות חיונית יחד עם הפעילות הנוספת שלה,  באמצעות חברה אזורית, החל במועד הקובע; אישור לפי סעיף קטן זה יינתן לתקופה של שלוש שנים, והשרים יבחנו בתום התקופה האמורה אם להאריך את תוקפו.</w:t>
            </w:r>
          </w:p>
        </w:tc>
      </w:tr>
      <w:tr w:rsidR="00F71D06" w14:paraId="4F530778" w14:textId="77777777" w:rsidTr="00F64F93">
        <w:trPr>
          <w:cantSplit/>
          <w:trHeight w:val="60"/>
        </w:trPr>
        <w:tc>
          <w:tcPr>
            <w:tcW w:w="1869" w:type="dxa"/>
          </w:tcPr>
          <w:p w14:paraId="56D7BC14" w14:textId="77777777" w:rsidR="00F71D06" w:rsidRDefault="00F71D06" w:rsidP="00F64F93">
            <w:pPr>
              <w:pStyle w:val="TableSideHeading"/>
            </w:pPr>
          </w:p>
        </w:tc>
        <w:tc>
          <w:tcPr>
            <w:tcW w:w="624" w:type="dxa"/>
          </w:tcPr>
          <w:p w14:paraId="2D5728ED" w14:textId="77777777" w:rsidR="00F71D06" w:rsidRDefault="00F71D06" w:rsidP="00F64F93">
            <w:pPr>
              <w:pStyle w:val="TableText"/>
            </w:pPr>
          </w:p>
        </w:tc>
        <w:tc>
          <w:tcPr>
            <w:tcW w:w="624" w:type="dxa"/>
          </w:tcPr>
          <w:p w14:paraId="03C9E7E4" w14:textId="77777777" w:rsidR="00F71D06" w:rsidRDefault="00F71D06" w:rsidP="00F64F93">
            <w:pPr>
              <w:pStyle w:val="TableText"/>
            </w:pPr>
          </w:p>
        </w:tc>
        <w:tc>
          <w:tcPr>
            <w:tcW w:w="6519" w:type="dxa"/>
          </w:tcPr>
          <w:p w14:paraId="73D1B67E" w14:textId="77777777" w:rsidR="00F71D06" w:rsidRPr="00492E8C" w:rsidRDefault="00F71D06" w:rsidP="00F64F93">
            <w:pPr>
              <w:pStyle w:val="TableBlock"/>
              <w:rPr>
                <w:rtl/>
              </w:rPr>
            </w:pPr>
            <w:r w:rsidRPr="00492E8C">
              <w:rPr>
                <w:rtl/>
              </w:rPr>
              <w:t>(ג)</w:t>
            </w:r>
            <w:r>
              <w:rPr>
                <w:rtl/>
              </w:rPr>
              <w:tab/>
            </w:r>
            <w:r w:rsidRPr="00492E8C">
              <w:rPr>
                <w:rFonts w:hint="eastAsia"/>
                <w:rtl/>
              </w:rPr>
              <w:t>קיבלה</w:t>
            </w:r>
            <w:r w:rsidRPr="00492E8C">
              <w:rPr>
                <w:rtl/>
              </w:rPr>
              <w:t xml:space="preserve"> </w:t>
            </w:r>
            <w:r w:rsidRPr="00492E8C">
              <w:rPr>
                <w:rFonts w:hint="eastAsia"/>
                <w:rtl/>
              </w:rPr>
              <w:t>רשות</w:t>
            </w:r>
            <w:r w:rsidRPr="00492E8C">
              <w:rPr>
                <w:rtl/>
              </w:rPr>
              <w:t xml:space="preserve"> </w:t>
            </w:r>
            <w:r w:rsidRPr="00492E8C">
              <w:rPr>
                <w:rFonts w:hint="eastAsia"/>
                <w:rtl/>
              </w:rPr>
              <w:t>מקומית</w:t>
            </w:r>
            <w:r w:rsidRPr="00492E8C">
              <w:rPr>
                <w:rtl/>
              </w:rPr>
              <w:t xml:space="preserve"> </w:t>
            </w:r>
            <w:r w:rsidRPr="00492E8C">
              <w:rPr>
                <w:rFonts w:hint="eastAsia"/>
                <w:rtl/>
              </w:rPr>
              <w:t>בלא</w:t>
            </w:r>
            <w:r w:rsidRPr="00492E8C">
              <w:rPr>
                <w:rtl/>
              </w:rPr>
              <w:t xml:space="preserve"> </w:t>
            </w:r>
            <w:r w:rsidRPr="00492E8C">
              <w:rPr>
                <w:rFonts w:hint="eastAsia"/>
                <w:rtl/>
              </w:rPr>
              <w:t>חברה</w:t>
            </w:r>
            <w:r w:rsidRPr="00492E8C">
              <w:rPr>
                <w:rtl/>
              </w:rPr>
              <w:t xml:space="preserve"> </w:t>
            </w:r>
            <w:r w:rsidRPr="00492E8C">
              <w:rPr>
                <w:rFonts w:hint="eastAsia"/>
                <w:rtl/>
              </w:rPr>
              <w:t>אישור</w:t>
            </w:r>
            <w:r w:rsidRPr="00492E8C">
              <w:rPr>
                <w:rtl/>
              </w:rPr>
              <w:t xml:space="preserve"> </w:t>
            </w:r>
            <w:r w:rsidRPr="00492E8C">
              <w:rPr>
                <w:rFonts w:hint="eastAsia"/>
                <w:rtl/>
              </w:rPr>
              <w:t>לפי</w:t>
            </w:r>
            <w:r w:rsidRPr="00492E8C">
              <w:rPr>
                <w:rtl/>
              </w:rPr>
              <w:t xml:space="preserve"> </w:t>
            </w:r>
            <w:r w:rsidRPr="00492E8C">
              <w:rPr>
                <w:rFonts w:hint="eastAsia"/>
                <w:rtl/>
              </w:rPr>
              <w:t>סעיף</w:t>
            </w:r>
            <w:r w:rsidRPr="00492E8C">
              <w:rPr>
                <w:rtl/>
              </w:rPr>
              <w:t xml:space="preserve"> </w:t>
            </w:r>
            <w:r w:rsidRPr="00492E8C">
              <w:rPr>
                <w:rFonts w:hint="eastAsia"/>
                <w:rtl/>
              </w:rPr>
              <w:t>קטן</w:t>
            </w:r>
            <w:r w:rsidRPr="00492E8C">
              <w:rPr>
                <w:rtl/>
              </w:rPr>
              <w:t xml:space="preserve"> (ב), </w:t>
            </w:r>
            <w:r w:rsidRPr="00492E8C">
              <w:rPr>
                <w:rFonts w:hint="eastAsia"/>
                <w:rtl/>
              </w:rPr>
              <w:t>תממן</w:t>
            </w:r>
            <w:r w:rsidRPr="00492E8C">
              <w:rPr>
                <w:rtl/>
              </w:rPr>
              <w:t xml:space="preserve"> </w:t>
            </w:r>
            <w:r w:rsidRPr="00492E8C">
              <w:rPr>
                <w:rFonts w:hint="eastAsia"/>
                <w:rtl/>
              </w:rPr>
              <w:t>את</w:t>
            </w:r>
            <w:r w:rsidRPr="00492E8C">
              <w:rPr>
                <w:rtl/>
              </w:rPr>
              <w:t xml:space="preserve"> </w:t>
            </w:r>
            <w:r w:rsidRPr="00492E8C">
              <w:rPr>
                <w:rFonts w:hint="eastAsia"/>
                <w:rtl/>
              </w:rPr>
              <w:t>ביצוע</w:t>
            </w:r>
            <w:r w:rsidRPr="00492E8C">
              <w:rPr>
                <w:rtl/>
              </w:rPr>
              <w:t xml:space="preserve"> </w:t>
            </w:r>
            <w:r w:rsidRPr="00492E8C">
              <w:rPr>
                <w:rFonts w:hint="eastAsia"/>
                <w:rtl/>
              </w:rPr>
              <w:t>הפעילות</w:t>
            </w:r>
            <w:r w:rsidRPr="00492E8C">
              <w:rPr>
                <w:rtl/>
              </w:rPr>
              <w:t xml:space="preserve"> </w:t>
            </w:r>
            <w:r w:rsidRPr="00492E8C">
              <w:rPr>
                <w:rFonts w:hint="eastAsia"/>
                <w:rtl/>
              </w:rPr>
              <w:t>החיונית</w:t>
            </w:r>
            <w:r w:rsidRPr="00492E8C">
              <w:rPr>
                <w:rtl/>
              </w:rPr>
              <w:t xml:space="preserve"> </w:t>
            </w:r>
            <w:r w:rsidRPr="00492E8C">
              <w:rPr>
                <w:rFonts w:hint="eastAsia"/>
                <w:rtl/>
              </w:rPr>
              <w:t>שלה</w:t>
            </w:r>
            <w:r w:rsidRPr="00492E8C">
              <w:rPr>
                <w:rtl/>
              </w:rPr>
              <w:t xml:space="preserve"> </w:t>
            </w:r>
            <w:r w:rsidRPr="00492E8C">
              <w:rPr>
                <w:rFonts w:hint="eastAsia"/>
                <w:rtl/>
              </w:rPr>
              <w:t>או</w:t>
            </w:r>
            <w:r w:rsidRPr="00492E8C">
              <w:rPr>
                <w:rtl/>
              </w:rPr>
              <w:t xml:space="preserve"> </w:t>
            </w:r>
            <w:r w:rsidRPr="00492E8C">
              <w:rPr>
                <w:rFonts w:hint="eastAsia"/>
                <w:rtl/>
              </w:rPr>
              <w:t>פעילות</w:t>
            </w:r>
            <w:r w:rsidRPr="00492E8C">
              <w:rPr>
                <w:rtl/>
              </w:rPr>
              <w:t xml:space="preserve"> </w:t>
            </w:r>
            <w:r w:rsidRPr="00492E8C">
              <w:rPr>
                <w:rFonts w:hint="eastAsia"/>
                <w:rtl/>
              </w:rPr>
              <w:t>חיונית</w:t>
            </w:r>
            <w:r w:rsidRPr="00492E8C">
              <w:rPr>
                <w:rtl/>
              </w:rPr>
              <w:t xml:space="preserve"> </w:t>
            </w:r>
            <w:r w:rsidRPr="00492E8C">
              <w:rPr>
                <w:rFonts w:hint="eastAsia"/>
                <w:rtl/>
              </w:rPr>
              <w:t>יחד</w:t>
            </w:r>
            <w:r w:rsidRPr="00492E8C">
              <w:rPr>
                <w:rtl/>
              </w:rPr>
              <w:t xml:space="preserve"> </w:t>
            </w:r>
            <w:r w:rsidRPr="00492E8C">
              <w:rPr>
                <w:rFonts w:hint="eastAsia"/>
                <w:rtl/>
              </w:rPr>
              <w:t>עם</w:t>
            </w:r>
            <w:r w:rsidRPr="00492E8C">
              <w:rPr>
                <w:rtl/>
              </w:rPr>
              <w:t xml:space="preserve"> </w:t>
            </w:r>
            <w:r w:rsidRPr="00492E8C">
              <w:rPr>
                <w:rFonts w:hint="eastAsia"/>
                <w:rtl/>
              </w:rPr>
              <w:t>פעילות</w:t>
            </w:r>
            <w:r w:rsidRPr="00492E8C">
              <w:rPr>
                <w:rtl/>
              </w:rPr>
              <w:t xml:space="preserve"> </w:t>
            </w:r>
            <w:r w:rsidRPr="00492E8C">
              <w:rPr>
                <w:rFonts w:hint="eastAsia"/>
                <w:rtl/>
              </w:rPr>
              <w:t>נוספת</w:t>
            </w:r>
            <w:r w:rsidRPr="00492E8C">
              <w:rPr>
                <w:rtl/>
              </w:rPr>
              <w:t xml:space="preserve"> </w:t>
            </w:r>
            <w:r w:rsidRPr="00492E8C">
              <w:rPr>
                <w:rFonts w:hint="eastAsia"/>
                <w:rtl/>
              </w:rPr>
              <w:t>שלה</w:t>
            </w:r>
            <w:r>
              <w:rPr>
                <w:rFonts w:hint="cs"/>
                <w:rtl/>
              </w:rPr>
              <w:t>, במהלך התקופה שלגביה ניתן האישור</w:t>
            </w:r>
            <w:r w:rsidRPr="00492E8C">
              <w:rPr>
                <w:rtl/>
              </w:rPr>
              <w:t xml:space="preserve">, </w:t>
            </w:r>
            <w:r w:rsidRPr="00492E8C">
              <w:rPr>
                <w:rFonts w:hint="eastAsia"/>
                <w:rtl/>
              </w:rPr>
              <w:t>באמצעות</w:t>
            </w:r>
            <w:r w:rsidRPr="00492E8C">
              <w:rPr>
                <w:rtl/>
              </w:rPr>
              <w:t xml:space="preserve"> </w:t>
            </w:r>
            <w:r w:rsidRPr="00492E8C">
              <w:rPr>
                <w:rFonts w:hint="eastAsia"/>
                <w:rtl/>
              </w:rPr>
              <w:t>התשלומים</w:t>
            </w:r>
            <w:r w:rsidRPr="00492E8C">
              <w:rPr>
                <w:rtl/>
              </w:rPr>
              <w:t xml:space="preserve"> </w:t>
            </w:r>
            <w:r w:rsidRPr="00492E8C">
              <w:rPr>
                <w:rFonts w:hint="eastAsia"/>
                <w:rtl/>
              </w:rPr>
              <w:t>שתגבה</w:t>
            </w:r>
            <w:r w:rsidRPr="00492E8C">
              <w:rPr>
                <w:rtl/>
              </w:rPr>
              <w:t xml:space="preserve"> </w:t>
            </w:r>
            <w:r w:rsidRPr="00492E8C">
              <w:rPr>
                <w:rFonts w:hint="eastAsia"/>
                <w:rtl/>
              </w:rPr>
              <w:t>מהצרכנים</w:t>
            </w:r>
            <w:r w:rsidRPr="00492E8C">
              <w:rPr>
                <w:rtl/>
              </w:rPr>
              <w:t xml:space="preserve"> </w:t>
            </w:r>
            <w:r w:rsidRPr="00492E8C">
              <w:rPr>
                <w:rFonts w:hint="eastAsia"/>
                <w:rtl/>
              </w:rPr>
              <w:t>בעד</w:t>
            </w:r>
            <w:r w:rsidRPr="00492E8C">
              <w:rPr>
                <w:rtl/>
              </w:rPr>
              <w:t xml:space="preserve"> </w:t>
            </w:r>
            <w:r w:rsidRPr="00492E8C">
              <w:rPr>
                <w:rFonts w:hint="eastAsia"/>
                <w:rtl/>
              </w:rPr>
              <w:t>שירותי</w:t>
            </w:r>
            <w:r w:rsidRPr="00492E8C">
              <w:rPr>
                <w:rtl/>
              </w:rPr>
              <w:t xml:space="preserve"> </w:t>
            </w:r>
            <w:r w:rsidRPr="00492E8C">
              <w:rPr>
                <w:rFonts w:hint="eastAsia"/>
                <w:rtl/>
              </w:rPr>
              <w:t>המים</w:t>
            </w:r>
            <w:r w:rsidRPr="00492E8C">
              <w:rPr>
                <w:rtl/>
              </w:rPr>
              <w:t xml:space="preserve"> </w:t>
            </w:r>
            <w:r w:rsidRPr="00492E8C">
              <w:rPr>
                <w:rFonts w:hint="eastAsia"/>
                <w:rtl/>
              </w:rPr>
              <w:t>והביוב</w:t>
            </w:r>
            <w:r w:rsidRPr="00492E8C">
              <w:rPr>
                <w:rtl/>
              </w:rPr>
              <w:t xml:space="preserve">; </w:t>
            </w:r>
            <w:r w:rsidRPr="00492E8C">
              <w:rPr>
                <w:rFonts w:hint="eastAsia"/>
                <w:rtl/>
              </w:rPr>
              <w:t>התשלומים</w:t>
            </w:r>
            <w:r w:rsidRPr="00492E8C">
              <w:rPr>
                <w:rtl/>
              </w:rPr>
              <w:t xml:space="preserve"> </w:t>
            </w:r>
            <w:r w:rsidRPr="00492E8C">
              <w:rPr>
                <w:rFonts w:hint="eastAsia"/>
                <w:rtl/>
              </w:rPr>
              <w:t>כאמור</w:t>
            </w:r>
            <w:r w:rsidRPr="00492E8C">
              <w:rPr>
                <w:rtl/>
              </w:rPr>
              <w:t xml:space="preserve"> </w:t>
            </w:r>
            <w:r w:rsidRPr="00492E8C">
              <w:rPr>
                <w:rFonts w:hint="eastAsia"/>
                <w:rtl/>
              </w:rPr>
              <w:t>ישמשו</w:t>
            </w:r>
            <w:r w:rsidRPr="00492E8C">
              <w:rPr>
                <w:rtl/>
              </w:rPr>
              <w:t xml:space="preserve"> </w:t>
            </w:r>
            <w:r w:rsidRPr="00492E8C">
              <w:rPr>
                <w:rFonts w:hint="eastAsia"/>
                <w:rtl/>
              </w:rPr>
              <w:t>רק</w:t>
            </w:r>
            <w:r w:rsidRPr="00492E8C">
              <w:rPr>
                <w:rtl/>
              </w:rPr>
              <w:t xml:space="preserve"> </w:t>
            </w:r>
            <w:r w:rsidRPr="00492E8C">
              <w:rPr>
                <w:rFonts w:hint="eastAsia"/>
                <w:rtl/>
              </w:rPr>
              <w:t>לשם</w:t>
            </w:r>
            <w:r w:rsidRPr="00492E8C">
              <w:rPr>
                <w:rtl/>
              </w:rPr>
              <w:t xml:space="preserve"> </w:t>
            </w:r>
            <w:r w:rsidRPr="00492E8C">
              <w:rPr>
                <w:rFonts w:hint="eastAsia"/>
                <w:rtl/>
              </w:rPr>
              <w:t>הספקת</w:t>
            </w:r>
            <w:r w:rsidRPr="00492E8C">
              <w:rPr>
                <w:rtl/>
              </w:rPr>
              <w:t xml:space="preserve"> </w:t>
            </w:r>
            <w:r w:rsidRPr="00492E8C">
              <w:rPr>
                <w:rFonts w:hint="eastAsia"/>
                <w:rtl/>
              </w:rPr>
              <w:t>אותם</w:t>
            </w:r>
            <w:r w:rsidRPr="00492E8C">
              <w:rPr>
                <w:rtl/>
              </w:rPr>
              <w:t xml:space="preserve"> </w:t>
            </w:r>
            <w:r w:rsidRPr="00492E8C">
              <w:rPr>
                <w:rFonts w:hint="eastAsia"/>
                <w:rtl/>
              </w:rPr>
              <w:t>שירותים</w:t>
            </w:r>
            <w:r>
              <w:rPr>
                <w:rFonts w:hint="cs"/>
                <w:rtl/>
              </w:rPr>
              <w:t>.</w:t>
            </w:r>
            <w:r w:rsidRPr="00492E8C">
              <w:rPr>
                <w:rtl/>
              </w:rPr>
              <w:t>"</w:t>
            </w:r>
          </w:p>
        </w:tc>
      </w:tr>
      <w:tr w:rsidR="00F71D06" w:rsidRPr="00AB52BB" w14:paraId="4E7550E7" w14:textId="77777777" w:rsidTr="00F64F93">
        <w:trPr>
          <w:cantSplit/>
        </w:trPr>
        <w:tc>
          <w:tcPr>
            <w:tcW w:w="1869" w:type="dxa"/>
          </w:tcPr>
          <w:p w14:paraId="3F525EA3" w14:textId="77777777" w:rsidR="00F71D06" w:rsidRDefault="00F71D06" w:rsidP="00F64F93">
            <w:pPr>
              <w:pStyle w:val="TableSideHeading"/>
              <w:keepLines w:val="0"/>
              <w:rPr>
                <w:sz w:val="26"/>
                <w:rtl/>
              </w:rPr>
            </w:pPr>
            <w:r w:rsidRPr="00AB52BB">
              <w:rPr>
                <w:sz w:val="26"/>
                <w:rtl/>
              </w:rPr>
              <w:t>תיקון סעיף 6ג</w:t>
            </w:r>
          </w:p>
        </w:tc>
        <w:tc>
          <w:tcPr>
            <w:tcW w:w="624" w:type="dxa"/>
          </w:tcPr>
          <w:p w14:paraId="56055719" w14:textId="77777777" w:rsidR="00F71D06" w:rsidRPr="00AB52BB" w:rsidRDefault="00F71D06" w:rsidP="00F64F93">
            <w:pPr>
              <w:pStyle w:val="TableText"/>
              <w:rPr>
                <w:rtl/>
              </w:rPr>
            </w:pPr>
            <w:r>
              <w:rPr>
                <w:rFonts w:hint="cs"/>
                <w:rtl/>
              </w:rPr>
              <w:t>3.</w:t>
            </w:r>
          </w:p>
        </w:tc>
        <w:tc>
          <w:tcPr>
            <w:tcW w:w="7143" w:type="dxa"/>
            <w:gridSpan w:val="2"/>
          </w:tcPr>
          <w:p w14:paraId="25EB49A7" w14:textId="77777777" w:rsidR="00F71D06" w:rsidRDefault="00F71D06" w:rsidP="00F64F93">
            <w:pPr>
              <w:pStyle w:val="TableBlock"/>
              <w:rPr>
                <w:sz w:val="26"/>
                <w:rtl/>
              </w:rPr>
            </w:pPr>
            <w:r w:rsidRPr="00AB52BB">
              <w:rPr>
                <w:sz w:val="26"/>
                <w:rtl/>
              </w:rPr>
              <w:t>בסעיף 6ג לחוק העיקרי –</w:t>
            </w:r>
            <w:r w:rsidDel="00492E8C">
              <w:rPr>
                <w:rFonts w:hint="cs"/>
                <w:sz w:val="26"/>
                <w:rtl/>
              </w:rPr>
              <w:t xml:space="preserve"> </w:t>
            </w:r>
          </w:p>
        </w:tc>
      </w:tr>
      <w:tr w:rsidR="00F71D06" w14:paraId="6C7C216E" w14:textId="77777777" w:rsidTr="00F64F93">
        <w:trPr>
          <w:cantSplit/>
          <w:trHeight w:val="60"/>
        </w:trPr>
        <w:tc>
          <w:tcPr>
            <w:tcW w:w="1869" w:type="dxa"/>
          </w:tcPr>
          <w:p w14:paraId="05AD8178" w14:textId="77777777" w:rsidR="00F71D06" w:rsidRDefault="00F71D06" w:rsidP="00F64F93">
            <w:pPr>
              <w:pStyle w:val="TableSideHeading"/>
            </w:pPr>
          </w:p>
        </w:tc>
        <w:tc>
          <w:tcPr>
            <w:tcW w:w="624" w:type="dxa"/>
          </w:tcPr>
          <w:p w14:paraId="6C4C7A02" w14:textId="77777777" w:rsidR="00F71D06" w:rsidRDefault="00F71D06" w:rsidP="00F64F93">
            <w:pPr>
              <w:pStyle w:val="TableText"/>
            </w:pPr>
          </w:p>
        </w:tc>
        <w:tc>
          <w:tcPr>
            <w:tcW w:w="7143" w:type="dxa"/>
            <w:gridSpan w:val="2"/>
          </w:tcPr>
          <w:p w14:paraId="4CF19F61" w14:textId="77777777" w:rsidR="00F71D06" w:rsidRDefault="00F71D06" w:rsidP="00F64F93">
            <w:pPr>
              <w:pStyle w:val="TableBlock"/>
            </w:pPr>
            <w:r w:rsidRPr="00AB52BB">
              <w:rPr>
                <w:sz w:val="26"/>
                <w:rtl/>
              </w:rPr>
              <w:t>(1)</w:t>
            </w:r>
            <w:r w:rsidRPr="00AB52BB">
              <w:rPr>
                <w:sz w:val="26"/>
                <w:rtl/>
              </w:rPr>
              <w:tab/>
              <w:t>בסעיף קטן (ב), במקום "ששויכו" יבוא "שהקימו חברה כאמור בסעיף 3 לביצוע פעילות חיונית, או פעילות חיונית יחד עם פעילות נוספת</w:t>
            </w:r>
            <w:r>
              <w:rPr>
                <w:rFonts w:hint="cs"/>
                <w:sz w:val="26"/>
                <w:rtl/>
              </w:rPr>
              <w:t>,</w:t>
            </w:r>
            <w:r w:rsidRPr="00AB52BB">
              <w:rPr>
                <w:sz w:val="26"/>
                <w:rtl/>
              </w:rPr>
              <w:t xml:space="preserve"> ושויכו";</w:t>
            </w:r>
            <w:r w:rsidDel="00492E8C">
              <w:rPr>
                <w:rFonts w:hint="cs"/>
                <w:rtl/>
              </w:rPr>
              <w:t xml:space="preserve"> </w:t>
            </w:r>
          </w:p>
        </w:tc>
      </w:tr>
      <w:tr w:rsidR="00F71D06" w14:paraId="36902805" w14:textId="77777777" w:rsidTr="00F64F93">
        <w:trPr>
          <w:cantSplit/>
          <w:trHeight w:val="60"/>
        </w:trPr>
        <w:tc>
          <w:tcPr>
            <w:tcW w:w="1869" w:type="dxa"/>
          </w:tcPr>
          <w:p w14:paraId="711B66F4" w14:textId="77777777" w:rsidR="00F71D06" w:rsidRDefault="00F71D06" w:rsidP="00F64F93">
            <w:pPr>
              <w:pStyle w:val="TableSideHeading"/>
              <w:rPr>
                <w:rtl/>
              </w:rPr>
            </w:pPr>
          </w:p>
        </w:tc>
        <w:tc>
          <w:tcPr>
            <w:tcW w:w="624" w:type="dxa"/>
          </w:tcPr>
          <w:p w14:paraId="4349915B" w14:textId="77777777" w:rsidR="00F71D06" w:rsidRDefault="00F71D06" w:rsidP="00F64F93">
            <w:pPr>
              <w:pStyle w:val="TableText"/>
            </w:pPr>
          </w:p>
        </w:tc>
        <w:tc>
          <w:tcPr>
            <w:tcW w:w="7143" w:type="dxa"/>
            <w:gridSpan w:val="2"/>
          </w:tcPr>
          <w:p w14:paraId="785A2D7E" w14:textId="77777777" w:rsidR="00F71D06" w:rsidRDefault="00F71D06" w:rsidP="00F64F93">
            <w:pPr>
              <w:pStyle w:val="TableBlock"/>
              <w:rPr>
                <w:rtl/>
              </w:rPr>
            </w:pPr>
            <w:r>
              <w:rPr>
                <w:sz w:val="26"/>
                <w:rtl/>
              </w:rPr>
              <w:t>(2)</w:t>
            </w:r>
            <w:r>
              <w:rPr>
                <w:sz w:val="26"/>
                <w:rtl/>
              </w:rPr>
              <w:tab/>
              <w:t>בסעיף קטן (ג)</w:t>
            </w:r>
            <w:r>
              <w:rPr>
                <w:rFonts w:hint="cs"/>
                <w:sz w:val="26"/>
                <w:rtl/>
              </w:rPr>
              <w:t xml:space="preserve">, ברישה, אחרי "לפי סעיף 15" יבוא "ובלבד שמספר החברות האזוריות שתאשר לא יעלה על 11."; </w:t>
            </w:r>
          </w:p>
        </w:tc>
      </w:tr>
      <w:tr w:rsidR="00F71D06" w:rsidRPr="00AB52BB" w14:paraId="79B2D2D9" w14:textId="77777777" w:rsidTr="00F64F93">
        <w:trPr>
          <w:cantSplit/>
        </w:trPr>
        <w:tc>
          <w:tcPr>
            <w:tcW w:w="1869" w:type="dxa"/>
          </w:tcPr>
          <w:p w14:paraId="535C1B5C" w14:textId="77777777" w:rsidR="00F71D06" w:rsidRPr="00AB52BB" w:rsidRDefault="00F71D06" w:rsidP="00F64F93">
            <w:pPr>
              <w:pStyle w:val="TableSideHeading"/>
              <w:keepLines w:val="0"/>
              <w:rPr>
                <w:sz w:val="26"/>
                <w:rtl/>
              </w:rPr>
            </w:pPr>
          </w:p>
        </w:tc>
        <w:tc>
          <w:tcPr>
            <w:tcW w:w="624" w:type="dxa"/>
          </w:tcPr>
          <w:p w14:paraId="0F928692" w14:textId="77777777" w:rsidR="00F71D06" w:rsidRPr="00AB52BB" w:rsidRDefault="00F71D06" w:rsidP="00F64F93">
            <w:pPr>
              <w:pStyle w:val="TableText"/>
              <w:rPr>
                <w:sz w:val="26"/>
                <w:rtl/>
              </w:rPr>
            </w:pPr>
          </w:p>
        </w:tc>
        <w:tc>
          <w:tcPr>
            <w:tcW w:w="7143" w:type="dxa"/>
            <w:gridSpan w:val="2"/>
          </w:tcPr>
          <w:p w14:paraId="034142F8"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אחרי סעיף (ד) יבוא:</w:t>
            </w:r>
          </w:p>
        </w:tc>
      </w:tr>
      <w:tr w:rsidR="00F71D06" w14:paraId="18D27651" w14:textId="77777777" w:rsidTr="00F64F93">
        <w:trPr>
          <w:cantSplit/>
          <w:trHeight w:val="60"/>
        </w:trPr>
        <w:tc>
          <w:tcPr>
            <w:tcW w:w="1869" w:type="dxa"/>
          </w:tcPr>
          <w:p w14:paraId="5C4FB5DC" w14:textId="77777777" w:rsidR="00F71D06" w:rsidRDefault="00F71D06" w:rsidP="00F64F93">
            <w:pPr>
              <w:pStyle w:val="TableSideHeading"/>
            </w:pPr>
          </w:p>
        </w:tc>
        <w:tc>
          <w:tcPr>
            <w:tcW w:w="624" w:type="dxa"/>
          </w:tcPr>
          <w:p w14:paraId="7900A065" w14:textId="77777777" w:rsidR="00F71D06" w:rsidRDefault="00F71D06" w:rsidP="00F64F93">
            <w:pPr>
              <w:pStyle w:val="TableText"/>
            </w:pPr>
          </w:p>
        </w:tc>
        <w:tc>
          <w:tcPr>
            <w:tcW w:w="624" w:type="dxa"/>
          </w:tcPr>
          <w:p w14:paraId="28163CFA" w14:textId="77777777" w:rsidR="00F71D06" w:rsidRDefault="00F71D06" w:rsidP="00F64F93">
            <w:pPr>
              <w:pStyle w:val="TableText"/>
            </w:pPr>
          </w:p>
        </w:tc>
        <w:tc>
          <w:tcPr>
            <w:tcW w:w="6519" w:type="dxa"/>
          </w:tcPr>
          <w:p w14:paraId="782E0714" w14:textId="77777777" w:rsidR="00F71D06" w:rsidRDefault="00F71D06" w:rsidP="00F64F93">
            <w:pPr>
              <w:pStyle w:val="TableBlock"/>
            </w:pPr>
            <w:r>
              <w:rPr>
                <w:rFonts w:hint="cs"/>
                <w:rtl/>
              </w:rPr>
              <w:t>"(ד1) רשות מקומית בלא חברה שקיבלה אישור לפי סעיף 6ב(ב) ומפעילה את שירותי המים והביוב שלה שלא באמצעות חברה, רשאית לבקש להצטרף לחברה אזורית גם במשך התקופה שאושרה לפי אותו סעיף, ועל החברה האזורית לצרפה, אם אישרה זאת מועצת הרשות.".</w:t>
            </w:r>
          </w:p>
        </w:tc>
      </w:tr>
      <w:tr w:rsidR="00F71D06" w:rsidRPr="00AB52BB" w14:paraId="7483F4CF" w14:textId="77777777" w:rsidTr="00F64F93">
        <w:trPr>
          <w:cantSplit/>
        </w:trPr>
        <w:tc>
          <w:tcPr>
            <w:tcW w:w="1869" w:type="dxa"/>
          </w:tcPr>
          <w:p w14:paraId="5D11B234" w14:textId="77777777" w:rsidR="00F71D06" w:rsidRPr="00AB52BB" w:rsidRDefault="00F71D06" w:rsidP="00F64F93">
            <w:pPr>
              <w:pStyle w:val="TableSideHeading"/>
              <w:rPr>
                <w:sz w:val="26"/>
              </w:rPr>
            </w:pPr>
            <w:r>
              <w:rPr>
                <w:rFonts w:hint="cs"/>
                <w:sz w:val="26"/>
                <w:rtl/>
              </w:rPr>
              <w:t>תיקון</w:t>
            </w:r>
            <w:r w:rsidRPr="00AB52BB">
              <w:rPr>
                <w:sz w:val="26"/>
                <w:rtl/>
              </w:rPr>
              <w:t xml:space="preserve"> סעיף </w:t>
            </w:r>
            <w:r>
              <w:rPr>
                <w:rFonts w:hint="cs"/>
                <w:sz w:val="26"/>
                <w:rtl/>
              </w:rPr>
              <w:t>6ה</w:t>
            </w:r>
          </w:p>
        </w:tc>
        <w:tc>
          <w:tcPr>
            <w:tcW w:w="624" w:type="dxa"/>
          </w:tcPr>
          <w:p w14:paraId="0AEE5840" w14:textId="77777777" w:rsidR="00F71D06" w:rsidRPr="00AB52BB" w:rsidRDefault="00F71D06" w:rsidP="00F64F93">
            <w:pPr>
              <w:pStyle w:val="TableText"/>
              <w:rPr>
                <w:sz w:val="26"/>
              </w:rPr>
            </w:pPr>
            <w:r w:rsidRPr="00AB52BB">
              <w:rPr>
                <w:sz w:val="26"/>
                <w:rtl/>
              </w:rPr>
              <w:t>4.</w:t>
            </w:r>
          </w:p>
        </w:tc>
        <w:tc>
          <w:tcPr>
            <w:tcW w:w="7143" w:type="dxa"/>
            <w:gridSpan w:val="2"/>
          </w:tcPr>
          <w:p w14:paraId="74BC3D2E" w14:textId="77777777" w:rsidR="00F71D06" w:rsidRPr="00AB52BB" w:rsidRDefault="00F71D06" w:rsidP="00F64F93">
            <w:pPr>
              <w:pStyle w:val="TableBlock"/>
              <w:rPr>
                <w:sz w:val="26"/>
              </w:rPr>
            </w:pPr>
            <w:r>
              <w:rPr>
                <w:rFonts w:hint="cs"/>
                <w:sz w:val="26"/>
                <w:rtl/>
              </w:rPr>
              <w:t xml:space="preserve">בסעיף 6ה </w:t>
            </w:r>
            <w:r w:rsidRPr="00AB52BB">
              <w:rPr>
                <w:sz w:val="26"/>
                <w:rtl/>
              </w:rPr>
              <w:t>לחוק העיקרי, ברישה, המילים "ובמקרים שבהם לא ניתן פטור לפי סעיף 6ו" – יימחקו.</w:t>
            </w:r>
          </w:p>
        </w:tc>
      </w:tr>
      <w:tr w:rsidR="00F71D06" w:rsidRPr="00AB52BB" w14:paraId="45C9662A" w14:textId="77777777" w:rsidTr="00F64F93">
        <w:trPr>
          <w:cantSplit/>
        </w:trPr>
        <w:tc>
          <w:tcPr>
            <w:tcW w:w="1869" w:type="dxa"/>
          </w:tcPr>
          <w:p w14:paraId="0553A702" w14:textId="77777777" w:rsidR="00F71D06" w:rsidRPr="00AB52BB" w:rsidRDefault="00F71D06" w:rsidP="00F64F93">
            <w:pPr>
              <w:pStyle w:val="TableSideHeading"/>
              <w:keepLines w:val="0"/>
              <w:rPr>
                <w:sz w:val="26"/>
              </w:rPr>
            </w:pPr>
            <w:r>
              <w:rPr>
                <w:rFonts w:hint="cs"/>
                <w:sz w:val="26"/>
                <w:rtl/>
              </w:rPr>
              <w:t>ביטול</w:t>
            </w:r>
            <w:r w:rsidRPr="00AB52BB">
              <w:rPr>
                <w:sz w:val="26"/>
                <w:rtl/>
              </w:rPr>
              <w:t xml:space="preserve"> סעיף 6</w:t>
            </w:r>
            <w:r>
              <w:rPr>
                <w:rFonts w:hint="cs"/>
                <w:sz w:val="26"/>
                <w:rtl/>
              </w:rPr>
              <w:t>ו</w:t>
            </w:r>
          </w:p>
        </w:tc>
        <w:tc>
          <w:tcPr>
            <w:tcW w:w="624" w:type="dxa"/>
          </w:tcPr>
          <w:p w14:paraId="753AAA4D" w14:textId="77777777" w:rsidR="00F71D06" w:rsidRPr="00AB52BB" w:rsidRDefault="00F71D06" w:rsidP="00F64F93">
            <w:pPr>
              <w:pStyle w:val="TableText"/>
              <w:keepLines w:val="0"/>
              <w:rPr>
                <w:sz w:val="26"/>
              </w:rPr>
            </w:pPr>
            <w:r w:rsidRPr="00AB52BB">
              <w:rPr>
                <w:sz w:val="26"/>
                <w:rtl/>
              </w:rPr>
              <w:t xml:space="preserve">5. </w:t>
            </w:r>
          </w:p>
        </w:tc>
        <w:tc>
          <w:tcPr>
            <w:tcW w:w="7143" w:type="dxa"/>
            <w:gridSpan w:val="2"/>
          </w:tcPr>
          <w:p w14:paraId="66A43D1D" w14:textId="77777777" w:rsidR="00F71D06" w:rsidRPr="00AB52BB" w:rsidRDefault="00F71D06" w:rsidP="00F64F93">
            <w:pPr>
              <w:pStyle w:val="TableBlock"/>
              <w:rPr>
                <w:sz w:val="26"/>
              </w:rPr>
            </w:pPr>
            <w:r w:rsidRPr="00AB52BB">
              <w:rPr>
                <w:sz w:val="26"/>
                <w:rtl/>
              </w:rPr>
              <w:t xml:space="preserve">סעיף 6ו לחוק העיקרי – בטל. </w:t>
            </w:r>
          </w:p>
        </w:tc>
      </w:tr>
      <w:tr w:rsidR="00F71D06" w:rsidRPr="00AB52BB" w14:paraId="73F4AD35" w14:textId="77777777" w:rsidTr="00F64F93">
        <w:trPr>
          <w:cantSplit/>
        </w:trPr>
        <w:tc>
          <w:tcPr>
            <w:tcW w:w="1869" w:type="dxa"/>
          </w:tcPr>
          <w:p w14:paraId="5A6130EC" w14:textId="77777777" w:rsidR="00F71D06" w:rsidRPr="00AB52BB" w:rsidRDefault="00F71D06" w:rsidP="00F64F93">
            <w:pPr>
              <w:pStyle w:val="TableSideHeading"/>
              <w:keepLines w:val="0"/>
              <w:rPr>
                <w:sz w:val="26"/>
                <w:rtl/>
              </w:rPr>
            </w:pPr>
            <w:r>
              <w:rPr>
                <w:rFonts w:hint="cs"/>
                <w:sz w:val="26"/>
                <w:rtl/>
              </w:rPr>
              <w:lastRenderedPageBreak/>
              <w:t>תיקון סעיף 6ז</w:t>
            </w:r>
          </w:p>
        </w:tc>
        <w:tc>
          <w:tcPr>
            <w:tcW w:w="624" w:type="dxa"/>
          </w:tcPr>
          <w:p w14:paraId="5D9EBB81" w14:textId="77777777" w:rsidR="00F71D06" w:rsidRPr="00AB52BB" w:rsidRDefault="00F71D06" w:rsidP="00F64F93">
            <w:pPr>
              <w:pStyle w:val="TableText"/>
              <w:rPr>
                <w:sz w:val="26"/>
                <w:rtl/>
              </w:rPr>
            </w:pPr>
            <w:r>
              <w:rPr>
                <w:rFonts w:hint="cs"/>
                <w:sz w:val="26"/>
                <w:rtl/>
              </w:rPr>
              <w:t>6.</w:t>
            </w:r>
          </w:p>
        </w:tc>
        <w:tc>
          <w:tcPr>
            <w:tcW w:w="7143" w:type="dxa"/>
            <w:gridSpan w:val="2"/>
          </w:tcPr>
          <w:p w14:paraId="2D8C21AD" w14:textId="77777777" w:rsidR="00F71D06" w:rsidRPr="00AB52BB" w:rsidRDefault="00F71D06" w:rsidP="00F64F93">
            <w:pPr>
              <w:pStyle w:val="TableBlock"/>
              <w:rPr>
                <w:sz w:val="26"/>
                <w:rtl/>
              </w:rPr>
            </w:pPr>
            <w:r w:rsidRPr="00AB52BB">
              <w:rPr>
                <w:sz w:val="26"/>
                <w:rtl/>
              </w:rPr>
              <w:t xml:space="preserve">בסעיף 6ז לחוק העיקרי – </w:t>
            </w:r>
          </w:p>
        </w:tc>
      </w:tr>
      <w:tr w:rsidR="00F71D06" w:rsidRPr="00AB52BB" w14:paraId="2BF45278" w14:textId="77777777" w:rsidTr="00F64F93">
        <w:trPr>
          <w:cantSplit/>
        </w:trPr>
        <w:tc>
          <w:tcPr>
            <w:tcW w:w="1869" w:type="dxa"/>
          </w:tcPr>
          <w:p w14:paraId="0CA5AF69" w14:textId="77777777" w:rsidR="00F71D06" w:rsidRPr="00AB52BB" w:rsidRDefault="00F71D06" w:rsidP="00F64F93">
            <w:pPr>
              <w:pStyle w:val="TableSideHeading"/>
              <w:keepLines w:val="0"/>
              <w:rPr>
                <w:sz w:val="26"/>
                <w:rtl/>
              </w:rPr>
            </w:pPr>
          </w:p>
        </w:tc>
        <w:tc>
          <w:tcPr>
            <w:tcW w:w="624" w:type="dxa"/>
          </w:tcPr>
          <w:p w14:paraId="4B470B03" w14:textId="77777777" w:rsidR="00F71D06" w:rsidRPr="00AB52BB" w:rsidRDefault="00F71D06" w:rsidP="00F64F93">
            <w:pPr>
              <w:pStyle w:val="TableText"/>
              <w:rPr>
                <w:sz w:val="26"/>
                <w:rtl/>
              </w:rPr>
            </w:pPr>
          </w:p>
        </w:tc>
        <w:tc>
          <w:tcPr>
            <w:tcW w:w="7143" w:type="dxa"/>
            <w:gridSpan w:val="2"/>
          </w:tcPr>
          <w:p w14:paraId="7F7E50F2" w14:textId="77777777" w:rsidR="00F71D06" w:rsidRPr="00AB52BB" w:rsidRDefault="00F71D06" w:rsidP="00F64F93">
            <w:pPr>
              <w:pStyle w:val="TableBlock"/>
              <w:rPr>
                <w:sz w:val="26"/>
                <w:rtl/>
              </w:rPr>
            </w:pPr>
            <w:r w:rsidRPr="00AB52BB">
              <w:rPr>
                <w:sz w:val="26"/>
                <w:rtl/>
              </w:rPr>
              <w:t>(</w:t>
            </w:r>
            <w:r>
              <w:rPr>
                <w:rFonts w:hint="cs"/>
                <w:sz w:val="26"/>
                <w:rtl/>
              </w:rPr>
              <w:t>1</w:t>
            </w:r>
            <w:r w:rsidRPr="00AB52BB">
              <w:rPr>
                <w:sz w:val="26"/>
                <w:rtl/>
              </w:rPr>
              <w:t>)</w:t>
            </w:r>
            <w:r w:rsidRPr="00AB52BB">
              <w:rPr>
                <w:sz w:val="26"/>
                <w:rtl/>
              </w:rPr>
              <w:tab/>
              <w:t>בכותרת השוליים, המילים "בידי חברה שאין לה פטור ממיזוג לחברה אזורית" – יימחקו;</w:t>
            </w:r>
          </w:p>
        </w:tc>
      </w:tr>
      <w:tr w:rsidR="00F71D06" w:rsidRPr="00AB52BB" w14:paraId="24DEDB47" w14:textId="77777777" w:rsidTr="00F64F93">
        <w:trPr>
          <w:cantSplit/>
        </w:trPr>
        <w:tc>
          <w:tcPr>
            <w:tcW w:w="1869" w:type="dxa"/>
          </w:tcPr>
          <w:p w14:paraId="570C977D" w14:textId="77777777" w:rsidR="00F71D06" w:rsidRPr="00AB52BB" w:rsidRDefault="00F71D06" w:rsidP="00F64F93">
            <w:pPr>
              <w:pStyle w:val="TableSideHeading"/>
              <w:keepLines w:val="0"/>
              <w:rPr>
                <w:sz w:val="26"/>
                <w:rtl/>
              </w:rPr>
            </w:pPr>
          </w:p>
        </w:tc>
        <w:tc>
          <w:tcPr>
            <w:tcW w:w="624" w:type="dxa"/>
          </w:tcPr>
          <w:p w14:paraId="191C84B5" w14:textId="77777777" w:rsidR="00F71D06" w:rsidRPr="00AB52BB" w:rsidRDefault="00F71D06" w:rsidP="00F64F93">
            <w:pPr>
              <w:pStyle w:val="TableText"/>
              <w:rPr>
                <w:sz w:val="26"/>
                <w:rtl/>
              </w:rPr>
            </w:pPr>
            <w:r w:rsidRPr="00AB52BB">
              <w:rPr>
                <w:sz w:val="26"/>
                <w:rtl/>
              </w:rPr>
              <w:t xml:space="preserve"> </w:t>
            </w:r>
          </w:p>
        </w:tc>
        <w:tc>
          <w:tcPr>
            <w:tcW w:w="7143" w:type="dxa"/>
            <w:gridSpan w:val="2"/>
          </w:tcPr>
          <w:p w14:paraId="761BD59D" w14:textId="77777777" w:rsidR="00F71D06" w:rsidRPr="00AB52BB" w:rsidRDefault="00F71D06" w:rsidP="00F64F93">
            <w:pPr>
              <w:pStyle w:val="TableBlock"/>
              <w:rPr>
                <w:sz w:val="26"/>
                <w:rtl/>
              </w:rPr>
            </w:pPr>
            <w:r>
              <w:rPr>
                <w:rFonts w:hint="cs"/>
                <w:sz w:val="26"/>
                <w:rtl/>
              </w:rPr>
              <w:t>(2)</w:t>
            </w:r>
            <w:r>
              <w:rPr>
                <w:sz w:val="26"/>
                <w:rtl/>
              </w:rPr>
              <w:tab/>
            </w:r>
            <w:r>
              <w:rPr>
                <w:rFonts w:hint="cs"/>
                <w:sz w:val="26"/>
                <w:rtl/>
              </w:rPr>
              <w:t>בסעיף קטן (א), ברישה, המילים "או חברה שלא קיבלה פטור לפי סעיף 6ו או שהפטור שקיבלה בוטל"</w:t>
            </w:r>
            <w:r>
              <w:rPr>
                <w:rFonts w:hint="cs"/>
                <w:sz w:val="26"/>
              </w:rPr>
              <w:t xml:space="preserve"> </w:t>
            </w:r>
            <w:r>
              <w:rPr>
                <w:rFonts w:hint="eastAsia"/>
                <w:sz w:val="26"/>
                <w:rtl/>
              </w:rPr>
              <w:t>–</w:t>
            </w:r>
            <w:r>
              <w:rPr>
                <w:rFonts w:hint="cs"/>
                <w:sz w:val="26"/>
              </w:rPr>
              <w:t xml:space="preserve"> </w:t>
            </w:r>
            <w:r>
              <w:rPr>
                <w:rFonts w:hint="cs"/>
                <w:sz w:val="26"/>
                <w:rtl/>
              </w:rPr>
              <w:t xml:space="preserve"> יימחקו; </w:t>
            </w:r>
          </w:p>
        </w:tc>
      </w:tr>
      <w:tr w:rsidR="00F71D06" w:rsidRPr="00AB52BB" w14:paraId="53C78911" w14:textId="77777777" w:rsidTr="00F64F93">
        <w:trPr>
          <w:cantSplit/>
        </w:trPr>
        <w:tc>
          <w:tcPr>
            <w:tcW w:w="1869" w:type="dxa"/>
          </w:tcPr>
          <w:p w14:paraId="148EF45C" w14:textId="77777777" w:rsidR="00F71D06" w:rsidRPr="00AB52BB" w:rsidRDefault="00F71D06" w:rsidP="00F64F93">
            <w:pPr>
              <w:pStyle w:val="TableSideHeading"/>
              <w:keepLines w:val="0"/>
              <w:rPr>
                <w:sz w:val="26"/>
                <w:rtl/>
              </w:rPr>
            </w:pPr>
          </w:p>
        </w:tc>
        <w:tc>
          <w:tcPr>
            <w:tcW w:w="624" w:type="dxa"/>
          </w:tcPr>
          <w:p w14:paraId="4B411E6D" w14:textId="77777777" w:rsidR="00F71D06" w:rsidRPr="00AB52BB" w:rsidRDefault="00F71D06" w:rsidP="00F64F93">
            <w:pPr>
              <w:pStyle w:val="TableText"/>
              <w:rPr>
                <w:sz w:val="26"/>
                <w:rtl/>
              </w:rPr>
            </w:pPr>
          </w:p>
        </w:tc>
        <w:tc>
          <w:tcPr>
            <w:tcW w:w="7143" w:type="dxa"/>
            <w:gridSpan w:val="2"/>
          </w:tcPr>
          <w:p w14:paraId="1C390D7F"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 xml:space="preserve">במקום סעיף קטן (ב) יבוא: </w:t>
            </w:r>
          </w:p>
        </w:tc>
      </w:tr>
      <w:tr w:rsidR="00F71D06" w14:paraId="3B698FD0" w14:textId="77777777" w:rsidTr="00F64F93">
        <w:trPr>
          <w:cantSplit/>
          <w:trHeight w:val="60"/>
        </w:trPr>
        <w:tc>
          <w:tcPr>
            <w:tcW w:w="1869" w:type="dxa"/>
          </w:tcPr>
          <w:p w14:paraId="28E23967" w14:textId="77777777" w:rsidR="00F71D06" w:rsidRDefault="00F71D06" w:rsidP="00F64F93">
            <w:pPr>
              <w:pStyle w:val="TableSideHeading"/>
            </w:pPr>
          </w:p>
        </w:tc>
        <w:tc>
          <w:tcPr>
            <w:tcW w:w="624" w:type="dxa"/>
          </w:tcPr>
          <w:p w14:paraId="09C0F14C" w14:textId="77777777" w:rsidR="00F71D06" w:rsidRDefault="00F71D06" w:rsidP="00F64F93">
            <w:pPr>
              <w:pStyle w:val="TableText"/>
            </w:pPr>
          </w:p>
        </w:tc>
        <w:tc>
          <w:tcPr>
            <w:tcW w:w="624" w:type="dxa"/>
          </w:tcPr>
          <w:p w14:paraId="49F5B206" w14:textId="77777777" w:rsidR="00F71D06" w:rsidRDefault="00F71D06" w:rsidP="00F64F93">
            <w:pPr>
              <w:pStyle w:val="TableText"/>
            </w:pPr>
          </w:p>
        </w:tc>
        <w:tc>
          <w:tcPr>
            <w:tcW w:w="6519" w:type="dxa"/>
          </w:tcPr>
          <w:p w14:paraId="71BB599B" w14:textId="77777777" w:rsidR="00F71D06" w:rsidRDefault="00F71D06" w:rsidP="00F64F93">
            <w:pPr>
              <w:pStyle w:val="TableBlock"/>
            </w:pPr>
            <w:r>
              <w:rPr>
                <w:rFonts w:hint="cs"/>
                <w:rtl/>
              </w:rPr>
              <w:t>"(ב)</w:t>
            </w:r>
            <w:r>
              <w:rPr>
                <w:rtl/>
              </w:rPr>
              <w:tab/>
            </w:r>
            <w:r>
              <w:rPr>
                <w:rFonts w:hint="cs"/>
                <w:sz w:val="26"/>
                <w:rtl/>
              </w:rPr>
              <w:t xml:space="preserve">התקופות לביצוע כל אחד מארבעת שלבי ההקמה שבסעיף קטן (א), יימנו לגבי רשות מקומית בלא חברה </w:t>
            </w:r>
            <w:r>
              <w:rPr>
                <w:rFonts w:hint="eastAsia"/>
                <w:sz w:val="26"/>
                <w:rtl/>
              </w:rPr>
              <w:t xml:space="preserve">– </w:t>
            </w:r>
            <w:r>
              <w:rPr>
                <w:rFonts w:hint="cs"/>
                <w:sz w:val="26"/>
                <w:rtl/>
              </w:rPr>
              <w:t xml:space="preserve">מיום ו' בתמוז התשע"ז (30 ביוני 2017), אלא אם כן הגישה בקשה לפי סעיף 6ב(ב), ולגבי רשות מקומית שהודיעה על רצונה להצטרף לחברה אזורית, לפי סעיף 6ג(ד1) – מיום החלטת מועצת הרשות לפי אותו סעיף" </w:t>
            </w:r>
            <w:r>
              <w:rPr>
                <w:rFonts w:hint="eastAsia"/>
                <w:sz w:val="26"/>
                <w:rtl/>
              </w:rPr>
              <w:t xml:space="preserve">   </w:t>
            </w:r>
          </w:p>
        </w:tc>
      </w:tr>
      <w:tr w:rsidR="00F71D06" w:rsidRPr="00AB52BB" w14:paraId="31EFDB54" w14:textId="77777777" w:rsidTr="00F64F93">
        <w:trPr>
          <w:cantSplit/>
        </w:trPr>
        <w:tc>
          <w:tcPr>
            <w:tcW w:w="1869" w:type="dxa"/>
          </w:tcPr>
          <w:p w14:paraId="5BBEE5D1" w14:textId="77777777" w:rsidR="00F71D06" w:rsidRPr="006D7BBF" w:rsidRDefault="00F71D06" w:rsidP="00F64F93">
            <w:pPr>
              <w:pStyle w:val="TableSideHeading"/>
              <w:keepLines w:val="0"/>
              <w:rPr>
                <w:sz w:val="26"/>
                <w:rtl/>
              </w:rPr>
            </w:pPr>
            <w:r w:rsidRPr="00AB52BB">
              <w:rPr>
                <w:sz w:val="26"/>
                <w:rtl/>
              </w:rPr>
              <w:t>תיקון סעיף 6ח</w:t>
            </w:r>
          </w:p>
        </w:tc>
        <w:tc>
          <w:tcPr>
            <w:tcW w:w="624" w:type="dxa"/>
          </w:tcPr>
          <w:p w14:paraId="4583792A" w14:textId="77777777" w:rsidR="00F71D06" w:rsidRPr="00AB52BB" w:rsidRDefault="00F71D06" w:rsidP="00F64F93">
            <w:pPr>
              <w:pStyle w:val="TableText"/>
              <w:rPr>
                <w:sz w:val="26"/>
                <w:rtl/>
              </w:rPr>
            </w:pPr>
            <w:r>
              <w:rPr>
                <w:rFonts w:hint="cs"/>
                <w:sz w:val="26"/>
                <w:rtl/>
              </w:rPr>
              <w:t>7.</w:t>
            </w:r>
          </w:p>
        </w:tc>
        <w:tc>
          <w:tcPr>
            <w:tcW w:w="7143" w:type="dxa"/>
            <w:gridSpan w:val="2"/>
          </w:tcPr>
          <w:p w14:paraId="5FCC0BDC" w14:textId="77777777" w:rsidR="00F71D06" w:rsidRPr="00AB52BB" w:rsidRDefault="00F71D06" w:rsidP="00F64F93">
            <w:pPr>
              <w:pStyle w:val="TableBlock"/>
              <w:rPr>
                <w:sz w:val="26"/>
                <w:rtl/>
              </w:rPr>
            </w:pPr>
            <w:r w:rsidRPr="00AB52BB">
              <w:rPr>
                <w:sz w:val="26"/>
                <w:rtl/>
              </w:rPr>
              <w:t>בסעיף 6ח</w:t>
            </w:r>
            <w:r>
              <w:rPr>
                <w:rFonts w:hint="cs"/>
                <w:sz w:val="26"/>
                <w:rtl/>
              </w:rPr>
              <w:t>(א)</w:t>
            </w:r>
            <w:r>
              <w:rPr>
                <w:sz w:val="26"/>
                <w:rtl/>
              </w:rPr>
              <w:t xml:space="preserve"> לחוק העיקרי</w:t>
            </w:r>
            <w:r>
              <w:rPr>
                <w:rFonts w:hint="cs"/>
                <w:sz w:val="26"/>
                <w:rtl/>
              </w:rPr>
              <w:t>,</w:t>
            </w:r>
            <w:r w:rsidRPr="00AB52BB">
              <w:rPr>
                <w:rFonts w:hint="cs"/>
                <w:sz w:val="26"/>
                <w:rtl/>
              </w:rPr>
              <w:t xml:space="preserve"> אחרי</w:t>
            </w:r>
            <w:r w:rsidRPr="00AB52BB">
              <w:rPr>
                <w:sz w:val="26"/>
                <w:rtl/>
              </w:rPr>
              <w:t xml:space="preserve"> "בלא חברה" יבוא "</w:t>
            </w:r>
            <w:r>
              <w:rPr>
                <w:rFonts w:hint="cs"/>
                <w:sz w:val="26"/>
                <w:rtl/>
              </w:rPr>
              <w:t>שלא קיבלה אישור לפי סעיף 6ב(ב)".</w:t>
            </w:r>
            <w:r w:rsidRPr="00AB52BB" w:rsidDel="00492E8C">
              <w:rPr>
                <w:sz w:val="26"/>
                <w:rtl/>
              </w:rPr>
              <w:t xml:space="preserve"> </w:t>
            </w:r>
          </w:p>
        </w:tc>
      </w:tr>
      <w:tr w:rsidR="00F71D06" w:rsidRPr="00AB52BB" w14:paraId="4A92D1ED" w14:textId="77777777" w:rsidTr="00F64F93">
        <w:trPr>
          <w:cantSplit/>
        </w:trPr>
        <w:tc>
          <w:tcPr>
            <w:tcW w:w="1869" w:type="dxa"/>
          </w:tcPr>
          <w:p w14:paraId="59BDE847" w14:textId="77777777" w:rsidR="00F71D06" w:rsidRPr="00AB52BB" w:rsidRDefault="00F71D06" w:rsidP="00F64F93">
            <w:pPr>
              <w:pStyle w:val="TableSideHeading"/>
              <w:rPr>
                <w:sz w:val="26"/>
              </w:rPr>
            </w:pPr>
            <w:r w:rsidRPr="00AB52BB">
              <w:rPr>
                <w:sz w:val="26"/>
                <w:rtl/>
              </w:rPr>
              <w:t>תיקון סעיף 147</w:t>
            </w:r>
          </w:p>
        </w:tc>
        <w:tc>
          <w:tcPr>
            <w:tcW w:w="624" w:type="dxa"/>
          </w:tcPr>
          <w:p w14:paraId="6584BF90" w14:textId="77777777" w:rsidR="00F71D06" w:rsidRPr="00AB52BB" w:rsidRDefault="00F71D06" w:rsidP="00F64F93">
            <w:pPr>
              <w:pStyle w:val="TableText"/>
              <w:rPr>
                <w:sz w:val="26"/>
              </w:rPr>
            </w:pPr>
            <w:r>
              <w:rPr>
                <w:rFonts w:hint="cs"/>
                <w:sz w:val="26"/>
                <w:rtl/>
              </w:rPr>
              <w:t>8.</w:t>
            </w:r>
          </w:p>
        </w:tc>
        <w:tc>
          <w:tcPr>
            <w:tcW w:w="7143" w:type="dxa"/>
            <w:gridSpan w:val="2"/>
          </w:tcPr>
          <w:p w14:paraId="30B5D400" w14:textId="77777777" w:rsidR="00F71D06" w:rsidRPr="00AB52BB" w:rsidRDefault="00F71D06" w:rsidP="00F64F93">
            <w:pPr>
              <w:pStyle w:val="TableBlock"/>
              <w:rPr>
                <w:sz w:val="26"/>
                <w:rtl/>
              </w:rPr>
            </w:pPr>
            <w:r w:rsidRPr="00AB52BB">
              <w:rPr>
                <w:sz w:val="26"/>
                <w:rtl/>
              </w:rPr>
              <w:t>בסעיף 147(א) לחוק העיקרי, ברישה, המילה "6ו(ג)" – תימחק.</w:t>
            </w:r>
            <w:r w:rsidRPr="00AB52BB" w:rsidDel="00341935">
              <w:rPr>
                <w:sz w:val="26"/>
                <w:rtl/>
              </w:rPr>
              <w:t xml:space="preserve"> </w:t>
            </w:r>
          </w:p>
        </w:tc>
      </w:tr>
      <w:tr w:rsidR="00F71D06" w:rsidRPr="00AB52BB" w14:paraId="49FCE84C" w14:textId="77777777" w:rsidTr="00F64F93">
        <w:trPr>
          <w:cantSplit/>
        </w:trPr>
        <w:tc>
          <w:tcPr>
            <w:tcW w:w="1869" w:type="dxa"/>
          </w:tcPr>
          <w:p w14:paraId="7D8C4756" w14:textId="77777777" w:rsidR="00F71D06" w:rsidRPr="00AB52BB" w:rsidRDefault="00F71D06" w:rsidP="00F64F93">
            <w:pPr>
              <w:pStyle w:val="TableSideHeading"/>
              <w:rPr>
                <w:sz w:val="26"/>
                <w:rtl/>
              </w:rPr>
            </w:pPr>
            <w:r w:rsidRPr="00AB52BB">
              <w:rPr>
                <w:sz w:val="26"/>
                <w:rtl/>
              </w:rPr>
              <w:t>ביטול התוספת</w:t>
            </w:r>
            <w:r w:rsidRPr="00AB52BB" w:rsidDel="00341935">
              <w:rPr>
                <w:sz w:val="26"/>
                <w:rtl/>
              </w:rPr>
              <w:t xml:space="preserve"> </w:t>
            </w:r>
          </w:p>
        </w:tc>
        <w:tc>
          <w:tcPr>
            <w:tcW w:w="624" w:type="dxa"/>
          </w:tcPr>
          <w:p w14:paraId="0999B112" w14:textId="77777777" w:rsidR="00F71D06" w:rsidRPr="00AB52BB" w:rsidRDefault="00F71D06" w:rsidP="00F64F93">
            <w:pPr>
              <w:pStyle w:val="TableText"/>
              <w:rPr>
                <w:sz w:val="26"/>
              </w:rPr>
            </w:pPr>
            <w:r>
              <w:rPr>
                <w:rFonts w:hint="cs"/>
                <w:sz w:val="26"/>
                <w:rtl/>
              </w:rPr>
              <w:t>9.</w:t>
            </w:r>
          </w:p>
        </w:tc>
        <w:tc>
          <w:tcPr>
            <w:tcW w:w="7143" w:type="dxa"/>
            <w:gridSpan w:val="2"/>
          </w:tcPr>
          <w:p w14:paraId="682AB8B5" w14:textId="77777777" w:rsidR="00F71D06" w:rsidRPr="00AB52BB" w:rsidRDefault="00F71D06" w:rsidP="00F64F93">
            <w:pPr>
              <w:pStyle w:val="TableBlock"/>
              <w:rPr>
                <w:sz w:val="26"/>
                <w:rtl/>
              </w:rPr>
            </w:pPr>
            <w:r w:rsidRPr="00AB52BB">
              <w:rPr>
                <w:sz w:val="26"/>
                <w:rtl/>
              </w:rPr>
              <w:t>התוספת לחוק העיקרי – בטלה.</w:t>
            </w:r>
          </w:p>
        </w:tc>
      </w:tr>
      <w:tr w:rsidR="00F71D06" w:rsidRPr="00AB52BB" w14:paraId="576E7CAC" w14:textId="77777777" w:rsidTr="00F64F93">
        <w:trPr>
          <w:cantSplit/>
        </w:trPr>
        <w:tc>
          <w:tcPr>
            <w:tcW w:w="1869" w:type="dxa"/>
          </w:tcPr>
          <w:p w14:paraId="06687EB5" w14:textId="77777777" w:rsidR="00F71D06" w:rsidRPr="00AB52BB" w:rsidRDefault="00F71D06" w:rsidP="00F64F93">
            <w:pPr>
              <w:pStyle w:val="TableSideHeading"/>
              <w:rPr>
                <w:sz w:val="26"/>
                <w:rtl/>
              </w:rPr>
            </w:pPr>
            <w:r w:rsidRPr="00AB52BB">
              <w:rPr>
                <w:sz w:val="26"/>
                <w:rtl/>
              </w:rPr>
              <w:t>תיקון חוק לשינוי סדרי עדיפויות לאומיים (תיקוני חקיקה להשגת יעדי התקציב לשנים 2013 ו-2014)</w:t>
            </w:r>
          </w:p>
        </w:tc>
        <w:tc>
          <w:tcPr>
            <w:tcW w:w="624" w:type="dxa"/>
          </w:tcPr>
          <w:p w14:paraId="71D1AA16" w14:textId="77777777" w:rsidR="00F71D06" w:rsidRPr="00AB52BB" w:rsidRDefault="00F71D06" w:rsidP="00F64F93">
            <w:pPr>
              <w:pStyle w:val="TableText"/>
              <w:rPr>
                <w:sz w:val="26"/>
                <w:rtl/>
              </w:rPr>
            </w:pPr>
            <w:r>
              <w:rPr>
                <w:rFonts w:hint="cs"/>
                <w:sz w:val="26"/>
                <w:rtl/>
              </w:rPr>
              <w:t>10.</w:t>
            </w:r>
          </w:p>
        </w:tc>
        <w:tc>
          <w:tcPr>
            <w:tcW w:w="7143" w:type="dxa"/>
            <w:gridSpan w:val="2"/>
          </w:tcPr>
          <w:p w14:paraId="13770103" w14:textId="77777777" w:rsidR="00F71D06" w:rsidRPr="00AB52BB" w:rsidRDefault="00F71D06" w:rsidP="00F64F93">
            <w:pPr>
              <w:pStyle w:val="TableBlock"/>
              <w:rPr>
                <w:sz w:val="26"/>
                <w:rtl/>
              </w:rPr>
            </w:pPr>
            <w:r w:rsidRPr="00AB52BB">
              <w:rPr>
                <w:sz w:val="26"/>
                <w:rtl/>
              </w:rPr>
              <w:t>בחוק לשינוי סדרי עדיפויות לאומיים (תיקוני חקיקה להשגת יעדי התקציב לשנים 2013 ו-2014), התשע"ג–2013</w:t>
            </w:r>
            <w:r w:rsidRPr="00AB52BB">
              <w:rPr>
                <w:rStyle w:val="a6"/>
                <w:sz w:val="26"/>
                <w:rtl/>
              </w:rPr>
              <w:footnoteReference w:id="3"/>
            </w:r>
            <w:r w:rsidRPr="00AB52BB">
              <w:rPr>
                <w:sz w:val="26"/>
                <w:rtl/>
              </w:rPr>
              <w:t>, בסעיף 63 –</w:t>
            </w:r>
            <w:r w:rsidRPr="00AB52BB" w:rsidDel="00341935">
              <w:rPr>
                <w:sz w:val="26"/>
                <w:rtl/>
              </w:rPr>
              <w:t xml:space="preserve"> </w:t>
            </w:r>
          </w:p>
        </w:tc>
      </w:tr>
      <w:tr w:rsidR="00F71D06" w:rsidRPr="00AB52BB" w14:paraId="694FA920" w14:textId="77777777" w:rsidTr="00F64F93">
        <w:trPr>
          <w:cantSplit/>
        </w:trPr>
        <w:tc>
          <w:tcPr>
            <w:tcW w:w="1869" w:type="dxa"/>
          </w:tcPr>
          <w:p w14:paraId="44B1AF3F" w14:textId="77777777" w:rsidR="00F71D06" w:rsidRPr="00AB52BB" w:rsidRDefault="00F71D06" w:rsidP="00F64F93">
            <w:pPr>
              <w:pStyle w:val="TableSideHeading"/>
              <w:keepLines w:val="0"/>
              <w:rPr>
                <w:sz w:val="26"/>
              </w:rPr>
            </w:pPr>
          </w:p>
        </w:tc>
        <w:tc>
          <w:tcPr>
            <w:tcW w:w="624" w:type="dxa"/>
          </w:tcPr>
          <w:p w14:paraId="6F9CD8C7" w14:textId="77777777" w:rsidR="00F71D06" w:rsidRPr="00AB52BB" w:rsidRDefault="00F71D06" w:rsidP="00F64F93">
            <w:pPr>
              <w:pStyle w:val="TableText"/>
              <w:rPr>
                <w:sz w:val="26"/>
              </w:rPr>
            </w:pPr>
          </w:p>
        </w:tc>
        <w:tc>
          <w:tcPr>
            <w:tcW w:w="7143" w:type="dxa"/>
            <w:gridSpan w:val="2"/>
          </w:tcPr>
          <w:p w14:paraId="6F3542C6" w14:textId="77777777" w:rsidR="00F71D06" w:rsidRPr="00AB52BB" w:rsidRDefault="00F71D06" w:rsidP="00F64F93">
            <w:pPr>
              <w:pStyle w:val="TableBlock"/>
              <w:rPr>
                <w:sz w:val="26"/>
              </w:rPr>
            </w:pPr>
            <w:r w:rsidRPr="00AB52BB">
              <w:rPr>
                <w:sz w:val="26"/>
                <w:rtl/>
              </w:rPr>
              <w:t>(1)</w:t>
            </w:r>
            <w:r w:rsidRPr="00AB52BB">
              <w:rPr>
                <w:sz w:val="26"/>
                <w:rtl/>
              </w:rPr>
              <w:tab/>
              <w:t xml:space="preserve">סעיף קטן (ג) – </w:t>
            </w:r>
            <w:r>
              <w:rPr>
                <w:rFonts w:hint="cs"/>
                <w:sz w:val="26"/>
                <w:rtl/>
              </w:rPr>
              <w:t>בטל</w:t>
            </w:r>
            <w:r w:rsidRPr="00AB52BB">
              <w:rPr>
                <w:sz w:val="26"/>
                <w:rtl/>
              </w:rPr>
              <w:t>;</w:t>
            </w:r>
          </w:p>
        </w:tc>
      </w:tr>
      <w:tr w:rsidR="00F71D06" w:rsidRPr="00AB52BB" w14:paraId="37E0956B" w14:textId="77777777" w:rsidTr="00F64F93">
        <w:trPr>
          <w:cantSplit/>
        </w:trPr>
        <w:tc>
          <w:tcPr>
            <w:tcW w:w="1869" w:type="dxa"/>
          </w:tcPr>
          <w:p w14:paraId="301832ED" w14:textId="77777777" w:rsidR="00F71D06" w:rsidRPr="00AB52BB" w:rsidRDefault="00F71D06" w:rsidP="00F64F93">
            <w:pPr>
              <w:pStyle w:val="TableSideHeading"/>
              <w:keepLines w:val="0"/>
              <w:rPr>
                <w:sz w:val="26"/>
              </w:rPr>
            </w:pPr>
          </w:p>
        </w:tc>
        <w:tc>
          <w:tcPr>
            <w:tcW w:w="624" w:type="dxa"/>
          </w:tcPr>
          <w:p w14:paraId="2B668311" w14:textId="77777777" w:rsidR="00F71D06" w:rsidRPr="00AB52BB" w:rsidRDefault="00F71D06" w:rsidP="00F64F93">
            <w:pPr>
              <w:pStyle w:val="TableText"/>
              <w:rPr>
                <w:sz w:val="26"/>
                <w:rtl/>
              </w:rPr>
            </w:pPr>
          </w:p>
        </w:tc>
        <w:tc>
          <w:tcPr>
            <w:tcW w:w="7143" w:type="dxa"/>
            <w:gridSpan w:val="2"/>
          </w:tcPr>
          <w:p w14:paraId="16BEFC45" w14:textId="77777777" w:rsidR="00F71D06" w:rsidRPr="00AB52BB" w:rsidRDefault="00F71D06" w:rsidP="00F64F93">
            <w:pPr>
              <w:pStyle w:val="TableBlock"/>
              <w:rPr>
                <w:sz w:val="26"/>
                <w:rtl/>
              </w:rPr>
            </w:pPr>
            <w:r w:rsidRPr="00AB52BB">
              <w:rPr>
                <w:sz w:val="26"/>
                <w:rtl/>
              </w:rPr>
              <w:t>(2)</w:t>
            </w:r>
            <w:r w:rsidRPr="00AB52BB">
              <w:rPr>
                <w:sz w:val="26"/>
                <w:rtl/>
              </w:rPr>
              <w:tab/>
              <w:t>בסעי</w:t>
            </w:r>
            <w:r>
              <w:rPr>
                <w:sz w:val="26"/>
                <w:rtl/>
              </w:rPr>
              <w:t>ף קטן (ט), ההגדרות "המועד הקובע</w:t>
            </w:r>
            <w:r w:rsidRPr="00AB52BB">
              <w:rPr>
                <w:sz w:val="26"/>
                <w:rtl/>
              </w:rPr>
              <w:t>" ו"יחס כיסוי החוב" – יימחקו.</w:t>
            </w:r>
            <w:r w:rsidRPr="00AB52BB" w:rsidDel="0044547B">
              <w:rPr>
                <w:sz w:val="26"/>
                <w:rtl/>
              </w:rPr>
              <w:t xml:space="preserve"> </w:t>
            </w:r>
            <w:r>
              <w:rPr>
                <w:sz w:val="26"/>
                <w:rtl/>
              </w:rPr>
              <w:t xml:space="preserve">  </w:t>
            </w:r>
          </w:p>
        </w:tc>
      </w:tr>
    </w:tbl>
    <w:p w14:paraId="3DD1061C" w14:textId="77777777" w:rsidR="00F71D06" w:rsidRDefault="00F71D06" w:rsidP="00F71D06">
      <w:pPr>
        <w:pStyle w:val="HeadDivreiHesber"/>
        <w:rPr>
          <w:rtl/>
        </w:rPr>
      </w:pPr>
      <w:r w:rsidRPr="0027450A">
        <w:rPr>
          <w:rtl/>
        </w:rPr>
        <w:t>דברי הסבר</w:t>
      </w:r>
    </w:p>
    <w:p w14:paraId="16E42AA7" w14:textId="77777777" w:rsidR="00F71D06" w:rsidRDefault="00F71D06" w:rsidP="00F71D06">
      <w:pPr>
        <w:pStyle w:val="Hesber"/>
        <w:rPr>
          <w:rtl/>
        </w:rPr>
      </w:pPr>
      <w:r w:rsidRPr="0042643D">
        <w:rPr>
          <w:rtl/>
        </w:rPr>
        <w:t>חוק תאגידי מים וביוב, התשס"א–2001 (להלן – החוק)</w:t>
      </w:r>
      <w:r>
        <w:rPr>
          <w:rFonts w:hint="cs"/>
          <w:rtl/>
        </w:rPr>
        <w:t>,</w:t>
      </w:r>
      <w:r w:rsidRPr="0042643D">
        <w:rPr>
          <w:rtl/>
        </w:rPr>
        <w:t xml:space="preserve"> קובע כי הספקת שירותי המים והביוב לתושבים, שהי</w:t>
      </w:r>
      <w:r>
        <w:rPr>
          <w:rFonts w:hint="cs"/>
          <w:rtl/>
        </w:rPr>
        <w:t>תה</w:t>
      </w:r>
      <w:r w:rsidRPr="0042643D">
        <w:rPr>
          <w:rtl/>
        </w:rPr>
        <w:t xml:space="preserve"> לפני כן באחריות הרשויות המקומיות, תועבר לניהול תאגידי</w:t>
      </w:r>
      <w:r>
        <w:rPr>
          <w:rFonts w:hint="cs"/>
          <w:rtl/>
        </w:rPr>
        <w:t xml:space="preserve"> מים וביוב.</w:t>
      </w:r>
      <w:r w:rsidRPr="0042643D">
        <w:rPr>
          <w:rtl/>
        </w:rPr>
        <w:t xml:space="preserve"> הרשות הממשלתית למים ולביוב (להלן – הרשות), הוקמה מכוח </w:t>
      </w:r>
      <w:r>
        <w:rPr>
          <w:rFonts w:hint="cs"/>
          <w:rtl/>
        </w:rPr>
        <w:t>ה</w:t>
      </w:r>
      <w:r w:rsidRPr="0042643D">
        <w:rPr>
          <w:rtl/>
        </w:rPr>
        <w:t>חוק ואחראית על יישומו ומטרותיו המרכזיות</w:t>
      </w:r>
      <w:r>
        <w:rPr>
          <w:rFonts w:hint="cs"/>
          <w:rtl/>
        </w:rPr>
        <w:t>. בין מטרותיה: הבטחה לרמת שירות</w:t>
      </w:r>
      <w:r w:rsidRPr="0042643D">
        <w:rPr>
          <w:rtl/>
        </w:rPr>
        <w:t xml:space="preserve">, איכות ואמינות נאותים לצרכנים, במחירים סבירים וללא הפליה, </w:t>
      </w:r>
      <w:r>
        <w:rPr>
          <w:rFonts w:hint="cs"/>
          <w:rtl/>
        </w:rPr>
        <w:t xml:space="preserve">כמו גם </w:t>
      </w:r>
      <w:r w:rsidRPr="0042643D">
        <w:rPr>
          <w:rtl/>
        </w:rPr>
        <w:t xml:space="preserve">הבטחת ייעוד ההכנסות ממתן שירותי </w:t>
      </w:r>
      <w:r>
        <w:rPr>
          <w:rFonts w:hint="cs"/>
          <w:rtl/>
        </w:rPr>
        <w:t>ה</w:t>
      </w:r>
      <w:r w:rsidRPr="0042643D">
        <w:rPr>
          <w:rtl/>
        </w:rPr>
        <w:t>מים ו</w:t>
      </w:r>
      <w:r>
        <w:rPr>
          <w:rFonts w:hint="cs"/>
          <w:rtl/>
        </w:rPr>
        <w:t>ה</w:t>
      </w:r>
      <w:r w:rsidRPr="0042643D">
        <w:rPr>
          <w:rtl/>
        </w:rPr>
        <w:t xml:space="preserve">ביוב להשקעות בתחום, ניהול עסקי, </w:t>
      </w:r>
      <w:r w:rsidRPr="00A13AE1">
        <w:rPr>
          <w:rtl/>
        </w:rPr>
        <w:t xml:space="preserve">מקצועי ויעיל </w:t>
      </w:r>
      <w:r w:rsidRPr="00A13AE1">
        <w:rPr>
          <w:rtl/>
        </w:rPr>
        <w:lastRenderedPageBreak/>
        <w:t>של משק המים והביוב</w:t>
      </w:r>
      <w:r>
        <w:rPr>
          <w:rFonts w:hint="cs"/>
          <w:rtl/>
        </w:rPr>
        <w:t xml:space="preserve"> העירוני</w:t>
      </w:r>
      <w:r w:rsidRPr="00A13AE1">
        <w:rPr>
          <w:rtl/>
        </w:rPr>
        <w:t xml:space="preserve">. </w:t>
      </w:r>
      <w:r>
        <w:rPr>
          <w:rFonts w:hint="cs"/>
          <w:rtl/>
        </w:rPr>
        <w:t>עד היום, לא כל הרשויות המקומיות עברו לניהול משק המים שלהן באמצעות תאגיד, ו-25 רשויות עדיין מנהלות את משק המים שלהן באופן עצמאי. המדיניות המוצהרת של הממשלה בדבר צמצום התאגידים ל-11 במספר לשם הגברת יעילותם טרם יושמה. לניהול משק המים באמצעות מספר רב מדי של עובדים, חסרונות ברורים וביניהם גובה ההוצאות המתגלגלות לפתחו של התושב המממן את פעילות התאגיד.</w:t>
      </w:r>
    </w:p>
    <w:p w14:paraId="4A451146" w14:textId="77777777" w:rsidR="00F71D06" w:rsidRDefault="00F71D06" w:rsidP="00F71D06">
      <w:pPr>
        <w:pStyle w:val="Hesber"/>
        <w:rPr>
          <w:rtl/>
        </w:rPr>
      </w:pPr>
      <w:r w:rsidRPr="0042643D">
        <w:rPr>
          <w:rtl/>
        </w:rPr>
        <w:t xml:space="preserve">לאור האמור לעיל, </w:t>
      </w:r>
      <w:r>
        <w:rPr>
          <w:rFonts w:hint="cs"/>
          <w:rtl/>
        </w:rPr>
        <w:t xml:space="preserve">מוצע לחייב כל רשות מקומית שלא הקימה תאגיד נכון למועד כניסתו לתוקף של התיקון המוצע, להעביר את הפעלת שירותי המים והביוב שלה לניהול בידי תאגיד אזורי עד ל-30 בדצמבר 2017 (להלן </w:t>
      </w:r>
      <w:r>
        <w:rPr>
          <w:rFonts w:hint="eastAsia"/>
          <w:rtl/>
        </w:rPr>
        <w:t>– המועד הקובע</w:t>
      </w:r>
      <w:r>
        <w:rPr>
          <w:rFonts w:hint="cs"/>
          <w:rtl/>
        </w:rPr>
        <w:t>).</w:t>
      </w:r>
      <w:r>
        <w:rPr>
          <w:rFonts w:hint="cs"/>
        </w:rPr>
        <w:t xml:space="preserve"> </w:t>
      </w:r>
      <w:r>
        <w:rPr>
          <w:rFonts w:hint="cs"/>
          <w:rtl/>
        </w:rPr>
        <w:t>אם ברצונה לנהל את משק המים בעצמה, תפנה הרשות בבקשה לקבל את אישורו של שר התשתיות הלאומיות, האנרגיה והמים, לקבלת דחייה מעבר למועד הקובע. אישור כאמור יינתן לאחר התייעצות עם הרשות הממשלתית למים ולביוב, ובהסכמתם של שרי האוצר והפנים. רשות מקומית אשר תקבל אישור לדחיית המעבר לתאגיד אזורי, תחויב להפעיל את שירותי המים והביוב שלה במשק כספי סגור וכל הכנסותיה מהתשלומים עבור שירותי המים והביוב ייועדו לשם הספקת שירותי מים וביוב, ובכלל זה בהשקעות בתשתיות הנוגעות בדבר, בלבד.</w:t>
      </w:r>
    </w:p>
    <w:p w14:paraId="55BF2AFF" w14:textId="77777777" w:rsidR="00A96446" w:rsidRDefault="00F71D06" w:rsidP="00F71D06">
      <w:pPr>
        <w:pStyle w:val="Hesber"/>
        <w:rPr>
          <w:rtl/>
        </w:rPr>
      </w:pPr>
      <w:r>
        <w:rPr>
          <w:rFonts w:hint="cs"/>
          <w:rtl/>
        </w:rPr>
        <w:t xml:space="preserve">מובהר, כי רשות מקומית שיש לה תאגיד נכון למועד כניסתו לתוקף של התיקון המוצע, תאוגד במסגרת אחד מ-11 התאגידים האזוריים שיוקמו. לפי המוצע, עד למועד הקובע, מועצת הרשות תאשר את הקמתם של לכל היותר 11 תאגידי מים וביוב אזוריים, בהתאם להחלטת מועצת הרשות וכפי שעולה מסעיף 6ג לחוק, בדבר שיוך רשויות מקומיות לקבוצות. יודגש כי רשות מקומית אשר תודיע על רצונה להעביר את שירותי המים והביוב שלה לידי תאגיד מים וביוב, תוכל להצטרף אך ורק לתאגיד האזורי ולא תוכל להקים תאגיד מקומי. </w:t>
      </w:r>
    </w:p>
    <w:p w14:paraId="56B484A4" w14:textId="21E16ECD" w:rsidR="00F71D06" w:rsidRDefault="00F71D06" w:rsidP="00F71D06">
      <w:pPr>
        <w:pStyle w:val="Hesber"/>
        <w:rPr>
          <w:rtl/>
        </w:rPr>
      </w:pPr>
      <w:r>
        <w:rPr>
          <w:rFonts w:hint="cs"/>
          <w:rtl/>
        </w:rPr>
        <w:t>הצעת חוק זהה הונחה על שולחן הכנסת העשרים על ידי חבר הכנסת איציק</w:t>
      </w:r>
      <w:r w:rsidR="00DF24F6">
        <w:rPr>
          <w:rFonts w:hint="cs"/>
          <w:rtl/>
        </w:rPr>
        <w:t xml:space="preserve"> שמולי וקבוצת חברי הכנסת (פ/3523/20</w:t>
      </w:r>
      <w:r>
        <w:rPr>
          <w:rFonts w:hint="cs"/>
          <w:rtl/>
        </w:rPr>
        <w:t>).</w:t>
      </w:r>
    </w:p>
    <w:p w14:paraId="66517C17" w14:textId="77777777" w:rsidR="00F71D06" w:rsidRDefault="00F71D06" w:rsidP="00F71D06">
      <w:pPr>
        <w:pStyle w:val="Hesber"/>
        <w:rPr>
          <w:rtl/>
        </w:rPr>
      </w:pPr>
    </w:p>
    <w:p w14:paraId="1CFFBEEA" w14:textId="147504B5" w:rsidR="00A96446" w:rsidRDefault="00A96446" w:rsidP="00F71D06">
      <w:pPr>
        <w:pStyle w:val="Hesber"/>
        <w:rPr>
          <w:rtl/>
        </w:rPr>
      </w:pPr>
    </w:p>
    <w:p w14:paraId="5E664514" w14:textId="77777777" w:rsidR="00A96446" w:rsidRDefault="00A96446" w:rsidP="00F71D06">
      <w:pPr>
        <w:pStyle w:val="Hesber"/>
        <w:rPr>
          <w:rtl/>
        </w:rPr>
      </w:pPr>
    </w:p>
    <w:p w14:paraId="2371B296" w14:textId="77777777" w:rsidR="00A96446" w:rsidRPr="00D73212" w:rsidRDefault="00A96446" w:rsidP="00A96446">
      <w:pPr>
        <w:pStyle w:val="Hesber"/>
        <w:rPr>
          <w:color w:val="auto"/>
          <w:rtl/>
          <w:lang w:eastAsia="en-US"/>
        </w:rPr>
      </w:pPr>
      <w:r w:rsidRPr="00D73212">
        <w:rPr>
          <w:color w:val="auto"/>
          <w:rtl/>
          <w:lang w:eastAsia="en-US"/>
        </w:rPr>
        <w:t>---------------------------------</w:t>
      </w:r>
    </w:p>
    <w:p w14:paraId="5BDCF08B" w14:textId="77777777" w:rsidR="00A96446" w:rsidRPr="00D73212" w:rsidRDefault="00A96446" w:rsidP="00A9644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604EC59" w14:textId="77777777" w:rsidR="00A96446" w:rsidRPr="00D73212" w:rsidRDefault="00A96446" w:rsidP="00A9644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5EBE2BB" w14:textId="77777777" w:rsidR="00A96446" w:rsidRPr="00317312" w:rsidRDefault="00A96446" w:rsidP="00A96446">
      <w:pPr>
        <w:pStyle w:val="Hesber"/>
      </w:pPr>
      <w:r>
        <w:rPr>
          <w:rFonts w:hint="cs"/>
          <w:color w:val="auto"/>
          <w:rtl/>
          <w:lang w:eastAsia="en-US"/>
        </w:rPr>
        <w:t>כ"ו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26.12</w:t>
      </w:r>
      <w:r w:rsidRPr="00D73212">
        <w:rPr>
          <w:color w:val="auto"/>
          <w:rtl/>
          <w:lang w:eastAsia="en-US"/>
        </w:rPr>
        <w:t>.1</w:t>
      </w:r>
      <w:r>
        <w:rPr>
          <w:rFonts w:hint="cs"/>
          <w:color w:val="auto"/>
          <w:rtl/>
          <w:lang w:eastAsia="en-US"/>
        </w:rPr>
        <w:t>6</w:t>
      </w:r>
    </w:p>
    <w:p w14:paraId="5F126980" w14:textId="77777777" w:rsidR="00F71D06" w:rsidRPr="00A96446" w:rsidRDefault="00F71D06" w:rsidP="00F71D06">
      <w:pPr>
        <w:pStyle w:val="Hesber"/>
        <w:rPr>
          <w:rtl/>
        </w:rPr>
      </w:pPr>
    </w:p>
    <w:p w14:paraId="15F9A8D0" w14:textId="77777777" w:rsidR="00F71D06" w:rsidRPr="00502D08" w:rsidRDefault="00F71D06" w:rsidP="00F71D06">
      <w:pPr>
        <w:pStyle w:val="Hesber"/>
        <w:rPr>
          <w:rtl/>
        </w:rPr>
      </w:pPr>
    </w:p>
    <w:p w14:paraId="7F6961CB" w14:textId="77777777"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4950CA" w14:textId="77777777" w:rsidR="00BA4EE5" w:rsidRDefault="00BA4EE5">
      <w:r>
        <w:separator/>
      </w:r>
    </w:p>
  </w:endnote>
  <w:endnote w:type="continuationSeparator" w:id="0">
    <w:p w14:paraId="6489D6F3" w14:textId="77777777" w:rsidR="00BA4EE5" w:rsidRDefault="00BA4EE5">
      <w:r>
        <w:continuationSeparator/>
      </w:r>
    </w:p>
  </w:endnote>
  <w:endnote w:type="continuationNotice" w:id="1">
    <w:p w14:paraId="2E36D1AB" w14:textId="77777777" w:rsidR="00BA4EE5" w:rsidRDefault="00BA4EE5">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63A7E">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E0FBED" w14:textId="77777777" w:rsidR="00BA4EE5" w:rsidRDefault="00BA4EE5">
      <w:r>
        <w:separator/>
      </w:r>
    </w:p>
  </w:footnote>
  <w:footnote w:type="continuationSeparator" w:id="0">
    <w:p w14:paraId="661664B6" w14:textId="77777777" w:rsidR="00BA4EE5" w:rsidRDefault="00BA4EE5">
      <w:r>
        <w:continuationSeparator/>
      </w:r>
    </w:p>
  </w:footnote>
  <w:footnote w:type="continuationNotice" w:id="1">
    <w:p w14:paraId="3CD7E0DC" w14:textId="77777777" w:rsidR="00BA4EE5" w:rsidRDefault="00BA4EE5"/>
  </w:footnote>
  <w:footnote w:id="2">
    <w:p w14:paraId="25CDE0BF" w14:textId="77777777" w:rsidR="00F71D06" w:rsidRPr="003545A6" w:rsidRDefault="00F71D06" w:rsidP="00F71D06">
      <w:pPr>
        <w:pStyle w:val="a4"/>
      </w:pPr>
      <w:r w:rsidRPr="003545A6">
        <w:rPr>
          <w:rStyle w:val="a6"/>
        </w:rPr>
        <w:footnoteRef/>
      </w:r>
      <w:r w:rsidRPr="003545A6">
        <w:rPr>
          <w:rtl/>
        </w:rPr>
        <w:t xml:space="preserve"> ס"ח התשס"א, עמ' 454.</w:t>
      </w:r>
    </w:p>
  </w:footnote>
  <w:footnote w:id="3">
    <w:p w14:paraId="6633C72B" w14:textId="77777777" w:rsidR="00F71D06" w:rsidRDefault="00F71D06" w:rsidP="00F71D06">
      <w:pPr>
        <w:pStyle w:val="a4"/>
      </w:pPr>
      <w:r>
        <w:rPr>
          <w:rStyle w:val="a6"/>
        </w:rPr>
        <w:footnoteRef/>
      </w:r>
      <w:r>
        <w:rPr>
          <w:rtl/>
        </w:rPr>
        <w:t xml:space="preserve"> ס"ח התשע"ג, עמ' 116.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3A7E"/>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288C"/>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3D6"/>
    <w:rsid w:val="00A14672"/>
    <w:rsid w:val="00A26BD6"/>
    <w:rsid w:val="00A443CF"/>
    <w:rsid w:val="00A6611D"/>
    <w:rsid w:val="00A82CB7"/>
    <w:rsid w:val="00A942C1"/>
    <w:rsid w:val="00A96446"/>
    <w:rsid w:val="00AA2F03"/>
    <w:rsid w:val="00AB2B34"/>
    <w:rsid w:val="00AC36F7"/>
    <w:rsid w:val="00AC63A4"/>
    <w:rsid w:val="00AD239E"/>
    <w:rsid w:val="00B10265"/>
    <w:rsid w:val="00B16A99"/>
    <w:rsid w:val="00B21211"/>
    <w:rsid w:val="00B35784"/>
    <w:rsid w:val="00B733A7"/>
    <w:rsid w:val="00B75C91"/>
    <w:rsid w:val="00B975AD"/>
    <w:rsid w:val="00BA4EE5"/>
    <w:rsid w:val="00BC45FB"/>
    <w:rsid w:val="00BF148D"/>
    <w:rsid w:val="00C07246"/>
    <w:rsid w:val="00C23B1A"/>
    <w:rsid w:val="00C310EB"/>
    <w:rsid w:val="00C9176A"/>
    <w:rsid w:val="00C9490F"/>
    <w:rsid w:val="00CF1AA2"/>
    <w:rsid w:val="00D17774"/>
    <w:rsid w:val="00D63620"/>
    <w:rsid w:val="00D77BF2"/>
    <w:rsid w:val="00D8410D"/>
    <w:rsid w:val="00D867D7"/>
    <w:rsid w:val="00DB7060"/>
    <w:rsid w:val="00DE3153"/>
    <w:rsid w:val="00DF24F6"/>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71D06"/>
    <w:rsid w:val="00F86A1E"/>
    <w:rsid w:val="00FA5E88"/>
    <w:rsid w:val="00FB6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FCED11EE-D725-4379-8807-C6DA6DEE7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1A2ECE3-F0BD-46CE-899A-0865A549A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1012</Words>
  <Characters>5062</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2016-12-25T07:01:00Z</cp:lastPrinted>
  <dcterms:created xsi:type="dcterms:W3CDTF">2017-05-18T09:06:00Z</dcterms:created>
  <dcterms:modified xsi:type="dcterms:W3CDTF">2017-05-18T09:06:00Z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2017112</vt:r8>
  </property>
</Properties>
</file>