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39B1" w:rsidRPr="0023527C" w:rsidRDefault="00DC39B1" w:rsidP="00DC39B1">
      <w:pPr>
        <w:spacing w:before="0" w:after="0" w:line="240" w:lineRule="auto"/>
        <w:ind w:left="26"/>
        <w:jc w:val="center"/>
        <w:rPr>
          <w:rtl/>
        </w:rPr>
      </w:pPr>
      <w:r w:rsidRPr="00343C7B">
        <w:rPr>
          <w:rFonts w:hint="cs"/>
          <w:noProof/>
          <w:sz w:val="22"/>
          <w:szCs w:val="22"/>
          <w:lang w:eastAsia="en-US"/>
        </w:rPr>
        <w:drawing>
          <wp:inline distT="0" distB="0" distL="0" distR="0" wp14:anchorId="0FCD420D" wp14:editId="506BA8AA">
            <wp:extent cx="522000" cy="633600"/>
            <wp:effectExtent l="0" t="0" r="0" b="0"/>
            <wp:docPr id="2" name="תמונה 2" descr="סמל כחול" title="סמל הכנס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 כחול"/>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2000" cy="633600"/>
                    </a:xfrm>
                    <a:prstGeom prst="rect">
                      <a:avLst/>
                    </a:prstGeom>
                    <a:noFill/>
                    <a:ln>
                      <a:noFill/>
                    </a:ln>
                  </pic:spPr>
                </pic:pic>
              </a:graphicData>
            </a:graphic>
          </wp:inline>
        </w:drawing>
      </w:r>
    </w:p>
    <w:p w:rsidR="00DC39B1" w:rsidRPr="00426035" w:rsidRDefault="00DC39B1" w:rsidP="00DC39B1">
      <w:pPr>
        <w:pStyle w:val="afff7"/>
        <w:rPr>
          <w:rFonts w:cs="Guttman Mantova"/>
          <w:rtl/>
        </w:rPr>
      </w:pPr>
      <w:r w:rsidRPr="00426035">
        <w:rPr>
          <w:rFonts w:cs="Guttman Mantova" w:hint="eastAsia"/>
          <w:rtl/>
        </w:rPr>
        <w:t>הכנסת</w:t>
      </w:r>
    </w:p>
    <w:p w:rsidR="00DC39B1" w:rsidRPr="00426035" w:rsidRDefault="00DC39B1" w:rsidP="00DC39B1">
      <w:pPr>
        <w:pStyle w:val="afff7"/>
        <w:rPr>
          <w:rFonts w:cs="Guttman Mantova"/>
          <w:rtl/>
        </w:rPr>
      </w:pPr>
      <w:r w:rsidRPr="00426035">
        <w:rPr>
          <w:rFonts w:cs="Guttman Mantova" w:hint="eastAsia"/>
          <w:rtl/>
        </w:rPr>
        <w:t>הלשכה</w:t>
      </w:r>
      <w:r w:rsidRPr="00426035">
        <w:rPr>
          <w:rFonts w:cs="Guttman Mantova"/>
          <w:rtl/>
        </w:rPr>
        <w:t xml:space="preserve"> </w:t>
      </w:r>
      <w:r w:rsidRPr="00426035">
        <w:rPr>
          <w:rFonts w:cs="Guttman Mantova" w:hint="eastAsia"/>
          <w:rtl/>
        </w:rPr>
        <w:t>המשפטית</w:t>
      </w:r>
    </w:p>
    <w:p w:rsidR="00DC39B1" w:rsidRDefault="00DC39B1" w:rsidP="00DC39B1">
      <w:pPr>
        <w:pStyle w:val="afff7"/>
        <w:rPr>
          <w:rtl/>
        </w:rPr>
      </w:pPr>
      <w:r w:rsidRPr="00426035">
        <w:rPr>
          <w:rFonts w:cs="Guttman Mantova" w:hint="eastAsia"/>
          <w:rtl/>
        </w:rPr>
        <w:t>תחום</w:t>
      </w:r>
      <w:r w:rsidRPr="00426035">
        <w:rPr>
          <w:rFonts w:cs="Guttman Mantova"/>
          <w:rtl/>
        </w:rPr>
        <w:t xml:space="preserve"> </w:t>
      </w:r>
      <w:r w:rsidRPr="00426035">
        <w:rPr>
          <w:rFonts w:cs="Guttman Mantova" w:hint="eastAsia"/>
          <w:rtl/>
        </w:rPr>
        <w:t>חקיקה</w:t>
      </w:r>
      <w:r w:rsidRPr="00426035">
        <w:rPr>
          <w:rFonts w:cs="Guttman Mantova"/>
          <w:rtl/>
        </w:rPr>
        <w:t xml:space="preserve"> </w:t>
      </w:r>
      <w:r w:rsidRPr="00426035">
        <w:rPr>
          <w:rFonts w:cs="Guttman Mantova" w:hint="eastAsia"/>
          <w:rtl/>
        </w:rPr>
        <w:t>ומחקר</w:t>
      </w:r>
      <w:r w:rsidRPr="00426035">
        <w:rPr>
          <w:rFonts w:cs="Guttman Mantova"/>
          <w:rtl/>
        </w:rPr>
        <w:t xml:space="preserve"> </w:t>
      </w:r>
      <w:r w:rsidRPr="00426035">
        <w:rPr>
          <w:rFonts w:cs="Guttman Mantova" w:hint="eastAsia"/>
          <w:rtl/>
        </w:rPr>
        <w:t>משפטי</w:t>
      </w:r>
    </w:p>
    <w:p w:rsidR="00DC39B1" w:rsidRPr="007149FC" w:rsidRDefault="00DC39B1" w:rsidP="00DC39B1">
      <w:pPr>
        <w:pStyle w:val="a4"/>
        <w:rPr>
          <w:sz w:val="180"/>
          <w:szCs w:val="180"/>
          <w:rtl/>
        </w:rPr>
      </w:pPr>
    </w:p>
    <w:p w:rsidR="0092666C" w:rsidRPr="00041950" w:rsidRDefault="007149FC" w:rsidP="00623760">
      <w:pPr>
        <w:pStyle w:val="afc"/>
        <w:spacing w:before="360" w:after="360"/>
        <w:rPr>
          <w:sz w:val="36"/>
          <w:rtl/>
        </w:rPr>
      </w:pPr>
      <w:r w:rsidRPr="00041950">
        <w:rPr>
          <w:rFonts w:hint="cs"/>
          <w:sz w:val="36"/>
          <w:rtl/>
        </w:rPr>
        <w:t>הסדרים</w:t>
      </w:r>
      <w:r w:rsidR="00623760">
        <w:rPr>
          <w:rFonts w:hint="cs"/>
          <w:sz w:val="36"/>
        </w:rPr>
        <w:t xml:space="preserve"> </w:t>
      </w:r>
      <w:r w:rsidR="00623760">
        <w:rPr>
          <w:rFonts w:hint="cs"/>
          <w:sz w:val="36"/>
          <w:rtl/>
        </w:rPr>
        <w:t>משפטיים</w:t>
      </w:r>
      <w:r w:rsidRPr="00041950">
        <w:rPr>
          <w:rFonts w:hint="cs"/>
          <w:sz w:val="36"/>
          <w:rtl/>
        </w:rPr>
        <w:t xml:space="preserve"> למניעת </w:t>
      </w:r>
      <w:r w:rsidR="001425D1" w:rsidRPr="00041950">
        <w:rPr>
          <w:rFonts w:hint="cs"/>
          <w:sz w:val="36"/>
          <w:rtl/>
        </w:rPr>
        <w:t>ניגוד עניינים</w:t>
      </w:r>
    </w:p>
    <w:p w:rsidR="00DC39B1" w:rsidRPr="00990A71" w:rsidRDefault="00DC39B1" w:rsidP="002E4CB7">
      <w:pPr>
        <w:pStyle w:val="afc"/>
        <w:spacing w:before="360" w:after="360"/>
        <w:rPr>
          <w:sz w:val="36"/>
          <w:rtl/>
        </w:rPr>
      </w:pPr>
      <w:r w:rsidRPr="00041950">
        <w:rPr>
          <w:sz w:val="36"/>
          <w:rtl/>
        </w:rPr>
        <w:t>–</w:t>
      </w:r>
      <w:r w:rsidRPr="00041950">
        <w:rPr>
          <w:rFonts w:hint="cs"/>
          <w:sz w:val="36"/>
          <w:rtl/>
        </w:rPr>
        <w:t xml:space="preserve"> סקירה משווה</w:t>
      </w:r>
      <w:r w:rsidR="00A92718" w:rsidRPr="00041950">
        <w:rPr>
          <w:rFonts w:hint="cs"/>
          <w:sz w:val="36"/>
          <w:rtl/>
        </w:rPr>
        <w:t xml:space="preserve"> </w:t>
      </w:r>
      <w:r w:rsidR="00A92718" w:rsidRPr="00041950">
        <w:rPr>
          <w:sz w:val="36"/>
          <w:rtl/>
        </w:rPr>
        <w:t>–</w:t>
      </w:r>
      <w:r w:rsidR="00A92718" w:rsidRPr="00990A71">
        <w:rPr>
          <w:rFonts w:hint="cs"/>
          <w:sz w:val="36"/>
          <w:rtl/>
        </w:rPr>
        <w:t xml:space="preserve"> </w:t>
      </w:r>
    </w:p>
    <w:p w:rsidR="00A92718" w:rsidRPr="00731DAB" w:rsidRDefault="00A92718" w:rsidP="00A92718">
      <w:pPr>
        <w:pStyle w:val="a4"/>
        <w:rPr>
          <w:sz w:val="180"/>
          <w:szCs w:val="180"/>
          <w:rtl/>
        </w:rPr>
      </w:pPr>
    </w:p>
    <w:p w:rsidR="00A92718" w:rsidRPr="00426035" w:rsidRDefault="00426035" w:rsidP="00426035">
      <w:pPr>
        <w:pStyle w:val="a4"/>
        <w:jc w:val="center"/>
        <w:rPr>
          <w:rtl/>
        </w:rPr>
      </w:pPr>
      <w:r w:rsidRPr="00426035">
        <w:rPr>
          <w:rFonts w:hint="cs"/>
          <w:rtl/>
        </w:rPr>
        <w:t>ג'</w:t>
      </w:r>
      <w:r w:rsidR="009D65BF" w:rsidRPr="00426035">
        <w:rPr>
          <w:rtl/>
        </w:rPr>
        <w:t xml:space="preserve"> </w:t>
      </w:r>
      <w:r w:rsidRPr="00426035">
        <w:rPr>
          <w:rFonts w:hint="cs"/>
          <w:rtl/>
        </w:rPr>
        <w:t>בסיוון</w:t>
      </w:r>
      <w:r w:rsidR="009D65BF" w:rsidRPr="00426035">
        <w:rPr>
          <w:rtl/>
        </w:rPr>
        <w:t xml:space="preserve"> </w:t>
      </w:r>
      <w:proofErr w:type="spellStart"/>
      <w:r w:rsidR="00A92718" w:rsidRPr="00426035">
        <w:rPr>
          <w:rFonts w:hint="eastAsia"/>
          <w:rtl/>
        </w:rPr>
        <w:t>התשע</w:t>
      </w:r>
      <w:r w:rsidR="00A92718" w:rsidRPr="00426035">
        <w:rPr>
          <w:rtl/>
        </w:rPr>
        <w:t>"ז</w:t>
      </w:r>
      <w:proofErr w:type="spellEnd"/>
    </w:p>
    <w:p w:rsidR="00A92718" w:rsidRDefault="009D65BF" w:rsidP="00426035">
      <w:pPr>
        <w:pStyle w:val="a4"/>
        <w:jc w:val="center"/>
        <w:rPr>
          <w:rtl/>
        </w:rPr>
      </w:pPr>
      <w:r w:rsidRPr="00426035">
        <w:rPr>
          <w:rFonts w:hint="cs"/>
          <w:rtl/>
        </w:rPr>
        <w:t>2</w:t>
      </w:r>
      <w:r w:rsidR="00426035" w:rsidRPr="00426035">
        <w:rPr>
          <w:rFonts w:hint="cs"/>
          <w:rtl/>
        </w:rPr>
        <w:t>8</w:t>
      </w:r>
      <w:r w:rsidRPr="00426035">
        <w:rPr>
          <w:rtl/>
        </w:rPr>
        <w:t xml:space="preserve"> ב</w:t>
      </w:r>
      <w:r w:rsidRPr="00426035">
        <w:rPr>
          <w:rFonts w:hint="cs"/>
          <w:rtl/>
        </w:rPr>
        <w:t>מאי</w:t>
      </w:r>
      <w:r w:rsidRPr="00426035">
        <w:rPr>
          <w:rtl/>
        </w:rPr>
        <w:t xml:space="preserve"> </w:t>
      </w:r>
      <w:r w:rsidR="00A92718" w:rsidRPr="00426035">
        <w:rPr>
          <w:rtl/>
        </w:rPr>
        <w:t>2017</w:t>
      </w:r>
    </w:p>
    <w:p w:rsidR="00A92718" w:rsidRPr="00A92718" w:rsidRDefault="00A92718" w:rsidP="00A92718">
      <w:pPr>
        <w:pStyle w:val="a4"/>
        <w:jc w:val="center"/>
        <w:rPr>
          <w:sz w:val="38"/>
          <w:szCs w:val="40"/>
          <w:rtl/>
        </w:rPr>
      </w:pPr>
    </w:p>
    <w:p w:rsidR="00731DAB" w:rsidRDefault="00731DAB" w:rsidP="00041950">
      <w:pPr>
        <w:pStyle w:val="a4"/>
        <w:jc w:val="center"/>
        <w:rPr>
          <w:rtl/>
        </w:rPr>
      </w:pPr>
      <w:r>
        <w:rPr>
          <w:rFonts w:hint="cs"/>
          <w:rtl/>
        </w:rPr>
        <w:t>כתיבה: עו"ד דינה צדוק, עו"ד גלעד נוה</w:t>
      </w:r>
    </w:p>
    <w:p w:rsidR="00A92718" w:rsidRDefault="00A92718" w:rsidP="00A92718">
      <w:pPr>
        <w:pStyle w:val="a4"/>
        <w:jc w:val="center"/>
        <w:rPr>
          <w:rtl/>
        </w:rPr>
      </w:pPr>
      <w:r>
        <w:rPr>
          <w:rFonts w:hint="cs"/>
          <w:rtl/>
        </w:rPr>
        <w:t>אישור: עו"ד הודיה קין, ממונה בכירה (חקיקה ומחקר משפטי)</w:t>
      </w:r>
    </w:p>
    <w:p w:rsidR="00A92718" w:rsidRPr="007033C3" w:rsidRDefault="00A92718" w:rsidP="00A92718">
      <w:pPr>
        <w:pStyle w:val="a4"/>
        <w:jc w:val="center"/>
        <w:rPr>
          <w:sz w:val="72"/>
          <w:szCs w:val="72"/>
          <w:rtl/>
        </w:rPr>
      </w:pPr>
    </w:p>
    <w:p w:rsidR="00A92718" w:rsidRPr="005A74AD" w:rsidRDefault="00A92718" w:rsidP="00A92718">
      <w:pPr>
        <w:pStyle w:val="a4"/>
        <w:jc w:val="center"/>
        <w:rPr>
          <w:color w:val="000060"/>
          <w:rtl/>
        </w:rPr>
      </w:pPr>
      <w:r w:rsidRPr="005A74AD">
        <w:rPr>
          <w:color w:val="000060"/>
          <w:rtl/>
        </w:rPr>
        <w:t>מסמך זה הוא סקירה משפטית משווה ואינו חוות דעת משפטית</w:t>
      </w:r>
    </w:p>
    <w:p w:rsidR="009232B0" w:rsidRPr="006902BC" w:rsidRDefault="000B6947" w:rsidP="00DC39B1">
      <w:pPr>
        <w:pStyle w:val="aff0"/>
        <w:rPr>
          <w:rtl/>
        </w:rPr>
      </w:pPr>
      <w:r w:rsidRPr="00FA6DE4">
        <w:rPr>
          <w:rtl/>
        </w:rPr>
        <w:br w:type="page"/>
      </w:r>
      <w:r w:rsidR="009232B0" w:rsidRPr="006902BC">
        <w:rPr>
          <w:rFonts w:hint="cs"/>
          <w:rtl/>
        </w:rPr>
        <w:t>תמצית</w:t>
      </w:r>
    </w:p>
    <w:p w:rsidR="00731DAB" w:rsidRDefault="00731DAB" w:rsidP="002E4CB7">
      <w:pPr>
        <w:pStyle w:val="a4"/>
        <w:rPr>
          <w:rtl/>
        </w:rPr>
      </w:pPr>
      <w:r w:rsidRPr="00416E32">
        <w:rPr>
          <w:rFonts w:hint="cs"/>
          <w:rtl/>
        </w:rPr>
        <w:t xml:space="preserve">מסמך זה נכתב לבקשת </w:t>
      </w:r>
      <w:r>
        <w:rPr>
          <w:rFonts w:hint="cs"/>
          <w:rtl/>
        </w:rPr>
        <w:t>חברת הכנסת סתיו שפיר</w:t>
      </w:r>
      <w:r w:rsidRPr="00416E32">
        <w:rPr>
          <w:rFonts w:hint="cs"/>
          <w:rtl/>
        </w:rPr>
        <w:t>,</w:t>
      </w:r>
      <w:r>
        <w:rPr>
          <w:rFonts w:hint="cs"/>
          <w:rtl/>
        </w:rPr>
        <w:t xml:space="preserve"> יו"ר </w:t>
      </w:r>
      <w:r w:rsidRPr="00921F85">
        <w:rPr>
          <w:rtl/>
        </w:rPr>
        <w:t>הוועדה המיוחדת ליישום הנגשת המידע הממשלתי ועקרונות שקיפותו לציבור</w:t>
      </w:r>
      <w:r>
        <w:rPr>
          <w:rFonts w:hint="cs"/>
          <w:rtl/>
        </w:rPr>
        <w:t>,</w:t>
      </w:r>
      <w:r w:rsidRPr="00416E32">
        <w:rPr>
          <w:rFonts w:hint="cs"/>
          <w:rtl/>
        </w:rPr>
        <w:t xml:space="preserve"> </w:t>
      </w:r>
      <w:r w:rsidR="00D717B5">
        <w:rPr>
          <w:rFonts w:hint="cs"/>
          <w:rtl/>
        </w:rPr>
        <w:t xml:space="preserve">ומובאת בו </w:t>
      </w:r>
      <w:r w:rsidR="00D717B5" w:rsidRPr="000A6E24">
        <w:rPr>
          <w:rFonts w:hint="cs"/>
          <w:b/>
          <w:bCs/>
          <w:rtl/>
        </w:rPr>
        <w:t xml:space="preserve">סקירה משווה </w:t>
      </w:r>
      <w:r w:rsidRPr="000A6E24">
        <w:rPr>
          <w:rFonts w:hint="cs"/>
          <w:b/>
          <w:bCs/>
          <w:rtl/>
        </w:rPr>
        <w:t xml:space="preserve">של </w:t>
      </w:r>
      <w:r w:rsidR="00D717B5" w:rsidRPr="000A6E24">
        <w:rPr>
          <w:rFonts w:hint="cs"/>
          <w:b/>
          <w:bCs/>
          <w:rtl/>
        </w:rPr>
        <w:t>הסדרים</w:t>
      </w:r>
      <w:r w:rsidR="00C95F2B">
        <w:rPr>
          <w:rFonts w:hint="cs"/>
          <w:b/>
          <w:bCs/>
          <w:rtl/>
        </w:rPr>
        <w:t xml:space="preserve"> משפטיים</w:t>
      </w:r>
      <w:r w:rsidR="00D717B5" w:rsidRPr="000A6E24">
        <w:rPr>
          <w:rFonts w:hint="cs"/>
          <w:b/>
          <w:bCs/>
          <w:rtl/>
        </w:rPr>
        <w:t xml:space="preserve"> למניעת ניגוד עניינים של גורמים במגזר הציבורי</w:t>
      </w:r>
      <w:r w:rsidR="00010637">
        <w:rPr>
          <w:rFonts w:hint="cs"/>
          <w:rtl/>
        </w:rPr>
        <w:t xml:space="preserve"> במדינות האלה: בריטניה, אוסטרליה, גרמניה, צרפת, </w:t>
      </w:r>
      <w:r w:rsidR="00010637" w:rsidRPr="00AA70F6">
        <w:rPr>
          <w:rFonts w:hint="cs"/>
          <w:rtl/>
        </w:rPr>
        <w:t>ספרד</w:t>
      </w:r>
      <w:r w:rsidR="00010637">
        <w:rPr>
          <w:rFonts w:hint="cs"/>
          <w:rtl/>
        </w:rPr>
        <w:t>, שבדיה, יוון ודנמרק</w:t>
      </w:r>
      <w:r w:rsidR="000A6E24">
        <w:rPr>
          <w:rFonts w:hint="cs"/>
          <w:rtl/>
        </w:rPr>
        <w:t>.</w:t>
      </w:r>
      <w:r w:rsidR="002E4CB7">
        <w:rPr>
          <w:rFonts w:hint="cs"/>
          <w:rtl/>
        </w:rPr>
        <w:t xml:space="preserve"> נוסף על כך כולל המסמך </w:t>
      </w:r>
      <w:r w:rsidR="002E4CB7" w:rsidRPr="000A6E24">
        <w:rPr>
          <w:rFonts w:hint="cs"/>
          <w:b/>
          <w:bCs/>
          <w:rtl/>
        </w:rPr>
        <w:t>התייחסות להסדרה של העסקת יועצים חיצוניים פרטיים</w:t>
      </w:r>
      <w:r w:rsidR="002E4CB7">
        <w:rPr>
          <w:rFonts w:hint="cs"/>
          <w:rtl/>
        </w:rPr>
        <w:t xml:space="preserve"> בשירות נבחרי ציבור כאשר נמצאו הסדרים כאלה.</w:t>
      </w:r>
    </w:p>
    <w:p w:rsidR="00731DAB" w:rsidRDefault="000311C7" w:rsidP="00CB3CE6">
      <w:pPr>
        <w:pStyle w:val="a4"/>
        <w:rPr>
          <w:rtl/>
        </w:rPr>
      </w:pPr>
      <w:r w:rsidRPr="00C730AE">
        <w:rPr>
          <w:rFonts w:hint="eastAsia"/>
          <w:rtl/>
        </w:rPr>
        <w:t>המסמך</w:t>
      </w:r>
      <w:r w:rsidRPr="00C730AE">
        <w:rPr>
          <w:rtl/>
        </w:rPr>
        <w:t xml:space="preserve"> </w:t>
      </w:r>
      <w:r w:rsidRPr="00C730AE">
        <w:rPr>
          <w:rFonts w:hint="eastAsia"/>
          <w:rtl/>
        </w:rPr>
        <w:t>התבקש</w:t>
      </w:r>
      <w:r w:rsidRPr="00C730AE">
        <w:rPr>
          <w:rtl/>
        </w:rPr>
        <w:t xml:space="preserve"> </w:t>
      </w:r>
      <w:r w:rsidRPr="00C730AE">
        <w:rPr>
          <w:rFonts w:hint="eastAsia"/>
          <w:rtl/>
        </w:rPr>
        <w:t>כרקע</w:t>
      </w:r>
      <w:r w:rsidRPr="00C730AE">
        <w:rPr>
          <w:rtl/>
        </w:rPr>
        <w:t xml:space="preserve"> </w:t>
      </w:r>
      <w:r w:rsidRPr="00C730AE">
        <w:rPr>
          <w:rFonts w:hint="eastAsia"/>
          <w:rtl/>
        </w:rPr>
        <w:t>לבחינת</w:t>
      </w:r>
      <w:r w:rsidRPr="00C730AE">
        <w:rPr>
          <w:rtl/>
        </w:rPr>
        <w:t xml:space="preserve"> </w:t>
      </w:r>
      <w:r w:rsidRPr="00C730AE">
        <w:rPr>
          <w:rFonts w:hint="eastAsia"/>
          <w:rtl/>
        </w:rPr>
        <w:t>הסוגיה</w:t>
      </w:r>
      <w:r w:rsidRPr="00C730AE">
        <w:rPr>
          <w:rtl/>
        </w:rPr>
        <w:t xml:space="preserve"> </w:t>
      </w:r>
      <w:r w:rsidRPr="00C730AE">
        <w:rPr>
          <w:rFonts w:hint="eastAsia"/>
          <w:rtl/>
        </w:rPr>
        <w:t>של</w:t>
      </w:r>
      <w:r w:rsidRPr="00C730AE">
        <w:rPr>
          <w:rtl/>
        </w:rPr>
        <w:t xml:space="preserve"> </w:t>
      </w:r>
      <w:r w:rsidRPr="00C730AE">
        <w:rPr>
          <w:rFonts w:hint="eastAsia"/>
          <w:rtl/>
        </w:rPr>
        <w:t>הסדרת</w:t>
      </w:r>
      <w:r w:rsidRPr="00C730AE">
        <w:rPr>
          <w:rtl/>
        </w:rPr>
        <w:t xml:space="preserve"> </w:t>
      </w:r>
      <w:r w:rsidRPr="00C730AE">
        <w:rPr>
          <w:rFonts w:hint="eastAsia"/>
          <w:rtl/>
        </w:rPr>
        <w:t>היחסים</w:t>
      </w:r>
      <w:r w:rsidRPr="00C730AE">
        <w:rPr>
          <w:rtl/>
        </w:rPr>
        <w:t xml:space="preserve"> </w:t>
      </w:r>
      <w:r w:rsidRPr="00C730AE">
        <w:rPr>
          <w:rFonts w:hint="eastAsia"/>
          <w:rtl/>
        </w:rPr>
        <w:t>בין</w:t>
      </w:r>
      <w:r w:rsidRPr="00C730AE">
        <w:rPr>
          <w:rtl/>
        </w:rPr>
        <w:t xml:space="preserve"> </w:t>
      </w:r>
      <w:r w:rsidRPr="00C730AE">
        <w:rPr>
          <w:rFonts w:hint="eastAsia"/>
          <w:rtl/>
        </w:rPr>
        <w:t>נבחרי</w:t>
      </w:r>
      <w:r w:rsidRPr="00C730AE">
        <w:rPr>
          <w:rtl/>
        </w:rPr>
        <w:t xml:space="preserve"> </w:t>
      </w:r>
      <w:r w:rsidRPr="00C730AE">
        <w:rPr>
          <w:rFonts w:hint="eastAsia"/>
          <w:rtl/>
        </w:rPr>
        <w:t>ציבור</w:t>
      </w:r>
      <w:r w:rsidRPr="00C730AE">
        <w:rPr>
          <w:rtl/>
        </w:rPr>
        <w:t xml:space="preserve"> </w:t>
      </w:r>
      <w:r w:rsidRPr="00C730AE">
        <w:rPr>
          <w:rFonts w:hint="eastAsia"/>
          <w:rtl/>
        </w:rPr>
        <w:t>ועובדי</w:t>
      </w:r>
      <w:r w:rsidRPr="00C730AE">
        <w:rPr>
          <w:rtl/>
        </w:rPr>
        <w:t xml:space="preserve"> </w:t>
      </w:r>
      <w:r w:rsidRPr="00C730AE">
        <w:rPr>
          <w:rFonts w:hint="eastAsia"/>
          <w:rtl/>
        </w:rPr>
        <w:t>ציבור</w:t>
      </w:r>
      <w:r w:rsidRPr="00C730AE">
        <w:rPr>
          <w:rtl/>
        </w:rPr>
        <w:t xml:space="preserve"> </w:t>
      </w:r>
      <w:r w:rsidRPr="00C730AE">
        <w:rPr>
          <w:rFonts w:hint="eastAsia"/>
          <w:rtl/>
        </w:rPr>
        <w:t>לבין</w:t>
      </w:r>
      <w:r w:rsidRPr="00C730AE">
        <w:rPr>
          <w:rtl/>
        </w:rPr>
        <w:t xml:space="preserve"> </w:t>
      </w:r>
      <w:r w:rsidR="00623760">
        <w:rPr>
          <w:rFonts w:hint="cs"/>
          <w:rtl/>
        </w:rPr>
        <w:t>גורמים</w:t>
      </w:r>
      <w:r w:rsidR="00623760" w:rsidRPr="00C730AE">
        <w:rPr>
          <w:rtl/>
        </w:rPr>
        <w:t xml:space="preserve"> </w:t>
      </w:r>
      <w:r w:rsidRPr="00C730AE">
        <w:rPr>
          <w:rtl/>
        </w:rPr>
        <w:t xml:space="preserve">פרטיים המצויים עימם בקשר מקצועי או ביחסי עבודה, בעיקר בכל הנוגע לאינטרסים האישיים של אותם אישים ושל המקורבים להם. </w:t>
      </w:r>
      <w:r w:rsidR="00241503">
        <w:rPr>
          <w:rFonts w:hint="cs"/>
          <w:rtl/>
        </w:rPr>
        <w:t xml:space="preserve">יודגש, כי </w:t>
      </w:r>
      <w:r w:rsidR="002E4CB7">
        <w:rPr>
          <w:rFonts w:hint="cs"/>
          <w:rtl/>
        </w:rPr>
        <w:t>המסמך אינו עוסק בהסדרה הפלילית, כגון עבירות השוחד או מרמה והפרת אמוני</w:t>
      </w:r>
      <w:r w:rsidR="002C7F5C">
        <w:rPr>
          <w:rFonts w:hint="cs"/>
          <w:rtl/>
        </w:rPr>
        <w:t xml:space="preserve">ם, אלא בהסדרים אחרים שנועדו לטפל במצבים של ניגוד עניינים </w:t>
      </w:r>
      <w:r w:rsidR="002C7F5C">
        <w:rPr>
          <w:rtl/>
        </w:rPr>
        <w:t>–</w:t>
      </w:r>
      <w:r w:rsidR="002C7F5C">
        <w:rPr>
          <w:rFonts w:hint="cs"/>
          <w:rtl/>
        </w:rPr>
        <w:t xml:space="preserve"> מראש או בדיעבד. </w:t>
      </w:r>
    </w:p>
    <w:p w:rsidR="002C7F5C" w:rsidRDefault="002C7F5C" w:rsidP="002C7F5C">
      <w:pPr>
        <w:pStyle w:val="a4"/>
        <w:rPr>
          <w:rtl/>
        </w:rPr>
      </w:pPr>
      <w:r w:rsidRPr="00426035">
        <w:rPr>
          <w:rFonts w:hint="cs"/>
          <w:b/>
          <w:bCs/>
          <w:rtl/>
        </w:rPr>
        <w:t>בהכנת המסמך התבקשנו להתמקד בשתי סוגיות עיקריות</w:t>
      </w:r>
      <w:r>
        <w:rPr>
          <w:rFonts w:hint="cs"/>
          <w:rtl/>
        </w:rPr>
        <w:t>:</w:t>
      </w:r>
    </w:p>
    <w:p w:rsidR="002C7F5C" w:rsidRDefault="002C7F5C" w:rsidP="00CB3CE6">
      <w:pPr>
        <w:pStyle w:val="a4"/>
        <w:numPr>
          <w:ilvl w:val="0"/>
          <w:numId w:val="19"/>
        </w:numPr>
        <w:ind w:left="357" w:hanging="357"/>
      </w:pPr>
      <w:r w:rsidRPr="002C7F5C">
        <w:rPr>
          <w:rFonts w:hint="cs"/>
          <w:b/>
          <w:bCs/>
          <w:rtl/>
        </w:rPr>
        <w:t>הסדרי ניגוד עניינים</w:t>
      </w:r>
      <w:r>
        <w:rPr>
          <w:rFonts w:hint="cs"/>
          <w:rtl/>
        </w:rPr>
        <w:t xml:space="preserve"> </w:t>
      </w:r>
      <w:r>
        <w:rPr>
          <w:rtl/>
        </w:rPr>
        <w:t>–</w:t>
      </w:r>
      <w:r>
        <w:rPr>
          <w:rFonts w:hint="cs"/>
          <w:rtl/>
        </w:rPr>
        <w:t xml:space="preserve"> מדובר בהסדרים הנחתמים עם כניסתו של אדם לתפקיד בכיר אשר מפרטים את האינטרסים האישיים שלו שעשויים להביא למצב של ניגוד עניינים עם הביצוע הראוי של תפקידו. </w:t>
      </w:r>
      <w:r w:rsidRPr="000311C7">
        <w:rPr>
          <w:rFonts w:hint="cs"/>
          <w:rtl/>
        </w:rPr>
        <w:t xml:space="preserve">ההסדרים משרטטים את אופן ההתמודדות עם כל ניגוד עניינים </w:t>
      </w:r>
      <w:r w:rsidR="009C141F" w:rsidRPr="000311C7">
        <w:rPr>
          <w:rFonts w:hint="cs"/>
          <w:rtl/>
        </w:rPr>
        <w:t>אם וכאשר יתעורר</w:t>
      </w:r>
      <w:r w:rsidRPr="000311C7">
        <w:rPr>
          <w:rFonts w:hint="cs"/>
          <w:rtl/>
        </w:rPr>
        <w:t xml:space="preserve">. בהקשר זה יצוין כי </w:t>
      </w:r>
      <w:r w:rsidR="00623760">
        <w:rPr>
          <w:rFonts w:hint="cs"/>
          <w:b/>
          <w:bCs/>
          <w:rtl/>
        </w:rPr>
        <w:t>ב</w:t>
      </w:r>
      <w:r w:rsidRPr="000311C7">
        <w:rPr>
          <w:rFonts w:hint="eastAsia"/>
          <w:b/>
          <w:bCs/>
          <w:rtl/>
        </w:rPr>
        <w:t>מדינות</w:t>
      </w:r>
      <w:r w:rsidRPr="000311C7">
        <w:rPr>
          <w:b/>
          <w:bCs/>
          <w:rtl/>
        </w:rPr>
        <w:t xml:space="preserve"> </w:t>
      </w:r>
      <w:r w:rsidR="009C141F" w:rsidRPr="000311C7">
        <w:rPr>
          <w:rFonts w:hint="cs"/>
          <w:b/>
          <w:bCs/>
          <w:rtl/>
        </w:rPr>
        <w:t>שנבדקו</w:t>
      </w:r>
      <w:r w:rsidR="00623760">
        <w:rPr>
          <w:rFonts w:hint="cs"/>
          <w:b/>
          <w:bCs/>
          <w:rtl/>
        </w:rPr>
        <w:t xml:space="preserve"> לא נמצאה </w:t>
      </w:r>
      <w:r w:rsidRPr="000311C7">
        <w:rPr>
          <w:rFonts w:hint="eastAsia"/>
          <w:b/>
          <w:bCs/>
          <w:rtl/>
        </w:rPr>
        <w:t>הסדרה</w:t>
      </w:r>
      <w:r w:rsidRPr="000311C7">
        <w:rPr>
          <w:b/>
          <w:bCs/>
          <w:rtl/>
        </w:rPr>
        <w:t xml:space="preserve"> </w:t>
      </w:r>
      <w:r w:rsidR="000A6E24" w:rsidRPr="000311C7">
        <w:rPr>
          <w:rFonts w:hint="eastAsia"/>
          <w:b/>
          <w:bCs/>
          <w:rtl/>
        </w:rPr>
        <w:t>למניעת</w:t>
      </w:r>
      <w:r w:rsidR="000A6E24" w:rsidRPr="000311C7">
        <w:rPr>
          <w:b/>
          <w:bCs/>
          <w:rtl/>
        </w:rPr>
        <w:t xml:space="preserve"> ניגוד עניינים </w:t>
      </w:r>
      <w:r w:rsidR="00623760">
        <w:rPr>
          <w:rFonts w:hint="cs"/>
          <w:b/>
          <w:bCs/>
          <w:rtl/>
        </w:rPr>
        <w:t>ש</w:t>
      </w:r>
      <w:r w:rsidRPr="000311C7">
        <w:rPr>
          <w:rFonts w:hint="cs"/>
          <w:b/>
          <w:bCs/>
          <w:rtl/>
        </w:rPr>
        <w:t xml:space="preserve">כוללת </w:t>
      </w:r>
      <w:r w:rsidR="00623760">
        <w:rPr>
          <w:rFonts w:hint="cs"/>
          <w:b/>
          <w:bCs/>
          <w:rtl/>
        </w:rPr>
        <w:t xml:space="preserve">הוראות מפורטות בדבר </w:t>
      </w:r>
      <w:r w:rsidRPr="000311C7">
        <w:rPr>
          <w:rFonts w:hint="eastAsia"/>
          <w:b/>
          <w:bCs/>
          <w:rtl/>
        </w:rPr>
        <w:t>חתימה</w:t>
      </w:r>
      <w:r w:rsidRPr="000311C7">
        <w:rPr>
          <w:b/>
          <w:bCs/>
          <w:rtl/>
        </w:rPr>
        <w:t xml:space="preserve"> </w:t>
      </w:r>
      <w:r w:rsidRPr="000311C7">
        <w:rPr>
          <w:rFonts w:hint="eastAsia"/>
          <w:b/>
          <w:bCs/>
          <w:rtl/>
        </w:rPr>
        <w:t>על</w:t>
      </w:r>
      <w:r w:rsidRPr="000311C7">
        <w:rPr>
          <w:b/>
          <w:bCs/>
          <w:rtl/>
        </w:rPr>
        <w:t xml:space="preserve"> </w:t>
      </w:r>
      <w:r w:rsidRPr="000311C7">
        <w:rPr>
          <w:rFonts w:hint="eastAsia"/>
          <w:b/>
          <w:bCs/>
          <w:rtl/>
        </w:rPr>
        <w:t>הסדרי</w:t>
      </w:r>
      <w:r w:rsidRPr="000311C7">
        <w:rPr>
          <w:b/>
          <w:bCs/>
          <w:rtl/>
        </w:rPr>
        <w:t xml:space="preserve"> </w:t>
      </w:r>
      <w:r w:rsidRPr="000311C7">
        <w:rPr>
          <w:rFonts w:hint="eastAsia"/>
          <w:b/>
          <w:bCs/>
          <w:rtl/>
        </w:rPr>
        <w:t>ניגוד</w:t>
      </w:r>
      <w:r w:rsidRPr="000311C7">
        <w:rPr>
          <w:b/>
          <w:bCs/>
          <w:rtl/>
        </w:rPr>
        <w:t xml:space="preserve"> </w:t>
      </w:r>
      <w:r w:rsidRPr="000311C7">
        <w:rPr>
          <w:rFonts w:hint="eastAsia"/>
          <w:b/>
          <w:bCs/>
          <w:rtl/>
        </w:rPr>
        <w:t>עניינים</w:t>
      </w:r>
      <w:r w:rsidR="009C141F" w:rsidRPr="000311C7">
        <w:rPr>
          <w:rFonts w:hint="cs"/>
          <w:b/>
          <w:bCs/>
          <w:rtl/>
        </w:rPr>
        <w:t>,</w:t>
      </w:r>
      <w:r w:rsidRPr="000311C7">
        <w:rPr>
          <w:b/>
          <w:bCs/>
          <w:rtl/>
        </w:rPr>
        <w:t xml:space="preserve"> אלא </w:t>
      </w:r>
      <w:r w:rsidR="009C141F" w:rsidRPr="000311C7">
        <w:rPr>
          <w:rFonts w:hint="cs"/>
          <w:b/>
          <w:bCs/>
          <w:rtl/>
        </w:rPr>
        <w:t>צורות אחרות של הסדרה</w:t>
      </w:r>
      <w:r w:rsidR="00623760">
        <w:rPr>
          <w:rFonts w:hint="cs"/>
          <w:b/>
          <w:bCs/>
          <w:rtl/>
        </w:rPr>
        <w:t xml:space="preserve"> (למעט בבריטניה שבה נמצא הסדר נקודתי שעוסק בנושאי משרה ספציפיים</w:t>
      </w:r>
      <w:r w:rsidR="00623760" w:rsidRPr="00CB3CE6">
        <w:rPr>
          <w:rtl/>
        </w:rPr>
        <w:t>)</w:t>
      </w:r>
      <w:r w:rsidR="009C141F" w:rsidRPr="000311C7">
        <w:rPr>
          <w:rFonts w:hint="cs"/>
          <w:rtl/>
        </w:rPr>
        <w:t>. כך למשל נמצאו</w:t>
      </w:r>
      <w:r w:rsidR="009C141F">
        <w:rPr>
          <w:rFonts w:hint="cs"/>
          <w:rtl/>
        </w:rPr>
        <w:t xml:space="preserve"> הסדרים בדבר </w:t>
      </w:r>
      <w:r w:rsidR="00010637">
        <w:rPr>
          <w:rFonts w:hint="cs"/>
          <w:rtl/>
        </w:rPr>
        <w:t xml:space="preserve">איסור </w:t>
      </w:r>
      <w:r w:rsidR="009C141F">
        <w:rPr>
          <w:rFonts w:hint="cs"/>
          <w:rtl/>
        </w:rPr>
        <w:t>ע</w:t>
      </w:r>
      <w:r w:rsidR="00010637">
        <w:rPr>
          <w:rFonts w:hint="cs"/>
          <w:rtl/>
        </w:rPr>
        <w:t>ל</w:t>
      </w:r>
      <w:r w:rsidR="009C141F">
        <w:rPr>
          <w:rFonts w:hint="cs"/>
          <w:rtl/>
        </w:rPr>
        <w:t xml:space="preserve"> השתתפות </w:t>
      </w:r>
      <w:r w:rsidR="00010637">
        <w:rPr>
          <w:rFonts w:hint="cs"/>
          <w:rtl/>
        </w:rPr>
        <w:t xml:space="preserve">בדיונים או בהצבעות בנושאים שבהם קיים ניגוד כאמור, חובה לדווח </w:t>
      </w:r>
      <w:r>
        <w:rPr>
          <w:rFonts w:hint="cs"/>
          <w:rtl/>
        </w:rPr>
        <w:t>על האינטרסים האישיים</w:t>
      </w:r>
      <w:r w:rsidR="000311C7">
        <w:rPr>
          <w:rFonts w:hint="cs"/>
          <w:rtl/>
        </w:rPr>
        <w:t>,</w:t>
      </w:r>
      <w:r>
        <w:rPr>
          <w:rFonts w:hint="cs"/>
          <w:rtl/>
        </w:rPr>
        <w:t xml:space="preserve"> </w:t>
      </w:r>
      <w:r w:rsidR="000311C7">
        <w:rPr>
          <w:rFonts w:hint="cs"/>
          <w:rtl/>
        </w:rPr>
        <w:t>הסדרים ל</w:t>
      </w:r>
      <w:r>
        <w:rPr>
          <w:rFonts w:hint="cs"/>
          <w:rtl/>
        </w:rPr>
        <w:t>פרסום</w:t>
      </w:r>
      <w:r w:rsidR="000A6E24">
        <w:rPr>
          <w:rFonts w:hint="cs"/>
          <w:rtl/>
        </w:rPr>
        <w:t xml:space="preserve"> הדיווחים האמורים</w:t>
      </w:r>
      <w:r w:rsidR="009C141F">
        <w:rPr>
          <w:rFonts w:hint="cs"/>
          <w:rtl/>
        </w:rPr>
        <w:t xml:space="preserve"> ועוד.</w:t>
      </w:r>
      <w:r w:rsidR="000A6E24">
        <w:rPr>
          <w:rFonts w:hint="cs"/>
          <w:rtl/>
        </w:rPr>
        <w:t xml:space="preserve"> </w:t>
      </w:r>
    </w:p>
    <w:p w:rsidR="002C7F5C" w:rsidRDefault="002C7F5C" w:rsidP="00C730AE">
      <w:pPr>
        <w:pStyle w:val="a4"/>
        <w:numPr>
          <w:ilvl w:val="0"/>
          <w:numId w:val="19"/>
        </w:numPr>
        <w:ind w:left="357" w:hanging="357"/>
      </w:pPr>
      <w:r>
        <w:rPr>
          <w:rFonts w:hint="cs"/>
          <w:b/>
          <w:bCs/>
          <w:rtl/>
        </w:rPr>
        <w:t>הסדרים להעסקת יועצים חיצוניים</w:t>
      </w:r>
      <w:r>
        <w:rPr>
          <w:rFonts w:hint="cs"/>
          <w:rtl/>
        </w:rPr>
        <w:t xml:space="preserve"> </w:t>
      </w:r>
      <w:r w:rsidRPr="002C7F5C">
        <w:rPr>
          <w:rFonts w:hint="cs"/>
          <w:b/>
          <w:bCs/>
          <w:rtl/>
        </w:rPr>
        <w:t>פרטיים</w:t>
      </w:r>
      <w:r>
        <w:rPr>
          <w:rFonts w:hint="cs"/>
          <w:rtl/>
        </w:rPr>
        <w:t xml:space="preserve"> </w:t>
      </w:r>
      <w:r w:rsidR="000A6E24">
        <w:rPr>
          <w:rtl/>
        </w:rPr>
        <w:t>–</w:t>
      </w:r>
      <w:r>
        <w:rPr>
          <w:rFonts w:hint="cs"/>
          <w:rtl/>
        </w:rPr>
        <w:t xml:space="preserve"> </w:t>
      </w:r>
      <w:r w:rsidR="000A6E24">
        <w:rPr>
          <w:rFonts w:hint="cs"/>
          <w:rtl/>
        </w:rPr>
        <w:t xml:space="preserve">סוגיה זו מעוררת שאלות </w:t>
      </w:r>
      <w:r w:rsidR="009C141F">
        <w:rPr>
          <w:rFonts w:hint="cs"/>
          <w:rtl/>
        </w:rPr>
        <w:t xml:space="preserve">שונות בנוגע לצורת ההעסקה של יועצים אלה </w:t>
      </w:r>
      <w:r w:rsidR="000A6E24">
        <w:rPr>
          <w:rFonts w:hint="cs"/>
          <w:rtl/>
        </w:rPr>
        <w:t xml:space="preserve">וכיצד </w:t>
      </w:r>
      <w:r w:rsidR="009C141F">
        <w:rPr>
          <w:rFonts w:hint="cs"/>
          <w:rtl/>
        </w:rPr>
        <w:t xml:space="preserve">ניתן </w:t>
      </w:r>
      <w:r w:rsidR="000A6E24">
        <w:rPr>
          <w:rFonts w:hint="cs"/>
          <w:rtl/>
        </w:rPr>
        <w:t xml:space="preserve">למנוע ניצול של </w:t>
      </w:r>
      <w:r w:rsidR="009C141F">
        <w:rPr>
          <w:rFonts w:hint="cs"/>
          <w:rtl/>
        </w:rPr>
        <w:t xml:space="preserve">העסקת יועצים כאמור </w:t>
      </w:r>
      <w:r w:rsidR="000A6E24">
        <w:rPr>
          <w:rFonts w:hint="cs"/>
          <w:rtl/>
        </w:rPr>
        <w:t>לתועלת אישית.</w:t>
      </w:r>
      <w:r w:rsidR="00286BBF">
        <w:rPr>
          <w:rFonts w:hint="cs"/>
          <w:rtl/>
        </w:rPr>
        <w:t xml:space="preserve"> </w:t>
      </w:r>
      <w:r w:rsidR="00286BBF" w:rsidRPr="00286BBF">
        <w:rPr>
          <w:rFonts w:hint="cs"/>
          <w:b/>
          <w:bCs/>
          <w:rtl/>
        </w:rPr>
        <w:t>ככלל, במדינות שבדקנו לא עלה בידינו למצוא הסדרה של התחום הזה</w:t>
      </w:r>
      <w:r w:rsidR="00286BBF">
        <w:rPr>
          <w:rFonts w:hint="cs"/>
          <w:rtl/>
        </w:rPr>
        <w:t xml:space="preserve">, </w:t>
      </w:r>
      <w:r w:rsidR="00286BBF" w:rsidRPr="000311C7">
        <w:rPr>
          <w:rFonts w:hint="cs"/>
          <w:rtl/>
        </w:rPr>
        <w:t>למעט</w:t>
      </w:r>
      <w:r w:rsidR="000A6E24" w:rsidRPr="000311C7">
        <w:rPr>
          <w:rFonts w:hint="cs"/>
          <w:rtl/>
        </w:rPr>
        <w:t xml:space="preserve"> </w:t>
      </w:r>
      <w:r w:rsidR="00286BBF" w:rsidRPr="000311C7">
        <w:rPr>
          <w:rFonts w:hint="eastAsia"/>
          <w:rtl/>
        </w:rPr>
        <w:t>בבריטניה</w:t>
      </w:r>
      <w:r w:rsidR="00286BBF" w:rsidRPr="000311C7">
        <w:rPr>
          <w:rtl/>
        </w:rPr>
        <w:t xml:space="preserve"> </w:t>
      </w:r>
      <w:r w:rsidR="00286BBF" w:rsidRPr="000311C7">
        <w:rPr>
          <w:rFonts w:hint="eastAsia"/>
          <w:rtl/>
        </w:rPr>
        <w:t>שם</w:t>
      </w:r>
      <w:r w:rsidR="00286BBF" w:rsidRPr="000311C7">
        <w:rPr>
          <w:rtl/>
        </w:rPr>
        <w:t xml:space="preserve"> </w:t>
      </w:r>
      <w:r w:rsidR="00286BBF" w:rsidRPr="000311C7">
        <w:rPr>
          <w:rFonts w:hint="eastAsia"/>
          <w:rtl/>
        </w:rPr>
        <w:t>נמצאו</w:t>
      </w:r>
      <w:r w:rsidR="00286BBF" w:rsidRPr="000311C7">
        <w:rPr>
          <w:rtl/>
        </w:rPr>
        <w:t xml:space="preserve"> </w:t>
      </w:r>
      <w:r w:rsidR="00286BBF" w:rsidRPr="000311C7">
        <w:rPr>
          <w:rFonts w:hint="eastAsia"/>
          <w:rtl/>
        </w:rPr>
        <w:t>הוראות</w:t>
      </w:r>
      <w:r w:rsidR="00286BBF" w:rsidRPr="000311C7">
        <w:rPr>
          <w:rtl/>
        </w:rPr>
        <w:t xml:space="preserve"> </w:t>
      </w:r>
      <w:r w:rsidR="00286BBF" w:rsidRPr="000311C7">
        <w:rPr>
          <w:rFonts w:hint="eastAsia"/>
          <w:rtl/>
        </w:rPr>
        <w:t>שעוסקות</w:t>
      </w:r>
      <w:r w:rsidR="00286BBF" w:rsidRPr="000311C7">
        <w:rPr>
          <w:rtl/>
        </w:rPr>
        <w:t xml:space="preserve"> </w:t>
      </w:r>
      <w:r w:rsidR="00286BBF" w:rsidRPr="000311C7">
        <w:rPr>
          <w:rFonts w:hint="eastAsia"/>
          <w:rtl/>
        </w:rPr>
        <w:t>במינויים</w:t>
      </w:r>
      <w:r w:rsidR="00286BBF" w:rsidRPr="000311C7">
        <w:rPr>
          <w:rtl/>
        </w:rPr>
        <w:t xml:space="preserve"> </w:t>
      </w:r>
      <w:r w:rsidR="00286BBF" w:rsidRPr="000311C7">
        <w:rPr>
          <w:rFonts w:hint="eastAsia"/>
          <w:rtl/>
        </w:rPr>
        <w:t>אישיים</w:t>
      </w:r>
      <w:r w:rsidR="00286BBF" w:rsidRPr="000311C7">
        <w:rPr>
          <w:rtl/>
        </w:rPr>
        <w:t xml:space="preserve"> </w:t>
      </w:r>
      <w:r w:rsidR="00286BBF" w:rsidRPr="000311C7">
        <w:rPr>
          <w:rFonts w:hint="eastAsia"/>
          <w:rtl/>
        </w:rPr>
        <w:t>מטעם</w:t>
      </w:r>
      <w:r w:rsidR="00286BBF" w:rsidRPr="000311C7">
        <w:rPr>
          <w:rtl/>
        </w:rPr>
        <w:t xml:space="preserve"> </w:t>
      </w:r>
      <w:r w:rsidR="00286BBF" w:rsidRPr="000311C7">
        <w:rPr>
          <w:rFonts w:hint="eastAsia"/>
          <w:rtl/>
        </w:rPr>
        <w:t>שרים</w:t>
      </w:r>
      <w:r w:rsidR="009C141F" w:rsidRPr="000311C7">
        <w:rPr>
          <w:rFonts w:hint="cs"/>
          <w:rtl/>
        </w:rPr>
        <w:t xml:space="preserve"> ואשר עשויות להיות רלוונטיות.</w:t>
      </w:r>
      <w:r w:rsidR="00286BBF">
        <w:rPr>
          <w:rFonts w:hint="cs"/>
          <w:rtl/>
        </w:rPr>
        <w:t xml:space="preserve"> </w:t>
      </w:r>
    </w:p>
    <w:p w:rsidR="00F04B57" w:rsidRPr="00F04B57" w:rsidRDefault="00F04B57" w:rsidP="00F04B57">
      <w:pPr>
        <w:pStyle w:val="a4"/>
        <w:rPr>
          <w:rtl/>
        </w:rPr>
      </w:pPr>
      <w:r w:rsidRPr="00F04B57">
        <w:rPr>
          <w:rFonts w:hint="cs"/>
          <w:rtl/>
        </w:rPr>
        <w:t xml:space="preserve">מן הסקירה עולים הממצאים שלהלן: </w:t>
      </w:r>
    </w:p>
    <w:p w:rsidR="00623760" w:rsidRDefault="00623760" w:rsidP="00426035">
      <w:pPr>
        <w:pStyle w:val="a4"/>
        <w:numPr>
          <w:ilvl w:val="0"/>
          <w:numId w:val="21"/>
        </w:numPr>
        <w:ind w:left="357" w:hanging="357"/>
      </w:pPr>
      <w:r w:rsidRPr="00CB3CE6">
        <w:rPr>
          <w:rFonts w:hint="eastAsia"/>
          <w:rtl/>
        </w:rPr>
        <w:t>ככלל</w:t>
      </w:r>
      <w:r w:rsidRPr="00CB3CE6">
        <w:rPr>
          <w:rtl/>
        </w:rPr>
        <w:t xml:space="preserve">, </w:t>
      </w:r>
      <w:r w:rsidR="006865D0" w:rsidRPr="00E55106">
        <w:rPr>
          <w:rFonts w:hint="cs"/>
          <w:b/>
          <w:bCs/>
          <w:rtl/>
        </w:rPr>
        <w:t>נמצא כי יש</w:t>
      </w:r>
      <w:r w:rsidRPr="00E55106">
        <w:rPr>
          <w:b/>
          <w:bCs/>
          <w:rtl/>
        </w:rPr>
        <w:t xml:space="preserve"> שוני </w:t>
      </w:r>
      <w:r w:rsidRPr="00E55106">
        <w:rPr>
          <w:rFonts w:hint="cs"/>
          <w:b/>
          <w:bCs/>
          <w:rtl/>
        </w:rPr>
        <w:t xml:space="preserve">מהותי </w:t>
      </w:r>
      <w:r w:rsidRPr="00E55106">
        <w:rPr>
          <w:rFonts w:hint="eastAsia"/>
          <w:b/>
          <w:bCs/>
          <w:rtl/>
        </w:rPr>
        <w:t>בין</w:t>
      </w:r>
      <w:r w:rsidRPr="00E55106">
        <w:rPr>
          <w:b/>
          <w:bCs/>
          <w:rtl/>
        </w:rPr>
        <w:t xml:space="preserve"> המדינות שנסקרו </w:t>
      </w:r>
      <w:r w:rsidR="006865D0" w:rsidRPr="00E55106">
        <w:rPr>
          <w:rFonts w:hint="cs"/>
          <w:b/>
          <w:bCs/>
          <w:rtl/>
        </w:rPr>
        <w:t xml:space="preserve">בהיבטים שונים של ההסדרה </w:t>
      </w:r>
      <w:r w:rsidR="009D65BF" w:rsidRPr="00E55106">
        <w:rPr>
          <w:rFonts w:hint="cs"/>
          <w:b/>
          <w:bCs/>
          <w:rtl/>
        </w:rPr>
        <w:t>הקיימת בהן</w:t>
      </w:r>
      <w:r w:rsidR="006865D0" w:rsidRPr="00CB3CE6">
        <w:rPr>
          <w:rFonts w:hint="cs"/>
          <w:rtl/>
        </w:rPr>
        <w:t>. כך, בחלק מהמדינות ההסדרה קבוע</w:t>
      </w:r>
      <w:r w:rsidR="00CB3CE6">
        <w:rPr>
          <w:rFonts w:hint="cs"/>
          <w:rtl/>
        </w:rPr>
        <w:t>ה</w:t>
      </w:r>
      <w:r w:rsidR="006865D0" w:rsidRPr="00CB3CE6">
        <w:rPr>
          <w:rFonts w:hint="cs"/>
          <w:rtl/>
        </w:rPr>
        <w:t xml:space="preserve"> </w:t>
      </w:r>
      <w:r w:rsidRPr="00CB3CE6">
        <w:rPr>
          <w:rFonts w:hint="cs"/>
          <w:rtl/>
        </w:rPr>
        <w:t>ב</w:t>
      </w:r>
      <w:r w:rsidRPr="00CB3CE6">
        <w:rPr>
          <w:rFonts w:hint="eastAsia"/>
          <w:rtl/>
        </w:rPr>
        <w:t>חקיקה</w:t>
      </w:r>
      <w:r w:rsidRPr="00CB3CE6">
        <w:rPr>
          <w:rtl/>
        </w:rPr>
        <w:t xml:space="preserve">, </w:t>
      </w:r>
      <w:r w:rsidR="006865D0" w:rsidRPr="00CB3CE6">
        <w:rPr>
          <w:rFonts w:hint="cs"/>
          <w:rtl/>
        </w:rPr>
        <w:t xml:space="preserve">בחלקן </w:t>
      </w:r>
      <w:r w:rsidR="00CB3CE6">
        <w:rPr>
          <w:rFonts w:hint="cs"/>
          <w:rtl/>
        </w:rPr>
        <w:t>האחר</w:t>
      </w:r>
      <w:r w:rsidR="00657CFD" w:rsidRPr="00CB3CE6">
        <w:rPr>
          <w:rFonts w:hint="cs"/>
          <w:rtl/>
        </w:rPr>
        <w:t xml:space="preserve"> </w:t>
      </w:r>
      <w:r w:rsidR="006865D0" w:rsidRPr="00CB3CE6">
        <w:rPr>
          <w:rFonts w:hint="cs"/>
          <w:rtl/>
        </w:rPr>
        <w:t>ב</w:t>
      </w:r>
      <w:r w:rsidRPr="00CB3CE6">
        <w:rPr>
          <w:rFonts w:hint="eastAsia"/>
          <w:rtl/>
        </w:rPr>
        <w:t>קודי</w:t>
      </w:r>
      <w:r w:rsidRPr="00CB3CE6">
        <w:rPr>
          <w:rtl/>
        </w:rPr>
        <w:t xml:space="preserve"> </w:t>
      </w:r>
      <w:r w:rsidRPr="00CB3CE6">
        <w:rPr>
          <w:rFonts w:hint="eastAsia"/>
          <w:rtl/>
        </w:rPr>
        <w:t>התנהגות</w:t>
      </w:r>
      <w:r w:rsidR="006865D0" w:rsidRPr="00CB3CE6">
        <w:rPr>
          <w:rFonts w:hint="cs"/>
          <w:rtl/>
        </w:rPr>
        <w:t>,</w:t>
      </w:r>
      <w:r w:rsidRPr="00CB3CE6">
        <w:rPr>
          <w:rFonts w:hint="cs"/>
          <w:rtl/>
        </w:rPr>
        <w:t xml:space="preserve"> </w:t>
      </w:r>
      <w:r w:rsidR="006865D0" w:rsidRPr="00CB3CE6">
        <w:rPr>
          <w:rFonts w:hint="cs"/>
          <w:rtl/>
        </w:rPr>
        <w:t xml:space="preserve">ואילו </w:t>
      </w:r>
      <w:r w:rsidRPr="00CB3CE6">
        <w:rPr>
          <w:rFonts w:hint="cs"/>
          <w:rtl/>
        </w:rPr>
        <w:t>ב</w:t>
      </w:r>
      <w:r w:rsidR="00CB3CE6">
        <w:rPr>
          <w:rFonts w:hint="cs"/>
          <w:rtl/>
        </w:rPr>
        <w:t>שא</w:t>
      </w:r>
      <w:r w:rsidR="006865D0" w:rsidRPr="00CB3CE6">
        <w:rPr>
          <w:rFonts w:hint="cs"/>
          <w:rtl/>
        </w:rPr>
        <w:t xml:space="preserve">ר </w:t>
      </w:r>
      <w:r w:rsidRPr="00CB3CE6">
        <w:rPr>
          <w:rFonts w:hint="cs"/>
          <w:rtl/>
        </w:rPr>
        <w:t xml:space="preserve">המדינות נעשה שימוש משולב בכמה </w:t>
      </w:r>
      <w:r w:rsidR="0057507A" w:rsidRPr="00CB3CE6">
        <w:rPr>
          <w:rFonts w:hint="cs"/>
          <w:rtl/>
        </w:rPr>
        <w:t>מקורות כאמור</w:t>
      </w:r>
      <w:r w:rsidRPr="00CB3CE6">
        <w:rPr>
          <w:rtl/>
        </w:rPr>
        <w:t xml:space="preserve">. </w:t>
      </w:r>
      <w:r w:rsidRPr="00CB3CE6">
        <w:rPr>
          <w:rFonts w:hint="eastAsia"/>
          <w:rtl/>
        </w:rPr>
        <w:t>היקף</w:t>
      </w:r>
      <w:r w:rsidRPr="00CB3CE6">
        <w:rPr>
          <w:rtl/>
        </w:rPr>
        <w:t xml:space="preserve"> </w:t>
      </w:r>
      <w:r w:rsidRPr="00CB3CE6">
        <w:rPr>
          <w:rFonts w:hint="eastAsia"/>
          <w:rtl/>
        </w:rPr>
        <w:t>ההסדרה</w:t>
      </w:r>
      <w:r w:rsidRPr="00CB3CE6">
        <w:rPr>
          <w:rtl/>
        </w:rPr>
        <w:t xml:space="preserve"> </w:t>
      </w:r>
      <w:r w:rsidRPr="00CB3CE6">
        <w:rPr>
          <w:rFonts w:hint="eastAsia"/>
          <w:rtl/>
        </w:rPr>
        <w:t>משתנה</w:t>
      </w:r>
      <w:r w:rsidRPr="00CB3CE6">
        <w:rPr>
          <w:rtl/>
        </w:rPr>
        <w:t xml:space="preserve"> </w:t>
      </w:r>
      <w:r w:rsidRPr="00CB3CE6">
        <w:rPr>
          <w:rFonts w:hint="eastAsia"/>
          <w:rtl/>
        </w:rPr>
        <w:t>אף</w:t>
      </w:r>
      <w:r w:rsidRPr="00CB3CE6">
        <w:rPr>
          <w:rtl/>
        </w:rPr>
        <w:t xml:space="preserve"> </w:t>
      </w:r>
      <w:r w:rsidRPr="00CB3CE6">
        <w:rPr>
          <w:rFonts w:hint="eastAsia"/>
          <w:rtl/>
        </w:rPr>
        <w:t>הוא</w:t>
      </w:r>
      <w:r w:rsidR="006865D0" w:rsidRPr="00CB3CE6">
        <w:rPr>
          <w:rFonts w:hint="cs"/>
          <w:rtl/>
        </w:rPr>
        <w:t xml:space="preserve"> בין המדינות השונות,</w:t>
      </w:r>
      <w:r w:rsidRPr="00CB3CE6">
        <w:rPr>
          <w:rtl/>
        </w:rPr>
        <w:t xml:space="preserve"> ובתוך כך זהות הגורמים שעליהם ההסדרה חלה</w:t>
      </w:r>
      <w:r w:rsidR="006865D0" w:rsidRPr="00CB3CE6">
        <w:rPr>
          <w:rFonts w:hint="cs"/>
          <w:rtl/>
        </w:rPr>
        <w:t>. בחלק מהמדינות נמצאה הסדרה כללית, בחלקן האחר ההסדרה ייחודית וייעודית ל</w:t>
      </w:r>
      <w:r w:rsidR="00C95F2B" w:rsidRPr="00CB3CE6">
        <w:rPr>
          <w:rFonts w:hint="cs"/>
          <w:rtl/>
        </w:rPr>
        <w:t xml:space="preserve">בעלי תפקידים מסוימים, כגון </w:t>
      </w:r>
      <w:r w:rsidR="006865D0" w:rsidRPr="00CB3CE6">
        <w:rPr>
          <w:rFonts w:hint="cs"/>
          <w:rtl/>
        </w:rPr>
        <w:t>חברי פרלמנט או חברי ממשלה ועוד.</w:t>
      </w:r>
      <w:r w:rsidRPr="00CB3CE6">
        <w:rPr>
          <w:rtl/>
        </w:rPr>
        <w:t xml:space="preserve"> מעבר לכך, נמצא כי בחלק מהמדינות </w:t>
      </w:r>
      <w:r w:rsidR="00461615" w:rsidRPr="00CB3CE6">
        <w:rPr>
          <w:rFonts w:hint="cs"/>
          <w:rtl/>
        </w:rPr>
        <w:t>נקבעו</w:t>
      </w:r>
      <w:r w:rsidRPr="00CB3CE6">
        <w:rPr>
          <w:rtl/>
        </w:rPr>
        <w:t xml:space="preserve"> גופים ייעודיים </w:t>
      </w:r>
      <w:r w:rsidR="00657CFD" w:rsidRPr="00CB3CE6">
        <w:rPr>
          <w:rFonts w:hint="cs"/>
          <w:rtl/>
        </w:rPr>
        <w:t>שעוסקים בפיקוח על תחום</w:t>
      </w:r>
      <w:r w:rsidRPr="00CB3CE6">
        <w:rPr>
          <w:rtl/>
        </w:rPr>
        <w:t xml:space="preserve"> </w:t>
      </w:r>
      <w:r w:rsidRPr="00CB3CE6">
        <w:rPr>
          <w:rFonts w:hint="eastAsia"/>
          <w:rtl/>
        </w:rPr>
        <w:t>ניגודי</w:t>
      </w:r>
      <w:r w:rsidRPr="00CB3CE6">
        <w:rPr>
          <w:rtl/>
        </w:rPr>
        <w:t xml:space="preserve"> </w:t>
      </w:r>
      <w:r w:rsidR="00657CFD" w:rsidRPr="00CB3CE6">
        <w:rPr>
          <w:rFonts w:hint="cs"/>
          <w:rtl/>
        </w:rPr>
        <w:t>ה</w:t>
      </w:r>
      <w:r w:rsidRPr="00CB3CE6">
        <w:rPr>
          <w:rFonts w:hint="eastAsia"/>
          <w:rtl/>
        </w:rPr>
        <w:t>עניינים</w:t>
      </w:r>
      <w:r w:rsidR="00461615" w:rsidRPr="00CB3CE6">
        <w:rPr>
          <w:rFonts w:hint="cs"/>
          <w:rtl/>
        </w:rPr>
        <w:t>.</w:t>
      </w:r>
      <w:r w:rsidRPr="00CB3CE6">
        <w:rPr>
          <w:rtl/>
        </w:rPr>
        <w:t xml:space="preserve"> </w:t>
      </w:r>
      <w:r w:rsidR="00C95F2B" w:rsidRPr="00CB3CE6">
        <w:rPr>
          <w:rFonts w:hint="cs"/>
          <w:rtl/>
        </w:rPr>
        <w:t>עוד</w:t>
      </w:r>
      <w:r w:rsidR="00461615" w:rsidRPr="00CB3CE6">
        <w:rPr>
          <w:rFonts w:hint="cs"/>
          <w:rtl/>
        </w:rPr>
        <w:t xml:space="preserve"> נמצא כי קיים מגוון רחב של הוראות בדבר סוגי</w:t>
      </w:r>
      <w:r w:rsidRPr="00CB3CE6">
        <w:rPr>
          <w:rtl/>
        </w:rPr>
        <w:t xml:space="preserve"> הסנקציות </w:t>
      </w:r>
      <w:r w:rsidR="00461615" w:rsidRPr="00CB3CE6">
        <w:rPr>
          <w:rFonts w:hint="cs"/>
          <w:rtl/>
        </w:rPr>
        <w:t xml:space="preserve">שמוטלות </w:t>
      </w:r>
      <w:r w:rsidRPr="00CB3CE6">
        <w:rPr>
          <w:rFonts w:hint="eastAsia"/>
          <w:rtl/>
        </w:rPr>
        <w:t>על</w:t>
      </w:r>
      <w:r w:rsidRPr="00CB3CE6">
        <w:rPr>
          <w:rtl/>
        </w:rPr>
        <w:t xml:space="preserve"> </w:t>
      </w:r>
      <w:r w:rsidRPr="00CB3CE6">
        <w:rPr>
          <w:rFonts w:hint="eastAsia"/>
          <w:rtl/>
        </w:rPr>
        <w:t>מי</w:t>
      </w:r>
      <w:r w:rsidRPr="00CB3CE6">
        <w:rPr>
          <w:rtl/>
        </w:rPr>
        <w:t xml:space="preserve"> </w:t>
      </w:r>
      <w:r w:rsidRPr="00CB3CE6">
        <w:rPr>
          <w:rFonts w:hint="eastAsia"/>
          <w:rtl/>
        </w:rPr>
        <w:t>שמפר</w:t>
      </w:r>
      <w:r w:rsidRPr="00CB3CE6">
        <w:rPr>
          <w:rtl/>
        </w:rPr>
        <w:t xml:space="preserve"> </w:t>
      </w:r>
      <w:r w:rsidRPr="00CB3CE6">
        <w:rPr>
          <w:rFonts w:hint="eastAsia"/>
          <w:rtl/>
        </w:rPr>
        <w:t>את</w:t>
      </w:r>
      <w:r w:rsidRPr="00CB3CE6">
        <w:rPr>
          <w:rtl/>
        </w:rPr>
        <w:t xml:space="preserve"> </w:t>
      </w:r>
      <w:r w:rsidRPr="00CB3CE6">
        <w:rPr>
          <w:rFonts w:hint="eastAsia"/>
          <w:rtl/>
        </w:rPr>
        <w:t>הכללים</w:t>
      </w:r>
      <w:r w:rsidRPr="00CB3CE6">
        <w:rPr>
          <w:rtl/>
        </w:rPr>
        <w:t xml:space="preserve"> </w:t>
      </w:r>
      <w:r w:rsidRPr="00CB3CE6">
        <w:rPr>
          <w:rFonts w:hint="eastAsia"/>
          <w:rtl/>
        </w:rPr>
        <w:t>הרלוונטיים</w:t>
      </w:r>
      <w:r w:rsidR="006865D0" w:rsidRPr="00CB3CE6">
        <w:rPr>
          <w:rFonts w:hint="cs"/>
          <w:rtl/>
        </w:rPr>
        <w:t xml:space="preserve"> בנושא זה</w:t>
      </w:r>
      <w:r w:rsidRPr="00CB3CE6">
        <w:rPr>
          <w:rtl/>
        </w:rPr>
        <w:t>.</w:t>
      </w:r>
    </w:p>
    <w:p w:rsidR="009D65BF" w:rsidRDefault="009D65BF" w:rsidP="00426035">
      <w:pPr>
        <w:pStyle w:val="a4"/>
        <w:numPr>
          <w:ilvl w:val="0"/>
          <w:numId w:val="21"/>
        </w:numPr>
        <w:ind w:left="357" w:hanging="357"/>
      </w:pPr>
      <w:r>
        <w:rPr>
          <w:rFonts w:hint="cs"/>
          <w:rtl/>
        </w:rPr>
        <w:t xml:space="preserve">מעבר לכך, </w:t>
      </w:r>
      <w:r w:rsidRPr="009E462D">
        <w:rPr>
          <w:rFonts w:hint="cs"/>
          <w:rtl/>
        </w:rPr>
        <w:t xml:space="preserve">יוער, כי לאמצעים השונים </w:t>
      </w:r>
      <w:r>
        <w:rPr>
          <w:rFonts w:hint="cs"/>
          <w:rtl/>
        </w:rPr>
        <w:t xml:space="preserve">שנבחרו במדינות השונות שנסקרו </w:t>
      </w:r>
      <w:r w:rsidRPr="009E462D">
        <w:rPr>
          <w:rFonts w:hint="cs"/>
          <w:rtl/>
        </w:rPr>
        <w:t>יכולה להיות השפעה ומידת אפקטיביות שונה בהתאם להבדלים בתרבות הלאומית-פוליטית של המדינה הנסקרת ובהתאם גם לשיטת המשפט הנהוגה, כמו גם כי הבדלים אלה לא תמיד באים לידי ביטוי בהסדרים עצמם (ומטבע הדברים גם לא בסקירה המשווה).</w:t>
      </w:r>
    </w:p>
    <w:p w:rsidR="00C5091B" w:rsidRPr="00426035" w:rsidRDefault="00251F20" w:rsidP="00426035">
      <w:pPr>
        <w:pStyle w:val="a4"/>
        <w:numPr>
          <w:ilvl w:val="0"/>
          <w:numId w:val="21"/>
        </w:numPr>
        <w:ind w:left="357" w:hanging="357"/>
      </w:pPr>
      <w:r w:rsidRPr="00426035">
        <w:rPr>
          <w:rFonts w:hint="eastAsia"/>
          <w:rtl/>
        </w:rPr>
        <w:t>עוד</w:t>
      </w:r>
      <w:r w:rsidRPr="00426035">
        <w:rPr>
          <w:rtl/>
        </w:rPr>
        <w:t xml:space="preserve"> יצוין, כי </w:t>
      </w:r>
      <w:r w:rsidR="008259AB" w:rsidRPr="00426035">
        <w:rPr>
          <w:rFonts w:hint="eastAsia"/>
          <w:rtl/>
        </w:rPr>
        <w:t>בחלק</w:t>
      </w:r>
      <w:r w:rsidR="008259AB" w:rsidRPr="00426035">
        <w:rPr>
          <w:rtl/>
        </w:rPr>
        <w:t xml:space="preserve"> </w:t>
      </w:r>
      <w:r w:rsidR="008259AB" w:rsidRPr="00426035">
        <w:rPr>
          <w:rFonts w:hint="eastAsia"/>
          <w:rtl/>
        </w:rPr>
        <w:t>מהמדינות</w:t>
      </w:r>
      <w:r w:rsidR="008259AB" w:rsidRPr="00426035">
        <w:rPr>
          <w:rtl/>
        </w:rPr>
        <w:t xml:space="preserve"> </w:t>
      </w:r>
      <w:r w:rsidR="008259AB" w:rsidRPr="00426035">
        <w:rPr>
          <w:rFonts w:hint="eastAsia"/>
          <w:rtl/>
        </w:rPr>
        <w:t>הנסקרות</w:t>
      </w:r>
      <w:r w:rsidR="008259AB" w:rsidRPr="00426035">
        <w:rPr>
          <w:rtl/>
        </w:rPr>
        <w:t xml:space="preserve"> </w:t>
      </w:r>
      <w:r w:rsidR="008259AB" w:rsidRPr="00426035">
        <w:rPr>
          <w:rFonts w:hint="eastAsia"/>
          <w:rtl/>
        </w:rPr>
        <w:t>התאפשר</w:t>
      </w:r>
      <w:r w:rsidR="008259AB" w:rsidRPr="00426035">
        <w:rPr>
          <w:rtl/>
        </w:rPr>
        <w:t xml:space="preserve"> </w:t>
      </w:r>
      <w:r w:rsidR="008259AB" w:rsidRPr="00426035">
        <w:rPr>
          <w:rFonts w:hint="eastAsia"/>
          <w:rtl/>
        </w:rPr>
        <w:t>לנו</w:t>
      </w:r>
      <w:r w:rsidR="008259AB" w:rsidRPr="00426035">
        <w:rPr>
          <w:rtl/>
        </w:rPr>
        <w:t xml:space="preserve"> </w:t>
      </w:r>
      <w:r w:rsidR="008259AB" w:rsidRPr="00426035">
        <w:rPr>
          <w:rFonts w:hint="eastAsia"/>
          <w:rtl/>
        </w:rPr>
        <w:t>להגיע</w:t>
      </w:r>
      <w:r w:rsidR="008259AB" w:rsidRPr="00426035">
        <w:rPr>
          <w:rtl/>
        </w:rPr>
        <w:t xml:space="preserve"> </w:t>
      </w:r>
      <w:r w:rsidR="008259AB" w:rsidRPr="00426035">
        <w:rPr>
          <w:rFonts w:hint="eastAsia"/>
          <w:rtl/>
        </w:rPr>
        <w:t>למקורות</w:t>
      </w:r>
      <w:r w:rsidR="008259AB" w:rsidRPr="00426035">
        <w:rPr>
          <w:rtl/>
        </w:rPr>
        <w:t xml:space="preserve"> </w:t>
      </w:r>
      <w:r w:rsidR="008259AB" w:rsidRPr="00426035">
        <w:rPr>
          <w:rFonts w:hint="eastAsia"/>
          <w:rtl/>
        </w:rPr>
        <w:t>רשמיים</w:t>
      </w:r>
      <w:r w:rsidR="008259AB" w:rsidRPr="00426035">
        <w:rPr>
          <w:rtl/>
        </w:rPr>
        <w:t xml:space="preserve"> (</w:t>
      </w:r>
      <w:r w:rsidR="008259AB" w:rsidRPr="00426035">
        <w:rPr>
          <w:rFonts w:hint="eastAsia"/>
          <w:rtl/>
        </w:rPr>
        <w:t>למשל</w:t>
      </w:r>
      <w:r w:rsidR="008259AB" w:rsidRPr="00426035">
        <w:rPr>
          <w:rtl/>
        </w:rPr>
        <w:t xml:space="preserve">: </w:t>
      </w:r>
      <w:r w:rsidR="008259AB" w:rsidRPr="00426035">
        <w:rPr>
          <w:rFonts w:hint="eastAsia"/>
          <w:rtl/>
        </w:rPr>
        <w:t>חקיקה</w:t>
      </w:r>
      <w:r w:rsidR="008259AB" w:rsidRPr="00426035">
        <w:rPr>
          <w:rtl/>
        </w:rPr>
        <w:t xml:space="preserve">, </w:t>
      </w:r>
      <w:r w:rsidR="008259AB" w:rsidRPr="00426035">
        <w:rPr>
          <w:rFonts w:hint="eastAsia"/>
          <w:rtl/>
        </w:rPr>
        <w:t>הנחיות</w:t>
      </w:r>
      <w:r w:rsidR="008259AB" w:rsidRPr="00426035">
        <w:rPr>
          <w:rtl/>
        </w:rPr>
        <w:t xml:space="preserve"> </w:t>
      </w:r>
      <w:r w:rsidR="008259AB" w:rsidRPr="00426035">
        <w:rPr>
          <w:rFonts w:hint="eastAsia"/>
          <w:rtl/>
        </w:rPr>
        <w:t>וקודי</w:t>
      </w:r>
      <w:r w:rsidR="008259AB" w:rsidRPr="00426035">
        <w:rPr>
          <w:rtl/>
        </w:rPr>
        <w:t xml:space="preserve"> </w:t>
      </w:r>
      <w:r w:rsidR="008259AB" w:rsidRPr="00426035">
        <w:rPr>
          <w:rFonts w:hint="eastAsia"/>
          <w:rtl/>
        </w:rPr>
        <w:t>התנהגות</w:t>
      </w:r>
      <w:r w:rsidR="008259AB" w:rsidRPr="00426035">
        <w:rPr>
          <w:rtl/>
        </w:rPr>
        <w:t>) בעוד שבאחרות המידע במסמך מבוסס על תשובות שניתנו מהפרלמנטים</w:t>
      </w:r>
      <w:r w:rsidR="00E55106">
        <w:rPr>
          <w:rFonts w:hint="cs"/>
          <w:rtl/>
        </w:rPr>
        <w:t>,</w:t>
      </w:r>
      <w:r w:rsidR="008259AB" w:rsidRPr="00426035">
        <w:rPr>
          <w:rtl/>
        </w:rPr>
        <w:t xml:space="preserve"> ועל כן ה</w:t>
      </w:r>
      <w:r w:rsidR="00426035">
        <w:rPr>
          <w:rFonts w:hint="cs"/>
          <w:rtl/>
        </w:rPr>
        <w:t>י</w:t>
      </w:r>
      <w:r w:rsidR="008259AB" w:rsidRPr="00426035">
        <w:rPr>
          <w:rtl/>
        </w:rPr>
        <w:t xml:space="preserve">קף המידע </w:t>
      </w:r>
      <w:r w:rsidR="008259AB" w:rsidRPr="00426035">
        <w:rPr>
          <w:rFonts w:hint="eastAsia"/>
          <w:rtl/>
        </w:rPr>
        <w:t>המובא</w:t>
      </w:r>
      <w:r w:rsidR="008259AB" w:rsidRPr="00426035">
        <w:rPr>
          <w:rtl/>
        </w:rPr>
        <w:t xml:space="preserve"> </w:t>
      </w:r>
      <w:r w:rsidR="008259AB" w:rsidRPr="00426035">
        <w:rPr>
          <w:rFonts w:hint="eastAsia"/>
          <w:rtl/>
        </w:rPr>
        <w:t>בכל</w:t>
      </w:r>
      <w:r w:rsidR="008259AB" w:rsidRPr="00426035">
        <w:rPr>
          <w:rtl/>
        </w:rPr>
        <w:t xml:space="preserve"> </w:t>
      </w:r>
      <w:r w:rsidR="008259AB" w:rsidRPr="00426035">
        <w:rPr>
          <w:rFonts w:hint="eastAsia"/>
          <w:rtl/>
        </w:rPr>
        <w:t>אחת</w:t>
      </w:r>
      <w:r w:rsidR="008259AB" w:rsidRPr="00426035">
        <w:rPr>
          <w:rtl/>
        </w:rPr>
        <w:t xml:space="preserve"> </w:t>
      </w:r>
      <w:r w:rsidR="008259AB" w:rsidRPr="00426035">
        <w:rPr>
          <w:rFonts w:hint="eastAsia"/>
          <w:rtl/>
        </w:rPr>
        <w:t>מהמדינות</w:t>
      </w:r>
      <w:r w:rsidR="008259AB" w:rsidRPr="00426035">
        <w:rPr>
          <w:rtl/>
        </w:rPr>
        <w:t xml:space="preserve"> </w:t>
      </w:r>
      <w:r w:rsidR="008259AB" w:rsidRPr="00426035">
        <w:rPr>
          <w:rFonts w:hint="eastAsia"/>
          <w:rtl/>
        </w:rPr>
        <w:t>הוא</w:t>
      </w:r>
      <w:r w:rsidR="008259AB" w:rsidRPr="00426035">
        <w:rPr>
          <w:rtl/>
        </w:rPr>
        <w:t xml:space="preserve"> </w:t>
      </w:r>
      <w:r w:rsidR="008259AB" w:rsidRPr="00426035">
        <w:rPr>
          <w:rFonts w:hint="eastAsia"/>
          <w:rtl/>
        </w:rPr>
        <w:t>שונה</w:t>
      </w:r>
      <w:r w:rsidRPr="00426035">
        <w:rPr>
          <w:rtl/>
        </w:rPr>
        <w:t>.</w:t>
      </w:r>
    </w:p>
    <w:p w:rsidR="00623760" w:rsidRPr="00C33E3E" w:rsidRDefault="00623760" w:rsidP="00426035">
      <w:pPr>
        <w:pStyle w:val="a4"/>
        <w:keepNext/>
        <w:keepLines/>
        <w:rPr>
          <w:b/>
          <w:bCs/>
          <w:u w:val="single"/>
        </w:rPr>
      </w:pPr>
      <w:r w:rsidRPr="00C730AE">
        <w:rPr>
          <w:rFonts w:hint="eastAsia"/>
          <w:b/>
          <w:bCs/>
          <w:u w:val="single"/>
          <w:rtl/>
        </w:rPr>
        <w:t>בריטניה</w:t>
      </w:r>
    </w:p>
    <w:p w:rsidR="00C33E3E" w:rsidRDefault="00C33E3E" w:rsidP="00426035">
      <w:pPr>
        <w:pStyle w:val="a4"/>
        <w:numPr>
          <w:ilvl w:val="0"/>
          <w:numId w:val="21"/>
        </w:numPr>
        <w:ind w:left="357" w:hanging="357"/>
        <w:rPr>
          <w:rtl/>
        </w:rPr>
      </w:pPr>
      <w:r>
        <w:rPr>
          <w:rFonts w:hint="cs"/>
          <w:rtl/>
        </w:rPr>
        <w:t xml:space="preserve">המדיניות </w:t>
      </w:r>
      <w:r w:rsidRPr="00131FAE">
        <w:rPr>
          <w:rFonts w:hint="cs"/>
          <w:rtl/>
        </w:rPr>
        <w:t>הבריטית</w:t>
      </w:r>
      <w:r w:rsidRPr="00131FAE">
        <w:rPr>
          <w:rtl/>
        </w:rPr>
        <w:t xml:space="preserve"> לניהול ניגודי עניינים מבוססת על קביעת סטנדרטים אתיים</w:t>
      </w:r>
      <w:r>
        <w:rPr>
          <w:rFonts w:hint="cs"/>
          <w:rtl/>
        </w:rPr>
        <w:t xml:space="preserve">. </w:t>
      </w:r>
      <w:r w:rsidRPr="00131FAE">
        <w:rPr>
          <w:rFonts w:hint="cs"/>
          <w:rtl/>
        </w:rPr>
        <w:t xml:space="preserve">הוראות </w:t>
      </w:r>
      <w:r>
        <w:rPr>
          <w:rFonts w:hint="cs"/>
          <w:rtl/>
        </w:rPr>
        <w:t>ההסדרה</w:t>
      </w:r>
      <w:r w:rsidRPr="00131FAE">
        <w:rPr>
          <w:rFonts w:hint="cs"/>
          <w:rtl/>
        </w:rPr>
        <w:t xml:space="preserve"> </w:t>
      </w:r>
      <w:r w:rsidR="00017B8C">
        <w:rPr>
          <w:rFonts w:hint="cs"/>
          <w:rtl/>
        </w:rPr>
        <w:t xml:space="preserve">בבריטניה </w:t>
      </w:r>
      <w:r w:rsidR="009D65BF">
        <w:rPr>
          <w:rFonts w:hint="cs"/>
          <w:rtl/>
        </w:rPr>
        <w:t xml:space="preserve">אינן </w:t>
      </w:r>
      <w:r w:rsidRPr="00131FAE">
        <w:rPr>
          <w:rFonts w:hint="cs"/>
          <w:rtl/>
        </w:rPr>
        <w:t xml:space="preserve">מעוגנות </w:t>
      </w:r>
      <w:r w:rsidR="009D65BF">
        <w:rPr>
          <w:rFonts w:hint="cs"/>
          <w:rtl/>
        </w:rPr>
        <w:t>ב</w:t>
      </w:r>
      <w:r w:rsidRPr="00131FAE">
        <w:rPr>
          <w:rFonts w:hint="cs"/>
          <w:rtl/>
        </w:rPr>
        <w:t xml:space="preserve">חקיקה ראשית, אלא </w:t>
      </w:r>
      <w:r w:rsidR="009D65BF">
        <w:rPr>
          <w:rFonts w:hint="cs"/>
          <w:rtl/>
        </w:rPr>
        <w:t>ב</w:t>
      </w:r>
      <w:r w:rsidRPr="00131FAE">
        <w:rPr>
          <w:rFonts w:hint="cs"/>
          <w:rtl/>
        </w:rPr>
        <w:t xml:space="preserve">קודי התנהגות. קודי ההתנהגות </w:t>
      </w:r>
      <w:r>
        <w:rPr>
          <w:rFonts w:hint="cs"/>
          <w:rtl/>
        </w:rPr>
        <w:t xml:space="preserve">השונים </w:t>
      </w:r>
      <w:r w:rsidRPr="00131FAE">
        <w:rPr>
          <w:rFonts w:hint="cs"/>
          <w:rtl/>
        </w:rPr>
        <w:t>קובעים הסדר</w:t>
      </w:r>
      <w:r>
        <w:rPr>
          <w:rFonts w:hint="cs"/>
          <w:rtl/>
        </w:rPr>
        <w:t>ים</w:t>
      </w:r>
      <w:r w:rsidRPr="00131FAE">
        <w:rPr>
          <w:rFonts w:hint="cs"/>
          <w:rtl/>
        </w:rPr>
        <w:t xml:space="preserve"> פרטני</w:t>
      </w:r>
      <w:r>
        <w:rPr>
          <w:rFonts w:hint="cs"/>
          <w:rtl/>
        </w:rPr>
        <w:t>ים</w:t>
      </w:r>
      <w:r w:rsidRPr="00131FAE">
        <w:rPr>
          <w:rFonts w:hint="cs"/>
          <w:rtl/>
        </w:rPr>
        <w:t xml:space="preserve"> לקבוצות שונות של נושאי משרה</w:t>
      </w:r>
      <w:r>
        <w:rPr>
          <w:rFonts w:hint="cs"/>
          <w:rtl/>
        </w:rPr>
        <w:t xml:space="preserve"> בהתאם לתפקידים</w:t>
      </w:r>
      <w:r w:rsidRPr="00131FAE">
        <w:rPr>
          <w:rFonts w:hint="cs"/>
          <w:rtl/>
        </w:rPr>
        <w:t xml:space="preserve"> </w:t>
      </w:r>
      <w:r>
        <w:rPr>
          <w:rFonts w:hint="cs"/>
          <w:rtl/>
        </w:rPr>
        <w:t xml:space="preserve">שהם ממלאים </w:t>
      </w:r>
      <w:r w:rsidRPr="00131FAE">
        <w:rPr>
          <w:rFonts w:hint="cs"/>
          <w:rtl/>
        </w:rPr>
        <w:t>(</w:t>
      </w:r>
      <w:r>
        <w:rPr>
          <w:rFonts w:hint="cs"/>
          <w:rtl/>
        </w:rPr>
        <w:t>קוד לשירות הציבורי כולו</w:t>
      </w:r>
      <w:r w:rsidRPr="00131FAE">
        <w:rPr>
          <w:rFonts w:hint="cs"/>
          <w:rtl/>
        </w:rPr>
        <w:t xml:space="preserve">, קוד </w:t>
      </w:r>
      <w:r>
        <w:rPr>
          <w:rFonts w:hint="cs"/>
          <w:rtl/>
        </w:rPr>
        <w:t xml:space="preserve">התנהגות </w:t>
      </w:r>
      <w:r w:rsidRPr="00131FAE">
        <w:rPr>
          <w:rFonts w:hint="cs"/>
          <w:rtl/>
        </w:rPr>
        <w:t xml:space="preserve">לשרים, קוד </w:t>
      </w:r>
      <w:r>
        <w:rPr>
          <w:rFonts w:hint="cs"/>
          <w:rtl/>
        </w:rPr>
        <w:t xml:space="preserve">התנהגות </w:t>
      </w:r>
      <w:r w:rsidRPr="00131FAE">
        <w:rPr>
          <w:rFonts w:hint="cs"/>
          <w:rtl/>
        </w:rPr>
        <w:t>ל</w:t>
      </w:r>
      <w:r>
        <w:rPr>
          <w:rFonts w:hint="cs"/>
          <w:rtl/>
        </w:rPr>
        <w:t>"</w:t>
      </w:r>
      <w:r w:rsidRPr="00131FAE">
        <w:rPr>
          <w:rFonts w:hint="cs"/>
          <w:rtl/>
        </w:rPr>
        <w:t>יועצים מיוחדים</w:t>
      </w:r>
      <w:r>
        <w:rPr>
          <w:rFonts w:hint="cs"/>
          <w:rtl/>
        </w:rPr>
        <w:t>"</w:t>
      </w:r>
      <w:r w:rsidRPr="00131FAE">
        <w:rPr>
          <w:rFonts w:hint="cs"/>
          <w:rtl/>
        </w:rPr>
        <w:t xml:space="preserve"> ו</w:t>
      </w:r>
      <w:r>
        <w:rPr>
          <w:rFonts w:hint="cs"/>
          <w:rtl/>
        </w:rPr>
        <w:t>כדומה</w:t>
      </w:r>
      <w:r w:rsidRPr="00131FAE">
        <w:rPr>
          <w:rFonts w:hint="cs"/>
          <w:rtl/>
        </w:rPr>
        <w:t xml:space="preserve">). </w:t>
      </w:r>
    </w:p>
    <w:p w:rsidR="00C33E3E" w:rsidRDefault="00C33E3E" w:rsidP="00426035">
      <w:pPr>
        <w:pStyle w:val="a4"/>
        <w:numPr>
          <w:ilvl w:val="0"/>
          <w:numId w:val="21"/>
        </w:numPr>
        <w:ind w:left="357" w:hanging="357"/>
        <w:rPr>
          <w:rtl/>
        </w:rPr>
      </w:pPr>
      <w:r>
        <w:rPr>
          <w:rFonts w:hint="cs"/>
          <w:rtl/>
        </w:rPr>
        <w:t xml:space="preserve">הוראות ההסדרה קובעות איסור כללי על הימצאות בניגוד עניינים, מחייבות </w:t>
      </w:r>
      <w:r w:rsidR="009D65BF">
        <w:rPr>
          <w:rFonts w:hint="cs"/>
          <w:rtl/>
        </w:rPr>
        <w:t>ב</w:t>
      </w:r>
      <w:r>
        <w:rPr>
          <w:rFonts w:hint="cs"/>
          <w:rtl/>
        </w:rPr>
        <w:t>דיווח בדבר אינטרסים מסוגים שונים</w:t>
      </w:r>
      <w:r w:rsidR="009D65BF">
        <w:rPr>
          <w:rFonts w:hint="cs"/>
          <w:rtl/>
        </w:rPr>
        <w:t>,</w:t>
      </w:r>
      <w:r>
        <w:rPr>
          <w:rFonts w:hint="cs"/>
          <w:rtl/>
        </w:rPr>
        <w:t xml:space="preserve"> ובמקרה של שרים וחברי פרלמנט נקבעה גם פרוצדורה </w:t>
      </w:r>
      <w:r w:rsidR="004F771B">
        <w:rPr>
          <w:rFonts w:hint="cs"/>
          <w:rtl/>
        </w:rPr>
        <w:t xml:space="preserve">מיוחדת </w:t>
      </w:r>
      <w:r w:rsidR="009D65BF">
        <w:rPr>
          <w:rFonts w:hint="cs"/>
          <w:rtl/>
        </w:rPr>
        <w:t xml:space="preserve">בקשר </w:t>
      </w:r>
      <w:r>
        <w:rPr>
          <w:rFonts w:hint="cs"/>
          <w:rtl/>
        </w:rPr>
        <w:t>לנושאי הדיווח ו</w:t>
      </w:r>
      <w:r w:rsidR="009D65BF">
        <w:rPr>
          <w:rFonts w:hint="cs"/>
          <w:rtl/>
        </w:rPr>
        <w:t>ל</w:t>
      </w:r>
      <w:r>
        <w:rPr>
          <w:rFonts w:hint="cs"/>
          <w:rtl/>
        </w:rPr>
        <w:t>קבלת ההחלטות בדבר ניהול ניגוד העניינים</w:t>
      </w:r>
      <w:r w:rsidRPr="00131FAE">
        <w:rPr>
          <w:rFonts w:hint="cs"/>
          <w:rtl/>
        </w:rPr>
        <w:t xml:space="preserve">. </w:t>
      </w:r>
    </w:p>
    <w:p w:rsidR="00F04B57" w:rsidRDefault="00C33E3E" w:rsidP="000311C7">
      <w:pPr>
        <w:pStyle w:val="a4"/>
        <w:numPr>
          <w:ilvl w:val="0"/>
          <w:numId w:val="21"/>
        </w:numPr>
        <w:ind w:left="357" w:hanging="357"/>
      </w:pPr>
      <w:r w:rsidRPr="00131FAE">
        <w:rPr>
          <w:rFonts w:hint="cs"/>
          <w:rtl/>
        </w:rPr>
        <w:t xml:space="preserve">מעבר לכך, בבריטניה נמצאו </w:t>
      </w:r>
      <w:r w:rsidRPr="0043590B">
        <w:rPr>
          <w:rFonts w:hint="cs"/>
          <w:b/>
          <w:bCs/>
          <w:rtl/>
        </w:rPr>
        <w:t>הוראות שעוסקות במינויים אישיים מטעם שרים</w:t>
      </w:r>
      <w:r>
        <w:rPr>
          <w:rFonts w:hint="cs"/>
          <w:rtl/>
        </w:rPr>
        <w:t xml:space="preserve"> </w:t>
      </w:r>
      <w:r w:rsidRPr="00131FAE">
        <w:rPr>
          <w:rFonts w:hint="cs"/>
          <w:rtl/>
        </w:rPr>
        <w:t>(</w:t>
      </w:r>
      <w:r w:rsidR="00EB3E45" w:rsidRPr="000311C7">
        <w:rPr>
          <w:rFonts w:hint="eastAsia"/>
          <w:rtl/>
        </w:rPr>
        <w:t>הוראות</w:t>
      </w:r>
      <w:r>
        <w:rPr>
          <w:rFonts w:hint="cs"/>
          <w:rtl/>
        </w:rPr>
        <w:t xml:space="preserve"> בדבר </w:t>
      </w:r>
      <w:r w:rsidRPr="00131FAE">
        <w:rPr>
          <w:rFonts w:hint="cs"/>
          <w:rtl/>
        </w:rPr>
        <w:t xml:space="preserve">"יועצים מיוחדים"). הוראות אלה מאפשרות לשרים </w:t>
      </w:r>
      <w:r w:rsidR="004F771B">
        <w:rPr>
          <w:rFonts w:hint="cs"/>
          <w:rtl/>
        </w:rPr>
        <w:t xml:space="preserve">לצרף </w:t>
      </w:r>
      <w:r>
        <w:rPr>
          <w:rFonts w:hint="cs"/>
          <w:rtl/>
        </w:rPr>
        <w:t>יועצים רשמיים מטעמם שיהיו חלק מצוות המשרד. יחד עם זאת,</w:t>
      </w:r>
      <w:r w:rsidRPr="00131FAE">
        <w:rPr>
          <w:rFonts w:hint="cs"/>
          <w:rtl/>
        </w:rPr>
        <w:t xml:space="preserve"> </w:t>
      </w:r>
      <w:r>
        <w:rPr>
          <w:rFonts w:hint="cs"/>
          <w:rtl/>
        </w:rPr>
        <w:t xml:space="preserve">ההוראות האמורות </w:t>
      </w:r>
      <w:r w:rsidRPr="00131FAE">
        <w:rPr>
          <w:rFonts w:hint="cs"/>
          <w:rtl/>
        </w:rPr>
        <w:t xml:space="preserve">מאפשרות </w:t>
      </w:r>
      <w:r>
        <w:rPr>
          <w:rFonts w:hint="cs"/>
          <w:rtl/>
        </w:rPr>
        <w:t xml:space="preserve">גם </w:t>
      </w:r>
      <w:r w:rsidRPr="00131FAE">
        <w:rPr>
          <w:rFonts w:hint="cs"/>
          <w:rtl/>
        </w:rPr>
        <w:t xml:space="preserve">מעורבות </w:t>
      </w:r>
      <w:r w:rsidR="00FA6CC7">
        <w:rPr>
          <w:rFonts w:hint="cs"/>
          <w:rtl/>
        </w:rPr>
        <w:t>ש</w:t>
      </w:r>
      <w:r w:rsidRPr="00131FAE">
        <w:rPr>
          <w:rFonts w:hint="cs"/>
          <w:rtl/>
        </w:rPr>
        <w:t>ל</w:t>
      </w:r>
      <w:r w:rsidR="00FA6CC7">
        <w:rPr>
          <w:rFonts w:hint="cs"/>
          <w:rtl/>
        </w:rPr>
        <w:t xml:space="preserve"> ה</w:t>
      </w:r>
      <w:r w:rsidRPr="00131FAE">
        <w:rPr>
          <w:rFonts w:hint="cs"/>
          <w:rtl/>
        </w:rPr>
        <w:t>גוף שאחראי על עובדי מדינה בבריטניה (</w:t>
      </w:r>
      <w:r>
        <w:rPr>
          <w:rFonts w:hint="cs"/>
          <w:rtl/>
        </w:rPr>
        <w:t>"</w:t>
      </w:r>
      <w:r w:rsidRPr="00131FAE">
        <w:rPr>
          <w:rFonts w:hint="cs"/>
          <w:rtl/>
        </w:rPr>
        <w:t>הנציבות</w:t>
      </w:r>
      <w:r>
        <w:rPr>
          <w:rFonts w:hint="cs"/>
          <w:rtl/>
        </w:rPr>
        <w:t>"</w:t>
      </w:r>
      <w:r w:rsidRPr="00131FAE">
        <w:rPr>
          <w:rFonts w:hint="cs"/>
          <w:rtl/>
        </w:rPr>
        <w:t>)</w:t>
      </w:r>
      <w:r>
        <w:rPr>
          <w:rFonts w:hint="cs"/>
          <w:rtl/>
        </w:rPr>
        <w:t>,</w:t>
      </w:r>
      <w:r w:rsidRPr="00131FAE">
        <w:rPr>
          <w:rFonts w:hint="cs"/>
          <w:rtl/>
        </w:rPr>
        <w:t xml:space="preserve"> ו</w:t>
      </w:r>
      <w:r>
        <w:rPr>
          <w:rFonts w:hint="cs"/>
          <w:rtl/>
        </w:rPr>
        <w:t xml:space="preserve">אף </w:t>
      </w:r>
      <w:r w:rsidRPr="00131FAE">
        <w:rPr>
          <w:rFonts w:hint="cs"/>
          <w:rtl/>
        </w:rPr>
        <w:t xml:space="preserve">מחייבות שמינויים אלה ייעשו על </w:t>
      </w:r>
      <w:r>
        <w:rPr>
          <w:rFonts w:hint="cs"/>
          <w:rtl/>
        </w:rPr>
        <w:t>בסיס העקרונות הכלליים לגיוס עובדי ציבור בבריטניה, בכפוף לשינויים שנדרשים בשל היותם מינויים פוליטיים</w:t>
      </w:r>
      <w:r w:rsidRPr="00131FAE">
        <w:rPr>
          <w:rFonts w:hint="cs"/>
          <w:rtl/>
        </w:rPr>
        <w:t>.</w:t>
      </w:r>
    </w:p>
    <w:p w:rsidR="00EB3E45" w:rsidRPr="00EB3E45" w:rsidRDefault="00EB3E45" w:rsidP="00EB3E45">
      <w:pPr>
        <w:pStyle w:val="a4"/>
        <w:rPr>
          <w:b/>
          <w:bCs/>
          <w:u w:val="single"/>
        </w:rPr>
      </w:pPr>
      <w:r w:rsidRPr="00EB3E45">
        <w:rPr>
          <w:rFonts w:hint="cs"/>
          <w:b/>
          <w:bCs/>
          <w:u w:val="single"/>
          <w:rtl/>
        </w:rPr>
        <w:t>אוסטרליה</w:t>
      </w:r>
    </w:p>
    <w:p w:rsidR="00EB3E45" w:rsidRPr="008F3CCD" w:rsidRDefault="00EB3E45" w:rsidP="00426035">
      <w:pPr>
        <w:pStyle w:val="a4"/>
        <w:numPr>
          <w:ilvl w:val="0"/>
          <w:numId w:val="21"/>
        </w:numPr>
        <w:ind w:left="357" w:hanging="357"/>
      </w:pPr>
      <w:r w:rsidRPr="00EB3E45">
        <w:rPr>
          <w:rFonts w:hint="cs"/>
          <w:b/>
          <w:bCs/>
          <w:rtl/>
        </w:rPr>
        <w:t xml:space="preserve">בעלי תפקידים שונים בממשל הפדרלי של אוסטרליה </w:t>
      </w:r>
      <w:r>
        <w:rPr>
          <w:rtl/>
        </w:rPr>
        <w:t>–</w:t>
      </w:r>
      <w:r>
        <w:rPr>
          <w:rFonts w:hint="cs"/>
          <w:rtl/>
        </w:rPr>
        <w:t xml:space="preserve"> חברי פרלמנט, חברי הממשלה ועובדי השירות הציבורי </w:t>
      </w:r>
      <w:r>
        <w:rPr>
          <w:rtl/>
        </w:rPr>
        <w:t>–</w:t>
      </w:r>
      <w:r>
        <w:rPr>
          <w:rFonts w:hint="cs"/>
          <w:rtl/>
        </w:rPr>
        <w:t xml:space="preserve"> </w:t>
      </w:r>
      <w:r w:rsidRPr="00EB3E45">
        <w:rPr>
          <w:rFonts w:hint="cs"/>
          <w:b/>
          <w:bCs/>
          <w:rtl/>
        </w:rPr>
        <w:t>כפופים להוראות שונות באשר לניגוד עניינים</w:t>
      </w:r>
      <w:r>
        <w:rPr>
          <w:rFonts w:hint="cs"/>
          <w:rtl/>
        </w:rPr>
        <w:t xml:space="preserve"> בהתאם לתפקידם. </w:t>
      </w:r>
    </w:p>
    <w:p w:rsidR="00EB3E45" w:rsidRDefault="00EB3E45" w:rsidP="003A7CDE">
      <w:pPr>
        <w:pStyle w:val="a4"/>
        <w:numPr>
          <w:ilvl w:val="0"/>
          <w:numId w:val="21"/>
        </w:numPr>
        <w:ind w:left="357" w:hanging="357"/>
      </w:pPr>
      <w:r w:rsidRPr="008F3CCD">
        <w:rPr>
          <w:rFonts w:hint="cs"/>
          <w:b/>
          <w:bCs/>
          <w:rtl/>
          <w:lang w:eastAsia="he-IL"/>
        </w:rPr>
        <w:t>לחברי הפרלמנט</w:t>
      </w:r>
      <w:r w:rsidRPr="00404E13">
        <w:rPr>
          <w:rFonts w:hint="cs"/>
          <w:rtl/>
          <w:lang w:eastAsia="he-IL"/>
        </w:rPr>
        <w:t xml:space="preserve"> </w:t>
      </w:r>
      <w:r>
        <w:rPr>
          <w:rFonts w:hint="cs"/>
          <w:rtl/>
          <w:lang w:eastAsia="he-IL"/>
        </w:rPr>
        <w:t xml:space="preserve">אסור </w:t>
      </w:r>
      <w:r w:rsidRPr="00404E13">
        <w:rPr>
          <w:rFonts w:hint="cs"/>
          <w:rtl/>
          <w:lang w:eastAsia="he-IL"/>
        </w:rPr>
        <w:t xml:space="preserve">להצביע </w:t>
      </w:r>
      <w:r>
        <w:rPr>
          <w:rFonts w:hint="cs"/>
          <w:rtl/>
          <w:lang w:eastAsia="he-IL"/>
        </w:rPr>
        <w:t>ב</w:t>
      </w:r>
      <w:r w:rsidRPr="00404E13">
        <w:rPr>
          <w:rFonts w:hint="cs"/>
          <w:rtl/>
          <w:lang w:eastAsia="he-IL"/>
        </w:rPr>
        <w:t xml:space="preserve">מליאה </w:t>
      </w:r>
      <w:r>
        <w:rPr>
          <w:rFonts w:hint="cs"/>
          <w:rtl/>
          <w:lang w:eastAsia="he-IL"/>
        </w:rPr>
        <w:t xml:space="preserve">(בהצבעות מסוימות) </w:t>
      </w:r>
      <w:r w:rsidRPr="00404E13">
        <w:rPr>
          <w:rFonts w:hint="cs"/>
          <w:rtl/>
          <w:lang w:eastAsia="he-IL"/>
        </w:rPr>
        <w:t>או להשתתף בד</w:t>
      </w:r>
      <w:r>
        <w:rPr>
          <w:rFonts w:hint="cs"/>
          <w:rtl/>
          <w:lang w:eastAsia="he-IL"/>
        </w:rPr>
        <w:t>יונים בוועדות בנושאים שבהם יש להם</w:t>
      </w:r>
      <w:r w:rsidRPr="00404E13">
        <w:rPr>
          <w:rFonts w:hint="cs"/>
          <w:rtl/>
          <w:lang w:eastAsia="he-IL"/>
        </w:rPr>
        <w:t xml:space="preserve"> אינטרס כספי ישיר וספציפי</w:t>
      </w:r>
      <w:r>
        <w:rPr>
          <w:rFonts w:hint="cs"/>
          <w:rtl/>
          <w:lang w:eastAsia="he-IL"/>
        </w:rPr>
        <w:t xml:space="preserve">. </w:t>
      </w:r>
      <w:r w:rsidRPr="008F3CCD">
        <w:rPr>
          <w:rFonts w:hint="cs"/>
          <w:b/>
          <w:bCs/>
          <w:rtl/>
          <w:lang w:eastAsia="he-IL"/>
        </w:rPr>
        <w:t>חברי הפרלמנט והשרים</w:t>
      </w:r>
      <w:r>
        <w:rPr>
          <w:rFonts w:hint="cs"/>
          <w:rtl/>
          <w:lang w:eastAsia="he-IL"/>
        </w:rPr>
        <w:t xml:space="preserve"> נדרשים להגיש הצהרה על האינטרסים שלהם ושל משפחתם הקרובה שעשויים להיות מנוגדים לתפקידם הציבורי; ההצהרות יוחזקו במרשם פתוח לציבור. </w:t>
      </w:r>
    </w:p>
    <w:p w:rsidR="002E4CB7" w:rsidRDefault="00EB3E45" w:rsidP="00EB3E45">
      <w:pPr>
        <w:pStyle w:val="a4"/>
        <w:numPr>
          <w:ilvl w:val="0"/>
          <w:numId w:val="21"/>
        </w:numPr>
        <w:ind w:left="357" w:hanging="357"/>
      </w:pPr>
      <w:r w:rsidRPr="00EB3E45">
        <w:rPr>
          <w:rFonts w:hint="cs"/>
          <w:b/>
          <w:bCs/>
          <w:rtl/>
          <w:lang w:eastAsia="he-IL"/>
        </w:rPr>
        <w:t>עובדי השירות הציבורי</w:t>
      </w:r>
      <w:r>
        <w:rPr>
          <w:rFonts w:hint="cs"/>
          <w:rtl/>
          <w:lang w:eastAsia="he-IL"/>
        </w:rPr>
        <w:t xml:space="preserve"> מחויבים לנקוט צעדים סבירים כדי למנוע כל ניגוד אינטרסים, לגלות פרטים בדבר כל אינטרס אישי מהותי הקשור לעבודתם ולא לעשות שימוש לא הולם במידע, במעמד או בסמכות כדי להשיג רווח או תועלת לעצמם או לאחרים או לגרום נזק או אבדן לאחרים. </w:t>
      </w:r>
      <w:r w:rsidRPr="00EB3E45">
        <w:rPr>
          <w:rFonts w:hint="cs"/>
          <w:b/>
          <w:bCs/>
          <w:rtl/>
          <w:lang w:eastAsia="he-IL"/>
        </w:rPr>
        <w:t>עובדים בכירים בשירות הציבורי</w:t>
      </w:r>
      <w:r>
        <w:rPr>
          <w:rFonts w:hint="cs"/>
          <w:rtl/>
          <w:lang w:eastAsia="he-IL"/>
        </w:rPr>
        <w:t xml:space="preserve"> מחויבים בהצהרה שנתית על האינטרסים שלהם ושל בני משפחתם הקרובה וכל רשות רשאית לדרוש זאת גם מעובדים זוטרים יותר. אם בהתאם לחובת הגילוי עולה מצב של ניגוד אינטרסים, על הצדדים לפעול לניהול ניגוד האינטרסים בהתאם לנסיבות.</w:t>
      </w:r>
    </w:p>
    <w:p w:rsidR="00FB272C" w:rsidRPr="00FB272C" w:rsidRDefault="00FB272C" w:rsidP="00FB272C">
      <w:pPr>
        <w:pStyle w:val="a4"/>
        <w:rPr>
          <w:u w:val="single"/>
        </w:rPr>
      </w:pPr>
      <w:r w:rsidRPr="00FB272C">
        <w:rPr>
          <w:rFonts w:hint="cs"/>
          <w:b/>
          <w:bCs/>
          <w:u w:val="single"/>
          <w:rtl/>
          <w:lang w:eastAsia="he-IL"/>
        </w:rPr>
        <w:t>גרמניה</w:t>
      </w:r>
    </w:p>
    <w:p w:rsidR="00FB272C" w:rsidRPr="00EF71C6" w:rsidRDefault="00FB272C" w:rsidP="00CB3CE6">
      <w:pPr>
        <w:pStyle w:val="a4"/>
        <w:numPr>
          <w:ilvl w:val="0"/>
          <w:numId w:val="21"/>
        </w:numPr>
        <w:ind w:left="357" w:hanging="357"/>
      </w:pPr>
      <w:r w:rsidRPr="008F3CCD">
        <w:rPr>
          <w:rFonts w:hint="cs"/>
          <w:b/>
          <w:bCs/>
          <w:rtl/>
        </w:rPr>
        <w:t>חברי הפרלמנט</w:t>
      </w:r>
      <w:r w:rsidRPr="00D845EA">
        <w:rPr>
          <w:rFonts w:hint="cs"/>
          <w:rtl/>
        </w:rPr>
        <w:t xml:space="preserve"> (הבונדסטאג) </w:t>
      </w:r>
      <w:r w:rsidR="008F3CCD">
        <w:rPr>
          <w:rFonts w:hint="cs"/>
          <w:rtl/>
        </w:rPr>
        <w:t>מחויבים על פי חוק לכך ש</w:t>
      </w:r>
      <w:r w:rsidRPr="00D845EA">
        <w:rPr>
          <w:rFonts w:hint="cs"/>
          <w:rtl/>
        </w:rPr>
        <w:t>ביצוע המנדט של</w:t>
      </w:r>
      <w:r w:rsidR="008F3CCD">
        <w:rPr>
          <w:rFonts w:hint="cs"/>
          <w:rtl/>
        </w:rPr>
        <w:t>הם</w:t>
      </w:r>
      <w:r w:rsidRPr="00D845EA">
        <w:rPr>
          <w:rFonts w:hint="cs"/>
          <w:rtl/>
        </w:rPr>
        <w:t xml:space="preserve"> יהיה במרכז פעילות</w:t>
      </w:r>
      <w:r w:rsidR="008F3CCD">
        <w:rPr>
          <w:rFonts w:hint="cs"/>
          <w:rtl/>
        </w:rPr>
        <w:t xml:space="preserve">ם. </w:t>
      </w:r>
      <w:r w:rsidRPr="008F3CCD">
        <w:rPr>
          <w:rFonts w:hint="cs"/>
          <w:rtl/>
          <w:lang w:eastAsia="he-IL"/>
        </w:rPr>
        <w:t>על</w:t>
      </w:r>
      <w:r w:rsidR="00D114F9">
        <w:rPr>
          <w:rFonts w:hint="cs"/>
          <w:rtl/>
          <w:lang w:eastAsia="he-IL"/>
        </w:rPr>
        <w:t xml:space="preserve">יהם </w:t>
      </w:r>
      <w:r w:rsidRPr="008F3CCD">
        <w:rPr>
          <w:rFonts w:hint="cs"/>
          <w:rtl/>
          <w:lang w:eastAsia="he-IL"/>
        </w:rPr>
        <w:t xml:space="preserve">להצהיר על כל </w:t>
      </w:r>
      <w:r w:rsidR="00D114F9">
        <w:rPr>
          <w:rFonts w:hint="cs"/>
          <w:rtl/>
          <w:lang w:eastAsia="he-IL"/>
        </w:rPr>
        <w:t>עיסוק</w:t>
      </w:r>
      <w:r w:rsidRPr="008F3CCD">
        <w:rPr>
          <w:rFonts w:hint="cs"/>
          <w:rtl/>
          <w:lang w:eastAsia="he-IL"/>
        </w:rPr>
        <w:t xml:space="preserve"> </w:t>
      </w:r>
      <w:r w:rsidR="00D114F9">
        <w:rPr>
          <w:rFonts w:hint="cs"/>
          <w:rtl/>
          <w:lang w:eastAsia="he-IL"/>
        </w:rPr>
        <w:t>ש</w:t>
      </w:r>
      <w:r w:rsidRPr="008F3CCD">
        <w:rPr>
          <w:rFonts w:hint="cs"/>
          <w:rtl/>
          <w:lang w:eastAsia="he-IL"/>
        </w:rPr>
        <w:t>קוד</w:t>
      </w:r>
      <w:r w:rsidR="00D114F9">
        <w:rPr>
          <w:rFonts w:hint="cs"/>
          <w:rtl/>
          <w:lang w:eastAsia="he-IL"/>
        </w:rPr>
        <w:t>ם</w:t>
      </w:r>
      <w:r w:rsidRPr="008F3CCD">
        <w:rPr>
          <w:rFonts w:hint="cs"/>
          <w:rtl/>
          <w:lang w:eastAsia="he-IL"/>
        </w:rPr>
        <w:t xml:space="preserve"> לתחילת כהונ</w:t>
      </w:r>
      <w:r w:rsidR="00D114F9">
        <w:rPr>
          <w:rFonts w:hint="cs"/>
          <w:rtl/>
          <w:lang w:eastAsia="he-IL"/>
        </w:rPr>
        <w:t>תם</w:t>
      </w:r>
      <w:r w:rsidRPr="008F3CCD">
        <w:rPr>
          <w:rFonts w:hint="cs"/>
          <w:rtl/>
          <w:lang w:eastAsia="he-IL"/>
        </w:rPr>
        <w:t xml:space="preserve">, כמו גם על </w:t>
      </w:r>
      <w:r w:rsidR="00D114F9">
        <w:rPr>
          <w:rFonts w:hint="cs"/>
          <w:rtl/>
          <w:lang w:eastAsia="he-IL"/>
        </w:rPr>
        <w:t>עיסוקים</w:t>
      </w:r>
      <w:r w:rsidR="001E69E1">
        <w:rPr>
          <w:rFonts w:hint="cs"/>
          <w:rtl/>
          <w:lang w:eastAsia="he-IL"/>
        </w:rPr>
        <w:t>,</w:t>
      </w:r>
      <w:r w:rsidR="00D114F9">
        <w:rPr>
          <w:rFonts w:hint="cs"/>
          <w:rtl/>
          <w:lang w:eastAsia="he-IL"/>
        </w:rPr>
        <w:t xml:space="preserve"> </w:t>
      </w:r>
      <w:r w:rsidRPr="008F3CCD">
        <w:rPr>
          <w:rFonts w:hint="cs"/>
          <w:rtl/>
          <w:lang w:eastAsia="he-IL"/>
        </w:rPr>
        <w:t xml:space="preserve">פעילויות </w:t>
      </w:r>
      <w:r w:rsidR="001E69E1">
        <w:rPr>
          <w:rFonts w:hint="cs"/>
          <w:rtl/>
          <w:lang w:eastAsia="he-IL"/>
        </w:rPr>
        <w:t>ו</w:t>
      </w:r>
      <w:r w:rsidRPr="008F3CCD">
        <w:rPr>
          <w:rFonts w:hint="cs"/>
          <w:rtl/>
          <w:lang w:eastAsia="he-IL"/>
        </w:rPr>
        <w:t>הכנסות שמתקבלות במהלך הכהונה, ושעשוי</w:t>
      </w:r>
      <w:r w:rsidR="00D114F9">
        <w:rPr>
          <w:rFonts w:hint="cs"/>
          <w:rtl/>
          <w:lang w:eastAsia="he-IL"/>
        </w:rPr>
        <w:t>ים</w:t>
      </w:r>
      <w:r>
        <w:rPr>
          <w:rFonts w:hint="cs"/>
          <w:rtl/>
          <w:lang w:eastAsia="he-IL"/>
        </w:rPr>
        <w:t xml:space="preserve"> להשפיע על ביצוע המנדט</w:t>
      </w:r>
      <w:r w:rsidRPr="00D845EA">
        <w:rPr>
          <w:rFonts w:hint="cs"/>
          <w:rtl/>
        </w:rPr>
        <w:t>.</w:t>
      </w:r>
      <w:r>
        <w:rPr>
          <w:rFonts w:hint="cs"/>
          <w:rtl/>
        </w:rPr>
        <w:t xml:space="preserve"> </w:t>
      </w:r>
      <w:r w:rsidR="008F3CCD">
        <w:rPr>
          <w:rFonts w:hint="cs"/>
          <w:rtl/>
        </w:rPr>
        <w:t xml:space="preserve">מכוח </w:t>
      </w:r>
      <w:r>
        <w:rPr>
          <w:rFonts w:hint="cs"/>
          <w:rtl/>
        </w:rPr>
        <w:t xml:space="preserve">קוד התנהגות </w:t>
      </w:r>
      <w:r w:rsidR="008F3CCD">
        <w:rPr>
          <w:rFonts w:hint="cs"/>
          <w:rtl/>
        </w:rPr>
        <w:t xml:space="preserve">לחברי הבונדסטאג חלה </w:t>
      </w:r>
      <w:r w:rsidRPr="009F1253">
        <w:rPr>
          <w:rFonts w:hint="cs"/>
          <w:rtl/>
          <w:lang w:eastAsia="he-IL"/>
        </w:rPr>
        <w:t xml:space="preserve">חובה </w:t>
      </w:r>
      <w:r>
        <w:rPr>
          <w:rFonts w:hint="cs"/>
          <w:rtl/>
          <w:lang w:eastAsia="he-IL"/>
        </w:rPr>
        <w:t xml:space="preserve">לדווח </w:t>
      </w:r>
      <w:r w:rsidRPr="009F1253">
        <w:rPr>
          <w:rFonts w:hint="cs"/>
          <w:rtl/>
          <w:lang w:eastAsia="he-IL"/>
        </w:rPr>
        <w:t>ליו"ר הבונדסטאג בכתב</w:t>
      </w:r>
      <w:r>
        <w:rPr>
          <w:rFonts w:hint="cs"/>
          <w:rtl/>
          <w:lang w:eastAsia="he-IL"/>
        </w:rPr>
        <w:t xml:space="preserve"> על פעילויות</w:t>
      </w:r>
      <w:r w:rsidR="008F3CCD">
        <w:rPr>
          <w:rFonts w:hint="cs"/>
          <w:rtl/>
          <w:lang w:eastAsia="he-IL"/>
        </w:rPr>
        <w:t xml:space="preserve"> שנעשו </w:t>
      </w:r>
      <w:r>
        <w:rPr>
          <w:rFonts w:hint="cs"/>
          <w:rtl/>
          <w:lang w:eastAsia="he-IL"/>
        </w:rPr>
        <w:t xml:space="preserve">לפני </w:t>
      </w:r>
      <w:r w:rsidR="008F3CCD">
        <w:rPr>
          <w:rFonts w:hint="cs"/>
          <w:rtl/>
          <w:lang w:eastAsia="he-IL"/>
        </w:rPr>
        <w:t xml:space="preserve">תחילת </w:t>
      </w:r>
      <w:r>
        <w:rPr>
          <w:rFonts w:hint="cs"/>
          <w:rtl/>
          <w:lang w:eastAsia="he-IL"/>
        </w:rPr>
        <w:t>הכהונה ו</w:t>
      </w:r>
      <w:r w:rsidR="008F3CCD">
        <w:rPr>
          <w:rFonts w:hint="cs"/>
          <w:rtl/>
          <w:lang w:eastAsia="he-IL"/>
        </w:rPr>
        <w:t xml:space="preserve">כאלה שנעשות </w:t>
      </w:r>
      <w:r>
        <w:rPr>
          <w:rFonts w:hint="cs"/>
          <w:rtl/>
          <w:lang w:eastAsia="he-IL"/>
        </w:rPr>
        <w:t xml:space="preserve">במהלכה </w:t>
      </w:r>
      <w:r w:rsidR="00D114F9">
        <w:rPr>
          <w:rFonts w:hint="cs"/>
          <w:rtl/>
          <w:lang w:eastAsia="he-IL"/>
        </w:rPr>
        <w:t>ו</w:t>
      </w:r>
      <w:r>
        <w:rPr>
          <w:rFonts w:hint="cs"/>
          <w:rtl/>
        </w:rPr>
        <w:t>דיווחים</w:t>
      </w:r>
      <w:r w:rsidR="008F3CCD">
        <w:rPr>
          <w:rFonts w:hint="cs"/>
          <w:rtl/>
        </w:rPr>
        <w:t xml:space="preserve"> אלה</w:t>
      </w:r>
      <w:r>
        <w:rPr>
          <w:rFonts w:hint="cs"/>
          <w:rtl/>
        </w:rPr>
        <w:t xml:space="preserve"> מתפרסמים</w:t>
      </w:r>
      <w:r w:rsidR="008F3CCD">
        <w:rPr>
          <w:rFonts w:hint="cs"/>
          <w:rtl/>
        </w:rPr>
        <w:t xml:space="preserve"> באתר האינטרנט של הפרלמנט</w:t>
      </w:r>
      <w:r>
        <w:rPr>
          <w:rFonts w:hint="cs"/>
          <w:rtl/>
        </w:rPr>
        <w:t xml:space="preserve">. </w:t>
      </w:r>
    </w:p>
    <w:p w:rsidR="008F3CCD" w:rsidRDefault="00FB272C" w:rsidP="00E306B5">
      <w:pPr>
        <w:pStyle w:val="a4"/>
        <w:numPr>
          <w:ilvl w:val="0"/>
          <w:numId w:val="21"/>
        </w:numPr>
        <w:ind w:left="357" w:hanging="357"/>
      </w:pPr>
      <w:r w:rsidRPr="00EF71C6">
        <w:rPr>
          <w:rFonts w:hint="cs"/>
          <w:b/>
          <w:bCs/>
          <w:rtl/>
        </w:rPr>
        <w:t xml:space="preserve">עובדי השירות הציבורי </w:t>
      </w:r>
      <w:r>
        <w:rPr>
          <w:rFonts w:hint="cs"/>
          <w:rtl/>
        </w:rPr>
        <w:t>כפופים ל</w:t>
      </w:r>
      <w:r w:rsidRPr="00320687">
        <w:rPr>
          <w:rFonts w:hint="cs"/>
          <w:rtl/>
        </w:rPr>
        <w:t>צו בדבר מניעת שחיתות במינהל הפדרל</w:t>
      </w:r>
      <w:r>
        <w:rPr>
          <w:rFonts w:hint="cs"/>
          <w:rtl/>
        </w:rPr>
        <w:t>י</w:t>
      </w:r>
      <w:r w:rsidRPr="00EF71C6">
        <w:rPr>
          <w:rFonts w:hint="cs"/>
          <w:rtl/>
        </w:rPr>
        <w:t xml:space="preserve"> </w:t>
      </w:r>
      <w:r>
        <w:rPr>
          <w:rFonts w:hint="cs"/>
          <w:rtl/>
        </w:rPr>
        <w:t xml:space="preserve">ולקוד ההתנהגות לעובדים למניעת שחיתות. על-פי </w:t>
      </w:r>
      <w:r w:rsidRPr="00EF71C6">
        <w:rPr>
          <w:rFonts w:hint="cs"/>
          <w:rtl/>
        </w:rPr>
        <w:t xml:space="preserve">קוד ההתנהגות </w:t>
      </w:r>
      <w:r w:rsidRPr="00EF71C6">
        <w:rPr>
          <w:rFonts w:hint="cs"/>
          <w:b/>
          <w:bCs/>
          <w:rtl/>
        </w:rPr>
        <w:t>חלה חובה להפריד</w:t>
      </w:r>
      <w:r>
        <w:rPr>
          <w:rFonts w:hint="cs"/>
          <w:rtl/>
        </w:rPr>
        <w:t xml:space="preserve"> </w:t>
      </w:r>
      <w:r w:rsidRPr="00EF71C6">
        <w:rPr>
          <w:rFonts w:hint="cs"/>
          <w:b/>
          <w:bCs/>
          <w:rtl/>
        </w:rPr>
        <w:t>את העבודה באופן מוחלט מהחיים הפרטיים</w:t>
      </w:r>
      <w:r w:rsidRPr="00EF71C6">
        <w:rPr>
          <w:rFonts w:hint="cs"/>
          <w:rtl/>
        </w:rPr>
        <w:t xml:space="preserve"> ולבדוק האם האינטרסים הפרטיים עשויים להיות מנוגדים לחובות התפקיד. </w:t>
      </w:r>
      <w:r w:rsidRPr="00EF71C6">
        <w:rPr>
          <w:rFonts w:hint="cs"/>
          <w:b/>
          <w:bCs/>
          <w:rtl/>
        </w:rPr>
        <w:t xml:space="preserve">עובד </w:t>
      </w:r>
      <w:r w:rsidR="00D114F9">
        <w:rPr>
          <w:rFonts w:hint="cs"/>
          <w:b/>
          <w:bCs/>
          <w:rtl/>
        </w:rPr>
        <w:t xml:space="preserve">אשר </w:t>
      </w:r>
      <w:r w:rsidRPr="00EF71C6">
        <w:rPr>
          <w:rFonts w:hint="cs"/>
          <w:b/>
          <w:bCs/>
          <w:rtl/>
        </w:rPr>
        <w:t>מזהה מצב שבו עשוי להתעורר ניגוד אינטרסים</w:t>
      </w:r>
      <w:r>
        <w:rPr>
          <w:rFonts w:hint="cs"/>
          <w:rtl/>
        </w:rPr>
        <w:t xml:space="preserve"> </w:t>
      </w:r>
      <w:r w:rsidR="00D114F9">
        <w:rPr>
          <w:rFonts w:hint="cs"/>
          <w:b/>
          <w:bCs/>
          <w:rtl/>
        </w:rPr>
        <w:t>מחויב</w:t>
      </w:r>
      <w:r w:rsidRPr="00EF71C6">
        <w:rPr>
          <w:rFonts w:hint="cs"/>
          <w:b/>
          <w:bCs/>
          <w:rtl/>
        </w:rPr>
        <w:t xml:space="preserve"> לדווח על כך מיידית לממונה עליו</w:t>
      </w:r>
      <w:r>
        <w:rPr>
          <w:rFonts w:hint="cs"/>
          <w:rtl/>
        </w:rPr>
        <w:t xml:space="preserve">. </w:t>
      </w:r>
      <w:r w:rsidRPr="00EF71C6">
        <w:rPr>
          <w:rFonts w:hint="cs"/>
          <w:rtl/>
        </w:rPr>
        <w:t xml:space="preserve">מנהלים בשירות הציבורי </w:t>
      </w:r>
      <w:r w:rsidR="00E306B5">
        <w:rPr>
          <w:rFonts w:hint="cs"/>
          <w:rtl/>
        </w:rPr>
        <w:t xml:space="preserve">מחויבים </w:t>
      </w:r>
      <w:r w:rsidRPr="00EF71C6">
        <w:rPr>
          <w:rFonts w:hint="cs"/>
          <w:rtl/>
        </w:rPr>
        <w:t xml:space="preserve">לנקוט פעולות יזומות כדי לנטרל </w:t>
      </w:r>
      <w:r w:rsidR="00E306B5">
        <w:rPr>
          <w:rFonts w:hint="cs"/>
          <w:rtl/>
        </w:rPr>
        <w:t xml:space="preserve">את </w:t>
      </w:r>
      <w:r w:rsidRPr="00EF71C6">
        <w:rPr>
          <w:rFonts w:hint="cs"/>
          <w:rtl/>
        </w:rPr>
        <w:t xml:space="preserve">נקודות </w:t>
      </w:r>
      <w:r w:rsidR="00E306B5">
        <w:rPr>
          <w:rFonts w:hint="cs"/>
          <w:rtl/>
        </w:rPr>
        <w:t>ה</w:t>
      </w:r>
      <w:r w:rsidRPr="00EF71C6">
        <w:rPr>
          <w:rFonts w:hint="cs"/>
          <w:rtl/>
        </w:rPr>
        <w:t>תוּרפה שע</w:t>
      </w:r>
      <w:r>
        <w:rPr>
          <w:rFonts w:hint="cs"/>
          <w:rtl/>
        </w:rPr>
        <w:t>לולות</w:t>
      </w:r>
      <w:r w:rsidRPr="00EF71C6">
        <w:rPr>
          <w:rFonts w:hint="cs"/>
          <w:rtl/>
        </w:rPr>
        <w:t xml:space="preserve"> להוביל לשחיתות</w:t>
      </w:r>
      <w:r>
        <w:rPr>
          <w:rFonts w:hint="cs"/>
          <w:rtl/>
        </w:rPr>
        <w:t>.</w:t>
      </w:r>
    </w:p>
    <w:p w:rsidR="00A74F6C" w:rsidRPr="00A74F6C" w:rsidRDefault="00A74F6C" w:rsidP="00A74F6C">
      <w:pPr>
        <w:pStyle w:val="a4"/>
        <w:rPr>
          <w:b/>
          <w:bCs/>
          <w:u w:val="single"/>
          <w:rtl/>
        </w:rPr>
      </w:pPr>
      <w:r w:rsidRPr="00A74F6C">
        <w:rPr>
          <w:rFonts w:hint="cs"/>
          <w:b/>
          <w:bCs/>
          <w:u w:val="single"/>
          <w:rtl/>
        </w:rPr>
        <w:t>ספרד</w:t>
      </w:r>
    </w:p>
    <w:p w:rsidR="00A74F6C" w:rsidRDefault="00A74F6C" w:rsidP="00A74F6C">
      <w:pPr>
        <w:pStyle w:val="a4"/>
        <w:numPr>
          <w:ilvl w:val="0"/>
          <w:numId w:val="21"/>
        </w:numPr>
        <w:ind w:left="357" w:hanging="357"/>
      </w:pPr>
      <w:r w:rsidRPr="00A74F6C">
        <w:rPr>
          <w:rFonts w:hint="cs"/>
          <w:rtl/>
        </w:rPr>
        <w:t xml:space="preserve">במרס 2015 התקבל בספרד </w:t>
      </w:r>
      <w:r w:rsidRPr="00A74F6C">
        <w:rPr>
          <w:rFonts w:hint="cs"/>
          <w:b/>
          <w:bCs/>
          <w:rtl/>
        </w:rPr>
        <w:t>חוק חדש המסדיר את פעילותם של נושאי משרות בכירות במנהל הציבורי</w:t>
      </w:r>
      <w:r w:rsidRPr="003C0796">
        <w:rPr>
          <w:rFonts w:hint="cs"/>
          <w:rtl/>
        </w:rPr>
        <w:t xml:space="preserve"> של ספרד</w:t>
      </w:r>
      <w:r>
        <w:rPr>
          <w:rFonts w:hint="cs"/>
          <w:rtl/>
        </w:rPr>
        <w:t xml:space="preserve">. נושאי המשרות הכפופים לחוק מחויבים </w:t>
      </w:r>
      <w:r w:rsidRPr="004669AF">
        <w:rPr>
          <w:rFonts w:hint="cs"/>
          <w:rtl/>
        </w:rPr>
        <w:t>להקדיש עצמם באופן בלעדי לתפקידם</w:t>
      </w:r>
      <w:r>
        <w:rPr>
          <w:rFonts w:hint="cs"/>
          <w:rtl/>
        </w:rPr>
        <w:t>, לפעול בביצוע תפקידם למען האינטרס הציבורי, להימנע ממצבים של ניגוד עניינים ולהימנע מקבלת החלטות שמושפע</w:t>
      </w:r>
      <w:r w:rsidR="00C95F2B">
        <w:rPr>
          <w:rFonts w:hint="cs"/>
          <w:rtl/>
        </w:rPr>
        <w:t>ו</w:t>
      </w:r>
      <w:r>
        <w:rPr>
          <w:rFonts w:hint="cs"/>
          <w:rtl/>
        </w:rPr>
        <w:t>ת ממצב של ניגוד עניינים.</w:t>
      </w:r>
    </w:p>
    <w:p w:rsidR="00C95F2B" w:rsidRDefault="00A74F6C" w:rsidP="00F24DEF">
      <w:pPr>
        <w:pStyle w:val="a4"/>
        <w:numPr>
          <w:ilvl w:val="0"/>
          <w:numId w:val="21"/>
        </w:numPr>
        <w:ind w:left="357" w:hanging="357"/>
      </w:pPr>
      <w:r w:rsidRPr="004669AF">
        <w:rPr>
          <w:rFonts w:hint="cs"/>
          <w:rtl/>
        </w:rPr>
        <w:t>נושאי המשרות הבכירות נדרשים</w:t>
      </w:r>
      <w:r>
        <w:rPr>
          <w:rFonts w:hint="cs"/>
          <w:rtl/>
        </w:rPr>
        <w:t xml:space="preserve"> </w:t>
      </w:r>
      <w:r w:rsidRPr="004669AF">
        <w:rPr>
          <w:rFonts w:hint="cs"/>
          <w:rtl/>
        </w:rPr>
        <w:t xml:space="preserve">למלא </w:t>
      </w:r>
      <w:r w:rsidRPr="00A74F6C">
        <w:rPr>
          <w:rFonts w:hint="cs"/>
          <w:b/>
          <w:bCs/>
          <w:rtl/>
        </w:rPr>
        <w:t>הצהרה על פעילויותיהם הכלכליות ב"מרשם הפעילויות"</w:t>
      </w:r>
      <w:r w:rsidRPr="004669AF">
        <w:rPr>
          <w:rFonts w:hint="cs"/>
          <w:rtl/>
        </w:rPr>
        <w:t xml:space="preserve"> ולפרט בה את כל הפעילויות שביצעו במהלך השנתיים שקדמו לתחילת כהונתם. </w:t>
      </w:r>
      <w:r w:rsidR="00F24DEF">
        <w:rPr>
          <w:rFonts w:hint="cs"/>
          <w:rtl/>
        </w:rPr>
        <w:t xml:space="preserve">מרשם הפעילויות מנוהל על-ידי המשרד לניגודי עניינים, אשר לו סמכויות בקרה ופיקוח על-פי החוק. </w:t>
      </w:r>
      <w:r w:rsidRPr="004669AF">
        <w:rPr>
          <w:rFonts w:hint="cs"/>
          <w:rtl/>
        </w:rPr>
        <w:t xml:space="preserve">על סמך ההצהרות שהוגשו, </w:t>
      </w:r>
      <w:r w:rsidR="00F24DEF" w:rsidRPr="00F24DEF">
        <w:rPr>
          <w:rFonts w:hint="cs"/>
          <w:b/>
          <w:bCs/>
          <w:rtl/>
        </w:rPr>
        <w:t xml:space="preserve">על </w:t>
      </w:r>
      <w:r w:rsidRPr="00F24DEF">
        <w:rPr>
          <w:rFonts w:hint="cs"/>
          <w:b/>
          <w:bCs/>
          <w:rtl/>
        </w:rPr>
        <w:t xml:space="preserve">המשרד לניגודי עניינים </w:t>
      </w:r>
      <w:r w:rsidR="00F24DEF" w:rsidRPr="00F24DEF">
        <w:rPr>
          <w:rFonts w:hint="cs"/>
          <w:b/>
          <w:bCs/>
          <w:rtl/>
        </w:rPr>
        <w:t>להו</w:t>
      </w:r>
      <w:r w:rsidRPr="00F24DEF">
        <w:rPr>
          <w:rFonts w:hint="cs"/>
          <w:b/>
          <w:bCs/>
          <w:rtl/>
        </w:rPr>
        <w:t>דיע</w:t>
      </w:r>
      <w:r w:rsidRPr="00A74F6C">
        <w:rPr>
          <w:rFonts w:hint="cs"/>
          <w:b/>
          <w:bCs/>
          <w:rtl/>
        </w:rPr>
        <w:t xml:space="preserve"> לנושא המשרה </w:t>
      </w:r>
      <w:r w:rsidR="00F24DEF">
        <w:rPr>
          <w:rFonts w:hint="cs"/>
          <w:b/>
          <w:bCs/>
          <w:rtl/>
        </w:rPr>
        <w:t>על ה</w:t>
      </w:r>
      <w:r w:rsidRPr="00A74F6C">
        <w:rPr>
          <w:rFonts w:hint="cs"/>
          <w:b/>
          <w:bCs/>
          <w:rtl/>
        </w:rPr>
        <w:t xml:space="preserve">עניינים </w:t>
      </w:r>
      <w:r w:rsidR="00F24DEF">
        <w:rPr>
          <w:rFonts w:hint="cs"/>
          <w:b/>
          <w:bCs/>
          <w:rtl/>
        </w:rPr>
        <w:t xml:space="preserve">שבהם אסור לו לעסוק </w:t>
      </w:r>
      <w:r w:rsidRPr="004669AF">
        <w:rPr>
          <w:rFonts w:hint="cs"/>
          <w:rtl/>
        </w:rPr>
        <w:t>במסגרת כהונתו או מילוי תפקידו.</w:t>
      </w:r>
      <w:r w:rsidR="00F24DEF">
        <w:rPr>
          <w:rFonts w:hint="cs"/>
          <w:rtl/>
        </w:rPr>
        <w:t xml:space="preserve"> </w:t>
      </w:r>
    </w:p>
    <w:p w:rsidR="00A74F6C" w:rsidRPr="004669AF" w:rsidRDefault="00C95F2B" w:rsidP="001C212D">
      <w:pPr>
        <w:pStyle w:val="a4"/>
        <w:numPr>
          <w:ilvl w:val="0"/>
          <w:numId w:val="21"/>
        </w:numPr>
        <w:ind w:left="357" w:hanging="357"/>
        <w:rPr>
          <w:rtl/>
        </w:rPr>
      </w:pPr>
      <w:r>
        <w:rPr>
          <w:rFonts w:hint="cs"/>
          <w:rtl/>
        </w:rPr>
        <w:t>נוסף על כך המשרד לניגודי עניינים נדרש להגיש לממשלה דוח חצי-שנתי על מילוי חובת ההצהרה של נושאי המשרות הבכירות ועל הפרות הוראות החוק, אם היו.</w:t>
      </w:r>
      <w:r w:rsidR="002B7C58">
        <w:rPr>
          <w:rFonts w:hint="cs"/>
          <w:rtl/>
        </w:rPr>
        <w:t xml:space="preserve"> </w:t>
      </w:r>
    </w:p>
    <w:p w:rsidR="008F3CCD" w:rsidRPr="008F3CCD" w:rsidRDefault="008F3CCD" w:rsidP="00F24DEF">
      <w:pPr>
        <w:pStyle w:val="a4"/>
        <w:keepNext/>
        <w:keepLines/>
        <w:rPr>
          <w:u w:val="single"/>
        </w:rPr>
      </w:pPr>
      <w:r w:rsidRPr="008F3CCD">
        <w:rPr>
          <w:rFonts w:hint="cs"/>
          <w:b/>
          <w:bCs/>
          <w:u w:val="single"/>
          <w:rtl/>
        </w:rPr>
        <w:t>צרפת</w:t>
      </w:r>
    </w:p>
    <w:p w:rsidR="008F3CCD" w:rsidRDefault="008F3CCD" w:rsidP="00906C2A">
      <w:pPr>
        <w:pStyle w:val="a4"/>
        <w:numPr>
          <w:ilvl w:val="0"/>
          <w:numId w:val="21"/>
        </w:numPr>
        <w:ind w:left="357" w:hanging="357"/>
      </w:pPr>
      <w:r>
        <w:rPr>
          <w:rFonts w:hint="cs"/>
          <w:rtl/>
        </w:rPr>
        <w:t>ב-2013 נחקקו בצרפת שני חוקים המכונים "</w:t>
      </w:r>
      <w:r w:rsidRPr="008F3CCD">
        <w:rPr>
          <w:rFonts w:hint="cs"/>
          <w:b/>
          <w:bCs/>
          <w:rtl/>
        </w:rPr>
        <w:t>חוקי השקיפות בחיים הציבוריים</w:t>
      </w:r>
      <w:r>
        <w:rPr>
          <w:rFonts w:hint="cs"/>
          <w:rtl/>
        </w:rPr>
        <w:t xml:space="preserve">" במטרה ליישם אסטרטגיה מקיפה שתתן מענה לדרישות של ממשל פתוח ודמוקרטיה מודרנית. </w:t>
      </w:r>
    </w:p>
    <w:p w:rsidR="008F3CCD" w:rsidRDefault="00906C2A" w:rsidP="00906C2A">
      <w:pPr>
        <w:pStyle w:val="a4"/>
        <w:numPr>
          <w:ilvl w:val="0"/>
          <w:numId w:val="21"/>
        </w:numPr>
        <w:ind w:left="357" w:hanging="357"/>
      </w:pPr>
      <w:r>
        <w:rPr>
          <w:rFonts w:hint="cs"/>
          <w:rtl/>
        </w:rPr>
        <w:t>ב</w:t>
      </w:r>
      <w:r w:rsidR="008F3CCD">
        <w:rPr>
          <w:rFonts w:hint="cs"/>
          <w:rtl/>
        </w:rPr>
        <w:t>חוקי השקיפות</w:t>
      </w:r>
      <w:r>
        <w:rPr>
          <w:rFonts w:hint="cs"/>
          <w:rtl/>
        </w:rPr>
        <w:t xml:space="preserve"> </w:t>
      </w:r>
      <w:r>
        <w:rPr>
          <w:rFonts w:hint="cs"/>
          <w:b/>
          <w:bCs/>
          <w:rtl/>
        </w:rPr>
        <w:t xml:space="preserve">נקבעה </w:t>
      </w:r>
      <w:r w:rsidRPr="00906C2A">
        <w:rPr>
          <w:rFonts w:hint="cs"/>
          <w:b/>
          <w:bCs/>
          <w:rtl/>
        </w:rPr>
        <w:t>לראשונה הגדרה של</w:t>
      </w:r>
      <w:r w:rsidR="008F3CCD">
        <w:rPr>
          <w:rFonts w:hint="cs"/>
          <w:rtl/>
        </w:rPr>
        <w:t xml:space="preserve"> </w:t>
      </w:r>
      <w:r w:rsidR="008F3CCD" w:rsidRPr="008F3CCD">
        <w:rPr>
          <w:rFonts w:hint="cs"/>
          <w:b/>
          <w:bCs/>
          <w:rtl/>
        </w:rPr>
        <w:t>ניגוד עניינים</w:t>
      </w:r>
      <w:r w:rsidR="008F3CCD">
        <w:rPr>
          <w:rFonts w:hint="cs"/>
          <w:rtl/>
        </w:rPr>
        <w:t xml:space="preserve"> </w:t>
      </w:r>
      <w:r>
        <w:rPr>
          <w:rFonts w:hint="cs"/>
          <w:rtl/>
        </w:rPr>
        <w:t>ולפיה מדובר ב</w:t>
      </w:r>
      <w:r w:rsidR="008F3CCD">
        <w:rPr>
          <w:rFonts w:hint="cs"/>
          <w:rtl/>
        </w:rPr>
        <w:t xml:space="preserve">מצב שבו אינטרס פרטי או ציבורי של אדם </w:t>
      </w:r>
      <w:r w:rsidR="008F3CCD" w:rsidRPr="008F3CCD">
        <w:rPr>
          <w:rFonts w:hint="cs"/>
          <w:rtl/>
        </w:rPr>
        <w:t>מנוגד לאינט</w:t>
      </w:r>
      <w:r w:rsidR="008F3CCD">
        <w:rPr>
          <w:rFonts w:hint="cs"/>
          <w:rtl/>
        </w:rPr>
        <w:t>רס ציבורי כך שהדבר עשוי להשפיע או להיתפס כמשפיע על ביצוע תפקידו באופן עצמאי</w:t>
      </w:r>
      <w:r w:rsidR="001E69E1">
        <w:rPr>
          <w:rFonts w:hint="cs"/>
          <w:rtl/>
        </w:rPr>
        <w:t>,</w:t>
      </w:r>
      <w:r w:rsidR="008F3CCD">
        <w:rPr>
          <w:rFonts w:hint="cs"/>
          <w:rtl/>
        </w:rPr>
        <w:t xml:space="preserve"> חסר פניות ואובייקטיבי.</w:t>
      </w:r>
    </w:p>
    <w:p w:rsidR="008F3CCD" w:rsidRDefault="00906C2A" w:rsidP="00906C2A">
      <w:pPr>
        <w:pStyle w:val="a4"/>
        <w:numPr>
          <w:ilvl w:val="0"/>
          <w:numId w:val="21"/>
        </w:numPr>
        <w:ind w:left="357" w:hanging="357"/>
      </w:pPr>
      <w:r>
        <w:rPr>
          <w:rFonts w:hint="cs"/>
          <w:rtl/>
        </w:rPr>
        <w:t xml:space="preserve">חוקי השקיפות מטילים חובה על </w:t>
      </w:r>
      <w:r w:rsidR="008F3CCD">
        <w:rPr>
          <w:rFonts w:hint="cs"/>
          <w:rtl/>
        </w:rPr>
        <w:t>כ-14,000 נבחרי ציבור ועובדי ציבור בכירים להגיש הצהרות על האינטרסים הפרטיים והציבוריים שלהם ל</w:t>
      </w:r>
      <w:r w:rsidR="008F3CCD" w:rsidRPr="008F3CCD">
        <w:rPr>
          <w:rFonts w:hint="cs"/>
          <w:b/>
          <w:bCs/>
          <w:rtl/>
        </w:rPr>
        <w:t xml:space="preserve">רשות </w:t>
      </w:r>
      <w:r w:rsidR="008F3CCD" w:rsidRPr="004F1669">
        <w:rPr>
          <w:rFonts w:hint="cs"/>
          <w:b/>
          <w:bCs/>
          <w:rtl/>
        </w:rPr>
        <w:t>הגבוהה ל</w:t>
      </w:r>
      <w:r w:rsidR="008F3CCD">
        <w:rPr>
          <w:rFonts w:hint="cs"/>
          <w:b/>
          <w:bCs/>
          <w:rtl/>
        </w:rPr>
        <w:t>עניין ה</w:t>
      </w:r>
      <w:r w:rsidR="008F3CCD" w:rsidRPr="004F1669">
        <w:rPr>
          <w:rFonts w:hint="cs"/>
          <w:b/>
          <w:bCs/>
          <w:rtl/>
        </w:rPr>
        <w:t>שקיפות של החיים הציבוריים</w:t>
      </w:r>
      <w:r w:rsidR="008F3CCD">
        <w:rPr>
          <w:rFonts w:hint="cs"/>
          <w:rtl/>
        </w:rPr>
        <w:t xml:space="preserve"> שבין תפקידיה לבדוק את ההצהרות. ההצהרות של נבחרי הציבור מתפרסמות לציבור. </w:t>
      </w:r>
    </w:p>
    <w:p w:rsidR="00906C2A" w:rsidRPr="00906C2A" w:rsidRDefault="00906C2A" w:rsidP="000311C7">
      <w:pPr>
        <w:pStyle w:val="a4"/>
        <w:rPr>
          <w:b/>
          <w:bCs/>
          <w:u w:val="single"/>
          <w:rtl/>
        </w:rPr>
      </w:pPr>
      <w:r w:rsidRPr="000311C7">
        <w:rPr>
          <w:rFonts w:hint="eastAsia"/>
          <w:b/>
          <w:bCs/>
          <w:u w:val="single"/>
          <w:rtl/>
        </w:rPr>
        <w:t>שבדיה</w:t>
      </w:r>
      <w:r w:rsidRPr="000311C7">
        <w:rPr>
          <w:b/>
          <w:bCs/>
          <w:u w:val="single"/>
          <w:rtl/>
        </w:rPr>
        <w:t xml:space="preserve"> </w:t>
      </w:r>
    </w:p>
    <w:p w:rsidR="00906C2A" w:rsidRDefault="00906C2A" w:rsidP="00CB3CE6">
      <w:pPr>
        <w:pStyle w:val="a4"/>
        <w:numPr>
          <w:ilvl w:val="0"/>
          <w:numId w:val="21"/>
        </w:numPr>
        <w:ind w:left="357" w:hanging="357"/>
      </w:pPr>
      <w:r>
        <w:rPr>
          <w:rFonts w:hint="cs"/>
          <w:rtl/>
        </w:rPr>
        <w:t xml:space="preserve">הטיפול בניגודי עניינים בשבדיה מבוסס על מכלול מקורות חקיקתיים שעוסקים </w:t>
      </w:r>
      <w:r w:rsidR="001E69E1">
        <w:rPr>
          <w:rFonts w:hint="cs"/>
          <w:rtl/>
        </w:rPr>
        <w:t xml:space="preserve">בהיבטים שונים של </w:t>
      </w:r>
      <w:r>
        <w:rPr>
          <w:rFonts w:hint="cs"/>
          <w:rtl/>
        </w:rPr>
        <w:t>ההסדרה. כך, כחלק ממכלול ההסדרה נקבעו בשבדיה הוראות בדבר הגדרת המונח "ניגוד עניינים" בחקיקה פרוצדוראלית-מנהלית, כמו גם הוראות בדבר דיווח ושקיפות ואף הוראות נקודתיות שעוסקות בהיבטים ספציפיים של ההסדרה, כגון: קבלת מתנות, טיסות של נושאי משרה ועוד.</w:t>
      </w:r>
      <w:r>
        <w:rPr>
          <w:rFonts w:hint="cs"/>
        </w:rPr>
        <w:t xml:space="preserve"> </w:t>
      </w:r>
    </w:p>
    <w:p w:rsidR="008540C7" w:rsidRPr="008540C7" w:rsidRDefault="008540C7" w:rsidP="009E462D">
      <w:pPr>
        <w:pStyle w:val="a4"/>
        <w:keepNext/>
        <w:keepLines/>
        <w:rPr>
          <w:b/>
          <w:bCs/>
          <w:u w:val="single"/>
          <w:rtl/>
        </w:rPr>
      </w:pPr>
      <w:r w:rsidRPr="009E462D">
        <w:rPr>
          <w:rFonts w:hint="eastAsia"/>
          <w:b/>
          <w:bCs/>
          <w:u w:val="single"/>
          <w:rtl/>
        </w:rPr>
        <w:t>יוון</w:t>
      </w:r>
      <w:r w:rsidRPr="009E462D">
        <w:rPr>
          <w:b/>
          <w:bCs/>
          <w:u w:val="single"/>
          <w:rtl/>
        </w:rPr>
        <w:t xml:space="preserve"> </w:t>
      </w:r>
    </w:p>
    <w:p w:rsidR="00FB272C" w:rsidRDefault="008540C7" w:rsidP="00CB3CE6">
      <w:pPr>
        <w:pStyle w:val="a4"/>
        <w:numPr>
          <w:ilvl w:val="0"/>
          <w:numId w:val="21"/>
        </w:numPr>
        <w:ind w:left="357" w:hanging="357"/>
      </w:pPr>
      <w:r>
        <w:rPr>
          <w:rFonts w:hint="cs"/>
          <w:rtl/>
        </w:rPr>
        <w:t xml:space="preserve">לפי </w:t>
      </w:r>
      <w:r w:rsidRPr="00D831B1">
        <w:rPr>
          <w:rFonts w:hint="cs"/>
          <w:rtl/>
        </w:rPr>
        <w:t>קוד עובדי הציבור</w:t>
      </w:r>
      <w:r>
        <w:rPr>
          <w:rFonts w:hint="cs"/>
          <w:rtl/>
        </w:rPr>
        <w:t xml:space="preserve"> שמעוגן </w:t>
      </w:r>
      <w:r w:rsidRPr="00D831B1">
        <w:rPr>
          <w:rFonts w:hint="cs"/>
          <w:rtl/>
        </w:rPr>
        <w:t xml:space="preserve"> </w:t>
      </w:r>
      <w:r w:rsidR="00394CAF">
        <w:rPr>
          <w:rFonts w:hint="cs"/>
          <w:rtl/>
        </w:rPr>
        <w:t>בחוק</w:t>
      </w:r>
      <w:r>
        <w:rPr>
          <w:rFonts w:hint="cs"/>
          <w:rtl/>
        </w:rPr>
        <w:t xml:space="preserve">, חל על </w:t>
      </w:r>
      <w:r w:rsidRPr="00D831B1">
        <w:rPr>
          <w:rFonts w:hint="cs"/>
          <w:rtl/>
        </w:rPr>
        <w:t xml:space="preserve">עובד ציבור איסור </w:t>
      </w:r>
      <w:r>
        <w:rPr>
          <w:rFonts w:hint="cs"/>
          <w:rtl/>
        </w:rPr>
        <w:t>ל</w:t>
      </w:r>
      <w:r w:rsidRPr="00D831B1">
        <w:rPr>
          <w:rFonts w:hint="cs"/>
          <w:rtl/>
        </w:rPr>
        <w:t>הימצא בניגוד עניינים</w:t>
      </w:r>
      <w:r>
        <w:rPr>
          <w:rFonts w:hint="cs"/>
          <w:rtl/>
        </w:rPr>
        <w:t>.</w:t>
      </w:r>
      <w:r w:rsidR="00394CAF">
        <w:rPr>
          <w:rFonts w:hint="cs"/>
          <w:rtl/>
        </w:rPr>
        <w:t xml:space="preserve"> כך, לפי הקוד</w:t>
      </w:r>
      <w:r>
        <w:rPr>
          <w:rFonts w:hint="cs"/>
          <w:rtl/>
        </w:rPr>
        <w:t xml:space="preserve"> עובד ציבור</w:t>
      </w:r>
      <w:r w:rsidRPr="00D831B1">
        <w:rPr>
          <w:rFonts w:hint="cs"/>
          <w:rtl/>
        </w:rPr>
        <w:t xml:space="preserve"> לא יהיה רשאי להכריע בנושא או להשתתף בפעולות </w:t>
      </w:r>
      <w:r>
        <w:rPr>
          <w:rFonts w:hint="cs"/>
          <w:rtl/>
        </w:rPr>
        <w:t>ב</w:t>
      </w:r>
      <w:r w:rsidRPr="00D831B1">
        <w:rPr>
          <w:rFonts w:hint="cs"/>
          <w:rtl/>
        </w:rPr>
        <w:t>נוגע לאותו הנושא</w:t>
      </w:r>
      <w:r>
        <w:rPr>
          <w:rFonts w:hint="cs"/>
          <w:rtl/>
        </w:rPr>
        <w:t xml:space="preserve"> </w:t>
      </w:r>
      <w:r w:rsidRPr="00D831B1">
        <w:rPr>
          <w:rFonts w:hint="cs"/>
          <w:rtl/>
        </w:rPr>
        <w:t>אם יש לו, או לבן או בת זוגו, או לקרוב משפחה אחר, או לאדם אחר שמהווה חבר קרוב או לחילופין אויב שלו, אינטרס משמעותי בתוצאות המקרה.</w:t>
      </w:r>
      <w:r>
        <w:rPr>
          <w:rFonts w:hint="cs"/>
          <w:rtl/>
        </w:rPr>
        <w:t xml:space="preserve"> </w:t>
      </w:r>
      <w:r w:rsidRPr="00D831B1">
        <w:rPr>
          <w:rFonts w:hint="cs"/>
          <w:rtl/>
        </w:rPr>
        <w:t>הפרה של הוראה זו תחשב עילה לביטול הפעולה שבוצעה.</w:t>
      </w:r>
    </w:p>
    <w:p w:rsidR="008540C7" w:rsidRPr="008540C7" w:rsidRDefault="008540C7" w:rsidP="00426035">
      <w:pPr>
        <w:pStyle w:val="a4"/>
        <w:keepNext/>
        <w:rPr>
          <w:b/>
          <w:bCs/>
          <w:u w:val="single"/>
        </w:rPr>
      </w:pPr>
      <w:r w:rsidRPr="009E462D">
        <w:rPr>
          <w:rFonts w:hint="eastAsia"/>
          <w:b/>
          <w:bCs/>
          <w:u w:val="single"/>
          <w:rtl/>
        </w:rPr>
        <w:t>דנמרק</w:t>
      </w:r>
      <w:r w:rsidR="002C034C" w:rsidRPr="009E462D">
        <w:rPr>
          <w:b/>
          <w:bCs/>
          <w:u w:val="single"/>
          <w:rtl/>
        </w:rPr>
        <w:t xml:space="preserve"> </w:t>
      </w:r>
    </w:p>
    <w:p w:rsidR="002C034C" w:rsidRDefault="002C034C" w:rsidP="003E24E3">
      <w:pPr>
        <w:pStyle w:val="a4"/>
        <w:numPr>
          <w:ilvl w:val="0"/>
          <w:numId w:val="21"/>
        </w:numPr>
        <w:ind w:left="357" w:hanging="357"/>
      </w:pPr>
      <w:r>
        <w:rPr>
          <w:rFonts w:hint="cs"/>
          <w:rtl/>
        </w:rPr>
        <w:t xml:space="preserve">בדנמרק קבועה הסדרה שעוסקת בחברי הפרלמנט בלבד. בהסדרה נקבע כי חברי הפרלמנט שאינם שרים נדרשים לרשום את האינטרסים הכלכליים שלהם ואת המקצוע האזרחי שלהם בהתאם לכללים </w:t>
      </w:r>
      <w:r w:rsidR="00394CAF">
        <w:rPr>
          <w:rFonts w:hint="cs"/>
          <w:rtl/>
        </w:rPr>
        <w:t xml:space="preserve">מיוחדים </w:t>
      </w:r>
      <w:r>
        <w:rPr>
          <w:rFonts w:hint="cs"/>
          <w:rtl/>
        </w:rPr>
        <w:t>שנקבעו</w:t>
      </w:r>
      <w:r w:rsidR="00394CAF">
        <w:rPr>
          <w:rFonts w:hint="cs"/>
          <w:rtl/>
        </w:rPr>
        <w:t xml:space="preserve"> בפרלמנט</w:t>
      </w:r>
      <w:r>
        <w:rPr>
          <w:rFonts w:hint="cs"/>
          <w:rtl/>
        </w:rPr>
        <w:t xml:space="preserve">. פרטיהם של חברי פרלמנט שלא </w:t>
      </w:r>
      <w:r w:rsidR="00394CAF">
        <w:rPr>
          <w:rFonts w:hint="cs"/>
          <w:rtl/>
        </w:rPr>
        <w:t xml:space="preserve">מצייתים </w:t>
      </w:r>
      <w:r>
        <w:rPr>
          <w:rFonts w:hint="cs"/>
          <w:rtl/>
        </w:rPr>
        <w:t xml:space="preserve">להוראות האמורות </w:t>
      </w:r>
      <w:r w:rsidR="00394CAF">
        <w:rPr>
          <w:rFonts w:hint="cs"/>
          <w:rtl/>
        </w:rPr>
        <w:t xml:space="preserve">מפורסמים </w:t>
      </w:r>
      <w:r>
        <w:rPr>
          <w:rFonts w:hint="cs"/>
          <w:rtl/>
        </w:rPr>
        <w:t>באתר האינטרנט של הפרלמנט בדנמרק.</w:t>
      </w:r>
    </w:p>
    <w:p w:rsidR="00426035" w:rsidRPr="00452715" w:rsidRDefault="00426035" w:rsidP="00426035">
      <w:pPr>
        <w:pStyle w:val="a4"/>
        <w:rPr>
          <w:rtl/>
        </w:rPr>
      </w:pPr>
    </w:p>
    <w:p w:rsidR="00BC372E" w:rsidRPr="009E462D" w:rsidRDefault="009E7AD2" w:rsidP="00AA70F6">
      <w:pPr>
        <w:pStyle w:val="aff0"/>
        <w:keepNext/>
        <w:keepLines/>
        <w:rPr>
          <w:rtl/>
        </w:rPr>
      </w:pPr>
      <w:r w:rsidRPr="009E462D">
        <w:rPr>
          <w:rFonts w:hint="cs"/>
          <w:rtl/>
        </w:rPr>
        <w:t>רקע</w:t>
      </w:r>
    </w:p>
    <w:p w:rsidR="00BD218C" w:rsidRPr="009E462D" w:rsidRDefault="00426658" w:rsidP="00426035">
      <w:pPr>
        <w:pStyle w:val="a4"/>
        <w:keepNext/>
        <w:keepLines/>
        <w:rPr>
          <w:rtl/>
        </w:rPr>
      </w:pPr>
      <w:r w:rsidRPr="009E462D">
        <w:rPr>
          <w:rFonts w:hint="cs"/>
          <w:rtl/>
        </w:rPr>
        <w:t xml:space="preserve">כידוע, </w:t>
      </w:r>
      <w:r w:rsidR="00241503" w:rsidRPr="009E462D">
        <w:rPr>
          <w:rFonts w:hint="cs"/>
          <w:rtl/>
        </w:rPr>
        <w:t>האתוס המרכזי ב</w:t>
      </w:r>
      <w:r w:rsidR="00BD218C" w:rsidRPr="009E462D">
        <w:rPr>
          <w:rFonts w:hint="cs"/>
          <w:rtl/>
        </w:rPr>
        <w:t xml:space="preserve">פעילות </w:t>
      </w:r>
      <w:r w:rsidR="00BD218C" w:rsidRPr="009E462D">
        <w:rPr>
          <w:rtl/>
        </w:rPr>
        <w:t>ממשלות ומוסדות ציבוריים ברחבי העולם</w:t>
      </w:r>
      <w:r w:rsidR="00241503" w:rsidRPr="009E462D">
        <w:rPr>
          <w:rFonts w:hint="cs"/>
          <w:rtl/>
        </w:rPr>
        <w:t xml:space="preserve"> הוא אתוס הפעילות לטובת</w:t>
      </w:r>
      <w:r w:rsidR="00241503" w:rsidRPr="009E462D">
        <w:rPr>
          <w:rtl/>
        </w:rPr>
        <w:t xml:space="preserve"> האינטרס הציבורי</w:t>
      </w:r>
      <w:r w:rsidR="00BD218C" w:rsidRPr="009E462D">
        <w:rPr>
          <w:rtl/>
        </w:rPr>
        <w:t xml:space="preserve">. </w:t>
      </w:r>
      <w:r w:rsidR="00DA2BE2" w:rsidRPr="009E462D">
        <w:rPr>
          <w:rFonts w:hint="cs"/>
          <w:rtl/>
        </w:rPr>
        <w:t xml:space="preserve">כך, </w:t>
      </w:r>
      <w:r w:rsidR="00BD218C" w:rsidRPr="009E462D">
        <w:rPr>
          <w:rtl/>
        </w:rPr>
        <w:t>הציבור הרחב מצפה שמשרתי הציבור</w:t>
      </w:r>
      <w:r w:rsidR="00172726" w:rsidRPr="009E462D">
        <w:rPr>
          <w:rFonts w:hint="cs"/>
          <w:rtl/>
        </w:rPr>
        <w:t xml:space="preserve"> שלו</w:t>
      </w:r>
      <w:r w:rsidR="00DA2BE2" w:rsidRPr="009E462D">
        <w:rPr>
          <w:rFonts w:hint="cs"/>
          <w:rtl/>
        </w:rPr>
        <w:t xml:space="preserve">, </w:t>
      </w:r>
      <w:r w:rsidR="00BD218C" w:rsidRPr="009E462D">
        <w:rPr>
          <w:rtl/>
        </w:rPr>
        <w:t xml:space="preserve">בין אם </w:t>
      </w:r>
      <w:r w:rsidR="00BD218C" w:rsidRPr="009E462D">
        <w:rPr>
          <w:rFonts w:hint="cs"/>
          <w:rtl/>
        </w:rPr>
        <w:t xml:space="preserve">הם </w:t>
      </w:r>
      <w:r w:rsidR="00BD218C" w:rsidRPr="009E462D">
        <w:rPr>
          <w:rtl/>
        </w:rPr>
        <w:t xml:space="preserve">נבחרי ציבור ובין אם </w:t>
      </w:r>
      <w:r w:rsidR="00BD218C" w:rsidRPr="009E462D">
        <w:rPr>
          <w:rFonts w:hint="cs"/>
          <w:rtl/>
        </w:rPr>
        <w:t xml:space="preserve">הם </w:t>
      </w:r>
      <w:r w:rsidR="00BD218C" w:rsidRPr="009E462D">
        <w:rPr>
          <w:rtl/>
        </w:rPr>
        <w:t>עובדי ציבור</w:t>
      </w:r>
      <w:r w:rsidR="00DA2BE2" w:rsidRPr="009E462D">
        <w:rPr>
          <w:rFonts w:hint="cs"/>
          <w:rtl/>
        </w:rPr>
        <w:t>,</w:t>
      </w:r>
      <w:r w:rsidR="00BD218C" w:rsidRPr="009E462D">
        <w:rPr>
          <w:rtl/>
        </w:rPr>
        <w:t xml:space="preserve"> </w:t>
      </w:r>
      <w:r w:rsidRPr="009E462D">
        <w:rPr>
          <w:rFonts w:hint="cs"/>
          <w:rtl/>
        </w:rPr>
        <w:t>ישרתו את האינטרס הציבורי ו</w:t>
      </w:r>
      <w:r w:rsidR="00BD218C" w:rsidRPr="009E462D">
        <w:rPr>
          <w:rFonts w:hint="cs"/>
          <w:rtl/>
        </w:rPr>
        <w:t xml:space="preserve">יבצעו את תפקידם </w:t>
      </w:r>
      <w:r w:rsidR="00BD218C" w:rsidRPr="009E462D">
        <w:rPr>
          <w:rtl/>
        </w:rPr>
        <w:t>באופן הוגן</w:t>
      </w:r>
      <w:r w:rsidR="00BD218C" w:rsidRPr="009E462D">
        <w:rPr>
          <w:rFonts w:hint="cs"/>
          <w:rtl/>
        </w:rPr>
        <w:t>, ישר</w:t>
      </w:r>
      <w:r w:rsidR="00BD218C" w:rsidRPr="009E462D">
        <w:rPr>
          <w:rtl/>
        </w:rPr>
        <w:t xml:space="preserve"> ונטול משוא פנים</w:t>
      </w:r>
      <w:r w:rsidR="00BD218C" w:rsidRPr="009E462D">
        <w:rPr>
          <w:rFonts w:hint="cs"/>
          <w:rtl/>
        </w:rPr>
        <w:t>.</w:t>
      </w:r>
      <w:r w:rsidR="00DB30CD" w:rsidRPr="009E462D">
        <w:rPr>
          <w:rtl/>
        </w:rPr>
        <w:br/>
      </w:r>
      <w:r w:rsidR="00D82276" w:rsidRPr="009E462D">
        <w:rPr>
          <w:rFonts w:hint="cs"/>
          <w:rtl/>
        </w:rPr>
        <w:t>יחד עם</w:t>
      </w:r>
      <w:r w:rsidR="001758B1" w:rsidRPr="009E462D">
        <w:rPr>
          <w:rFonts w:hint="cs"/>
          <w:rtl/>
        </w:rPr>
        <w:t xml:space="preserve"> זאת</w:t>
      </w:r>
      <w:r w:rsidRPr="009E462D">
        <w:rPr>
          <w:rFonts w:hint="cs"/>
          <w:rtl/>
        </w:rPr>
        <w:t xml:space="preserve">, </w:t>
      </w:r>
      <w:r w:rsidR="00BA2832" w:rsidRPr="009E462D">
        <w:rPr>
          <w:rFonts w:hint="cs"/>
          <w:rtl/>
        </w:rPr>
        <w:t xml:space="preserve">לעיתים, בעת פעילותם של משרתי הציבור עלולים </w:t>
      </w:r>
      <w:r w:rsidRPr="009E462D">
        <w:rPr>
          <w:rFonts w:hint="cs"/>
          <w:rtl/>
        </w:rPr>
        <w:t xml:space="preserve">להתגלות קונפליקטים בין </w:t>
      </w:r>
      <w:r w:rsidR="00BA2832" w:rsidRPr="009E462D">
        <w:rPr>
          <w:rFonts w:hint="cs"/>
          <w:rtl/>
        </w:rPr>
        <w:t>ה</w:t>
      </w:r>
      <w:r w:rsidRPr="009E462D">
        <w:rPr>
          <w:rFonts w:hint="cs"/>
          <w:rtl/>
        </w:rPr>
        <w:t>אינטרסים</w:t>
      </w:r>
      <w:r w:rsidR="00AA70F6">
        <w:rPr>
          <w:rFonts w:hint="cs"/>
          <w:rtl/>
        </w:rPr>
        <w:t xml:space="preserve"> </w:t>
      </w:r>
      <w:r w:rsidR="00BA2832" w:rsidRPr="009E462D">
        <w:rPr>
          <w:rFonts w:hint="cs"/>
          <w:rtl/>
        </w:rPr>
        <w:t>ה</w:t>
      </w:r>
      <w:r w:rsidRPr="009E462D">
        <w:rPr>
          <w:rFonts w:hint="cs"/>
          <w:rtl/>
        </w:rPr>
        <w:t xml:space="preserve">פרטיים </w:t>
      </w:r>
      <w:r w:rsidR="00BA2832" w:rsidRPr="009E462D">
        <w:rPr>
          <w:rFonts w:hint="cs"/>
          <w:rtl/>
        </w:rPr>
        <w:t xml:space="preserve">שלהם </w:t>
      </w:r>
      <w:r w:rsidR="00FA6CC7">
        <w:rPr>
          <w:rFonts w:hint="cs"/>
          <w:rtl/>
        </w:rPr>
        <w:t>או בתפקיד אחר שלהם</w:t>
      </w:r>
      <w:r w:rsidR="00FA6CC7" w:rsidRPr="009E462D">
        <w:rPr>
          <w:rFonts w:hint="cs"/>
          <w:rtl/>
        </w:rPr>
        <w:t xml:space="preserve"> </w:t>
      </w:r>
      <w:r w:rsidRPr="009E462D">
        <w:rPr>
          <w:rFonts w:hint="cs"/>
          <w:rtl/>
        </w:rPr>
        <w:t xml:space="preserve">ובין </w:t>
      </w:r>
      <w:r w:rsidR="00DB30CD" w:rsidRPr="009E462D">
        <w:rPr>
          <w:rFonts w:hint="cs"/>
          <w:rtl/>
        </w:rPr>
        <w:t>החובות ו</w:t>
      </w:r>
      <w:r w:rsidRPr="009E462D">
        <w:rPr>
          <w:rFonts w:hint="cs"/>
          <w:rtl/>
        </w:rPr>
        <w:t xml:space="preserve">האינטרסים הציבוריים </w:t>
      </w:r>
      <w:r w:rsidR="00BA2832" w:rsidRPr="009E462D">
        <w:rPr>
          <w:rFonts w:hint="cs"/>
          <w:rtl/>
        </w:rPr>
        <w:t xml:space="preserve">שמגולמים </w:t>
      </w:r>
      <w:r w:rsidRPr="009E462D">
        <w:rPr>
          <w:rFonts w:hint="cs"/>
          <w:rtl/>
        </w:rPr>
        <w:t>בתפקידם הציבורי.</w:t>
      </w:r>
      <w:r w:rsidR="00EE650F" w:rsidRPr="009E462D">
        <w:rPr>
          <w:rStyle w:val="ac"/>
          <w:rtl/>
        </w:rPr>
        <w:footnoteReference w:id="1"/>
      </w:r>
      <w:r w:rsidRPr="009E462D">
        <w:rPr>
          <w:rFonts w:hint="cs"/>
          <w:rtl/>
        </w:rPr>
        <w:t xml:space="preserve"> </w:t>
      </w:r>
      <w:r w:rsidR="00EE650F" w:rsidRPr="009E462D">
        <w:rPr>
          <w:rFonts w:hint="cs"/>
          <w:rtl/>
        </w:rPr>
        <w:t xml:space="preserve">כפי שיוצג, </w:t>
      </w:r>
      <w:r w:rsidRPr="009E462D">
        <w:rPr>
          <w:rFonts w:hint="cs"/>
          <w:rtl/>
        </w:rPr>
        <w:t xml:space="preserve">ההסדרה של </w:t>
      </w:r>
      <w:r w:rsidR="00BA2832" w:rsidRPr="009E462D">
        <w:rPr>
          <w:rFonts w:hint="cs"/>
          <w:rtl/>
        </w:rPr>
        <w:t xml:space="preserve">תחום </w:t>
      </w:r>
      <w:r w:rsidRPr="009E462D">
        <w:rPr>
          <w:rFonts w:hint="cs"/>
          <w:rtl/>
        </w:rPr>
        <w:t>ניגודי העניינים נועדה לטפל בקונפליקטים</w:t>
      </w:r>
      <w:r w:rsidR="00BA2832" w:rsidRPr="009E462D">
        <w:rPr>
          <w:rFonts w:hint="cs"/>
          <w:rtl/>
        </w:rPr>
        <w:t xml:space="preserve"> אלה</w:t>
      </w:r>
      <w:r w:rsidR="00EE650F" w:rsidRPr="009E462D">
        <w:rPr>
          <w:rFonts w:hint="cs"/>
          <w:rtl/>
        </w:rPr>
        <w:t xml:space="preserve"> באמצעים שונים</w:t>
      </w:r>
      <w:r w:rsidRPr="009E462D">
        <w:rPr>
          <w:rFonts w:hint="cs"/>
          <w:rtl/>
        </w:rPr>
        <w:t>.</w:t>
      </w:r>
    </w:p>
    <w:p w:rsidR="00D82276" w:rsidRPr="009E462D" w:rsidRDefault="003A7CDE" w:rsidP="00426035">
      <w:pPr>
        <w:pStyle w:val="a4"/>
        <w:rPr>
          <w:rtl/>
        </w:rPr>
      </w:pPr>
      <w:r w:rsidRPr="00C730AE">
        <w:rPr>
          <w:rFonts w:hint="eastAsia"/>
          <w:b/>
          <w:bCs/>
          <w:rtl/>
        </w:rPr>
        <w:t>המונח</w:t>
      </w:r>
      <w:r w:rsidRPr="00C730AE">
        <w:rPr>
          <w:b/>
          <w:bCs/>
          <w:rtl/>
        </w:rPr>
        <w:t xml:space="preserve"> "ניגוד </w:t>
      </w:r>
      <w:r w:rsidRPr="00C730AE">
        <w:rPr>
          <w:rFonts w:hint="eastAsia"/>
          <w:b/>
          <w:bCs/>
          <w:rtl/>
        </w:rPr>
        <w:t>עניינים</w:t>
      </w:r>
      <w:r w:rsidRPr="00C730AE">
        <w:rPr>
          <w:b/>
          <w:bCs/>
          <w:rtl/>
        </w:rPr>
        <w:t>"</w:t>
      </w:r>
      <w:r w:rsidRPr="009E462D">
        <w:rPr>
          <w:rFonts w:hint="cs"/>
          <w:rtl/>
        </w:rPr>
        <w:t xml:space="preserve"> </w:t>
      </w:r>
      <w:r w:rsidRPr="009E462D">
        <w:rPr>
          <w:rtl/>
        </w:rPr>
        <w:t>(</w:t>
      </w:r>
      <w:r w:rsidRPr="009E462D">
        <w:rPr>
          <w:rFonts w:hint="cs"/>
          <w:rtl/>
        </w:rPr>
        <w:t>או באנגלית:</w:t>
      </w:r>
      <w:r w:rsidRPr="009E462D">
        <w:rPr>
          <w:rtl/>
        </w:rPr>
        <w:t xml:space="preserve"> </w:t>
      </w:r>
      <w:r w:rsidRPr="009E462D">
        <w:t>conflict of interests</w:t>
      </w:r>
      <w:r w:rsidRPr="009E462D">
        <w:rPr>
          <w:rtl/>
        </w:rPr>
        <w:t xml:space="preserve">, </w:t>
      </w:r>
      <w:r w:rsidRPr="009E462D">
        <w:rPr>
          <w:rFonts w:hint="cs"/>
          <w:rtl/>
        </w:rPr>
        <w:t>"</w:t>
      </w:r>
      <w:r w:rsidRPr="009E462D">
        <w:rPr>
          <w:rtl/>
        </w:rPr>
        <w:t xml:space="preserve">קונפליקט </w:t>
      </w:r>
      <w:r w:rsidRPr="009E462D">
        <w:rPr>
          <w:rFonts w:hint="cs"/>
          <w:rtl/>
        </w:rPr>
        <w:t xml:space="preserve">בין </w:t>
      </w:r>
      <w:r w:rsidRPr="009E462D">
        <w:rPr>
          <w:rtl/>
        </w:rPr>
        <w:t>אינטרסים</w:t>
      </w:r>
      <w:r w:rsidRPr="009E462D">
        <w:rPr>
          <w:rFonts w:hint="cs"/>
          <w:rtl/>
        </w:rPr>
        <w:t>"</w:t>
      </w:r>
      <w:r w:rsidRPr="009E462D">
        <w:rPr>
          <w:rtl/>
        </w:rPr>
        <w:t>)</w:t>
      </w:r>
      <w:r w:rsidRPr="009E462D">
        <w:rPr>
          <w:rFonts w:hint="cs"/>
          <w:rtl/>
        </w:rPr>
        <w:t xml:space="preserve"> </w:t>
      </w:r>
      <w:r w:rsidR="00ED431A" w:rsidRPr="009E462D">
        <w:rPr>
          <w:rFonts w:hint="cs"/>
          <w:rtl/>
        </w:rPr>
        <w:t>מוגדר בדרכים שונות</w:t>
      </w:r>
      <w:r w:rsidR="00EE650F" w:rsidRPr="009E462D">
        <w:rPr>
          <w:rFonts w:hint="cs"/>
          <w:rtl/>
        </w:rPr>
        <w:t xml:space="preserve"> בספרות המקצועית</w:t>
      </w:r>
      <w:r w:rsidR="00ED431A" w:rsidRPr="009E462D">
        <w:rPr>
          <w:rFonts w:hint="cs"/>
          <w:rtl/>
        </w:rPr>
        <w:t xml:space="preserve">. </w:t>
      </w:r>
      <w:r w:rsidR="00EE650F" w:rsidRPr="009E462D">
        <w:rPr>
          <w:rFonts w:hint="cs"/>
          <w:rtl/>
        </w:rPr>
        <w:t xml:space="preserve">כך, </w:t>
      </w:r>
      <w:r w:rsidR="00F02ADD" w:rsidRPr="009E462D">
        <w:rPr>
          <w:rFonts w:hint="cs"/>
          <w:rtl/>
        </w:rPr>
        <w:t xml:space="preserve">מבחינה מילונית, </w:t>
      </w:r>
      <w:r w:rsidR="004F7211" w:rsidRPr="009E462D">
        <w:rPr>
          <w:rFonts w:hint="cs"/>
          <w:rtl/>
        </w:rPr>
        <w:t>המונח</w:t>
      </w:r>
      <w:r w:rsidR="00ED431A" w:rsidRPr="009E462D">
        <w:rPr>
          <w:rFonts w:hint="cs"/>
          <w:rtl/>
        </w:rPr>
        <w:t xml:space="preserve"> </w:t>
      </w:r>
      <w:r w:rsidRPr="009E462D">
        <w:rPr>
          <w:rFonts w:hint="cs"/>
          <w:rtl/>
        </w:rPr>
        <w:t xml:space="preserve">משמש לתיאור </w:t>
      </w:r>
      <w:r w:rsidRPr="009E462D">
        <w:rPr>
          <w:rFonts w:hint="cs"/>
          <w:b/>
          <w:bCs/>
          <w:rtl/>
        </w:rPr>
        <w:t>הקונפליקט שעשוי</w:t>
      </w:r>
      <w:r w:rsidRPr="009E462D">
        <w:rPr>
          <w:b/>
          <w:bCs/>
          <w:rtl/>
        </w:rPr>
        <w:t xml:space="preserve"> </w:t>
      </w:r>
      <w:r w:rsidRPr="009E462D">
        <w:rPr>
          <w:rFonts w:hint="cs"/>
          <w:b/>
          <w:bCs/>
          <w:rtl/>
        </w:rPr>
        <w:t>לה</w:t>
      </w:r>
      <w:r w:rsidRPr="009E462D">
        <w:rPr>
          <w:b/>
          <w:bCs/>
          <w:rtl/>
        </w:rPr>
        <w:t>תעורר</w:t>
      </w:r>
      <w:r w:rsidRPr="009E462D">
        <w:rPr>
          <w:rtl/>
        </w:rPr>
        <w:t xml:space="preserve"> אצל בעל תפקיד בין </w:t>
      </w:r>
      <w:r w:rsidR="006C2BBA" w:rsidRPr="009E462D">
        <w:rPr>
          <w:rFonts w:hint="cs"/>
          <w:rtl/>
        </w:rPr>
        <w:t xml:space="preserve">האחריות, </w:t>
      </w:r>
      <w:r w:rsidRPr="009E462D">
        <w:rPr>
          <w:rFonts w:hint="cs"/>
          <w:rtl/>
        </w:rPr>
        <w:t>האינטרסים והחובות</w:t>
      </w:r>
      <w:r w:rsidRPr="009E462D">
        <w:rPr>
          <w:rtl/>
        </w:rPr>
        <w:t xml:space="preserve"> </w:t>
      </w:r>
      <w:r w:rsidRPr="009E462D">
        <w:rPr>
          <w:rFonts w:hint="cs"/>
          <w:rtl/>
        </w:rPr>
        <w:t>שכרוכים ב</w:t>
      </w:r>
      <w:r w:rsidRPr="009E462D">
        <w:rPr>
          <w:rtl/>
        </w:rPr>
        <w:t xml:space="preserve">תפקידו </w:t>
      </w:r>
      <w:r w:rsidRPr="009E462D">
        <w:rPr>
          <w:rFonts w:hint="cs"/>
          <w:rtl/>
        </w:rPr>
        <w:t>ו</w:t>
      </w:r>
      <w:r w:rsidRPr="009E462D">
        <w:rPr>
          <w:rtl/>
        </w:rPr>
        <w:t>בין האינטרסים האישיים האחרים ש</w:t>
      </w:r>
      <w:r w:rsidRPr="009E462D">
        <w:rPr>
          <w:rFonts w:hint="cs"/>
          <w:rtl/>
        </w:rPr>
        <w:t xml:space="preserve">עשויים להיות לו באותו התפקיד. בצורה מעט שונה המונח </w:t>
      </w:r>
      <w:r w:rsidR="00ED431A" w:rsidRPr="009E462D">
        <w:rPr>
          <w:rFonts w:hint="cs"/>
          <w:rtl/>
        </w:rPr>
        <w:t xml:space="preserve">מוגדר </w:t>
      </w:r>
      <w:r w:rsidRPr="009E462D">
        <w:rPr>
          <w:rFonts w:hint="cs"/>
          <w:rtl/>
        </w:rPr>
        <w:t>כ</w:t>
      </w:r>
      <w:r w:rsidRPr="009E462D">
        <w:rPr>
          <w:rtl/>
        </w:rPr>
        <w:t xml:space="preserve">מצב שבו </w:t>
      </w:r>
      <w:r w:rsidRPr="009E462D">
        <w:rPr>
          <w:rFonts w:hint="cs"/>
          <w:rtl/>
        </w:rPr>
        <w:t xml:space="preserve">החלטתו של </w:t>
      </w:r>
      <w:r w:rsidR="004845DB" w:rsidRPr="009E462D">
        <w:rPr>
          <w:rFonts w:hint="cs"/>
          <w:rtl/>
        </w:rPr>
        <w:t xml:space="preserve">בעל תפקיד </w:t>
      </w:r>
      <w:r w:rsidR="009F0059" w:rsidRPr="009E462D">
        <w:rPr>
          <w:rFonts w:hint="cs"/>
          <w:rtl/>
        </w:rPr>
        <w:t xml:space="preserve">בעת מילוי תפקידו </w:t>
      </w:r>
      <w:r w:rsidRPr="009E462D">
        <w:rPr>
          <w:b/>
          <w:bCs/>
          <w:rtl/>
        </w:rPr>
        <w:t>עשוי</w:t>
      </w:r>
      <w:r w:rsidRPr="009E462D">
        <w:rPr>
          <w:rFonts w:hint="cs"/>
          <w:b/>
          <w:bCs/>
          <w:rtl/>
        </w:rPr>
        <w:t>ה</w:t>
      </w:r>
      <w:r w:rsidRPr="009E462D">
        <w:rPr>
          <w:b/>
          <w:bCs/>
          <w:rtl/>
        </w:rPr>
        <w:t xml:space="preserve"> להיות מושפע</w:t>
      </w:r>
      <w:r w:rsidRPr="009E462D">
        <w:rPr>
          <w:rFonts w:hint="cs"/>
          <w:b/>
          <w:bCs/>
          <w:rtl/>
        </w:rPr>
        <w:t>ת</w:t>
      </w:r>
      <w:r w:rsidRPr="009E462D">
        <w:rPr>
          <w:b/>
          <w:bCs/>
          <w:rtl/>
        </w:rPr>
        <w:t xml:space="preserve"> מהתוצאה</w:t>
      </w:r>
      <w:r w:rsidR="004845DB" w:rsidRPr="009E462D">
        <w:rPr>
          <w:rFonts w:hint="cs"/>
          <w:b/>
          <w:bCs/>
          <w:rtl/>
        </w:rPr>
        <w:t xml:space="preserve"> של החלטתו</w:t>
      </w:r>
      <w:r w:rsidR="00EE650F" w:rsidRPr="009E462D">
        <w:rPr>
          <w:rFonts w:hint="cs"/>
          <w:rtl/>
        </w:rPr>
        <w:t>,</w:t>
      </w:r>
      <w:r w:rsidR="00191E39" w:rsidRPr="009E462D">
        <w:rPr>
          <w:rFonts w:hint="cs"/>
          <w:rtl/>
        </w:rPr>
        <w:t xml:space="preserve"> </w:t>
      </w:r>
      <w:r w:rsidR="00EE650F" w:rsidRPr="009E462D">
        <w:rPr>
          <w:rFonts w:hint="cs"/>
          <w:rtl/>
        </w:rPr>
        <w:t xml:space="preserve">וזאת </w:t>
      </w:r>
      <w:r w:rsidRPr="009E462D">
        <w:rPr>
          <w:rFonts w:hint="cs"/>
          <w:rtl/>
        </w:rPr>
        <w:t>בשל אינטרס אישי שיש לו בתוצאה או בשל התנגשות בין אינטרסים שונים שיש לו בתפקידו.</w:t>
      </w:r>
      <w:r w:rsidRPr="009E462D">
        <w:rPr>
          <w:rStyle w:val="ac"/>
          <w:rtl/>
        </w:rPr>
        <w:footnoteReference w:id="2"/>
      </w:r>
      <w:r w:rsidR="007E1203" w:rsidRPr="009E462D">
        <w:rPr>
          <w:rFonts w:hint="cs"/>
          <w:rtl/>
        </w:rPr>
        <w:t xml:space="preserve"> </w:t>
      </w:r>
      <w:r w:rsidR="00191E39" w:rsidRPr="009E462D">
        <w:rPr>
          <w:rFonts w:hint="cs"/>
          <w:rtl/>
        </w:rPr>
        <w:t xml:space="preserve">מבחינה משפטית, </w:t>
      </w:r>
      <w:r w:rsidRPr="009E462D">
        <w:rPr>
          <w:rtl/>
        </w:rPr>
        <w:t xml:space="preserve">המונח </w:t>
      </w:r>
      <w:r w:rsidRPr="009E462D">
        <w:rPr>
          <w:rFonts w:hint="cs"/>
          <w:rtl/>
        </w:rPr>
        <w:t>משמש לתיאור</w:t>
      </w:r>
      <w:r w:rsidRPr="009E462D">
        <w:rPr>
          <w:rtl/>
        </w:rPr>
        <w:t xml:space="preserve"> </w:t>
      </w:r>
      <w:r w:rsidRPr="009E462D">
        <w:rPr>
          <w:rFonts w:hint="cs"/>
          <w:b/>
          <w:bCs/>
          <w:rtl/>
        </w:rPr>
        <w:t>ה</w:t>
      </w:r>
      <w:r w:rsidRPr="009E462D">
        <w:rPr>
          <w:b/>
          <w:bCs/>
          <w:rtl/>
        </w:rPr>
        <w:t>קונפליקט</w:t>
      </w:r>
      <w:r w:rsidRPr="009E462D">
        <w:rPr>
          <w:rFonts w:hint="cs"/>
          <w:b/>
          <w:bCs/>
          <w:rtl/>
        </w:rPr>
        <w:t xml:space="preserve"> שעלול להיווצר</w:t>
      </w:r>
      <w:r w:rsidRPr="009E462D">
        <w:rPr>
          <w:b/>
          <w:bCs/>
          <w:rtl/>
        </w:rPr>
        <w:t xml:space="preserve"> בין החובה </w:t>
      </w:r>
      <w:r w:rsidR="007E1203" w:rsidRPr="009E462D">
        <w:rPr>
          <w:rFonts w:hint="cs"/>
          <w:b/>
          <w:bCs/>
          <w:rtl/>
        </w:rPr>
        <w:t xml:space="preserve">הכללית </w:t>
      </w:r>
      <w:r w:rsidR="00F02ADD" w:rsidRPr="009E462D">
        <w:rPr>
          <w:rFonts w:hint="cs"/>
          <w:b/>
          <w:bCs/>
          <w:rtl/>
        </w:rPr>
        <w:t>ש</w:t>
      </w:r>
      <w:r w:rsidRPr="009E462D">
        <w:rPr>
          <w:b/>
          <w:bCs/>
          <w:rtl/>
        </w:rPr>
        <w:t xml:space="preserve">מוטלת על בעל תפקיד </w:t>
      </w:r>
      <w:r w:rsidRPr="009E462D">
        <w:rPr>
          <w:rFonts w:hint="cs"/>
          <w:b/>
          <w:bCs/>
          <w:rtl/>
        </w:rPr>
        <w:t>לבצע</w:t>
      </w:r>
      <w:r w:rsidRPr="009E462D">
        <w:rPr>
          <w:b/>
          <w:bCs/>
          <w:rtl/>
        </w:rPr>
        <w:t xml:space="preserve"> את תפקידו ללא משוא פנים ובין </w:t>
      </w:r>
      <w:r w:rsidRPr="009E462D">
        <w:rPr>
          <w:rFonts w:hint="cs"/>
          <w:b/>
          <w:bCs/>
          <w:rtl/>
        </w:rPr>
        <w:t>אינטרס אחר שעשוי להיות לו</w:t>
      </w:r>
      <w:r w:rsidRPr="009E462D">
        <w:rPr>
          <w:rtl/>
        </w:rPr>
        <w:t>.</w:t>
      </w:r>
      <w:r w:rsidRPr="009E462D">
        <w:rPr>
          <w:rFonts w:hint="cs"/>
          <w:rtl/>
        </w:rPr>
        <w:t xml:space="preserve"> מצב זה עשוי להתרחש בסוגים שונים של קשרים </w:t>
      </w:r>
      <w:r w:rsidR="004F7211" w:rsidRPr="009E462D">
        <w:rPr>
          <w:rFonts w:hint="cs"/>
          <w:rtl/>
        </w:rPr>
        <w:t xml:space="preserve">משפטיים </w:t>
      </w:r>
      <w:r w:rsidRPr="009E462D">
        <w:rPr>
          <w:rFonts w:hint="cs"/>
          <w:rtl/>
        </w:rPr>
        <w:t xml:space="preserve">והוא לא </w:t>
      </w:r>
      <w:r w:rsidR="00FA6CC7" w:rsidRPr="009E462D">
        <w:rPr>
          <w:rFonts w:hint="cs"/>
          <w:rtl/>
        </w:rPr>
        <w:t xml:space="preserve">רלוונטי </w:t>
      </w:r>
      <w:r w:rsidRPr="009E462D">
        <w:rPr>
          <w:rFonts w:hint="cs"/>
          <w:rtl/>
        </w:rPr>
        <w:t xml:space="preserve">רק במשפט המנהלי, אלא גם במשפט האזרחי </w:t>
      </w:r>
      <w:r w:rsidR="007E1203" w:rsidRPr="009E462D">
        <w:rPr>
          <w:rFonts w:hint="cs"/>
          <w:rtl/>
        </w:rPr>
        <w:t>(</w:t>
      </w:r>
      <w:r w:rsidR="004F7211" w:rsidRPr="009E462D">
        <w:rPr>
          <w:rFonts w:hint="cs"/>
          <w:rtl/>
        </w:rPr>
        <w:t xml:space="preserve">דוגמת </w:t>
      </w:r>
      <w:r w:rsidR="007E1203" w:rsidRPr="009E462D">
        <w:rPr>
          <w:rFonts w:hint="cs"/>
          <w:rtl/>
        </w:rPr>
        <w:t xml:space="preserve">בעיית הנציג </w:t>
      </w:r>
      <w:r w:rsidR="00ED431A" w:rsidRPr="009E462D">
        <w:rPr>
          <w:rFonts w:hint="cs"/>
          <w:rtl/>
        </w:rPr>
        <w:t>ב</w:t>
      </w:r>
      <w:r w:rsidR="007E1203" w:rsidRPr="009E462D">
        <w:rPr>
          <w:rFonts w:hint="cs"/>
          <w:rtl/>
        </w:rPr>
        <w:t xml:space="preserve">שליחות, נאמנות וכדומה) </w:t>
      </w:r>
      <w:r w:rsidRPr="009E462D">
        <w:rPr>
          <w:rFonts w:hint="cs"/>
          <w:rtl/>
        </w:rPr>
        <w:t>ו</w:t>
      </w:r>
      <w:r w:rsidR="00EE650F" w:rsidRPr="009E462D">
        <w:rPr>
          <w:rFonts w:hint="cs"/>
          <w:rtl/>
        </w:rPr>
        <w:t>ב</w:t>
      </w:r>
      <w:r w:rsidR="00ED431A" w:rsidRPr="009E462D">
        <w:rPr>
          <w:rFonts w:hint="cs"/>
          <w:rtl/>
        </w:rPr>
        <w:t>משפט ה</w:t>
      </w:r>
      <w:r w:rsidRPr="009E462D">
        <w:rPr>
          <w:rFonts w:hint="cs"/>
          <w:rtl/>
        </w:rPr>
        <w:t>פלילי</w:t>
      </w:r>
      <w:r w:rsidR="007E1203" w:rsidRPr="009E462D">
        <w:rPr>
          <w:rFonts w:hint="cs"/>
          <w:rtl/>
        </w:rPr>
        <w:t xml:space="preserve"> (במקרה של עבירות פליליות </w:t>
      </w:r>
      <w:r w:rsidR="00ED431A" w:rsidRPr="009E462D">
        <w:rPr>
          <w:rFonts w:hint="cs"/>
          <w:rtl/>
        </w:rPr>
        <w:t xml:space="preserve">שונות </w:t>
      </w:r>
      <w:r w:rsidR="007E1203" w:rsidRPr="009E462D">
        <w:rPr>
          <w:rFonts w:hint="cs"/>
          <w:rtl/>
        </w:rPr>
        <w:t>כגון: הפרת אמונים ו</w:t>
      </w:r>
      <w:r w:rsidR="00ED431A" w:rsidRPr="009E462D">
        <w:rPr>
          <w:rFonts w:hint="cs"/>
          <w:rtl/>
        </w:rPr>
        <w:t>עוד</w:t>
      </w:r>
      <w:r w:rsidR="007E1203" w:rsidRPr="009E462D">
        <w:rPr>
          <w:rFonts w:hint="cs"/>
          <w:rtl/>
        </w:rPr>
        <w:t>)</w:t>
      </w:r>
      <w:r w:rsidRPr="009E462D">
        <w:rPr>
          <w:rFonts w:hint="cs"/>
          <w:rtl/>
        </w:rPr>
        <w:t>.</w:t>
      </w:r>
      <w:r w:rsidR="00191E39" w:rsidRPr="009E462D">
        <w:rPr>
          <w:rStyle w:val="ac"/>
          <w:rtl/>
        </w:rPr>
        <w:footnoteReference w:id="3"/>
      </w:r>
      <w:r w:rsidRPr="009E462D">
        <w:rPr>
          <w:rFonts w:hint="cs"/>
          <w:rtl/>
        </w:rPr>
        <w:t xml:space="preserve"> </w:t>
      </w:r>
    </w:p>
    <w:p w:rsidR="00191E39" w:rsidRPr="009E462D" w:rsidRDefault="008E5509" w:rsidP="00C730AE">
      <w:pPr>
        <w:pStyle w:val="a4"/>
        <w:rPr>
          <w:rtl/>
        </w:rPr>
      </w:pPr>
      <w:r w:rsidRPr="009E462D">
        <w:rPr>
          <w:rFonts w:hint="cs"/>
          <w:rtl/>
        </w:rPr>
        <w:t>מעבר לכך, יודגש, כי</w:t>
      </w:r>
      <w:r w:rsidR="00000A70" w:rsidRPr="009E462D">
        <w:rPr>
          <w:rFonts w:hint="cs"/>
          <w:rtl/>
        </w:rPr>
        <w:t xml:space="preserve"> </w:t>
      </w:r>
      <w:r w:rsidRPr="009E462D">
        <w:rPr>
          <w:rFonts w:hint="cs"/>
          <w:rtl/>
        </w:rPr>
        <w:t>ה</w:t>
      </w:r>
      <w:r w:rsidRPr="009E462D">
        <w:rPr>
          <w:rtl/>
        </w:rPr>
        <w:t xml:space="preserve">אינטרס </w:t>
      </w:r>
      <w:r w:rsidRPr="009E462D">
        <w:rPr>
          <w:rFonts w:hint="cs"/>
          <w:rtl/>
        </w:rPr>
        <w:t>ה</w:t>
      </w:r>
      <w:r w:rsidRPr="009E462D">
        <w:rPr>
          <w:rtl/>
        </w:rPr>
        <w:t xml:space="preserve">אישי </w:t>
      </w:r>
      <w:r w:rsidR="00662180" w:rsidRPr="009E462D">
        <w:rPr>
          <w:rFonts w:hint="cs"/>
          <w:rtl/>
        </w:rPr>
        <w:t xml:space="preserve">של בעל התפקיד </w:t>
      </w:r>
      <w:r w:rsidRPr="009E462D">
        <w:rPr>
          <w:rtl/>
        </w:rPr>
        <w:t xml:space="preserve">לא בהכרח מוגבל </w:t>
      </w:r>
      <w:r w:rsidR="00662180" w:rsidRPr="009E462D">
        <w:rPr>
          <w:rFonts w:hint="cs"/>
          <w:rtl/>
        </w:rPr>
        <w:t xml:space="preserve">רק </w:t>
      </w:r>
      <w:r w:rsidRPr="009E462D">
        <w:rPr>
          <w:rtl/>
        </w:rPr>
        <w:t xml:space="preserve">לאינטרסים כלכליים או לאינטרסים </w:t>
      </w:r>
      <w:r w:rsidRPr="009E462D">
        <w:rPr>
          <w:rFonts w:hint="cs"/>
          <w:rtl/>
        </w:rPr>
        <w:t>שנובעים מרצו</w:t>
      </w:r>
      <w:r w:rsidR="00662180" w:rsidRPr="009E462D">
        <w:rPr>
          <w:rFonts w:hint="cs"/>
          <w:rtl/>
        </w:rPr>
        <w:t>נו</w:t>
      </w:r>
      <w:r w:rsidRPr="009E462D">
        <w:rPr>
          <w:rFonts w:hint="cs"/>
          <w:rtl/>
        </w:rPr>
        <w:t xml:space="preserve"> </w:t>
      </w:r>
      <w:r w:rsidRPr="009E462D">
        <w:rPr>
          <w:rtl/>
        </w:rPr>
        <w:t>בתוצאה כלכלית שתטיב ע</w:t>
      </w:r>
      <w:r w:rsidR="00662180" w:rsidRPr="009E462D">
        <w:rPr>
          <w:rFonts w:hint="cs"/>
          <w:rtl/>
        </w:rPr>
        <w:t>ימו</w:t>
      </w:r>
      <w:r w:rsidRPr="009E462D">
        <w:rPr>
          <w:rtl/>
        </w:rPr>
        <w:t xml:space="preserve">. </w:t>
      </w:r>
      <w:r w:rsidR="00662180" w:rsidRPr="009E462D">
        <w:rPr>
          <w:rFonts w:hint="cs"/>
          <w:rtl/>
        </w:rPr>
        <w:t xml:space="preserve">כך, </w:t>
      </w:r>
      <w:r w:rsidRPr="009E462D">
        <w:rPr>
          <w:rtl/>
        </w:rPr>
        <w:t>ניגוד עניינים יכול גם להיווצר מפעילות פרטית לגיטימית שעשוי</w:t>
      </w:r>
      <w:r w:rsidRPr="009E462D">
        <w:rPr>
          <w:rFonts w:hint="cs"/>
          <w:rtl/>
        </w:rPr>
        <w:t>ה</w:t>
      </w:r>
      <w:r w:rsidRPr="009E462D">
        <w:rPr>
          <w:rtl/>
        </w:rPr>
        <w:t xml:space="preserve"> להשפיע על </w:t>
      </w:r>
      <w:r w:rsidRPr="009E462D">
        <w:rPr>
          <w:rFonts w:hint="cs"/>
          <w:rtl/>
        </w:rPr>
        <w:t xml:space="preserve">התנהלותו של </w:t>
      </w:r>
      <w:r w:rsidRPr="009E462D">
        <w:rPr>
          <w:rtl/>
        </w:rPr>
        <w:t>בעל התפקיד</w:t>
      </w:r>
      <w:r w:rsidRPr="009E462D">
        <w:rPr>
          <w:rFonts w:hint="cs"/>
          <w:rtl/>
        </w:rPr>
        <w:t xml:space="preserve"> בתפקידו</w:t>
      </w:r>
      <w:r w:rsidR="009E462D">
        <w:rPr>
          <w:rFonts w:hint="cs"/>
          <w:rtl/>
        </w:rPr>
        <w:t xml:space="preserve"> (כמו למשל פעילות ציבורית אחרת שהוא </w:t>
      </w:r>
      <w:r w:rsidR="00C730AE">
        <w:rPr>
          <w:rFonts w:hint="cs"/>
          <w:rtl/>
        </w:rPr>
        <w:t xml:space="preserve">או מי מקרוביו </w:t>
      </w:r>
      <w:r w:rsidR="009E462D">
        <w:rPr>
          <w:rFonts w:hint="cs"/>
          <w:rtl/>
        </w:rPr>
        <w:t>מעורב</w:t>
      </w:r>
      <w:r w:rsidR="00C730AE">
        <w:rPr>
          <w:rFonts w:hint="cs"/>
          <w:rtl/>
        </w:rPr>
        <w:t>ים</w:t>
      </w:r>
      <w:r w:rsidR="009E462D">
        <w:rPr>
          <w:rFonts w:hint="cs"/>
          <w:rtl/>
        </w:rPr>
        <w:t xml:space="preserve"> בה)</w:t>
      </w:r>
      <w:r w:rsidRPr="009E462D">
        <w:rPr>
          <w:rtl/>
        </w:rPr>
        <w:t>.</w:t>
      </w:r>
      <w:r w:rsidRPr="009E462D">
        <w:rPr>
          <w:rStyle w:val="ac"/>
          <w:rtl/>
        </w:rPr>
        <w:footnoteReference w:id="4"/>
      </w:r>
      <w:r w:rsidRPr="009E462D">
        <w:rPr>
          <w:rFonts w:hint="cs"/>
          <w:rtl/>
        </w:rPr>
        <w:t xml:space="preserve"> יתרה מכך, </w:t>
      </w:r>
      <w:r w:rsidR="00ED431A" w:rsidRPr="009E462D">
        <w:rPr>
          <w:rFonts w:hint="cs"/>
          <w:rtl/>
        </w:rPr>
        <w:t xml:space="preserve">ניגוד </w:t>
      </w:r>
      <w:r w:rsidR="00D82276" w:rsidRPr="009E462D">
        <w:rPr>
          <w:rFonts w:hint="cs"/>
          <w:rtl/>
        </w:rPr>
        <w:t>ה</w:t>
      </w:r>
      <w:r w:rsidR="00ED431A" w:rsidRPr="009E462D">
        <w:rPr>
          <w:rFonts w:hint="cs"/>
          <w:rtl/>
        </w:rPr>
        <w:t xml:space="preserve">עניינים </w:t>
      </w:r>
      <w:r w:rsidRPr="009E462D">
        <w:rPr>
          <w:rFonts w:hint="cs"/>
          <w:rtl/>
        </w:rPr>
        <w:t xml:space="preserve">גם </w:t>
      </w:r>
      <w:r w:rsidR="00ED431A" w:rsidRPr="009E462D">
        <w:rPr>
          <w:rFonts w:hint="cs"/>
          <w:rtl/>
        </w:rPr>
        <w:t>לא מחייב כי תהיה לבעל התפקיד כוונה להפר אמון</w:t>
      </w:r>
      <w:r w:rsidR="00000A70" w:rsidRPr="009E462D">
        <w:rPr>
          <w:rFonts w:hint="cs"/>
          <w:rtl/>
        </w:rPr>
        <w:t xml:space="preserve"> ואף אין הכרח</w:t>
      </w:r>
      <w:r w:rsidR="00ED431A" w:rsidRPr="009E462D">
        <w:rPr>
          <w:rFonts w:hint="cs"/>
          <w:rtl/>
        </w:rPr>
        <w:t xml:space="preserve"> </w:t>
      </w:r>
      <w:r w:rsidR="00000A70" w:rsidRPr="009E462D">
        <w:rPr>
          <w:rFonts w:hint="cs"/>
          <w:rtl/>
        </w:rPr>
        <w:t xml:space="preserve">כי </w:t>
      </w:r>
      <w:r w:rsidR="00ED431A" w:rsidRPr="009E462D">
        <w:rPr>
          <w:rFonts w:hint="cs"/>
          <w:rtl/>
        </w:rPr>
        <w:t xml:space="preserve">בעל התפקיד </w:t>
      </w:r>
      <w:r w:rsidR="00000A70" w:rsidRPr="009E462D">
        <w:rPr>
          <w:rFonts w:hint="cs"/>
          <w:rtl/>
        </w:rPr>
        <w:t>יושפע</w:t>
      </w:r>
      <w:r w:rsidR="00ED431A" w:rsidRPr="009E462D">
        <w:rPr>
          <w:rFonts w:hint="cs"/>
          <w:rtl/>
        </w:rPr>
        <w:t xml:space="preserve"> </w:t>
      </w:r>
      <w:r w:rsidR="004F7211" w:rsidRPr="009E462D">
        <w:rPr>
          <w:rFonts w:hint="cs"/>
          <w:rtl/>
        </w:rPr>
        <w:t xml:space="preserve">בפועל </w:t>
      </w:r>
      <w:r w:rsidR="00ED431A" w:rsidRPr="009E462D">
        <w:rPr>
          <w:rFonts w:hint="cs"/>
          <w:rtl/>
        </w:rPr>
        <w:t xml:space="preserve">מהעניין הנוסף בהחלטתו או </w:t>
      </w:r>
      <w:r w:rsidR="004F7211" w:rsidRPr="009E462D">
        <w:rPr>
          <w:rFonts w:hint="cs"/>
          <w:rtl/>
        </w:rPr>
        <w:t>ב</w:t>
      </w:r>
      <w:r w:rsidR="00ED431A" w:rsidRPr="009E462D">
        <w:rPr>
          <w:rFonts w:hint="cs"/>
          <w:rtl/>
        </w:rPr>
        <w:t>פע</w:t>
      </w:r>
      <w:r w:rsidR="004F7211" w:rsidRPr="009E462D">
        <w:rPr>
          <w:rFonts w:hint="cs"/>
          <w:rtl/>
        </w:rPr>
        <w:t>ו</w:t>
      </w:r>
      <w:r w:rsidR="00ED431A" w:rsidRPr="009E462D">
        <w:rPr>
          <w:rFonts w:hint="cs"/>
          <w:rtl/>
        </w:rPr>
        <w:t>לתו</w:t>
      </w:r>
      <w:r w:rsidR="009E462D">
        <w:rPr>
          <w:rFonts w:hint="cs"/>
          <w:rtl/>
        </w:rPr>
        <w:t>;</w:t>
      </w:r>
      <w:r w:rsidR="00ED431A" w:rsidRPr="009E462D">
        <w:rPr>
          <w:rFonts w:hint="cs"/>
          <w:rtl/>
        </w:rPr>
        <w:t xml:space="preserve"> לא כל מצב של ניגוד עניינים </w:t>
      </w:r>
      <w:r w:rsidR="00000A70" w:rsidRPr="009E462D">
        <w:rPr>
          <w:rFonts w:hint="cs"/>
          <w:rtl/>
        </w:rPr>
        <w:t xml:space="preserve">מהווה בהכרח </w:t>
      </w:r>
      <w:r w:rsidR="00ED431A" w:rsidRPr="009E462D">
        <w:rPr>
          <w:rFonts w:hint="cs"/>
          <w:rtl/>
        </w:rPr>
        <w:t>שחיתות</w:t>
      </w:r>
      <w:r w:rsidR="00000A70" w:rsidRPr="009E462D">
        <w:rPr>
          <w:rFonts w:hint="cs"/>
          <w:rtl/>
        </w:rPr>
        <w:t xml:space="preserve"> (</w:t>
      </w:r>
      <w:r w:rsidR="00000A70" w:rsidRPr="009E462D">
        <w:rPr>
          <w:rtl/>
        </w:rPr>
        <w:t xml:space="preserve">למרות שמילוי תפקיד באופן כזה </w:t>
      </w:r>
      <w:r w:rsidR="004F7211" w:rsidRPr="009E462D">
        <w:rPr>
          <w:rFonts w:hint="cs"/>
          <w:rtl/>
        </w:rPr>
        <w:t>עשוי ל</w:t>
      </w:r>
      <w:r w:rsidR="00000A70" w:rsidRPr="009E462D">
        <w:rPr>
          <w:rtl/>
        </w:rPr>
        <w:t xml:space="preserve">עורר חשד </w:t>
      </w:r>
      <w:r w:rsidR="00000A70" w:rsidRPr="009E462D">
        <w:rPr>
          <w:rFonts w:hint="cs"/>
          <w:rtl/>
        </w:rPr>
        <w:t>לכך)</w:t>
      </w:r>
      <w:r w:rsidR="00ED431A" w:rsidRPr="009E462D">
        <w:rPr>
          <w:rFonts w:hint="cs"/>
          <w:rtl/>
        </w:rPr>
        <w:t>.</w:t>
      </w:r>
      <w:r w:rsidR="00000A70" w:rsidRPr="009E462D">
        <w:rPr>
          <w:rStyle w:val="ac"/>
          <w:rtl/>
        </w:rPr>
        <w:footnoteReference w:id="5"/>
      </w:r>
      <w:r w:rsidR="00B56308" w:rsidRPr="009E462D">
        <w:rPr>
          <w:rFonts w:hint="cs"/>
          <w:rtl/>
        </w:rPr>
        <w:t xml:space="preserve"> </w:t>
      </w:r>
    </w:p>
    <w:p w:rsidR="00B56308" w:rsidRPr="009E462D" w:rsidRDefault="008E5509" w:rsidP="00426035">
      <w:pPr>
        <w:pStyle w:val="a4"/>
        <w:rPr>
          <w:rtl/>
        </w:rPr>
      </w:pPr>
      <w:r w:rsidRPr="009E462D">
        <w:rPr>
          <w:rFonts w:hint="cs"/>
          <w:rtl/>
        </w:rPr>
        <w:t>מבחינה תיאורטית</w:t>
      </w:r>
      <w:r w:rsidR="00B56308" w:rsidRPr="009E462D">
        <w:rPr>
          <w:rFonts w:hint="cs"/>
          <w:rtl/>
        </w:rPr>
        <w:t xml:space="preserve"> </w:t>
      </w:r>
      <w:r w:rsidR="00C921E8" w:rsidRPr="009E462D">
        <w:rPr>
          <w:rFonts w:hint="cs"/>
          <w:rtl/>
        </w:rPr>
        <w:t>הגישות</w:t>
      </w:r>
      <w:r w:rsidR="00ED431A" w:rsidRPr="009E462D">
        <w:rPr>
          <w:rFonts w:hint="cs"/>
          <w:rtl/>
        </w:rPr>
        <w:t xml:space="preserve"> </w:t>
      </w:r>
      <w:r w:rsidRPr="009E462D">
        <w:rPr>
          <w:rFonts w:hint="cs"/>
          <w:rtl/>
        </w:rPr>
        <w:t xml:space="preserve">האפשריות </w:t>
      </w:r>
      <w:r w:rsidR="00ED431A" w:rsidRPr="009E462D">
        <w:rPr>
          <w:rFonts w:hint="cs"/>
          <w:rtl/>
        </w:rPr>
        <w:t xml:space="preserve">לטיפול בניגודי עניינים מגוונות. </w:t>
      </w:r>
      <w:r w:rsidR="00C921E8" w:rsidRPr="009E462D">
        <w:rPr>
          <w:rtl/>
        </w:rPr>
        <w:t xml:space="preserve">גישות </w:t>
      </w:r>
      <w:r w:rsidR="00C921E8" w:rsidRPr="009E462D">
        <w:rPr>
          <w:rFonts w:hint="cs"/>
          <w:rtl/>
        </w:rPr>
        <w:t>אלה</w:t>
      </w:r>
      <w:r w:rsidR="00C921E8" w:rsidRPr="009E462D">
        <w:rPr>
          <w:rtl/>
        </w:rPr>
        <w:t xml:space="preserve"> </w:t>
      </w:r>
      <w:r w:rsidRPr="009E462D">
        <w:rPr>
          <w:rFonts w:hint="cs"/>
          <w:rtl/>
        </w:rPr>
        <w:t xml:space="preserve">עשויות לשקף </w:t>
      </w:r>
      <w:r w:rsidR="00C921E8" w:rsidRPr="009E462D">
        <w:rPr>
          <w:rtl/>
        </w:rPr>
        <w:t xml:space="preserve">את תפיסות העולם המשפטיות, </w:t>
      </w:r>
      <w:r w:rsidRPr="009E462D">
        <w:rPr>
          <w:rFonts w:hint="cs"/>
          <w:rtl/>
        </w:rPr>
        <w:t>ה</w:t>
      </w:r>
      <w:r w:rsidR="00C921E8" w:rsidRPr="009E462D">
        <w:rPr>
          <w:rtl/>
        </w:rPr>
        <w:t>חברתיות</w:t>
      </w:r>
      <w:r w:rsidR="0092666C">
        <w:rPr>
          <w:rFonts w:hint="cs"/>
          <w:rtl/>
        </w:rPr>
        <w:t>, התרבותיות</w:t>
      </w:r>
      <w:r w:rsidR="00C921E8" w:rsidRPr="009E462D">
        <w:rPr>
          <w:rtl/>
        </w:rPr>
        <w:t xml:space="preserve"> ו</w:t>
      </w:r>
      <w:r w:rsidRPr="009E462D">
        <w:rPr>
          <w:rFonts w:hint="cs"/>
          <w:rtl/>
        </w:rPr>
        <w:t>ה</w:t>
      </w:r>
      <w:r w:rsidR="00C921E8" w:rsidRPr="009E462D">
        <w:rPr>
          <w:rtl/>
        </w:rPr>
        <w:t xml:space="preserve">היסטוריות </w:t>
      </w:r>
      <w:r w:rsidR="00C921E8" w:rsidRPr="009E462D">
        <w:rPr>
          <w:rFonts w:hint="cs"/>
          <w:rtl/>
        </w:rPr>
        <w:t xml:space="preserve">במדינות שונות, כמו גם את המסורת של </w:t>
      </w:r>
      <w:r w:rsidR="00C921E8" w:rsidRPr="009E462D">
        <w:rPr>
          <w:rtl/>
        </w:rPr>
        <w:t>השירות הציבורי</w:t>
      </w:r>
      <w:r w:rsidR="00C921E8" w:rsidRPr="009E462D">
        <w:rPr>
          <w:rFonts w:hint="cs"/>
          <w:rtl/>
        </w:rPr>
        <w:t xml:space="preserve"> (</w:t>
      </w:r>
      <w:r w:rsidR="00C730AE" w:rsidRPr="00C730AE">
        <w:t>Public</w:t>
      </w:r>
      <w:r w:rsidR="00C921E8" w:rsidRPr="009E462D">
        <w:t xml:space="preserve"> Service</w:t>
      </w:r>
      <w:r w:rsidR="00C921E8" w:rsidRPr="009E462D">
        <w:rPr>
          <w:rFonts w:hint="cs"/>
          <w:rtl/>
        </w:rPr>
        <w:t>)</w:t>
      </w:r>
      <w:r w:rsidRPr="009E462D">
        <w:rPr>
          <w:rFonts w:hint="cs"/>
          <w:rtl/>
        </w:rPr>
        <w:t xml:space="preserve"> ב</w:t>
      </w:r>
      <w:r w:rsidR="00662180" w:rsidRPr="009E462D">
        <w:rPr>
          <w:rFonts w:hint="cs"/>
          <w:rtl/>
        </w:rPr>
        <w:t>מדינות אלה</w:t>
      </w:r>
      <w:r w:rsidR="00C921E8" w:rsidRPr="009E462D">
        <w:rPr>
          <w:rtl/>
        </w:rPr>
        <w:t xml:space="preserve">. כך, </w:t>
      </w:r>
      <w:r w:rsidR="00C921E8" w:rsidRPr="009E462D">
        <w:rPr>
          <w:rFonts w:hint="cs"/>
          <w:rtl/>
        </w:rPr>
        <w:t xml:space="preserve">בין היתר, </w:t>
      </w:r>
      <w:r w:rsidRPr="0092666C">
        <w:rPr>
          <w:rFonts w:hint="cs"/>
          <w:rtl/>
        </w:rPr>
        <w:t>יכולות להתקיים</w:t>
      </w:r>
      <w:r w:rsidR="00C921E8" w:rsidRPr="0092666C">
        <w:rPr>
          <w:rFonts w:hint="cs"/>
          <w:rtl/>
        </w:rPr>
        <w:t xml:space="preserve"> </w:t>
      </w:r>
      <w:r w:rsidR="00C921E8" w:rsidRPr="00C730AE">
        <w:rPr>
          <w:b/>
          <w:bCs/>
          <w:rtl/>
        </w:rPr>
        <w:t xml:space="preserve">גישות </w:t>
      </w:r>
      <w:r w:rsidR="00662180" w:rsidRPr="00C730AE">
        <w:rPr>
          <w:rFonts w:hint="eastAsia"/>
          <w:b/>
          <w:bCs/>
          <w:rtl/>
        </w:rPr>
        <w:t>לניהול</w:t>
      </w:r>
      <w:r w:rsidR="00662180" w:rsidRPr="00C730AE">
        <w:rPr>
          <w:b/>
          <w:bCs/>
          <w:rtl/>
        </w:rPr>
        <w:t xml:space="preserve"> </w:t>
      </w:r>
      <w:r w:rsidR="00662180" w:rsidRPr="00C730AE">
        <w:rPr>
          <w:rFonts w:hint="eastAsia"/>
          <w:b/>
          <w:bCs/>
          <w:rtl/>
        </w:rPr>
        <w:t>ניגודי</w:t>
      </w:r>
      <w:r w:rsidR="00662180" w:rsidRPr="00C730AE">
        <w:rPr>
          <w:b/>
          <w:bCs/>
          <w:rtl/>
        </w:rPr>
        <w:t xml:space="preserve"> </w:t>
      </w:r>
      <w:r w:rsidR="00662180" w:rsidRPr="00C730AE">
        <w:rPr>
          <w:rFonts w:hint="eastAsia"/>
          <w:b/>
          <w:bCs/>
          <w:rtl/>
        </w:rPr>
        <w:t>עניינים</w:t>
      </w:r>
      <w:r w:rsidR="00662180" w:rsidRPr="009E462D">
        <w:rPr>
          <w:rFonts w:hint="cs"/>
          <w:rtl/>
        </w:rPr>
        <w:t xml:space="preserve"> (</w:t>
      </w:r>
      <w:r w:rsidR="00662180" w:rsidRPr="009E462D">
        <w:t>Management of conflict of interests</w:t>
      </w:r>
      <w:r w:rsidR="00662180" w:rsidRPr="009E462D">
        <w:rPr>
          <w:rFonts w:hint="cs"/>
          <w:rtl/>
        </w:rPr>
        <w:t xml:space="preserve">) </w:t>
      </w:r>
      <w:r w:rsidR="00C921E8" w:rsidRPr="009E462D">
        <w:rPr>
          <w:rtl/>
        </w:rPr>
        <w:t xml:space="preserve">שמדגישות </w:t>
      </w:r>
      <w:r w:rsidR="00C921E8" w:rsidRPr="009E462D">
        <w:rPr>
          <w:rFonts w:hint="cs"/>
          <w:rtl/>
        </w:rPr>
        <w:t>את יסודות ה</w:t>
      </w:r>
      <w:r w:rsidR="00C921E8" w:rsidRPr="009E462D">
        <w:rPr>
          <w:rtl/>
        </w:rPr>
        <w:t>פיקוח ו</w:t>
      </w:r>
      <w:r w:rsidR="00C921E8" w:rsidRPr="009E462D">
        <w:rPr>
          <w:rFonts w:hint="cs"/>
          <w:rtl/>
        </w:rPr>
        <w:t>ה</w:t>
      </w:r>
      <w:r w:rsidR="00C921E8" w:rsidRPr="009E462D">
        <w:rPr>
          <w:rtl/>
        </w:rPr>
        <w:t xml:space="preserve">בקרה </w:t>
      </w:r>
      <w:r w:rsidR="00662180" w:rsidRPr="009E462D">
        <w:rPr>
          <w:rFonts w:hint="cs"/>
          <w:rtl/>
        </w:rPr>
        <w:t>ב</w:t>
      </w:r>
      <w:r w:rsidR="00C921E8" w:rsidRPr="009E462D">
        <w:rPr>
          <w:rFonts w:hint="cs"/>
          <w:rtl/>
        </w:rPr>
        <w:t xml:space="preserve">אמצעים </w:t>
      </w:r>
      <w:r w:rsidR="00C921E8" w:rsidRPr="009E462D">
        <w:rPr>
          <w:rtl/>
        </w:rPr>
        <w:t>ניהוליים</w:t>
      </w:r>
      <w:r w:rsidR="00C921E8" w:rsidRPr="009E462D">
        <w:rPr>
          <w:rFonts w:hint="cs"/>
          <w:rtl/>
        </w:rPr>
        <w:t xml:space="preserve"> שונים</w:t>
      </w:r>
      <w:r w:rsidR="00662180" w:rsidRPr="009E462D">
        <w:rPr>
          <w:rFonts w:hint="cs"/>
          <w:rtl/>
        </w:rPr>
        <w:t>;</w:t>
      </w:r>
      <w:r w:rsidR="00C921E8" w:rsidRPr="009E462D">
        <w:rPr>
          <w:rtl/>
        </w:rPr>
        <w:t xml:space="preserve"> גישות אחרות </w:t>
      </w:r>
      <w:r w:rsidRPr="009E462D">
        <w:rPr>
          <w:rFonts w:hint="cs"/>
          <w:rtl/>
        </w:rPr>
        <w:t>עשויות להדגיש</w:t>
      </w:r>
      <w:r w:rsidR="00C921E8" w:rsidRPr="009E462D">
        <w:rPr>
          <w:rtl/>
        </w:rPr>
        <w:t xml:space="preserve"> את </w:t>
      </w:r>
      <w:r w:rsidR="00C921E8" w:rsidRPr="009E462D">
        <w:rPr>
          <w:rFonts w:hint="cs"/>
          <w:rtl/>
        </w:rPr>
        <w:t xml:space="preserve">יסודות </w:t>
      </w:r>
      <w:r w:rsidR="00C921E8" w:rsidRPr="009E462D">
        <w:rPr>
          <w:rtl/>
        </w:rPr>
        <w:t xml:space="preserve">השקיפות </w:t>
      </w:r>
      <w:r w:rsidR="00C921E8" w:rsidRPr="009E462D">
        <w:rPr>
          <w:rFonts w:hint="cs"/>
          <w:rtl/>
        </w:rPr>
        <w:t>ב</w:t>
      </w:r>
      <w:r w:rsidR="00FA6CC7">
        <w:rPr>
          <w:rFonts w:hint="cs"/>
          <w:rtl/>
        </w:rPr>
        <w:t xml:space="preserve">אמצעות </w:t>
      </w:r>
      <w:r w:rsidR="00C921E8" w:rsidRPr="009E462D">
        <w:rPr>
          <w:rFonts w:hint="cs"/>
          <w:rtl/>
        </w:rPr>
        <w:t>אמצעים שונים לדיווח ו</w:t>
      </w:r>
      <w:r w:rsidR="00662180" w:rsidRPr="009E462D">
        <w:rPr>
          <w:rFonts w:hint="cs"/>
          <w:rtl/>
        </w:rPr>
        <w:t>ל</w:t>
      </w:r>
      <w:r w:rsidR="00C921E8" w:rsidRPr="009E462D">
        <w:rPr>
          <w:rFonts w:hint="cs"/>
          <w:rtl/>
        </w:rPr>
        <w:t xml:space="preserve">פרסום של </w:t>
      </w:r>
      <w:r w:rsidR="00662180" w:rsidRPr="009E462D">
        <w:rPr>
          <w:rFonts w:hint="cs"/>
          <w:rtl/>
        </w:rPr>
        <w:t>ה</w:t>
      </w:r>
      <w:r w:rsidRPr="009E462D">
        <w:rPr>
          <w:rFonts w:hint="cs"/>
          <w:rtl/>
        </w:rPr>
        <w:t xml:space="preserve">אינטרסים </w:t>
      </w:r>
      <w:r w:rsidR="00662180" w:rsidRPr="009E462D">
        <w:rPr>
          <w:rFonts w:hint="cs"/>
          <w:rtl/>
        </w:rPr>
        <w:t>ה</w:t>
      </w:r>
      <w:r w:rsidRPr="009E462D">
        <w:rPr>
          <w:rFonts w:hint="cs"/>
          <w:rtl/>
        </w:rPr>
        <w:t>אישיים</w:t>
      </w:r>
      <w:r w:rsidR="00662180" w:rsidRPr="009E462D">
        <w:rPr>
          <w:rFonts w:hint="cs"/>
          <w:rtl/>
        </w:rPr>
        <w:t xml:space="preserve"> של משרתי ציבור וכן </w:t>
      </w:r>
      <w:r w:rsidR="00FA6CC7">
        <w:rPr>
          <w:rFonts w:hint="cs"/>
          <w:rtl/>
        </w:rPr>
        <w:t>את</w:t>
      </w:r>
      <w:r w:rsidR="00FA6CC7" w:rsidRPr="009E462D">
        <w:rPr>
          <w:rFonts w:hint="cs"/>
          <w:rtl/>
        </w:rPr>
        <w:t xml:space="preserve"> </w:t>
      </w:r>
      <w:r w:rsidR="00662180" w:rsidRPr="009E462D">
        <w:rPr>
          <w:rFonts w:hint="cs"/>
          <w:rtl/>
        </w:rPr>
        <w:t>הדרכים שננקטו לצורך מניעת קונפליקטים כאמור;</w:t>
      </w:r>
      <w:r w:rsidRPr="009E462D">
        <w:rPr>
          <w:rFonts w:hint="cs"/>
          <w:rtl/>
        </w:rPr>
        <w:t xml:space="preserve"> </w:t>
      </w:r>
      <w:r w:rsidR="00F03CA3" w:rsidRPr="009E462D">
        <w:rPr>
          <w:rFonts w:hint="cs"/>
          <w:rtl/>
        </w:rPr>
        <w:t xml:space="preserve">בתוך </w:t>
      </w:r>
      <w:r w:rsidR="00662180" w:rsidRPr="009E462D">
        <w:rPr>
          <w:rFonts w:hint="cs"/>
          <w:rtl/>
        </w:rPr>
        <w:t>כך</w:t>
      </w:r>
      <w:r w:rsidR="00FA6CC7">
        <w:rPr>
          <w:rFonts w:hint="cs"/>
          <w:rtl/>
        </w:rPr>
        <w:t>,</w:t>
      </w:r>
      <w:r w:rsidR="00662180" w:rsidRPr="009E462D">
        <w:rPr>
          <w:rFonts w:hint="cs"/>
          <w:rtl/>
        </w:rPr>
        <w:t xml:space="preserve"> </w:t>
      </w:r>
      <w:r w:rsidRPr="009E462D">
        <w:rPr>
          <w:rFonts w:hint="cs"/>
          <w:rtl/>
        </w:rPr>
        <w:t xml:space="preserve">יכולות להיות נהוגות </w:t>
      </w:r>
      <w:r w:rsidR="00FA6CC7">
        <w:rPr>
          <w:rFonts w:hint="cs"/>
          <w:rtl/>
        </w:rPr>
        <w:t xml:space="preserve">גם </w:t>
      </w:r>
      <w:r w:rsidRPr="009E462D">
        <w:rPr>
          <w:rFonts w:hint="cs"/>
          <w:rtl/>
        </w:rPr>
        <w:t xml:space="preserve">גישות שמבקשות לקדם </w:t>
      </w:r>
      <w:r w:rsidR="00C921E8" w:rsidRPr="009E462D">
        <w:rPr>
          <w:rtl/>
        </w:rPr>
        <w:t xml:space="preserve">תרבות ארגונית של יושרה </w:t>
      </w:r>
      <w:r w:rsidR="00662180" w:rsidRPr="009E462D">
        <w:rPr>
          <w:rFonts w:hint="cs"/>
          <w:rtl/>
        </w:rPr>
        <w:t>בכדי למנוע קונפליקטים אלה</w:t>
      </w:r>
      <w:r w:rsidR="009E462D">
        <w:rPr>
          <w:rFonts w:hint="cs"/>
          <w:rtl/>
        </w:rPr>
        <w:t>,</w:t>
      </w:r>
      <w:r w:rsidR="00662180" w:rsidRPr="009E462D">
        <w:rPr>
          <w:rFonts w:hint="cs"/>
          <w:rtl/>
        </w:rPr>
        <w:t xml:space="preserve"> </w:t>
      </w:r>
      <w:r w:rsidR="00C921E8" w:rsidRPr="009E462D">
        <w:rPr>
          <w:rtl/>
        </w:rPr>
        <w:t>ועוד</w:t>
      </w:r>
      <w:r w:rsidR="00C921E8" w:rsidRPr="009E462D">
        <w:rPr>
          <w:rFonts w:hint="cs"/>
          <w:rtl/>
        </w:rPr>
        <w:t>.</w:t>
      </w:r>
      <w:r w:rsidR="006C2BBA" w:rsidRPr="009E462D">
        <w:rPr>
          <w:rStyle w:val="ac"/>
          <w:rtl/>
        </w:rPr>
        <w:footnoteReference w:id="6"/>
      </w:r>
      <w:r w:rsidR="00F03CA3" w:rsidRPr="009E462D">
        <w:rPr>
          <w:rFonts w:hint="cs"/>
          <w:rtl/>
        </w:rPr>
        <w:t xml:space="preserve"> חלק מהכתיבה בתחום מחלקת את אמצעי הטיפול השונים לשתי קבוצות מרכזיות: האחת, </w:t>
      </w:r>
      <w:r w:rsidR="00F03CA3" w:rsidRPr="009E462D">
        <w:rPr>
          <w:rtl/>
        </w:rPr>
        <w:t>מדגישה את הטיפול באמצעות כללי שקיפות ודרישות לאחריותיות של בעלי תפקידים. השנייה</w:t>
      </w:r>
      <w:r w:rsidR="00F03CA3" w:rsidRPr="009E462D">
        <w:rPr>
          <w:rFonts w:hint="cs"/>
          <w:rtl/>
        </w:rPr>
        <w:t>,</w:t>
      </w:r>
      <w:r w:rsidR="00F03CA3" w:rsidRPr="009E462D">
        <w:rPr>
          <w:rtl/>
        </w:rPr>
        <w:t xml:space="preserve"> </w:t>
      </w:r>
      <w:r w:rsidR="003970D7" w:rsidRPr="009E462D">
        <w:rPr>
          <w:rFonts w:hint="cs"/>
          <w:rtl/>
        </w:rPr>
        <w:t xml:space="preserve">מדגישה </w:t>
      </w:r>
      <w:r w:rsidR="00F03CA3" w:rsidRPr="009E462D">
        <w:rPr>
          <w:rFonts w:hint="cs"/>
          <w:rtl/>
        </w:rPr>
        <w:t>אמצעים שמבוססים על אתיקה וערכים מקצועיים ארגוניים</w:t>
      </w:r>
      <w:r w:rsidR="00F03CA3" w:rsidRPr="009E462D">
        <w:rPr>
          <w:rtl/>
        </w:rPr>
        <w:t>.</w:t>
      </w:r>
      <w:r w:rsidR="008C68EC" w:rsidRPr="009E462D">
        <w:rPr>
          <w:rFonts w:hint="cs"/>
          <w:rtl/>
        </w:rPr>
        <w:t xml:space="preserve"> בכל מקרה, ללא כל קשר לסיווג </w:t>
      </w:r>
      <w:r w:rsidR="008D0B57" w:rsidRPr="009E462D">
        <w:rPr>
          <w:rFonts w:hint="cs"/>
          <w:rtl/>
        </w:rPr>
        <w:t>הגישות</w:t>
      </w:r>
      <w:r w:rsidR="008C68EC" w:rsidRPr="009E462D">
        <w:rPr>
          <w:rFonts w:hint="cs"/>
          <w:rtl/>
        </w:rPr>
        <w:t>, לעיתים קרובות, קבועים גם מנגנונים משלימים בדמות השימוש בסנקציות מסוגים שונים ובמנגנוני אכיפה.</w:t>
      </w:r>
      <w:r w:rsidR="008C68EC" w:rsidRPr="009E462D">
        <w:rPr>
          <w:rStyle w:val="ac"/>
          <w:rtl/>
        </w:rPr>
        <w:t xml:space="preserve"> </w:t>
      </w:r>
      <w:r w:rsidR="008C68EC" w:rsidRPr="009E462D">
        <w:rPr>
          <w:rStyle w:val="ac"/>
          <w:rtl/>
        </w:rPr>
        <w:footnoteReference w:id="7"/>
      </w:r>
    </w:p>
    <w:p w:rsidR="00FA6CC7" w:rsidRPr="009E462D" w:rsidRDefault="00C61F97" w:rsidP="00426035">
      <w:pPr>
        <w:pStyle w:val="a4"/>
        <w:rPr>
          <w:rtl/>
        </w:rPr>
      </w:pPr>
      <w:r w:rsidRPr="009E462D">
        <w:rPr>
          <w:rFonts w:hint="cs"/>
          <w:rtl/>
        </w:rPr>
        <w:t xml:space="preserve">אחת האפשרויות לטיפול בניגודי עניינים </w:t>
      </w:r>
      <w:r w:rsidR="00662180" w:rsidRPr="009E462D">
        <w:rPr>
          <w:rFonts w:hint="cs"/>
          <w:rtl/>
        </w:rPr>
        <w:t>היא</w:t>
      </w:r>
      <w:r w:rsidRPr="009E462D">
        <w:rPr>
          <w:rFonts w:hint="cs"/>
          <w:rtl/>
        </w:rPr>
        <w:t xml:space="preserve"> </w:t>
      </w:r>
      <w:r w:rsidR="00662180" w:rsidRPr="009E462D">
        <w:rPr>
          <w:rFonts w:hint="cs"/>
          <w:rtl/>
        </w:rPr>
        <w:t>ה</w:t>
      </w:r>
      <w:r w:rsidRPr="009E462D">
        <w:rPr>
          <w:rFonts w:hint="cs"/>
          <w:rtl/>
        </w:rPr>
        <w:t>שימוש ב</w:t>
      </w:r>
      <w:r w:rsidRPr="00C730AE">
        <w:rPr>
          <w:b/>
          <w:bCs/>
          <w:rtl/>
        </w:rPr>
        <w:t xml:space="preserve">"הסדרי </w:t>
      </w:r>
      <w:r w:rsidRPr="00C730AE">
        <w:rPr>
          <w:rFonts w:hint="eastAsia"/>
          <w:b/>
          <w:bCs/>
          <w:rtl/>
        </w:rPr>
        <w:t>ניגודי</w:t>
      </w:r>
      <w:r w:rsidRPr="00C730AE">
        <w:rPr>
          <w:b/>
          <w:bCs/>
          <w:rtl/>
        </w:rPr>
        <w:t xml:space="preserve"> </w:t>
      </w:r>
      <w:r w:rsidRPr="00C730AE">
        <w:rPr>
          <w:rFonts w:hint="eastAsia"/>
          <w:b/>
          <w:bCs/>
          <w:rtl/>
        </w:rPr>
        <w:t>עניינים</w:t>
      </w:r>
      <w:r w:rsidRPr="00C730AE">
        <w:rPr>
          <w:b/>
          <w:bCs/>
          <w:rtl/>
        </w:rPr>
        <w:t>"</w:t>
      </w:r>
      <w:r w:rsidRPr="009E462D">
        <w:rPr>
          <w:rFonts w:hint="cs"/>
          <w:rtl/>
        </w:rPr>
        <w:t xml:space="preserve">. הסדרים אלה נועדו לחשוף מראש את האינטרסים שעשויים להיות לבעל תפקיד ולקבוע </w:t>
      </w:r>
      <w:r w:rsidR="009E462D">
        <w:rPr>
          <w:rFonts w:hint="cs"/>
          <w:rtl/>
        </w:rPr>
        <w:t xml:space="preserve">מראש </w:t>
      </w:r>
      <w:r w:rsidRPr="009E462D">
        <w:rPr>
          <w:rFonts w:hint="cs"/>
          <w:rtl/>
        </w:rPr>
        <w:t xml:space="preserve">מגבלות שיחולו עליו בכדי למנוע את השפעת האינטרס המנוגד </w:t>
      </w:r>
      <w:r w:rsidR="00B56308" w:rsidRPr="009E462D">
        <w:rPr>
          <w:rFonts w:hint="cs"/>
          <w:rtl/>
        </w:rPr>
        <w:t>במילוי תפקידו.</w:t>
      </w:r>
      <w:r w:rsidR="00B56308" w:rsidRPr="009E462D">
        <w:rPr>
          <w:rStyle w:val="ac"/>
          <w:rtl/>
        </w:rPr>
        <w:footnoteReference w:id="8"/>
      </w:r>
      <w:r w:rsidR="00B56308" w:rsidRPr="009E462D">
        <w:rPr>
          <w:rFonts w:hint="cs"/>
          <w:rtl/>
        </w:rPr>
        <w:t xml:space="preserve"> </w:t>
      </w:r>
      <w:r w:rsidRPr="009E462D">
        <w:rPr>
          <w:rFonts w:hint="cs"/>
          <w:rtl/>
        </w:rPr>
        <w:t xml:space="preserve">כך, </w:t>
      </w:r>
      <w:r w:rsidR="00191E39" w:rsidRPr="009E462D">
        <w:rPr>
          <w:rFonts w:hint="cs"/>
          <w:rtl/>
        </w:rPr>
        <w:t>בישראל, המוסד המשפטי "הסדר לניגוד עניינים" מוגדר בהנחיית היועץ המשפטי לממשלה, כדלקמן: "מסמך בו חושף המועמד</w:t>
      </w:r>
      <w:r w:rsidR="00B02242">
        <w:rPr>
          <w:rFonts w:hint="cs"/>
          <w:rtl/>
        </w:rPr>
        <w:t xml:space="preserve"> </w:t>
      </w:r>
      <w:r w:rsidR="00B02242">
        <w:rPr>
          <w:rtl/>
        </w:rPr>
        <w:t>להיות עובד הציבור</w:t>
      </w:r>
      <w:r w:rsidR="00191E39" w:rsidRPr="009E462D">
        <w:rPr>
          <w:rFonts w:hint="cs"/>
          <w:rtl/>
        </w:rPr>
        <w:t>... את ענייניו האחרים או תפקידיו האחרים שעלולים לגרום לו להיות במצב של חשש לניגוד עניינים במילוי תפקידו הציבורי, ומתחייב לקבל על עצמו מגבלות מסוימות, בעבודתו הציבורית או בתחום האישי, שימנעו את ניגוד הע</w:t>
      </w:r>
      <w:r w:rsidR="00B73252" w:rsidRPr="009E462D">
        <w:rPr>
          <w:rFonts w:hint="cs"/>
          <w:rtl/>
        </w:rPr>
        <w:t>נ</w:t>
      </w:r>
      <w:r w:rsidR="00191E39" w:rsidRPr="009E462D">
        <w:rPr>
          <w:rFonts w:hint="cs"/>
          <w:rtl/>
        </w:rPr>
        <w:t>יינים האמור".</w:t>
      </w:r>
      <w:r w:rsidR="00191E39" w:rsidRPr="009E462D">
        <w:rPr>
          <w:rStyle w:val="ac"/>
          <w:rtl/>
        </w:rPr>
        <w:footnoteReference w:id="9"/>
      </w:r>
      <w:r w:rsidR="00B02242">
        <w:rPr>
          <w:rFonts w:hint="cs"/>
          <w:rtl/>
        </w:rPr>
        <w:t xml:space="preserve"> כפי שצוין לעיל, במדינות שנסקרו במסמך זה לא </w:t>
      </w:r>
      <w:r w:rsidR="00FA6CC7">
        <w:rPr>
          <w:rFonts w:hint="cs"/>
          <w:rtl/>
        </w:rPr>
        <w:t xml:space="preserve">נמצאו ברבדי החקיקה הוראות מפורטות בדבר </w:t>
      </w:r>
      <w:r w:rsidR="00FA6CC7" w:rsidRPr="000311C7">
        <w:rPr>
          <w:rFonts w:hint="eastAsia"/>
          <w:b/>
          <w:bCs/>
          <w:rtl/>
        </w:rPr>
        <w:t>חתימה</w:t>
      </w:r>
      <w:r w:rsidR="00FA6CC7" w:rsidRPr="000311C7">
        <w:rPr>
          <w:b/>
          <w:bCs/>
          <w:rtl/>
        </w:rPr>
        <w:t xml:space="preserve"> </w:t>
      </w:r>
      <w:r w:rsidR="00FA6CC7" w:rsidRPr="000311C7">
        <w:rPr>
          <w:rFonts w:hint="eastAsia"/>
          <w:b/>
          <w:bCs/>
          <w:rtl/>
        </w:rPr>
        <w:t>על</w:t>
      </w:r>
      <w:r w:rsidR="00FA6CC7" w:rsidRPr="000311C7">
        <w:rPr>
          <w:b/>
          <w:bCs/>
          <w:rtl/>
        </w:rPr>
        <w:t xml:space="preserve"> </w:t>
      </w:r>
      <w:r w:rsidR="00FA6CC7" w:rsidRPr="000311C7">
        <w:rPr>
          <w:rFonts w:hint="eastAsia"/>
          <w:b/>
          <w:bCs/>
          <w:rtl/>
        </w:rPr>
        <w:t>הסדרי</w:t>
      </w:r>
      <w:r w:rsidR="00FA6CC7" w:rsidRPr="000311C7">
        <w:rPr>
          <w:b/>
          <w:bCs/>
          <w:rtl/>
        </w:rPr>
        <w:t xml:space="preserve"> </w:t>
      </w:r>
      <w:r w:rsidR="00FA6CC7" w:rsidRPr="000311C7">
        <w:rPr>
          <w:rFonts w:hint="eastAsia"/>
          <w:b/>
          <w:bCs/>
          <w:rtl/>
        </w:rPr>
        <w:t>ניגוד</w:t>
      </w:r>
      <w:r w:rsidR="00FA6CC7" w:rsidRPr="000311C7">
        <w:rPr>
          <w:b/>
          <w:bCs/>
          <w:rtl/>
        </w:rPr>
        <w:t xml:space="preserve"> </w:t>
      </w:r>
      <w:r w:rsidR="00FA6CC7" w:rsidRPr="000311C7">
        <w:rPr>
          <w:rFonts w:hint="eastAsia"/>
          <w:b/>
          <w:bCs/>
          <w:rtl/>
        </w:rPr>
        <w:t>עניינים</w:t>
      </w:r>
      <w:r w:rsidR="00FA6CC7" w:rsidDel="00FA6CC7">
        <w:rPr>
          <w:rFonts w:hint="cs"/>
          <w:rtl/>
        </w:rPr>
        <w:t xml:space="preserve"> </w:t>
      </w:r>
      <w:r w:rsidR="00FA6CC7">
        <w:rPr>
          <w:rFonts w:hint="cs"/>
          <w:rtl/>
        </w:rPr>
        <w:t>(אלא צורות אחרות של הסדרה), אולם ייתכן שרבדים אלה של ההסדרה נכללים בהתקשרויות ובהסכמים פרטניים</w:t>
      </w:r>
      <w:r w:rsidR="00B02242">
        <w:rPr>
          <w:rFonts w:hint="cs"/>
          <w:rtl/>
        </w:rPr>
        <w:t xml:space="preserve">. </w:t>
      </w:r>
    </w:p>
    <w:p w:rsidR="00B56308" w:rsidRPr="009E462D" w:rsidRDefault="00B56308" w:rsidP="00B56308">
      <w:pPr>
        <w:pStyle w:val="a4"/>
        <w:rPr>
          <w:rtl/>
        </w:rPr>
      </w:pPr>
    </w:p>
    <w:p w:rsidR="00DF505D" w:rsidRPr="009E462D" w:rsidRDefault="009E7AD2" w:rsidP="00E306B5">
      <w:pPr>
        <w:pStyle w:val="aff0"/>
        <w:keepNext/>
        <w:keepLines/>
        <w:pageBreakBefore/>
        <w:rPr>
          <w:rtl/>
        </w:rPr>
      </w:pPr>
      <w:r w:rsidRPr="009E462D">
        <w:rPr>
          <w:rFonts w:hint="cs"/>
          <w:rtl/>
        </w:rPr>
        <w:t>ס</w:t>
      </w:r>
      <w:r w:rsidR="00DF505D" w:rsidRPr="009E462D">
        <w:rPr>
          <w:rFonts w:hint="cs"/>
          <w:rtl/>
        </w:rPr>
        <w:t>קירה משווה</w:t>
      </w:r>
    </w:p>
    <w:p w:rsidR="0092666C" w:rsidRDefault="00662180" w:rsidP="00426035">
      <w:pPr>
        <w:pStyle w:val="a4"/>
        <w:rPr>
          <w:rtl/>
        </w:rPr>
      </w:pPr>
      <w:r w:rsidRPr="00426035">
        <w:rPr>
          <w:rFonts w:hint="eastAsia"/>
          <w:rtl/>
        </w:rPr>
        <w:t>להלן</w:t>
      </w:r>
      <w:r w:rsidRPr="00426035">
        <w:rPr>
          <w:rtl/>
        </w:rPr>
        <w:t xml:space="preserve"> </w:t>
      </w:r>
      <w:r w:rsidRPr="00426035">
        <w:rPr>
          <w:rFonts w:hint="eastAsia"/>
          <w:rtl/>
        </w:rPr>
        <w:t>יוצגו</w:t>
      </w:r>
      <w:r w:rsidRPr="00426035">
        <w:rPr>
          <w:rtl/>
        </w:rPr>
        <w:t xml:space="preserve"> </w:t>
      </w:r>
      <w:r w:rsidRPr="00426035">
        <w:rPr>
          <w:rFonts w:hint="eastAsia"/>
          <w:rtl/>
        </w:rPr>
        <w:t>ה</w:t>
      </w:r>
      <w:r w:rsidR="0092666C" w:rsidRPr="00426035">
        <w:rPr>
          <w:rFonts w:hint="eastAsia"/>
          <w:rtl/>
        </w:rPr>
        <w:t>הסדרים</w:t>
      </w:r>
      <w:r w:rsidR="0092666C" w:rsidRPr="00426035">
        <w:rPr>
          <w:rtl/>
        </w:rPr>
        <w:t xml:space="preserve"> </w:t>
      </w:r>
      <w:r w:rsidR="0092666C" w:rsidRPr="00426035">
        <w:rPr>
          <w:rFonts w:hint="eastAsia"/>
          <w:rtl/>
        </w:rPr>
        <w:t>ב</w:t>
      </w:r>
      <w:r w:rsidRPr="00426035">
        <w:rPr>
          <w:rFonts w:hint="eastAsia"/>
          <w:rtl/>
        </w:rPr>
        <w:t>מדינות</w:t>
      </w:r>
      <w:r w:rsidRPr="00426035">
        <w:rPr>
          <w:rtl/>
        </w:rPr>
        <w:t xml:space="preserve"> שנסקרו במסמך זה. יוער, </w:t>
      </w:r>
      <w:r w:rsidR="00253E89" w:rsidRPr="00426035">
        <w:rPr>
          <w:rFonts w:hint="eastAsia"/>
          <w:rtl/>
        </w:rPr>
        <w:t>כפי</w:t>
      </w:r>
      <w:r w:rsidR="00253E89" w:rsidRPr="00426035">
        <w:rPr>
          <w:rtl/>
        </w:rPr>
        <w:t xml:space="preserve"> שגם ניתן לראות מהמסמך, </w:t>
      </w:r>
      <w:r w:rsidRPr="00426035">
        <w:rPr>
          <w:rFonts w:hint="eastAsia"/>
          <w:rtl/>
        </w:rPr>
        <w:t>כי</w:t>
      </w:r>
      <w:r w:rsidRPr="00426035">
        <w:rPr>
          <w:rtl/>
        </w:rPr>
        <w:t xml:space="preserve"> בחלק מהמדינות התאפשר לנו להסתמך על החקיקה (בשפת המקור או בתרגום לאנגלית) ועל מקורות הסדרה נוספים (צווים, קודי התנהגות וכדומה). </w:t>
      </w:r>
      <w:r w:rsidR="00253E89" w:rsidRPr="00426035">
        <w:rPr>
          <w:rFonts w:hint="eastAsia"/>
          <w:rtl/>
        </w:rPr>
        <w:t>לעומת</w:t>
      </w:r>
      <w:r w:rsidR="00253E89" w:rsidRPr="00426035">
        <w:rPr>
          <w:rtl/>
        </w:rPr>
        <w:t xml:space="preserve"> זאת, </w:t>
      </w:r>
      <w:r w:rsidRPr="00426035">
        <w:rPr>
          <w:rFonts w:hint="eastAsia"/>
          <w:rtl/>
        </w:rPr>
        <w:t>במדינות</w:t>
      </w:r>
      <w:r w:rsidRPr="00426035">
        <w:rPr>
          <w:rtl/>
        </w:rPr>
        <w:t xml:space="preserve"> </w:t>
      </w:r>
      <w:r w:rsidRPr="00426035">
        <w:rPr>
          <w:rFonts w:hint="eastAsia"/>
          <w:rtl/>
        </w:rPr>
        <w:t>אחרות</w:t>
      </w:r>
      <w:r w:rsidRPr="00426035">
        <w:rPr>
          <w:rtl/>
        </w:rPr>
        <w:t xml:space="preserve"> </w:t>
      </w:r>
      <w:r w:rsidRPr="00426035">
        <w:rPr>
          <w:rFonts w:hint="eastAsia"/>
          <w:rtl/>
        </w:rPr>
        <w:t>הדבר</w:t>
      </w:r>
      <w:r w:rsidRPr="00426035">
        <w:rPr>
          <w:rtl/>
        </w:rPr>
        <w:t xml:space="preserve"> </w:t>
      </w:r>
      <w:r w:rsidRPr="00426035">
        <w:rPr>
          <w:rFonts w:hint="eastAsia"/>
          <w:rtl/>
        </w:rPr>
        <w:t>לא</w:t>
      </w:r>
      <w:r w:rsidRPr="00426035">
        <w:rPr>
          <w:rtl/>
        </w:rPr>
        <w:t xml:space="preserve"> </w:t>
      </w:r>
      <w:r w:rsidRPr="00426035">
        <w:rPr>
          <w:rFonts w:hint="eastAsia"/>
          <w:rtl/>
        </w:rPr>
        <w:t>התאפשר</w:t>
      </w:r>
      <w:r w:rsidRPr="00426035">
        <w:rPr>
          <w:rtl/>
        </w:rPr>
        <w:t xml:space="preserve"> </w:t>
      </w:r>
      <w:r w:rsidRPr="00426035">
        <w:rPr>
          <w:rFonts w:hint="eastAsia"/>
          <w:rtl/>
        </w:rPr>
        <w:t>ולכן</w:t>
      </w:r>
      <w:r w:rsidRPr="00426035">
        <w:rPr>
          <w:rtl/>
        </w:rPr>
        <w:t xml:space="preserve"> </w:t>
      </w:r>
      <w:r w:rsidRPr="00426035">
        <w:rPr>
          <w:rFonts w:hint="eastAsia"/>
          <w:rtl/>
        </w:rPr>
        <w:t>הסתמכנו</w:t>
      </w:r>
      <w:r w:rsidRPr="00426035">
        <w:rPr>
          <w:rtl/>
        </w:rPr>
        <w:t xml:space="preserve"> </w:t>
      </w:r>
      <w:r w:rsidRPr="00426035">
        <w:rPr>
          <w:rFonts w:hint="eastAsia"/>
          <w:rtl/>
        </w:rPr>
        <w:t>על</w:t>
      </w:r>
      <w:r w:rsidRPr="00426035">
        <w:rPr>
          <w:rtl/>
        </w:rPr>
        <w:t xml:space="preserve"> </w:t>
      </w:r>
      <w:r w:rsidRPr="00426035">
        <w:rPr>
          <w:rFonts w:hint="eastAsia"/>
          <w:rtl/>
        </w:rPr>
        <w:t>מידע</w:t>
      </w:r>
      <w:r w:rsidRPr="00426035">
        <w:rPr>
          <w:rtl/>
        </w:rPr>
        <w:t xml:space="preserve"> </w:t>
      </w:r>
      <w:r w:rsidRPr="00426035">
        <w:rPr>
          <w:rFonts w:hint="eastAsia"/>
          <w:rtl/>
        </w:rPr>
        <w:t>מדוחות</w:t>
      </w:r>
      <w:r w:rsidRPr="00426035">
        <w:rPr>
          <w:rtl/>
        </w:rPr>
        <w:t xml:space="preserve"> </w:t>
      </w:r>
      <w:r w:rsidRPr="00426035">
        <w:rPr>
          <w:rFonts w:hint="eastAsia"/>
          <w:rtl/>
        </w:rPr>
        <w:t>של</w:t>
      </w:r>
      <w:r w:rsidRPr="00426035">
        <w:rPr>
          <w:rtl/>
        </w:rPr>
        <w:t xml:space="preserve"> </w:t>
      </w:r>
      <w:r w:rsidRPr="00426035">
        <w:rPr>
          <w:rFonts w:hint="eastAsia"/>
          <w:rtl/>
        </w:rPr>
        <w:t>ארגונים</w:t>
      </w:r>
      <w:r w:rsidRPr="00426035">
        <w:rPr>
          <w:rtl/>
        </w:rPr>
        <w:t xml:space="preserve"> </w:t>
      </w:r>
      <w:r w:rsidRPr="00426035">
        <w:rPr>
          <w:rFonts w:hint="eastAsia"/>
          <w:rtl/>
        </w:rPr>
        <w:t>בין</w:t>
      </w:r>
      <w:r w:rsidRPr="00426035">
        <w:rPr>
          <w:rtl/>
        </w:rPr>
        <w:t xml:space="preserve">-לאומיים </w:t>
      </w:r>
      <w:r w:rsidRPr="00426035">
        <w:rPr>
          <w:rFonts w:hint="eastAsia"/>
          <w:rtl/>
        </w:rPr>
        <w:t>או</w:t>
      </w:r>
      <w:r w:rsidRPr="00426035">
        <w:rPr>
          <w:rtl/>
        </w:rPr>
        <w:t xml:space="preserve"> </w:t>
      </w:r>
      <w:r w:rsidRPr="00426035">
        <w:rPr>
          <w:rFonts w:hint="eastAsia"/>
          <w:rtl/>
        </w:rPr>
        <w:t>על</w:t>
      </w:r>
      <w:r w:rsidRPr="00426035">
        <w:rPr>
          <w:rtl/>
        </w:rPr>
        <w:t xml:space="preserve"> </w:t>
      </w:r>
      <w:r w:rsidRPr="00426035">
        <w:rPr>
          <w:rFonts w:hint="eastAsia"/>
          <w:rtl/>
        </w:rPr>
        <w:t>כתיבה</w:t>
      </w:r>
      <w:r w:rsidRPr="00426035">
        <w:rPr>
          <w:rtl/>
        </w:rPr>
        <w:t xml:space="preserve"> </w:t>
      </w:r>
      <w:r w:rsidRPr="00426035">
        <w:rPr>
          <w:rFonts w:hint="eastAsia"/>
          <w:rtl/>
        </w:rPr>
        <w:t>מקצועית</w:t>
      </w:r>
      <w:r w:rsidRPr="00426035">
        <w:rPr>
          <w:rtl/>
        </w:rPr>
        <w:t xml:space="preserve"> </w:t>
      </w:r>
      <w:r w:rsidRPr="00426035">
        <w:rPr>
          <w:rFonts w:hint="eastAsia"/>
          <w:rtl/>
        </w:rPr>
        <w:t>אחרת</w:t>
      </w:r>
      <w:r w:rsidRPr="00426035">
        <w:rPr>
          <w:rtl/>
        </w:rPr>
        <w:t>.</w:t>
      </w:r>
      <w:r w:rsidR="00253E89" w:rsidRPr="00426035">
        <w:rPr>
          <w:rtl/>
        </w:rPr>
        <w:t xml:space="preserve"> </w:t>
      </w:r>
      <w:r w:rsidR="008D2BCD" w:rsidRPr="00426035">
        <w:rPr>
          <w:rFonts w:hint="eastAsia"/>
          <w:rtl/>
        </w:rPr>
        <w:t>לאור</w:t>
      </w:r>
      <w:r w:rsidR="008D2BCD" w:rsidRPr="00426035">
        <w:rPr>
          <w:rtl/>
        </w:rPr>
        <w:t xml:space="preserve"> זאת, כפי שצוין לעיל, </w:t>
      </w:r>
      <w:r w:rsidR="008D2BCD" w:rsidRPr="00426035">
        <w:rPr>
          <w:rFonts w:hint="eastAsia"/>
          <w:rtl/>
        </w:rPr>
        <w:t>ה</w:t>
      </w:r>
      <w:r w:rsidR="00426035">
        <w:rPr>
          <w:rFonts w:hint="cs"/>
          <w:rtl/>
        </w:rPr>
        <w:t>י</w:t>
      </w:r>
      <w:r w:rsidR="008D2BCD" w:rsidRPr="00426035">
        <w:rPr>
          <w:rFonts w:hint="eastAsia"/>
          <w:rtl/>
        </w:rPr>
        <w:t>קף</w:t>
      </w:r>
      <w:r w:rsidR="008D2BCD" w:rsidRPr="00426035">
        <w:rPr>
          <w:rtl/>
        </w:rPr>
        <w:t xml:space="preserve"> </w:t>
      </w:r>
      <w:r w:rsidR="008D2BCD" w:rsidRPr="00426035">
        <w:rPr>
          <w:rFonts w:hint="eastAsia"/>
          <w:rtl/>
        </w:rPr>
        <w:t>המידע</w:t>
      </w:r>
      <w:r w:rsidR="008D2BCD" w:rsidRPr="00426035">
        <w:rPr>
          <w:rtl/>
        </w:rPr>
        <w:t xml:space="preserve"> </w:t>
      </w:r>
      <w:r w:rsidR="008D2BCD" w:rsidRPr="00426035">
        <w:rPr>
          <w:rFonts w:hint="eastAsia"/>
          <w:rtl/>
        </w:rPr>
        <w:t>המובא</w:t>
      </w:r>
      <w:r w:rsidR="008D2BCD" w:rsidRPr="00426035">
        <w:rPr>
          <w:rtl/>
        </w:rPr>
        <w:t xml:space="preserve"> </w:t>
      </w:r>
      <w:r w:rsidR="008D2BCD" w:rsidRPr="00426035">
        <w:rPr>
          <w:rFonts w:hint="eastAsia"/>
          <w:rtl/>
        </w:rPr>
        <w:t>בכל</w:t>
      </w:r>
      <w:r w:rsidR="008D2BCD" w:rsidRPr="00426035">
        <w:rPr>
          <w:rtl/>
        </w:rPr>
        <w:t xml:space="preserve"> </w:t>
      </w:r>
      <w:r w:rsidR="008D2BCD" w:rsidRPr="00426035">
        <w:rPr>
          <w:rFonts w:hint="eastAsia"/>
          <w:rtl/>
        </w:rPr>
        <w:t>אחת</w:t>
      </w:r>
      <w:r w:rsidR="008D2BCD" w:rsidRPr="00426035">
        <w:rPr>
          <w:rtl/>
        </w:rPr>
        <w:t xml:space="preserve"> </w:t>
      </w:r>
      <w:r w:rsidR="008D2BCD" w:rsidRPr="00426035">
        <w:rPr>
          <w:rFonts w:hint="eastAsia"/>
          <w:rtl/>
        </w:rPr>
        <w:t>מהמדינות</w:t>
      </w:r>
      <w:r w:rsidR="008D2BCD" w:rsidRPr="00426035">
        <w:rPr>
          <w:rtl/>
        </w:rPr>
        <w:t xml:space="preserve"> </w:t>
      </w:r>
      <w:r w:rsidR="008D2BCD" w:rsidRPr="00426035">
        <w:rPr>
          <w:rFonts w:hint="eastAsia"/>
          <w:rtl/>
        </w:rPr>
        <w:t>הוא</w:t>
      </w:r>
      <w:r w:rsidR="008D2BCD" w:rsidRPr="00426035">
        <w:rPr>
          <w:rtl/>
        </w:rPr>
        <w:t xml:space="preserve"> </w:t>
      </w:r>
      <w:r w:rsidR="008D2BCD" w:rsidRPr="00426035">
        <w:rPr>
          <w:rFonts w:hint="eastAsia"/>
          <w:rtl/>
        </w:rPr>
        <w:t>שונה</w:t>
      </w:r>
      <w:r w:rsidR="008D2BCD" w:rsidRPr="00426035">
        <w:rPr>
          <w:rtl/>
        </w:rPr>
        <w:t>.</w:t>
      </w:r>
    </w:p>
    <w:p w:rsidR="00253E89" w:rsidRDefault="00253E89" w:rsidP="00426035">
      <w:pPr>
        <w:pStyle w:val="a4"/>
        <w:rPr>
          <w:rtl/>
        </w:rPr>
      </w:pPr>
      <w:r w:rsidRPr="009E462D">
        <w:rPr>
          <w:rFonts w:hint="cs"/>
          <w:rtl/>
        </w:rPr>
        <w:t xml:space="preserve">מעבר לכך, </w:t>
      </w:r>
      <w:r w:rsidR="0092666C">
        <w:rPr>
          <w:rFonts w:hint="cs"/>
          <w:rtl/>
        </w:rPr>
        <w:t xml:space="preserve">כפי שצוין לעיל, </w:t>
      </w:r>
      <w:r w:rsidRPr="009E462D">
        <w:rPr>
          <w:rFonts w:hint="cs"/>
          <w:rtl/>
        </w:rPr>
        <w:t>ראוי להת</w:t>
      </w:r>
      <w:r w:rsidRPr="00C730AE">
        <w:rPr>
          <w:rFonts w:hint="cs"/>
          <w:rtl/>
        </w:rPr>
        <w:t xml:space="preserve">חשב בכך שעשויים להיות הבדלים משמעותיים </w:t>
      </w:r>
      <w:r w:rsidR="00C730AE">
        <w:rPr>
          <w:rFonts w:hint="cs"/>
          <w:rtl/>
        </w:rPr>
        <w:t xml:space="preserve">בין המדינות </w:t>
      </w:r>
      <w:r w:rsidRPr="00C730AE">
        <w:rPr>
          <w:rFonts w:hint="cs"/>
          <w:rtl/>
        </w:rPr>
        <w:t>ב</w:t>
      </w:r>
      <w:r w:rsidR="00CC0770">
        <w:rPr>
          <w:rFonts w:hint="cs"/>
          <w:rtl/>
        </w:rPr>
        <w:t>גי</w:t>
      </w:r>
      <w:r w:rsidRPr="00C730AE">
        <w:rPr>
          <w:rFonts w:hint="cs"/>
          <w:rtl/>
        </w:rPr>
        <w:t>שות</w:t>
      </w:r>
      <w:r w:rsidR="00C730AE">
        <w:rPr>
          <w:rFonts w:hint="cs"/>
          <w:rtl/>
        </w:rPr>
        <w:t>יהן</w:t>
      </w:r>
      <w:r w:rsidRPr="00C730AE">
        <w:rPr>
          <w:rFonts w:hint="cs"/>
          <w:rtl/>
        </w:rPr>
        <w:t xml:space="preserve"> לניגודי עניינים. </w:t>
      </w:r>
      <w:r w:rsidRPr="00C730AE">
        <w:rPr>
          <w:rFonts w:hint="eastAsia"/>
          <w:rtl/>
        </w:rPr>
        <w:t>כך</w:t>
      </w:r>
      <w:r w:rsidRPr="00C730AE">
        <w:rPr>
          <w:rtl/>
        </w:rPr>
        <w:t xml:space="preserve">, </w:t>
      </w:r>
      <w:r w:rsidR="00C730AE" w:rsidRPr="00C730AE">
        <w:rPr>
          <w:rFonts w:hint="cs"/>
          <w:rtl/>
        </w:rPr>
        <w:t xml:space="preserve">ההסדרה יכולה להיעשות בדגש על </w:t>
      </w:r>
      <w:r w:rsidRPr="00C730AE">
        <w:rPr>
          <w:rtl/>
        </w:rPr>
        <w:t>הסדר</w:t>
      </w:r>
      <w:r w:rsidR="00C730AE" w:rsidRPr="00C730AE">
        <w:rPr>
          <w:rFonts w:hint="cs"/>
          <w:rtl/>
        </w:rPr>
        <w:t>ים</w:t>
      </w:r>
      <w:r w:rsidRPr="00C730AE">
        <w:rPr>
          <w:rtl/>
        </w:rPr>
        <w:t xml:space="preserve"> פלילי</w:t>
      </w:r>
      <w:r w:rsidR="00C730AE" w:rsidRPr="00C730AE">
        <w:rPr>
          <w:rFonts w:hint="cs"/>
          <w:rtl/>
        </w:rPr>
        <w:t>ים</w:t>
      </w:r>
      <w:r w:rsidRPr="00C730AE">
        <w:rPr>
          <w:rtl/>
        </w:rPr>
        <w:t>, דינים משמעתיים</w:t>
      </w:r>
      <w:r w:rsidR="00C730AE" w:rsidRPr="00C730AE">
        <w:rPr>
          <w:rFonts w:hint="cs"/>
          <w:rtl/>
        </w:rPr>
        <w:t xml:space="preserve">, </w:t>
      </w:r>
      <w:r w:rsidRPr="00C730AE">
        <w:rPr>
          <w:rtl/>
        </w:rPr>
        <w:t>כללי אתיקה</w:t>
      </w:r>
      <w:r w:rsidR="00C730AE">
        <w:rPr>
          <w:rFonts w:hint="cs"/>
          <w:rtl/>
        </w:rPr>
        <w:t>,</w:t>
      </w:r>
      <w:r w:rsidRPr="00C730AE">
        <w:rPr>
          <w:rtl/>
        </w:rPr>
        <w:t xml:space="preserve"> או </w:t>
      </w:r>
      <w:r w:rsidR="0092666C" w:rsidRPr="00C730AE">
        <w:rPr>
          <w:rFonts w:hint="eastAsia"/>
          <w:rtl/>
        </w:rPr>
        <w:t>בכל</w:t>
      </w:r>
      <w:r w:rsidR="0092666C" w:rsidRPr="00C730AE">
        <w:rPr>
          <w:rtl/>
        </w:rPr>
        <w:t xml:space="preserve"> </w:t>
      </w:r>
      <w:r w:rsidRPr="00C730AE">
        <w:rPr>
          <w:rFonts w:hint="eastAsia"/>
          <w:rtl/>
        </w:rPr>
        <w:t>שילוב</w:t>
      </w:r>
      <w:r w:rsidRPr="00C730AE">
        <w:rPr>
          <w:rtl/>
        </w:rPr>
        <w:t xml:space="preserve"> </w:t>
      </w:r>
      <w:r w:rsidRPr="00C730AE">
        <w:rPr>
          <w:rFonts w:hint="eastAsia"/>
          <w:rtl/>
        </w:rPr>
        <w:t>של</w:t>
      </w:r>
      <w:r w:rsidRPr="00C730AE">
        <w:rPr>
          <w:rtl/>
        </w:rPr>
        <w:t xml:space="preserve"> </w:t>
      </w:r>
      <w:r w:rsidRPr="00C730AE">
        <w:rPr>
          <w:rFonts w:hint="eastAsia"/>
          <w:rtl/>
        </w:rPr>
        <w:t>ההסדרים</w:t>
      </w:r>
      <w:r w:rsidRPr="00C730AE">
        <w:rPr>
          <w:rtl/>
        </w:rPr>
        <w:t xml:space="preserve"> </w:t>
      </w:r>
      <w:r w:rsidR="00C730AE" w:rsidRPr="00C730AE">
        <w:rPr>
          <w:rFonts w:hint="cs"/>
          <w:rtl/>
        </w:rPr>
        <w:t>ודינים כאמ</w:t>
      </w:r>
      <w:r w:rsidR="00C730AE">
        <w:rPr>
          <w:rFonts w:hint="cs"/>
          <w:rtl/>
        </w:rPr>
        <w:t>ור</w:t>
      </w:r>
      <w:r w:rsidRPr="009E462D">
        <w:rPr>
          <w:rFonts w:hint="cs"/>
          <w:rtl/>
        </w:rPr>
        <w:t xml:space="preserve">. בהקשר זה יוער, כי לאמצעים השונים יכולה גם להיות השפעה ומידת אפקטיביות שונה בהתאם להבדלים בתרבות הלאומית-פוליטית של המדינה הנסקרת ובהתאם גם לשיטת המשפט הנהוגה, </w:t>
      </w:r>
      <w:r w:rsidR="00E306B5">
        <w:rPr>
          <w:rFonts w:hint="cs"/>
          <w:rtl/>
        </w:rPr>
        <w:t xml:space="preserve">וכאמור, </w:t>
      </w:r>
      <w:r w:rsidRPr="009E462D">
        <w:rPr>
          <w:rFonts w:hint="cs"/>
          <w:rtl/>
        </w:rPr>
        <w:t>הבדלים אלה לא תמיד באים לידי ביטוי בהסדרים עצמם (ומטבע הדברים גם לא בסקירה המשווה).</w:t>
      </w:r>
    </w:p>
    <w:p w:rsidR="00253E89" w:rsidRDefault="00253E89" w:rsidP="00253E89">
      <w:pPr>
        <w:pStyle w:val="a4"/>
        <w:rPr>
          <w:rtl/>
        </w:rPr>
      </w:pPr>
    </w:p>
    <w:p w:rsidR="00731DAB" w:rsidRDefault="00731DAB" w:rsidP="00426035">
      <w:pPr>
        <w:pStyle w:val="1"/>
        <w:keepNext/>
        <w:keepLines/>
        <w:ind w:left="357" w:right="11" w:hanging="357"/>
      </w:pPr>
      <w:r>
        <w:rPr>
          <w:rFonts w:hint="cs"/>
          <w:rtl/>
        </w:rPr>
        <w:t>בריטניה</w:t>
      </w:r>
    </w:p>
    <w:p w:rsidR="00731DAB" w:rsidRDefault="00731DAB" w:rsidP="00426035">
      <w:pPr>
        <w:pStyle w:val="a4"/>
        <w:rPr>
          <w:rtl/>
        </w:rPr>
      </w:pPr>
      <w:r w:rsidRPr="00131FAE">
        <w:rPr>
          <w:rFonts w:hint="cs"/>
          <w:rtl/>
        </w:rPr>
        <w:t xml:space="preserve">כפי שיוצג להלן, </w:t>
      </w:r>
      <w:r>
        <w:rPr>
          <w:rFonts w:hint="cs"/>
          <w:rtl/>
        </w:rPr>
        <w:t xml:space="preserve">המדיניות </w:t>
      </w:r>
      <w:r w:rsidRPr="00131FAE">
        <w:rPr>
          <w:rFonts w:hint="cs"/>
          <w:rtl/>
        </w:rPr>
        <w:t>הבריטית</w:t>
      </w:r>
      <w:r w:rsidRPr="00131FAE">
        <w:rPr>
          <w:rtl/>
        </w:rPr>
        <w:t xml:space="preserve"> לניהול ניגודי עניינים מבוססת על קביעת סטנדרטים אתיים</w:t>
      </w:r>
      <w:r>
        <w:rPr>
          <w:rFonts w:hint="cs"/>
          <w:rtl/>
        </w:rPr>
        <w:t xml:space="preserve">. </w:t>
      </w:r>
      <w:r w:rsidRPr="00131FAE">
        <w:rPr>
          <w:rFonts w:hint="cs"/>
          <w:rtl/>
        </w:rPr>
        <w:t>במסגרת</w:t>
      </w:r>
      <w:r>
        <w:rPr>
          <w:rFonts w:hint="cs"/>
          <w:rtl/>
        </w:rPr>
        <w:t xml:space="preserve"> </w:t>
      </w:r>
      <w:r w:rsidRPr="00131FAE">
        <w:rPr>
          <w:rFonts w:hint="cs"/>
          <w:rtl/>
        </w:rPr>
        <w:t>ה</w:t>
      </w:r>
      <w:r>
        <w:rPr>
          <w:rFonts w:hint="cs"/>
          <w:rtl/>
        </w:rPr>
        <w:t>מדיניות האמורה, בדרך-כלל,</w:t>
      </w:r>
      <w:r w:rsidRPr="00131FAE">
        <w:rPr>
          <w:rFonts w:hint="cs"/>
          <w:rtl/>
        </w:rPr>
        <w:t xml:space="preserve"> הוראות </w:t>
      </w:r>
      <w:r>
        <w:rPr>
          <w:rFonts w:hint="cs"/>
          <w:rtl/>
        </w:rPr>
        <w:t>ההסדרה</w:t>
      </w:r>
      <w:r w:rsidRPr="00131FAE">
        <w:rPr>
          <w:rFonts w:hint="cs"/>
          <w:rtl/>
        </w:rPr>
        <w:t xml:space="preserve"> </w:t>
      </w:r>
      <w:r w:rsidR="009A3E2A">
        <w:rPr>
          <w:rFonts w:hint="cs"/>
          <w:rtl/>
        </w:rPr>
        <w:t xml:space="preserve">אינן </w:t>
      </w:r>
      <w:r w:rsidRPr="00131FAE">
        <w:rPr>
          <w:rFonts w:hint="cs"/>
          <w:rtl/>
        </w:rPr>
        <w:t xml:space="preserve">מעוגנות </w:t>
      </w:r>
      <w:r w:rsidR="009A3E2A">
        <w:rPr>
          <w:rFonts w:hint="cs"/>
          <w:rtl/>
        </w:rPr>
        <w:t>ב</w:t>
      </w:r>
      <w:r w:rsidRPr="00131FAE">
        <w:rPr>
          <w:rFonts w:hint="cs"/>
          <w:rtl/>
        </w:rPr>
        <w:t>חקיקה ראשית, אלא</w:t>
      </w:r>
      <w:r w:rsidR="009A3E2A">
        <w:rPr>
          <w:rFonts w:hint="cs"/>
          <w:rtl/>
        </w:rPr>
        <w:t xml:space="preserve"> ב</w:t>
      </w:r>
      <w:r w:rsidRPr="00131FAE">
        <w:rPr>
          <w:rFonts w:hint="cs"/>
          <w:rtl/>
        </w:rPr>
        <w:t>קודי התנהגות.</w:t>
      </w:r>
      <w:r w:rsidRPr="00131FAE">
        <w:rPr>
          <w:rStyle w:val="ac"/>
          <w:rtl/>
        </w:rPr>
        <w:footnoteReference w:id="10"/>
      </w:r>
      <w:r w:rsidRPr="00131FAE">
        <w:rPr>
          <w:rFonts w:hint="cs"/>
          <w:rtl/>
        </w:rPr>
        <w:t xml:space="preserve"> </w:t>
      </w:r>
      <w:r>
        <w:rPr>
          <w:rFonts w:hint="cs"/>
          <w:rtl/>
        </w:rPr>
        <w:t xml:space="preserve">כך, </w:t>
      </w:r>
      <w:r w:rsidRPr="00131FAE">
        <w:rPr>
          <w:rFonts w:hint="cs"/>
          <w:rtl/>
        </w:rPr>
        <w:t xml:space="preserve">קודי ההתנהגות </w:t>
      </w:r>
      <w:r>
        <w:rPr>
          <w:rFonts w:hint="cs"/>
          <w:rtl/>
        </w:rPr>
        <w:t xml:space="preserve">השונים </w:t>
      </w:r>
      <w:r w:rsidRPr="00131FAE">
        <w:rPr>
          <w:rFonts w:hint="cs"/>
          <w:rtl/>
        </w:rPr>
        <w:t>קובעים הסדר</w:t>
      </w:r>
      <w:r>
        <w:rPr>
          <w:rFonts w:hint="cs"/>
          <w:rtl/>
        </w:rPr>
        <w:t>ים</w:t>
      </w:r>
      <w:r w:rsidRPr="00131FAE">
        <w:rPr>
          <w:rFonts w:hint="cs"/>
          <w:rtl/>
        </w:rPr>
        <w:t xml:space="preserve"> פרטני</w:t>
      </w:r>
      <w:r>
        <w:rPr>
          <w:rFonts w:hint="cs"/>
          <w:rtl/>
        </w:rPr>
        <w:t>ים</w:t>
      </w:r>
      <w:r w:rsidRPr="00131FAE">
        <w:rPr>
          <w:rFonts w:hint="cs"/>
          <w:rtl/>
        </w:rPr>
        <w:t xml:space="preserve"> לקבוצות שונות של נושאי משרה</w:t>
      </w:r>
      <w:r>
        <w:rPr>
          <w:rFonts w:hint="cs"/>
          <w:rtl/>
        </w:rPr>
        <w:t xml:space="preserve"> בהתאם לתפקידים</w:t>
      </w:r>
      <w:r w:rsidRPr="00131FAE">
        <w:rPr>
          <w:rFonts w:hint="cs"/>
          <w:rtl/>
        </w:rPr>
        <w:t xml:space="preserve"> </w:t>
      </w:r>
      <w:r>
        <w:rPr>
          <w:rFonts w:hint="cs"/>
          <w:rtl/>
        </w:rPr>
        <w:t xml:space="preserve">שהם ממלאים </w:t>
      </w:r>
      <w:r w:rsidRPr="00131FAE">
        <w:rPr>
          <w:rFonts w:hint="cs"/>
          <w:rtl/>
        </w:rPr>
        <w:t>(</w:t>
      </w:r>
      <w:r>
        <w:rPr>
          <w:rFonts w:hint="cs"/>
          <w:rtl/>
        </w:rPr>
        <w:t>קוד לשירות הציבורי כולו</w:t>
      </w:r>
      <w:r w:rsidRPr="00131FAE">
        <w:rPr>
          <w:rFonts w:hint="cs"/>
          <w:rtl/>
        </w:rPr>
        <w:t xml:space="preserve">, קוד </w:t>
      </w:r>
      <w:r>
        <w:rPr>
          <w:rFonts w:hint="cs"/>
          <w:rtl/>
        </w:rPr>
        <w:t xml:space="preserve">התנהגות </w:t>
      </w:r>
      <w:r w:rsidRPr="00131FAE">
        <w:rPr>
          <w:rFonts w:hint="cs"/>
          <w:rtl/>
        </w:rPr>
        <w:t xml:space="preserve">לשרים, קוד </w:t>
      </w:r>
      <w:r>
        <w:rPr>
          <w:rFonts w:hint="cs"/>
          <w:rtl/>
        </w:rPr>
        <w:t xml:space="preserve">התנהגות </w:t>
      </w:r>
      <w:r w:rsidRPr="00131FAE">
        <w:rPr>
          <w:rFonts w:hint="cs"/>
          <w:rtl/>
        </w:rPr>
        <w:t>ל</w:t>
      </w:r>
      <w:r>
        <w:rPr>
          <w:rFonts w:hint="cs"/>
          <w:rtl/>
        </w:rPr>
        <w:t>"</w:t>
      </w:r>
      <w:r w:rsidRPr="00131FAE">
        <w:rPr>
          <w:rFonts w:hint="cs"/>
          <w:rtl/>
        </w:rPr>
        <w:t>יועצים מיוחדים</w:t>
      </w:r>
      <w:r>
        <w:rPr>
          <w:rFonts w:hint="cs"/>
          <w:rtl/>
        </w:rPr>
        <w:t>"</w:t>
      </w:r>
      <w:r w:rsidRPr="00131FAE">
        <w:rPr>
          <w:rStyle w:val="ac"/>
          <w:rtl/>
        </w:rPr>
        <w:footnoteReference w:id="11"/>
      </w:r>
      <w:r w:rsidRPr="00131FAE">
        <w:rPr>
          <w:rFonts w:hint="cs"/>
          <w:rtl/>
        </w:rPr>
        <w:t xml:space="preserve"> ו</w:t>
      </w:r>
      <w:r>
        <w:rPr>
          <w:rFonts w:hint="cs"/>
          <w:rtl/>
        </w:rPr>
        <w:t>כדומה</w:t>
      </w:r>
      <w:r w:rsidRPr="00131FAE">
        <w:rPr>
          <w:rFonts w:hint="cs"/>
          <w:rtl/>
        </w:rPr>
        <w:t xml:space="preserve">). </w:t>
      </w:r>
    </w:p>
    <w:p w:rsidR="00731DAB" w:rsidRDefault="00731DAB" w:rsidP="00426035">
      <w:pPr>
        <w:pStyle w:val="a4"/>
        <w:rPr>
          <w:rtl/>
        </w:rPr>
      </w:pPr>
      <w:r>
        <w:rPr>
          <w:rFonts w:hint="cs"/>
          <w:rtl/>
        </w:rPr>
        <w:t xml:space="preserve">בדרך-כלל, הוראות ההסדרה קובעות איסור כללי על הימצאות בניגוד עניינים, מחייבות </w:t>
      </w:r>
      <w:r w:rsidR="009A3E2A">
        <w:rPr>
          <w:rFonts w:hint="cs"/>
          <w:rtl/>
        </w:rPr>
        <w:t>ב</w:t>
      </w:r>
      <w:r>
        <w:rPr>
          <w:rFonts w:hint="cs"/>
          <w:rtl/>
        </w:rPr>
        <w:t>דיווח בדבר אינטרסים מסוגים שונים</w:t>
      </w:r>
      <w:r w:rsidR="009A3E2A">
        <w:rPr>
          <w:rFonts w:hint="cs"/>
          <w:rtl/>
        </w:rPr>
        <w:t>,</w:t>
      </w:r>
      <w:r>
        <w:rPr>
          <w:rFonts w:hint="cs"/>
          <w:rtl/>
        </w:rPr>
        <w:t xml:space="preserve"> ובמקרה של שרים וחברי פרלמנט נקבעה גם פרוצדורה </w:t>
      </w:r>
      <w:r w:rsidR="009A3E2A">
        <w:rPr>
          <w:rFonts w:hint="cs"/>
          <w:rtl/>
        </w:rPr>
        <w:t xml:space="preserve">מיוחדת  בקשר </w:t>
      </w:r>
      <w:r>
        <w:rPr>
          <w:rFonts w:hint="cs"/>
          <w:rtl/>
        </w:rPr>
        <w:t>לנושאי הדיווח וקבלת ההחלטות בד</w:t>
      </w:r>
      <w:r w:rsidR="000A6E24">
        <w:rPr>
          <w:rFonts w:hint="cs"/>
          <w:rtl/>
        </w:rPr>
        <w:t>ב</w:t>
      </w:r>
      <w:r>
        <w:rPr>
          <w:rFonts w:hint="cs"/>
          <w:rtl/>
        </w:rPr>
        <w:t>ר ניהול ניגוד העניינים.</w:t>
      </w:r>
      <w:r w:rsidRPr="00131FAE">
        <w:rPr>
          <w:rFonts w:hint="cs"/>
          <w:rtl/>
        </w:rPr>
        <w:t xml:space="preserve"> </w:t>
      </w:r>
    </w:p>
    <w:p w:rsidR="00731DAB" w:rsidRDefault="00731DAB" w:rsidP="00731DAB">
      <w:pPr>
        <w:pStyle w:val="a4"/>
        <w:rPr>
          <w:rtl/>
        </w:rPr>
      </w:pPr>
      <w:r w:rsidRPr="00131FAE">
        <w:rPr>
          <w:rFonts w:hint="cs"/>
          <w:rtl/>
        </w:rPr>
        <w:t xml:space="preserve">מעבר לכך, בבריטניה נמצאו </w:t>
      </w:r>
      <w:r w:rsidRPr="0043590B">
        <w:rPr>
          <w:rFonts w:hint="cs"/>
          <w:b/>
          <w:bCs/>
          <w:rtl/>
        </w:rPr>
        <w:t>הוראות שעוסקות במינויים אישיים מטעם שרים</w:t>
      </w:r>
      <w:r>
        <w:rPr>
          <w:rFonts w:hint="cs"/>
          <w:rtl/>
        </w:rPr>
        <w:t xml:space="preserve"> </w:t>
      </w:r>
      <w:r w:rsidRPr="00131FAE">
        <w:rPr>
          <w:rFonts w:hint="cs"/>
          <w:rtl/>
        </w:rPr>
        <w:t>(</w:t>
      </w:r>
      <w:r>
        <w:rPr>
          <w:rFonts w:hint="cs"/>
          <w:rtl/>
        </w:rPr>
        <w:t xml:space="preserve">מינויים בדבר </w:t>
      </w:r>
      <w:r w:rsidRPr="00131FAE">
        <w:rPr>
          <w:rFonts w:hint="cs"/>
          <w:rtl/>
        </w:rPr>
        <w:t xml:space="preserve">"יועצים מיוחדים"). הוראות אלה מאפשרות לשרים </w:t>
      </w:r>
      <w:r>
        <w:rPr>
          <w:rFonts w:hint="cs"/>
          <w:rtl/>
        </w:rPr>
        <w:t>להוסיף יועצים רשמיים מטעמם שיהיו חלק מצוות המשרד. יחד עם זאת,</w:t>
      </w:r>
      <w:r w:rsidRPr="00131FAE">
        <w:rPr>
          <w:rFonts w:hint="cs"/>
          <w:rtl/>
        </w:rPr>
        <w:t xml:space="preserve"> </w:t>
      </w:r>
      <w:r>
        <w:rPr>
          <w:rFonts w:hint="cs"/>
          <w:rtl/>
        </w:rPr>
        <w:t xml:space="preserve">ההוראות האמורות </w:t>
      </w:r>
      <w:r w:rsidRPr="00131FAE">
        <w:rPr>
          <w:rFonts w:hint="cs"/>
          <w:rtl/>
        </w:rPr>
        <w:t xml:space="preserve">מאפשרות </w:t>
      </w:r>
      <w:r>
        <w:rPr>
          <w:rFonts w:hint="cs"/>
          <w:rtl/>
        </w:rPr>
        <w:t xml:space="preserve">גם </w:t>
      </w:r>
      <w:r w:rsidRPr="00131FAE">
        <w:rPr>
          <w:rFonts w:hint="cs"/>
          <w:rtl/>
        </w:rPr>
        <w:t xml:space="preserve">מעורבות </w:t>
      </w:r>
      <w:r w:rsidR="001E69E1">
        <w:rPr>
          <w:rFonts w:hint="cs"/>
          <w:rtl/>
        </w:rPr>
        <w:t>ש</w:t>
      </w:r>
      <w:r w:rsidRPr="00131FAE">
        <w:rPr>
          <w:rFonts w:hint="cs"/>
          <w:rtl/>
        </w:rPr>
        <w:t>ל</w:t>
      </w:r>
      <w:r w:rsidR="001E69E1">
        <w:rPr>
          <w:rFonts w:hint="cs"/>
          <w:rtl/>
        </w:rPr>
        <w:t xml:space="preserve"> ה</w:t>
      </w:r>
      <w:r w:rsidRPr="00131FAE">
        <w:rPr>
          <w:rFonts w:hint="cs"/>
          <w:rtl/>
        </w:rPr>
        <w:t>גוף שאחראי על עובדי מדינה בבריטניה (</w:t>
      </w:r>
      <w:r>
        <w:rPr>
          <w:rFonts w:hint="cs"/>
          <w:rtl/>
        </w:rPr>
        <w:t>"</w:t>
      </w:r>
      <w:r w:rsidRPr="00131FAE">
        <w:rPr>
          <w:rFonts w:hint="cs"/>
          <w:rtl/>
        </w:rPr>
        <w:t>הנציבות</w:t>
      </w:r>
      <w:r>
        <w:rPr>
          <w:rFonts w:hint="cs"/>
          <w:rtl/>
        </w:rPr>
        <w:t>"</w:t>
      </w:r>
      <w:r w:rsidRPr="00131FAE">
        <w:rPr>
          <w:rFonts w:hint="cs"/>
          <w:rtl/>
        </w:rPr>
        <w:t>)</w:t>
      </w:r>
      <w:r>
        <w:rPr>
          <w:rFonts w:hint="cs"/>
          <w:rtl/>
        </w:rPr>
        <w:t>,</w:t>
      </w:r>
      <w:r w:rsidRPr="00131FAE">
        <w:rPr>
          <w:rFonts w:hint="cs"/>
          <w:rtl/>
        </w:rPr>
        <w:t xml:space="preserve"> ו</w:t>
      </w:r>
      <w:r>
        <w:rPr>
          <w:rFonts w:hint="cs"/>
          <w:rtl/>
        </w:rPr>
        <w:t xml:space="preserve">אף </w:t>
      </w:r>
      <w:r w:rsidRPr="00131FAE">
        <w:rPr>
          <w:rFonts w:hint="cs"/>
          <w:rtl/>
        </w:rPr>
        <w:t xml:space="preserve">מחייבות שמינויים אלה ייעשו על </w:t>
      </w:r>
      <w:r>
        <w:rPr>
          <w:rFonts w:hint="cs"/>
          <w:rtl/>
        </w:rPr>
        <w:t>בסיס העקרונות הכלליים לגיוס עובדי ציבור בבריטניה, בכפוף לשינויים שנדרשים בשל היותם מינויים פוליטיים</w:t>
      </w:r>
      <w:r w:rsidRPr="00131FAE">
        <w:rPr>
          <w:rFonts w:hint="cs"/>
          <w:rtl/>
        </w:rPr>
        <w:t>.</w:t>
      </w:r>
      <w:r>
        <w:rPr>
          <w:rFonts w:hint="cs"/>
          <w:rtl/>
        </w:rPr>
        <w:t xml:space="preserve"> </w:t>
      </w:r>
    </w:p>
    <w:p w:rsidR="00731DAB" w:rsidRPr="00CE352E" w:rsidRDefault="00731DAB" w:rsidP="00731DAB">
      <w:pPr>
        <w:pStyle w:val="11"/>
        <w:keepNext/>
        <w:keepLines/>
        <w:numPr>
          <w:ilvl w:val="1"/>
          <w:numId w:val="1"/>
        </w:numPr>
        <w:spacing w:before="120"/>
        <w:rPr>
          <w:sz w:val="26"/>
        </w:rPr>
      </w:pPr>
      <w:r w:rsidRPr="00CE352E">
        <w:rPr>
          <w:rFonts w:hint="cs"/>
          <w:sz w:val="26"/>
          <w:rtl/>
        </w:rPr>
        <w:t>חוק הרפורמה החוקתית והממשל</w:t>
      </w:r>
    </w:p>
    <w:p w:rsidR="00731DAB" w:rsidRDefault="00731DAB" w:rsidP="00731DAB">
      <w:pPr>
        <w:pStyle w:val="a4"/>
        <w:rPr>
          <w:rtl/>
        </w:rPr>
      </w:pPr>
      <w:r>
        <w:rPr>
          <w:rFonts w:hint="cs"/>
          <w:rtl/>
        </w:rPr>
        <w:t>ככלל, הבסיס החקיקתי לניהול השירות הציבורי בבריטניה נקבע במסגרת חוק הרפורמה החוקתית והממשל משנת 2010</w:t>
      </w:r>
      <w:r>
        <w:rPr>
          <w:rStyle w:val="ac"/>
          <w:rtl/>
        </w:rPr>
        <w:footnoteReference w:id="12"/>
      </w:r>
      <w:r>
        <w:rPr>
          <w:rFonts w:hint="cs"/>
          <w:rtl/>
        </w:rPr>
        <w:t xml:space="preserve"> (להלן: החוק). החוק קובע בסיס סטטוטורי לניהול השירות הציבורי בבריטניה,</w:t>
      </w:r>
      <w:r>
        <w:rPr>
          <w:rStyle w:val="ac"/>
          <w:rtl/>
        </w:rPr>
        <w:footnoteReference w:id="13"/>
      </w:r>
      <w:r>
        <w:rPr>
          <w:rFonts w:hint="cs"/>
          <w:rtl/>
        </w:rPr>
        <w:t xml:space="preserve"> וחלקו הראשון עוסק בשירות הציבורי (</w:t>
      </w:r>
      <w:r>
        <w:t>civil service</w:t>
      </w:r>
      <w:r>
        <w:rPr>
          <w:rFonts w:hint="cs"/>
          <w:rtl/>
        </w:rPr>
        <w:t xml:space="preserve">) וקובע, בין היתר, הוראות שמסמיכות את השר הרלוונטי לקבוע קוד אתי (ראו להלן). </w:t>
      </w:r>
    </w:p>
    <w:p w:rsidR="00731DAB" w:rsidRDefault="00731DAB" w:rsidP="00CA4E53">
      <w:pPr>
        <w:pStyle w:val="a4"/>
        <w:numPr>
          <w:ilvl w:val="0"/>
          <w:numId w:val="17"/>
        </w:numPr>
        <w:ind w:left="357" w:hanging="357"/>
      </w:pPr>
      <w:r w:rsidRPr="00DB3684">
        <w:rPr>
          <w:rFonts w:hint="cs"/>
          <w:b/>
          <w:bCs/>
          <w:u w:val="single"/>
          <w:rtl/>
        </w:rPr>
        <w:t>תחולה</w:t>
      </w:r>
      <w:r>
        <w:rPr>
          <w:rFonts w:hint="cs"/>
          <w:rtl/>
        </w:rPr>
        <w:t xml:space="preserve">: בחוק נקבע כי תחולתו היא על </w:t>
      </w:r>
      <w:r w:rsidRPr="00DB3684">
        <w:rPr>
          <w:rFonts w:hint="cs"/>
          <w:b/>
          <w:bCs/>
          <w:rtl/>
        </w:rPr>
        <w:t>כל השירות הציבורי</w:t>
      </w:r>
      <w:r>
        <w:rPr>
          <w:rFonts w:hint="cs"/>
          <w:rtl/>
        </w:rPr>
        <w:t xml:space="preserve"> (</w:t>
      </w:r>
      <w:r>
        <w:t>the civil service of the state</w:t>
      </w:r>
      <w:r>
        <w:rPr>
          <w:rFonts w:hint="cs"/>
          <w:rtl/>
        </w:rPr>
        <w:t>),</w:t>
      </w:r>
      <w:r>
        <w:rPr>
          <w:rStyle w:val="ac"/>
          <w:rtl/>
        </w:rPr>
        <w:footnoteReference w:id="14"/>
      </w:r>
      <w:r>
        <w:rPr>
          <w:rFonts w:hint="cs"/>
          <w:rtl/>
        </w:rPr>
        <w:t xml:space="preserve"> למעט כוחות הביטחון, השירותים החשאיים, השירות הציבורי של צפון אירלנד וכדומה.</w:t>
      </w:r>
      <w:r>
        <w:rPr>
          <w:rStyle w:val="ac"/>
          <w:rtl/>
        </w:rPr>
        <w:footnoteReference w:id="15"/>
      </w:r>
      <w:r>
        <w:rPr>
          <w:rFonts w:hint="cs"/>
        </w:rPr>
        <w:t xml:space="preserve"> </w:t>
      </w:r>
    </w:p>
    <w:p w:rsidR="00731DAB" w:rsidRDefault="00731DAB" w:rsidP="00426035">
      <w:pPr>
        <w:pStyle w:val="a4"/>
        <w:numPr>
          <w:ilvl w:val="0"/>
          <w:numId w:val="17"/>
        </w:numPr>
        <w:ind w:left="357" w:hanging="357"/>
      </w:pPr>
      <w:r w:rsidRPr="00066A1E">
        <w:rPr>
          <w:rFonts w:hint="cs"/>
          <w:b/>
          <w:bCs/>
          <w:u w:val="single"/>
          <w:rtl/>
        </w:rPr>
        <w:t>הקמת נציבות השירות הציבור</w:t>
      </w:r>
      <w:r>
        <w:rPr>
          <w:rFonts w:hint="cs"/>
          <w:b/>
          <w:bCs/>
          <w:u w:val="single"/>
          <w:rtl/>
        </w:rPr>
        <w:t>י(</w:t>
      </w:r>
      <w:r>
        <w:rPr>
          <w:b/>
          <w:bCs/>
          <w:u w:val="single"/>
        </w:rPr>
        <w:t>Civil Service Commission</w:t>
      </w:r>
      <w:r>
        <w:rPr>
          <w:rFonts w:hint="cs"/>
          <w:b/>
          <w:bCs/>
          <w:u w:val="single"/>
          <w:rtl/>
        </w:rPr>
        <w:t>)</w:t>
      </w:r>
      <w:r>
        <w:rPr>
          <w:rFonts w:hint="cs"/>
          <w:rtl/>
        </w:rPr>
        <w:t>:</w:t>
      </w:r>
      <w:r>
        <w:rPr>
          <w:rStyle w:val="ac"/>
          <w:rtl/>
        </w:rPr>
        <w:footnoteReference w:id="16"/>
      </w:r>
      <w:r>
        <w:rPr>
          <w:rFonts w:hint="cs"/>
          <w:rtl/>
        </w:rPr>
        <w:t xml:space="preserve"> במסגרת החוק הוקמה נציבות השירות הציבורי (להלן: הנציבות). כך, לפי החוק, </w:t>
      </w:r>
      <w:r w:rsidRPr="008620EC">
        <w:rPr>
          <w:rFonts w:hint="cs"/>
          <w:b/>
          <w:bCs/>
          <w:rtl/>
        </w:rPr>
        <w:t>הנציבות אחראית על</w:t>
      </w:r>
      <w:r>
        <w:rPr>
          <w:rFonts w:hint="cs"/>
          <w:rtl/>
        </w:rPr>
        <w:t xml:space="preserve"> </w:t>
      </w:r>
      <w:r w:rsidRPr="008620EC">
        <w:rPr>
          <w:rFonts w:hint="cs"/>
          <w:b/>
          <w:bCs/>
          <w:rtl/>
        </w:rPr>
        <w:t xml:space="preserve">נושאים שונים </w:t>
      </w:r>
      <w:r w:rsidR="009A3E2A">
        <w:rPr>
          <w:rFonts w:hint="cs"/>
          <w:b/>
          <w:bCs/>
          <w:rtl/>
        </w:rPr>
        <w:t>הקשורים</w:t>
      </w:r>
      <w:r w:rsidR="009A3E2A" w:rsidRPr="008620EC">
        <w:rPr>
          <w:rFonts w:hint="cs"/>
          <w:b/>
          <w:bCs/>
          <w:rtl/>
        </w:rPr>
        <w:t xml:space="preserve"> </w:t>
      </w:r>
      <w:r w:rsidRPr="008620EC">
        <w:rPr>
          <w:rFonts w:hint="cs"/>
          <w:b/>
          <w:bCs/>
          <w:rtl/>
        </w:rPr>
        <w:t xml:space="preserve">לקוד ההתנהגות של עובדי הציבור </w:t>
      </w:r>
      <w:r w:rsidRPr="008620EC">
        <w:rPr>
          <w:rFonts w:hint="cs"/>
          <w:rtl/>
        </w:rPr>
        <w:t>(</w:t>
      </w:r>
      <w:r>
        <w:rPr>
          <w:rFonts w:hint="cs"/>
          <w:rtl/>
        </w:rPr>
        <w:t>ראו להלן</w:t>
      </w:r>
      <w:r w:rsidRPr="008620EC">
        <w:rPr>
          <w:rFonts w:hint="cs"/>
          <w:rtl/>
        </w:rPr>
        <w:t>)</w:t>
      </w:r>
      <w:r>
        <w:rPr>
          <w:rFonts w:hint="cs"/>
          <w:b/>
          <w:bCs/>
          <w:rtl/>
        </w:rPr>
        <w:t xml:space="preserve">, </w:t>
      </w:r>
      <w:r w:rsidRPr="008620EC">
        <w:rPr>
          <w:rFonts w:hint="cs"/>
          <w:b/>
          <w:bCs/>
          <w:rtl/>
        </w:rPr>
        <w:t>הטיפול בהתנהגות של</w:t>
      </w:r>
      <w:r>
        <w:rPr>
          <w:rFonts w:hint="cs"/>
          <w:b/>
          <w:bCs/>
          <w:rtl/>
        </w:rPr>
        <w:t xml:space="preserve"> עובדי</w:t>
      </w:r>
      <w:r w:rsidRPr="008620EC">
        <w:rPr>
          <w:rFonts w:hint="cs"/>
          <w:b/>
          <w:bCs/>
          <w:rtl/>
        </w:rPr>
        <w:t>ם ש</w:t>
      </w:r>
      <w:r>
        <w:rPr>
          <w:rFonts w:hint="cs"/>
          <w:b/>
          <w:bCs/>
          <w:rtl/>
        </w:rPr>
        <w:t xml:space="preserve">לא </w:t>
      </w:r>
      <w:r w:rsidRPr="008620EC">
        <w:rPr>
          <w:rFonts w:hint="cs"/>
          <w:b/>
          <w:bCs/>
          <w:rtl/>
        </w:rPr>
        <w:t>עומדת בקנה אחד עם הוראות הקוד</w:t>
      </w:r>
      <w:r>
        <w:rPr>
          <w:rFonts w:hint="cs"/>
          <w:rtl/>
        </w:rPr>
        <w:t>, ואף על מינויים ובחירה של עובדי ציבור בבריטניה.</w:t>
      </w:r>
      <w:r>
        <w:rPr>
          <w:rStyle w:val="ac"/>
          <w:rtl/>
        </w:rPr>
        <w:footnoteReference w:id="17"/>
      </w:r>
    </w:p>
    <w:p w:rsidR="00731DAB" w:rsidRDefault="00731DAB" w:rsidP="00CA4E53">
      <w:pPr>
        <w:pStyle w:val="a4"/>
        <w:numPr>
          <w:ilvl w:val="0"/>
          <w:numId w:val="17"/>
        </w:numPr>
        <w:ind w:left="357" w:hanging="357"/>
      </w:pPr>
      <w:r w:rsidRPr="00C710CC">
        <w:rPr>
          <w:rFonts w:hint="cs"/>
          <w:b/>
          <w:bCs/>
          <w:u w:val="single"/>
          <w:rtl/>
        </w:rPr>
        <w:t>סמכויות ניהול השירות הציבורי וקוד ההתנהגות</w:t>
      </w:r>
      <w:r>
        <w:rPr>
          <w:rFonts w:hint="cs"/>
          <w:rtl/>
        </w:rPr>
        <w:t>: סמכויות הניהול של השירות הציבורי מסורות בחוק לשר השירות הציבורי (</w:t>
      </w:r>
      <w:r w:rsidRPr="004A13E8">
        <w:t>Minister for the Civil Service</w:t>
      </w:r>
      <w:r>
        <w:rPr>
          <w:rFonts w:hint="cs"/>
          <w:rtl/>
        </w:rPr>
        <w:t>, להלן: השר), למעט סמכויות על השירות הדיפלומטי.</w:t>
      </w:r>
      <w:r>
        <w:rPr>
          <w:rStyle w:val="ac"/>
          <w:rtl/>
        </w:rPr>
        <w:footnoteReference w:id="18"/>
      </w:r>
      <w:r>
        <w:rPr>
          <w:rFonts w:hint="cs"/>
          <w:rtl/>
        </w:rPr>
        <w:t xml:space="preserve"> כך, אחת הסמכויות המרכזיות שמוקנות לשר היא הסמכות לקבוע ולפרסם קוד התנהגות בשירות הציבורי (</w:t>
      </w:r>
      <w:r>
        <w:t>Code of conduct for the civil service</w:t>
      </w:r>
      <w:r>
        <w:rPr>
          <w:rFonts w:hint="cs"/>
          <w:rtl/>
        </w:rPr>
        <w:t>).</w:t>
      </w:r>
      <w:r>
        <w:rPr>
          <w:rStyle w:val="ac"/>
          <w:rtl/>
        </w:rPr>
        <w:footnoteReference w:id="19"/>
      </w:r>
      <w:r>
        <w:rPr>
          <w:rFonts w:hint="cs"/>
          <w:rtl/>
        </w:rPr>
        <w:t xml:space="preserve"> קוד ההתנהגות יונח בפני הפרלמנט (</w:t>
      </w:r>
      <w:r>
        <w:t>lay any civil service code before parliament</w:t>
      </w:r>
      <w:r>
        <w:rPr>
          <w:rFonts w:hint="cs"/>
          <w:rtl/>
        </w:rPr>
        <w:t>) והוא יהווה חלק מתנאי ההעסקה של עובדי הציבור.</w:t>
      </w:r>
      <w:r>
        <w:rPr>
          <w:rStyle w:val="ac"/>
          <w:rtl/>
        </w:rPr>
        <w:footnoteReference w:id="20"/>
      </w:r>
      <w:r>
        <w:rPr>
          <w:rFonts w:hint="cs"/>
          <w:rtl/>
        </w:rPr>
        <w:t xml:space="preserve"> במקביל לקוד ההתנהגות לעיל מזכיר המדינה (</w:t>
      </w:r>
      <w:r>
        <w:t>secretary of state</w:t>
      </w:r>
      <w:r>
        <w:rPr>
          <w:rFonts w:hint="cs"/>
          <w:rtl/>
        </w:rPr>
        <w:t>) יפרסם קוד התנהגות לעובדים בשירות הדיפלומטי, עליו יחולו הוראות דומות לאלה שצוינו לעיל.</w:t>
      </w:r>
      <w:r>
        <w:rPr>
          <w:rStyle w:val="ac"/>
          <w:rtl/>
        </w:rPr>
        <w:footnoteReference w:id="21"/>
      </w:r>
    </w:p>
    <w:p w:rsidR="00731DAB" w:rsidRDefault="00731DAB" w:rsidP="00CB3CE6">
      <w:pPr>
        <w:pStyle w:val="a4"/>
        <w:numPr>
          <w:ilvl w:val="0"/>
          <w:numId w:val="17"/>
        </w:numPr>
        <w:ind w:left="357" w:hanging="357"/>
      </w:pPr>
      <w:r w:rsidRPr="00C710CC">
        <w:rPr>
          <w:rFonts w:hint="cs"/>
          <w:b/>
          <w:bCs/>
          <w:u w:val="single"/>
          <w:rtl/>
        </w:rPr>
        <w:t>דרישות מינימום בקודי ההתנהגות</w:t>
      </w:r>
      <w:r>
        <w:rPr>
          <w:rFonts w:hint="cs"/>
          <w:rtl/>
        </w:rPr>
        <w:t xml:space="preserve">: קודי ההתנהגות יהיו חייבים לכלול הוראות שמחייבות עובדי מדינה באנגליה, </w:t>
      </w:r>
      <w:proofErr w:type="spellStart"/>
      <w:r>
        <w:rPr>
          <w:rFonts w:hint="cs"/>
          <w:rtl/>
        </w:rPr>
        <w:t>ווילס</w:t>
      </w:r>
      <w:proofErr w:type="spellEnd"/>
      <w:r>
        <w:rPr>
          <w:rFonts w:hint="cs"/>
          <w:rtl/>
        </w:rPr>
        <w:t xml:space="preserve"> וסקוטלנד לבצע את חובותיהם במנהל הציבורי בצורה נאותה.</w:t>
      </w:r>
      <w:r>
        <w:rPr>
          <w:rStyle w:val="ac"/>
          <w:rtl/>
        </w:rPr>
        <w:footnoteReference w:id="22"/>
      </w:r>
      <w:r>
        <w:rPr>
          <w:rFonts w:hint="cs"/>
          <w:rtl/>
        </w:rPr>
        <w:t xml:space="preserve"> כמו כן, בקוד ייקבע כי עובדי מדינה יבצעו את חובותיהם ביושר ובכנות (</w:t>
      </w:r>
      <w:r>
        <w:t>integrity and honesty</w:t>
      </w:r>
      <w:r>
        <w:rPr>
          <w:rFonts w:hint="cs"/>
          <w:rtl/>
        </w:rPr>
        <w:t>) ובאובייקטיבית וללא משוא פנים (</w:t>
      </w:r>
      <w:r>
        <w:t>objectivity and impartiality</w:t>
      </w:r>
      <w:r>
        <w:rPr>
          <w:rFonts w:hint="cs"/>
          <w:rtl/>
        </w:rPr>
        <w:t>).</w:t>
      </w:r>
      <w:r>
        <w:rPr>
          <w:rStyle w:val="ac"/>
        </w:rPr>
        <w:footnoteReference w:id="23"/>
      </w:r>
      <w:r>
        <w:rPr>
          <w:rFonts w:hint="cs"/>
          <w:rtl/>
        </w:rPr>
        <w:t xml:space="preserve"> </w:t>
      </w:r>
    </w:p>
    <w:p w:rsidR="00731DAB" w:rsidRDefault="00731DAB" w:rsidP="00CB3CE6">
      <w:pPr>
        <w:pStyle w:val="a4"/>
        <w:numPr>
          <w:ilvl w:val="0"/>
          <w:numId w:val="17"/>
        </w:numPr>
        <w:ind w:left="357" w:hanging="357"/>
      </w:pPr>
      <w:r w:rsidRPr="005A588D">
        <w:rPr>
          <w:rFonts w:hint="cs"/>
          <w:b/>
          <w:bCs/>
          <w:u w:val="single"/>
          <w:rtl/>
        </w:rPr>
        <w:t>קוד ליועצים מיוחדים</w:t>
      </w:r>
      <w:r>
        <w:rPr>
          <w:rFonts w:hint="cs"/>
          <w:rtl/>
        </w:rPr>
        <w:t xml:space="preserve">: המונח "יועצים מיוחדים" מוגדר בחוק ככל אדם שמועסק בשירות הציבורי בבריטניה בידי </w:t>
      </w:r>
      <w:r w:rsidR="001E69E1">
        <w:rPr>
          <w:rFonts w:hint="cs"/>
          <w:rtl/>
        </w:rPr>
        <w:t>הממשלה של אחת ממדינותיה (</w:t>
      </w:r>
      <w:r>
        <w:rPr>
          <w:rFonts w:hint="cs"/>
          <w:rtl/>
        </w:rPr>
        <w:t xml:space="preserve">אנגליה, </w:t>
      </w:r>
      <w:r w:rsidR="001E69E1">
        <w:rPr>
          <w:rFonts w:hint="cs"/>
          <w:rtl/>
        </w:rPr>
        <w:t>סקוטלנד</w:t>
      </w:r>
      <w:r>
        <w:rPr>
          <w:rFonts w:hint="cs"/>
          <w:rtl/>
        </w:rPr>
        <w:t xml:space="preserve">, או </w:t>
      </w:r>
      <w:proofErr w:type="spellStart"/>
      <w:r>
        <w:rPr>
          <w:rFonts w:hint="cs"/>
          <w:rtl/>
        </w:rPr>
        <w:t>ווילס</w:t>
      </w:r>
      <w:proofErr w:type="spellEnd"/>
      <w:r w:rsidR="001E69E1">
        <w:rPr>
          <w:rFonts w:hint="cs"/>
          <w:rtl/>
        </w:rPr>
        <w:t>)</w:t>
      </w:r>
      <w:r>
        <w:rPr>
          <w:rFonts w:hint="cs"/>
          <w:rtl/>
        </w:rPr>
        <w:t xml:space="preserve">, ואשר עומד בדרישות המיוחדות לצורך המינוי שלו. ככלל, יועצים מיוחדים הם </w:t>
      </w:r>
      <w:r w:rsidRPr="00D114BF">
        <w:rPr>
          <w:rFonts w:hint="cs"/>
          <w:b/>
          <w:bCs/>
          <w:rtl/>
        </w:rPr>
        <w:t>מינויים אישיים</w:t>
      </w:r>
      <w:r>
        <w:rPr>
          <w:rFonts w:hint="cs"/>
          <w:rtl/>
        </w:rPr>
        <w:t xml:space="preserve"> של שרים או של ראש הממשלה, שהמינוי שלהם קצוב למשך תקופת הכהונה של הגורם הממנה </w:t>
      </w:r>
      <w:r w:rsidR="001E69E1">
        <w:rPr>
          <w:rFonts w:hint="cs"/>
          <w:rtl/>
        </w:rPr>
        <w:t>אותם</w:t>
      </w:r>
      <w:r>
        <w:rPr>
          <w:rFonts w:hint="cs"/>
          <w:rtl/>
        </w:rPr>
        <w:t>.</w:t>
      </w:r>
      <w:r>
        <w:rPr>
          <w:rStyle w:val="ac"/>
          <w:rtl/>
        </w:rPr>
        <w:footnoteReference w:id="24"/>
      </w:r>
      <w:r>
        <w:rPr>
          <w:rFonts w:hint="cs"/>
          <w:rtl/>
        </w:rPr>
        <w:t xml:space="preserve"> כך, גם לגבי יועצים אלה שר השירות הציבורי נדרש לפרסם קוד התנהגות,</w:t>
      </w:r>
      <w:r>
        <w:rPr>
          <w:rStyle w:val="ac"/>
          <w:rtl/>
        </w:rPr>
        <w:footnoteReference w:id="25"/>
      </w:r>
      <w:r>
        <w:rPr>
          <w:rFonts w:hint="cs"/>
          <w:rtl/>
        </w:rPr>
        <w:t xml:space="preserve"> וההוראות בדבר הקוד דומות לאלה שתוארו לעיל ביחס לקוד התנהגות בשירות הציבורי הכללי, זאת למעט בכל הנוגע לדרישות המינימום שלא כוללות את דרישת האובייקטיביות והעדר </w:t>
      </w:r>
      <w:r w:rsidR="001E69E1">
        <w:rPr>
          <w:rFonts w:hint="cs"/>
          <w:rtl/>
        </w:rPr>
        <w:t>משוא ה</w:t>
      </w:r>
      <w:r>
        <w:rPr>
          <w:rFonts w:hint="cs"/>
          <w:rtl/>
        </w:rPr>
        <w:t>פנים בשל אופי התפקיד הייחודי (והפוליטי) שהיועצים המיוחדים ממלאים.</w:t>
      </w:r>
      <w:r>
        <w:rPr>
          <w:rStyle w:val="ac"/>
          <w:rtl/>
        </w:rPr>
        <w:footnoteReference w:id="26"/>
      </w:r>
      <w:r>
        <w:rPr>
          <w:rFonts w:hint="cs"/>
          <w:rtl/>
        </w:rPr>
        <w:t xml:space="preserve"> </w:t>
      </w:r>
    </w:p>
    <w:p w:rsidR="00731DAB" w:rsidRDefault="00731DAB" w:rsidP="00CA4E53">
      <w:pPr>
        <w:pStyle w:val="a4"/>
        <w:numPr>
          <w:ilvl w:val="0"/>
          <w:numId w:val="17"/>
        </w:numPr>
        <w:ind w:left="357" w:hanging="357"/>
      </w:pPr>
      <w:r>
        <w:rPr>
          <w:rFonts w:hint="cs"/>
          <w:b/>
          <w:bCs/>
          <w:u w:val="single"/>
          <w:rtl/>
        </w:rPr>
        <w:t>התנהגות שמפרה קוד התנהגות</w:t>
      </w:r>
      <w:r w:rsidRPr="00D114BF">
        <w:rPr>
          <w:rFonts w:hint="cs"/>
          <w:rtl/>
        </w:rPr>
        <w:t>:</w:t>
      </w:r>
      <w:r>
        <w:rPr>
          <w:rFonts w:hint="cs"/>
          <w:rtl/>
        </w:rPr>
        <w:t xml:space="preserve"> בחוק נקבע כי עובד ציבור שחושד כי עובד אחר מפר הוראות של קוד (הכוונה לכל סוגי הקודים שפורטו לעיל), או הפר בעבר</w:t>
      </w:r>
      <w:r w:rsidR="001E69E1">
        <w:rPr>
          <w:rFonts w:hint="cs"/>
          <w:rtl/>
        </w:rPr>
        <w:t>,</w:t>
      </w:r>
      <w:r>
        <w:rPr>
          <w:rFonts w:hint="cs"/>
          <w:rtl/>
        </w:rPr>
        <w:t xml:space="preserve"> הוא יהיה </w:t>
      </w:r>
      <w:r w:rsidRPr="005E393E">
        <w:rPr>
          <w:rFonts w:hint="cs"/>
          <w:u w:val="single"/>
          <w:rtl/>
        </w:rPr>
        <w:t>רשאי</w:t>
      </w:r>
      <w:r>
        <w:rPr>
          <w:rFonts w:hint="cs"/>
          <w:rtl/>
        </w:rPr>
        <w:t xml:space="preserve"> להתלונן על כך בפני הנציבות (או לפעול בהתאם להוראות הקוד, אם נקבעו בו הוראות רלוונטיות). הנציבות תבחן את התלונה ותמליץ כיצד יש לטפל בעניין (רשויות השירות הציבורי, המתלונן וכן כל עובד ציבור אחר יהיו חייבים להעביר לנציבות מידע).</w:t>
      </w:r>
      <w:r>
        <w:rPr>
          <w:rStyle w:val="ac"/>
          <w:rtl/>
        </w:rPr>
        <w:footnoteReference w:id="27"/>
      </w:r>
      <w:r>
        <w:rPr>
          <w:rFonts w:hint="cs"/>
          <w:rtl/>
        </w:rPr>
        <w:t xml:space="preserve"> </w:t>
      </w:r>
    </w:p>
    <w:p w:rsidR="00E94D98" w:rsidRPr="000C5099" w:rsidRDefault="00E94D98" w:rsidP="00E94D98">
      <w:pPr>
        <w:pStyle w:val="111"/>
        <w:numPr>
          <w:ilvl w:val="2"/>
          <w:numId w:val="1"/>
        </w:numPr>
        <w:spacing w:before="120"/>
        <w:rPr>
          <w:sz w:val="24"/>
          <w:rtl/>
        </w:rPr>
      </w:pPr>
      <w:r w:rsidRPr="000C5099">
        <w:rPr>
          <w:rFonts w:hint="cs"/>
          <w:sz w:val="24"/>
          <w:rtl/>
        </w:rPr>
        <w:t>עקרונות גיוס עובדים של הנציבות</w:t>
      </w:r>
    </w:p>
    <w:p w:rsidR="00E94D98" w:rsidRDefault="00E94D98" w:rsidP="00426035">
      <w:pPr>
        <w:pStyle w:val="a4"/>
        <w:rPr>
          <w:rtl/>
        </w:rPr>
      </w:pPr>
      <w:r w:rsidRPr="007B3BD5">
        <w:rPr>
          <w:rFonts w:hint="cs"/>
          <w:rtl/>
        </w:rPr>
        <w:t>במסגרת חוק הרפורמה החוקתית והממשל משנת 2010 נקבע כי הנציבות תהיה אחראית, בין היתר, גם על הגיוס של עובדים לשירות הציבורי.</w:t>
      </w:r>
      <w:r w:rsidRPr="007B3BD5">
        <w:rPr>
          <w:rStyle w:val="ac"/>
          <w:rtl/>
        </w:rPr>
        <w:footnoteReference w:id="28"/>
      </w:r>
      <w:r w:rsidRPr="007B3BD5">
        <w:rPr>
          <w:rFonts w:hint="cs"/>
          <w:rtl/>
        </w:rPr>
        <w:t xml:space="preserve"> לצורך זה נקבעו עקרונות גיוס עובדים של הנציבות (להלן</w:t>
      </w:r>
      <w:r>
        <w:rPr>
          <w:rFonts w:hint="cs"/>
          <w:rtl/>
        </w:rPr>
        <w:t>:</w:t>
      </w:r>
      <w:r w:rsidRPr="007B3BD5">
        <w:rPr>
          <w:rFonts w:hint="cs"/>
          <w:rtl/>
        </w:rPr>
        <w:t xml:space="preserve"> העקרונות).</w:t>
      </w:r>
      <w:r w:rsidRPr="007B3BD5">
        <w:rPr>
          <w:rStyle w:val="ac"/>
          <w:rtl/>
        </w:rPr>
        <w:footnoteReference w:id="29"/>
      </w:r>
      <w:r w:rsidRPr="007B3BD5">
        <w:rPr>
          <w:rFonts w:hint="cs"/>
          <w:rtl/>
        </w:rPr>
        <w:t xml:space="preserve"> </w:t>
      </w:r>
      <w:r w:rsidRPr="007B3BD5">
        <w:rPr>
          <w:rtl/>
        </w:rPr>
        <w:t>בחוק קבועות הוראות שונות בדבר הליך המיון והגיוס של עובדים, לרבות הקמת פאנלים לבחירת עובדים,</w:t>
      </w:r>
      <w:r>
        <w:rPr>
          <w:rStyle w:val="ac"/>
          <w:rtl/>
        </w:rPr>
        <w:footnoteReference w:id="30"/>
      </w:r>
      <w:r w:rsidRPr="007B3BD5">
        <w:rPr>
          <w:rtl/>
        </w:rPr>
        <w:t xml:space="preserve"> המידע שמסופק למועמדים, תהליך קבלת החלטות וכדומה.</w:t>
      </w:r>
      <w:r w:rsidRPr="007B3BD5">
        <w:rPr>
          <w:rStyle w:val="ac"/>
          <w:rtl/>
        </w:rPr>
        <w:footnoteReference w:id="31"/>
      </w:r>
      <w:r w:rsidRPr="007B3BD5">
        <w:rPr>
          <w:rFonts w:hint="cs"/>
          <w:rtl/>
        </w:rPr>
        <w:t xml:space="preserve"> בין הוראות העקרונות קבועות גם הוראות מיוחדות בדבר מעורבות שרים</w:t>
      </w:r>
      <w:r>
        <w:rPr>
          <w:rFonts w:hint="cs"/>
          <w:rtl/>
        </w:rPr>
        <w:t xml:space="preserve"> בהליך גיוס עובדים ומינוים.</w:t>
      </w:r>
      <w:r>
        <w:rPr>
          <w:rStyle w:val="ac"/>
          <w:rtl/>
        </w:rPr>
        <w:footnoteReference w:id="32"/>
      </w:r>
      <w:r>
        <w:rPr>
          <w:rFonts w:hint="cs"/>
          <w:rtl/>
        </w:rPr>
        <w:t xml:space="preserve"> כך, נקבע כי </w:t>
      </w:r>
      <w:r w:rsidRPr="00F74E33">
        <w:rPr>
          <w:rtl/>
        </w:rPr>
        <w:t>כאשר יש לשר עניין במינוי</w:t>
      </w:r>
      <w:r>
        <w:rPr>
          <w:rFonts w:hint="cs"/>
          <w:rtl/>
        </w:rPr>
        <w:t xml:space="preserve"> ספציפי</w:t>
      </w:r>
      <w:r w:rsidRPr="00F74E33">
        <w:rPr>
          <w:rtl/>
        </w:rPr>
        <w:t>, ראש פאנל בחירת המועמדים</w:t>
      </w:r>
      <w:r>
        <w:rPr>
          <w:rStyle w:val="ac"/>
          <w:rtl/>
        </w:rPr>
        <w:footnoteReference w:id="33"/>
      </w:r>
      <w:r w:rsidRPr="00F74E33">
        <w:rPr>
          <w:rtl/>
        </w:rPr>
        <w:t xml:space="preserve"> </w:t>
      </w:r>
      <w:r w:rsidRPr="003D192C">
        <w:rPr>
          <w:b/>
          <w:bCs/>
          <w:rtl/>
        </w:rPr>
        <w:t>יבטיח כי הפאנל י</w:t>
      </w:r>
      <w:r w:rsidRPr="003D192C">
        <w:rPr>
          <w:rFonts w:hint="cs"/>
          <w:b/>
          <w:bCs/>
          <w:rtl/>
        </w:rPr>
        <w:t>י</w:t>
      </w:r>
      <w:r w:rsidRPr="003D192C">
        <w:rPr>
          <w:b/>
          <w:bCs/>
          <w:rtl/>
        </w:rPr>
        <w:t>וועץ בשר הרלוונטי וי</w:t>
      </w:r>
      <w:r w:rsidRPr="003D192C">
        <w:rPr>
          <w:rFonts w:hint="cs"/>
          <w:b/>
          <w:bCs/>
          <w:rtl/>
        </w:rPr>
        <w:t>קבל את הסכמתו</w:t>
      </w:r>
      <w:r>
        <w:rPr>
          <w:rFonts w:hint="cs"/>
          <w:rtl/>
        </w:rPr>
        <w:t xml:space="preserve"> (של השר) </w:t>
      </w:r>
      <w:r w:rsidR="009A3E2A">
        <w:rPr>
          <w:rFonts w:hint="cs"/>
          <w:rtl/>
        </w:rPr>
        <w:t xml:space="preserve">למפורט </w:t>
      </w:r>
      <w:r>
        <w:rPr>
          <w:rFonts w:hint="cs"/>
          <w:rtl/>
        </w:rPr>
        <w:t xml:space="preserve">להלן: </w:t>
      </w:r>
      <w:r w:rsidRPr="006D104A">
        <w:rPr>
          <w:b/>
          <w:bCs/>
          <w:rtl/>
        </w:rPr>
        <w:t>דרישות התפקיד</w:t>
      </w:r>
      <w:r w:rsidRPr="00F74E33">
        <w:rPr>
          <w:rtl/>
        </w:rPr>
        <w:t xml:space="preserve"> שייקבעו, </w:t>
      </w:r>
      <w:r w:rsidRPr="006D104A">
        <w:rPr>
          <w:b/>
          <w:bCs/>
          <w:rtl/>
        </w:rPr>
        <w:t>הרכב הפאנל</w:t>
      </w:r>
      <w:r w:rsidRPr="00F74E33">
        <w:rPr>
          <w:rtl/>
        </w:rPr>
        <w:t xml:space="preserve"> שיבחן את המועמדים וכן </w:t>
      </w:r>
      <w:r w:rsidRPr="006D104A">
        <w:rPr>
          <w:b/>
          <w:bCs/>
          <w:rtl/>
        </w:rPr>
        <w:t>שקיימים מספיק מועמדים מחוץ לשירות הציבורי</w:t>
      </w:r>
      <w:r w:rsidRPr="00F74E33">
        <w:rPr>
          <w:rtl/>
        </w:rPr>
        <w:t>.</w:t>
      </w:r>
      <w:r>
        <w:rPr>
          <w:rStyle w:val="ac"/>
          <w:rtl/>
        </w:rPr>
        <w:footnoteReference w:id="34"/>
      </w:r>
      <w:r>
        <w:rPr>
          <w:rFonts w:hint="cs"/>
          <w:rtl/>
        </w:rPr>
        <w:t xml:space="preserve"> מעבר לכך, נקבע בעקרונות כי </w:t>
      </w:r>
      <w:r w:rsidRPr="003D192C">
        <w:rPr>
          <w:rtl/>
        </w:rPr>
        <w:t xml:space="preserve">השר </w:t>
      </w:r>
      <w:r w:rsidRPr="006D104A">
        <w:rPr>
          <w:rtl/>
        </w:rPr>
        <w:t xml:space="preserve">רשאי </w:t>
      </w:r>
      <w:r w:rsidRPr="003D192C">
        <w:rPr>
          <w:b/>
          <w:bCs/>
          <w:rtl/>
        </w:rPr>
        <w:t>לקבל עדכונים על התקדמות ההליך</w:t>
      </w:r>
      <w:r>
        <w:rPr>
          <w:rFonts w:hint="cs"/>
          <w:rtl/>
        </w:rPr>
        <w:t xml:space="preserve">, אם יש לו עמדה </w:t>
      </w:r>
      <w:r w:rsidRPr="006D104A">
        <w:rPr>
          <w:rtl/>
        </w:rPr>
        <w:t>בדבר הניסיון, המקצועיות והכישורים של המועמדים</w:t>
      </w:r>
      <w:r>
        <w:rPr>
          <w:rFonts w:hint="cs"/>
          <w:rtl/>
        </w:rPr>
        <w:t>,</w:t>
      </w:r>
      <w:r w:rsidRPr="003D192C">
        <w:rPr>
          <w:rtl/>
        </w:rPr>
        <w:t xml:space="preserve"> הוא </w:t>
      </w:r>
      <w:r>
        <w:rPr>
          <w:rFonts w:hint="cs"/>
          <w:b/>
          <w:bCs/>
          <w:rtl/>
        </w:rPr>
        <w:t>חייב</w:t>
      </w:r>
      <w:r w:rsidRPr="003D192C">
        <w:rPr>
          <w:rtl/>
        </w:rPr>
        <w:t xml:space="preserve"> </w:t>
      </w:r>
      <w:r w:rsidRPr="003D192C">
        <w:rPr>
          <w:b/>
          <w:bCs/>
          <w:rtl/>
        </w:rPr>
        <w:t xml:space="preserve">להעביר </w:t>
      </w:r>
      <w:r>
        <w:rPr>
          <w:rFonts w:hint="cs"/>
          <w:b/>
          <w:bCs/>
          <w:rtl/>
        </w:rPr>
        <w:t>אותה לפאנל</w:t>
      </w:r>
      <w:r w:rsidRPr="003D192C">
        <w:rPr>
          <w:b/>
          <w:bCs/>
          <w:rtl/>
        </w:rPr>
        <w:t xml:space="preserve"> </w:t>
      </w:r>
      <w:r w:rsidRPr="006D104A">
        <w:rPr>
          <w:rFonts w:hint="cs"/>
          <w:rtl/>
        </w:rPr>
        <w:t>(</w:t>
      </w:r>
      <w:r w:rsidRPr="006D104A">
        <w:t>must be conveyed</w:t>
      </w:r>
      <w:r w:rsidRPr="006D104A">
        <w:rPr>
          <w:rFonts w:hint="cs"/>
          <w:rtl/>
        </w:rPr>
        <w:t>)</w:t>
      </w:r>
      <w:r w:rsidRPr="003D192C">
        <w:rPr>
          <w:rtl/>
        </w:rPr>
        <w:t>.</w:t>
      </w:r>
      <w:r>
        <w:rPr>
          <w:rStyle w:val="ac"/>
          <w:rtl/>
        </w:rPr>
        <w:footnoteReference w:id="35"/>
      </w:r>
      <w:r>
        <w:rPr>
          <w:rFonts w:hint="cs"/>
          <w:rtl/>
        </w:rPr>
        <w:t xml:space="preserve"> </w:t>
      </w:r>
    </w:p>
    <w:p w:rsidR="00E94D98" w:rsidRDefault="00E94D98" w:rsidP="00426035">
      <w:pPr>
        <w:pStyle w:val="a4"/>
        <w:rPr>
          <w:rtl/>
        </w:rPr>
      </w:pPr>
      <w:r>
        <w:rPr>
          <w:rFonts w:hint="cs"/>
          <w:rtl/>
        </w:rPr>
        <w:t xml:space="preserve">עוד נקבע בעקרונות כי </w:t>
      </w:r>
      <w:r w:rsidRPr="006D104A">
        <w:rPr>
          <w:rtl/>
        </w:rPr>
        <w:t>השר רשאי להיפגש עם כל המועמדים ברשימה הסופית (</w:t>
      </w:r>
      <w:r>
        <w:t>shortlist</w:t>
      </w:r>
      <w:r w:rsidRPr="006D104A">
        <w:rPr>
          <w:rtl/>
        </w:rPr>
        <w:t>) כדי לדון בסדרי העדיפויות שלהם וכן לבחון את גישתם לתפקיד. פגישה כאמור תערך בנוכחות חבר בנציבות. מידע מפגישות אלה יועבר לחברי הפאנל כדי שייבחן במהלך ראיון בפני הפאנל</w:t>
      </w:r>
      <w:r w:rsidR="009A3E2A">
        <w:rPr>
          <w:rFonts w:hint="cs"/>
          <w:rtl/>
        </w:rPr>
        <w:t>.</w:t>
      </w:r>
      <w:r w:rsidRPr="006D104A">
        <w:rPr>
          <w:rtl/>
        </w:rPr>
        <w:t xml:space="preserve"> השר לא יוכל לכהן כחבר בפאנל או למנות או להסיר מועמדים מההתמודדות.</w:t>
      </w:r>
      <w:r>
        <w:rPr>
          <w:rStyle w:val="ac"/>
          <w:rtl/>
        </w:rPr>
        <w:footnoteReference w:id="36"/>
      </w:r>
      <w:r>
        <w:rPr>
          <w:rFonts w:hint="cs"/>
          <w:rtl/>
        </w:rPr>
        <w:t xml:space="preserve"> בכל מקרה, הפאנל נדרש להעריך את המועמדים על בסיס הישגיהם ועל סמך ראיות ולבחון את הסוגיות שעלו (אם עלו) מהערות השר. בסיום עבודתו הפאנל ממליץ על המועמד המתאים לדעת</w:t>
      </w:r>
      <w:r w:rsidR="009A3E2A">
        <w:rPr>
          <w:rFonts w:hint="cs"/>
          <w:rtl/>
        </w:rPr>
        <w:t xml:space="preserve"> חבריו</w:t>
      </w:r>
      <w:r>
        <w:rPr>
          <w:rFonts w:hint="cs"/>
          <w:rtl/>
        </w:rPr>
        <w:t>. אם השר לא מרוצה מההמלצה הוא יכול לדרוש מהפאנל לשקול מחדש את המלצתו תוך פירוט הסיבות לבקשתו. הפאנל יהיה רשאי במקרה שכזה לשנות את המשקל שניתן לאמות המידה של ההישגים השונים, אך יהיה עליו לקבל את אישור הנציבות בטרם יוכרז על מינוי.</w:t>
      </w:r>
      <w:r>
        <w:rPr>
          <w:rStyle w:val="ac"/>
          <w:rtl/>
        </w:rPr>
        <w:footnoteReference w:id="37"/>
      </w:r>
      <w:r>
        <w:rPr>
          <w:rFonts w:hint="cs"/>
          <w:rtl/>
        </w:rPr>
        <w:t xml:space="preserve"> הוראות דומות נקבעו בדבר מינוי של מזכיר לשר.</w:t>
      </w:r>
      <w:r>
        <w:rPr>
          <w:rStyle w:val="ac"/>
          <w:rtl/>
        </w:rPr>
        <w:footnoteReference w:id="38"/>
      </w:r>
      <w:r>
        <w:rPr>
          <w:rFonts w:hint="cs"/>
          <w:rtl/>
        </w:rPr>
        <w:t xml:space="preserve"> </w:t>
      </w:r>
    </w:p>
    <w:p w:rsidR="00731DAB" w:rsidRPr="00E3593E" w:rsidRDefault="00731DAB" w:rsidP="00731DAB">
      <w:pPr>
        <w:pStyle w:val="11"/>
        <w:keepNext/>
        <w:keepLines/>
        <w:numPr>
          <w:ilvl w:val="1"/>
          <w:numId w:val="1"/>
        </w:numPr>
        <w:spacing w:before="120"/>
        <w:ind w:right="0"/>
        <w:rPr>
          <w:sz w:val="26"/>
          <w:rtl/>
        </w:rPr>
      </w:pPr>
      <w:r w:rsidRPr="00E3593E">
        <w:rPr>
          <w:rFonts w:hint="cs"/>
          <w:sz w:val="26"/>
          <w:rtl/>
        </w:rPr>
        <w:t xml:space="preserve">קוד </w:t>
      </w:r>
      <w:r>
        <w:rPr>
          <w:rFonts w:hint="cs"/>
          <w:sz w:val="26"/>
          <w:rtl/>
        </w:rPr>
        <w:t>השירות</w:t>
      </w:r>
      <w:r w:rsidRPr="00E3593E">
        <w:rPr>
          <w:rFonts w:hint="cs"/>
          <w:sz w:val="26"/>
          <w:rtl/>
        </w:rPr>
        <w:t xml:space="preserve"> </w:t>
      </w:r>
      <w:r>
        <w:rPr>
          <w:rFonts w:hint="cs"/>
          <w:sz w:val="26"/>
          <w:rtl/>
        </w:rPr>
        <w:t>ה</w:t>
      </w:r>
      <w:r w:rsidRPr="00E3593E">
        <w:rPr>
          <w:rFonts w:hint="cs"/>
          <w:sz w:val="26"/>
          <w:rtl/>
        </w:rPr>
        <w:t>ציבור</w:t>
      </w:r>
      <w:r>
        <w:rPr>
          <w:rFonts w:hint="cs"/>
          <w:sz w:val="26"/>
          <w:rtl/>
        </w:rPr>
        <w:t>י</w:t>
      </w:r>
    </w:p>
    <w:p w:rsidR="00731DAB" w:rsidRDefault="00731DAB" w:rsidP="00CB3CE6">
      <w:pPr>
        <w:pStyle w:val="a4"/>
        <w:rPr>
          <w:rtl/>
        </w:rPr>
      </w:pPr>
      <w:r>
        <w:rPr>
          <w:rFonts w:hint="cs"/>
          <w:rtl/>
        </w:rPr>
        <w:t>קוד השירות הציבורי (להלן</w:t>
      </w:r>
      <w:r w:rsidR="009A3E2A">
        <w:rPr>
          <w:rFonts w:hint="cs"/>
          <w:rtl/>
        </w:rPr>
        <w:t xml:space="preserve"> בסעיף זה</w:t>
      </w:r>
      <w:r>
        <w:rPr>
          <w:rFonts w:hint="cs"/>
          <w:rtl/>
        </w:rPr>
        <w:t>: הקוד),</w:t>
      </w:r>
      <w:r>
        <w:rPr>
          <w:rStyle w:val="ac"/>
          <w:rtl/>
        </w:rPr>
        <w:footnoteReference w:id="39"/>
      </w:r>
      <w:r>
        <w:rPr>
          <w:rFonts w:hint="cs"/>
          <w:rtl/>
        </w:rPr>
        <w:t xml:space="preserve"> קדם לחוק הרפורמה החוקתית והממשל שהוצג לעיל</w:t>
      </w:r>
      <w:r w:rsidR="001E69E1">
        <w:rPr>
          <w:rFonts w:hint="cs"/>
          <w:rtl/>
        </w:rPr>
        <w:t xml:space="preserve">. </w:t>
      </w:r>
      <w:r>
        <w:rPr>
          <w:rFonts w:hint="cs"/>
          <w:rtl/>
        </w:rPr>
        <w:t>עם זאת</w:t>
      </w:r>
      <w:r w:rsidR="001E69E1">
        <w:rPr>
          <w:rFonts w:hint="cs"/>
          <w:rtl/>
        </w:rPr>
        <w:t>,</w:t>
      </w:r>
      <w:r>
        <w:rPr>
          <w:rFonts w:hint="cs"/>
          <w:rtl/>
        </w:rPr>
        <w:t xml:space="preserve"> בעקבות חקיקת החוק הוראות הקוד עודכנו בהתאם.</w:t>
      </w:r>
      <w:r>
        <w:rPr>
          <w:rStyle w:val="ac"/>
          <w:rtl/>
        </w:rPr>
        <w:footnoteReference w:id="40"/>
      </w:r>
      <w:r>
        <w:rPr>
          <w:rFonts w:hint="cs"/>
          <w:rtl/>
        </w:rPr>
        <w:t xml:space="preserve"> כך, הוראות הקוד הן הוראות כלליות שמעגנות עקרונות בסיסיים לפעילות עובדי הציבור והן מהוות חלק מתנאי השירות של עובדי הציבור בבריטניה.</w:t>
      </w:r>
      <w:r>
        <w:rPr>
          <w:rStyle w:val="ac"/>
          <w:rtl/>
        </w:rPr>
        <w:footnoteReference w:id="41"/>
      </w:r>
      <w:r>
        <w:rPr>
          <w:rFonts w:hint="cs"/>
          <w:rtl/>
        </w:rPr>
        <w:t xml:space="preserve"> הקוד מבוסס על ארבעת העקרונות המרכזיים שלהלן (שעוגנו גם בחקיקה הראשית לעיל):</w:t>
      </w:r>
      <w:r>
        <w:rPr>
          <w:rStyle w:val="ac"/>
          <w:rtl/>
        </w:rPr>
        <w:footnoteReference w:id="42"/>
      </w:r>
    </w:p>
    <w:p w:rsidR="00731DAB" w:rsidRDefault="00731DAB" w:rsidP="00426035">
      <w:pPr>
        <w:pStyle w:val="a4"/>
        <w:numPr>
          <w:ilvl w:val="0"/>
          <w:numId w:val="17"/>
        </w:numPr>
        <w:ind w:left="357" w:hanging="357"/>
      </w:pPr>
      <w:r>
        <w:rPr>
          <w:rFonts w:hint="cs"/>
          <w:b/>
          <w:bCs/>
          <w:u w:val="single"/>
          <w:rtl/>
        </w:rPr>
        <w:t>כנות</w:t>
      </w:r>
      <w:r w:rsidRPr="00B52F42">
        <w:rPr>
          <w:rFonts w:hint="cs"/>
          <w:b/>
          <w:bCs/>
          <w:u w:val="single"/>
          <w:rtl/>
        </w:rPr>
        <w:t xml:space="preserve"> (</w:t>
      </w:r>
      <w:r w:rsidRPr="00B52F42">
        <w:rPr>
          <w:b/>
          <w:bCs/>
          <w:u w:val="single"/>
        </w:rPr>
        <w:t>honesty</w:t>
      </w:r>
      <w:r w:rsidRPr="00B52F42">
        <w:rPr>
          <w:rFonts w:hint="cs"/>
          <w:b/>
          <w:bCs/>
          <w:u w:val="single"/>
          <w:rtl/>
        </w:rPr>
        <w:t>)</w:t>
      </w:r>
      <w:r>
        <w:rPr>
          <w:rFonts w:hint="cs"/>
          <w:rtl/>
        </w:rPr>
        <w:t>: ככלל, מונח זה עוגן בקוד כדרישה לכך שעובד הציבור יהיה תמיד דובר אמת ופתוח (</w:t>
      </w:r>
      <w:r>
        <w:t>truthful and open</w:t>
      </w:r>
      <w:r>
        <w:rPr>
          <w:rFonts w:hint="cs"/>
          <w:rtl/>
        </w:rPr>
        <w:t xml:space="preserve">). כך, בין היתר, נקבע כי עובד ציבור </w:t>
      </w:r>
      <w:r w:rsidR="009A3E2A">
        <w:rPr>
          <w:rFonts w:hint="cs"/>
          <w:rtl/>
        </w:rPr>
        <w:t xml:space="preserve">ימלא </w:t>
      </w:r>
      <w:r>
        <w:rPr>
          <w:rFonts w:hint="cs"/>
          <w:rtl/>
        </w:rPr>
        <w:t>אחר חובותיו והתחייבויותיו באחריות; יפעל בדרך מקצועית שמבטיחה את אמון הציבור; יתנהל בפני הציבור בהגינות</w:t>
      </w:r>
      <w:r w:rsidRPr="00B52F42">
        <w:rPr>
          <w:rtl/>
        </w:rPr>
        <w:t>, יעילות, מהירות ורגישות</w:t>
      </w:r>
      <w:r>
        <w:rPr>
          <w:rFonts w:hint="cs"/>
          <w:rtl/>
        </w:rPr>
        <w:t xml:space="preserve"> וזאת לפי מיטב יכולתו; יבטיח כי בכל פעולה תהיה לו אסמכתה רלוונטית; ישמור על תיעוד נדרש; ויציית לחוק. עוד נקבע כי </w:t>
      </w:r>
      <w:r w:rsidRPr="00B52F42">
        <w:rPr>
          <w:rFonts w:hint="cs"/>
          <w:b/>
          <w:bCs/>
          <w:rtl/>
        </w:rPr>
        <w:t xml:space="preserve">אסור לעובד ציבור </w:t>
      </w:r>
      <w:r w:rsidR="009A3E2A">
        <w:rPr>
          <w:rFonts w:hint="cs"/>
          <w:b/>
          <w:bCs/>
          <w:rtl/>
        </w:rPr>
        <w:t xml:space="preserve">לנצל לרעה את תפקידו הציבורי </w:t>
      </w:r>
      <w:r>
        <w:rPr>
          <w:rFonts w:hint="cs"/>
          <w:rtl/>
        </w:rPr>
        <w:t>(</w:t>
      </w:r>
      <w:r>
        <w:t>misuse of official position</w:t>
      </w:r>
      <w:r>
        <w:rPr>
          <w:rFonts w:hint="cs"/>
          <w:rtl/>
        </w:rPr>
        <w:t xml:space="preserve">), ובתוך כך: </w:t>
      </w:r>
      <w:r w:rsidRPr="00B52F42">
        <w:rPr>
          <w:rFonts w:hint="cs"/>
          <w:b/>
          <w:bCs/>
          <w:rtl/>
        </w:rPr>
        <w:t>חל עליו איסור לקדם את האינטרסים האישיים שלו על פני אלה של אחרים</w:t>
      </w:r>
      <w:r>
        <w:rPr>
          <w:rFonts w:hint="cs"/>
          <w:rtl/>
        </w:rPr>
        <w:t>.</w:t>
      </w:r>
    </w:p>
    <w:p w:rsidR="00731DAB" w:rsidRDefault="00731DAB" w:rsidP="00426035">
      <w:pPr>
        <w:pStyle w:val="a4"/>
        <w:numPr>
          <w:ilvl w:val="0"/>
          <w:numId w:val="17"/>
        </w:numPr>
        <w:ind w:left="357" w:hanging="357"/>
      </w:pPr>
      <w:r>
        <w:rPr>
          <w:rFonts w:hint="cs"/>
          <w:b/>
          <w:bCs/>
          <w:u w:val="single"/>
          <w:rtl/>
        </w:rPr>
        <w:t xml:space="preserve">יושרה </w:t>
      </w:r>
      <w:r w:rsidRPr="00B52F42">
        <w:rPr>
          <w:rFonts w:hint="cs"/>
          <w:b/>
          <w:bCs/>
          <w:u w:val="single"/>
          <w:rtl/>
        </w:rPr>
        <w:t>(</w:t>
      </w:r>
      <w:r w:rsidRPr="00B52F42">
        <w:rPr>
          <w:b/>
          <w:bCs/>
          <w:u w:val="single"/>
        </w:rPr>
        <w:t>integrity</w:t>
      </w:r>
      <w:r w:rsidRPr="00B52F42">
        <w:rPr>
          <w:rFonts w:hint="cs"/>
          <w:b/>
          <w:bCs/>
          <w:u w:val="single"/>
          <w:rtl/>
        </w:rPr>
        <w:t>)</w:t>
      </w:r>
      <w:r>
        <w:rPr>
          <w:rFonts w:hint="cs"/>
          <w:rtl/>
        </w:rPr>
        <w:t>:</w:t>
      </w:r>
      <w:r w:rsidRPr="00AF5724">
        <w:rPr>
          <w:rFonts w:hint="cs"/>
          <w:rtl/>
        </w:rPr>
        <w:t xml:space="preserve"> </w:t>
      </w:r>
      <w:r>
        <w:rPr>
          <w:rFonts w:hint="cs"/>
          <w:rtl/>
        </w:rPr>
        <w:t xml:space="preserve">ככלל, מונח זה עוגן בקוד כדרישה לכך שעובד הציבור יעמיד את </w:t>
      </w:r>
      <w:proofErr w:type="spellStart"/>
      <w:r w:rsidR="009A3E2A">
        <w:rPr>
          <w:rFonts w:hint="cs"/>
          <w:rtl/>
        </w:rPr>
        <w:t>מחוייבותו</w:t>
      </w:r>
      <w:proofErr w:type="spellEnd"/>
      <w:r w:rsidR="009A3E2A">
        <w:rPr>
          <w:rFonts w:hint="cs"/>
          <w:rtl/>
        </w:rPr>
        <w:t xml:space="preserve"> ל</w:t>
      </w:r>
      <w:r>
        <w:rPr>
          <w:rFonts w:hint="cs"/>
          <w:rtl/>
        </w:rPr>
        <w:t>שירות הציבורי מעל האינטרסים האישיים</w:t>
      </w:r>
      <w:r w:rsidR="001E69E1">
        <w:rPr>
          <w:rFonts w:hint="cs"/>
          <w:rtl/>
        </w:rPr>
        <w:t xml:space="preserve"> שלו</w:t>
      </w:r>
      <w:r>
        <w:rPr>
          <w:rFonts w:hint="cs"/>
          <w:rtl/>
        </w:rPr>
        <w:t>. כך, בין היתר, נקבע כי על עובד הציבור להציג (</w:t>
      </w:r>
      <w:r>
        <w:t>set out</w:t>
      </w:r>
      <w:r>
        <w:rPr>
          <w:rFonts w:hint="cs"/>
          <w:rtl/>
        </w:rPr>
        <w:t xml:space="preserve">) את העובדות והנושאים הרלוונטיים </w:t>
      </w:r>
      <w:r w:rsidR="009A3E2A">
        <w:rPr>
          <w:rFonts w:hint="cs"/>
          <w:rtl/>
        </w:rPr>
        <w:t xml:space="preserve">לעבודתו </w:t>
      </w:r>
      <w:r>
        <w:rPr>
          <w:rFonts w:hint="cs"/>
          <w:rtl/>
        </w:rPr>
        <w:t xml:space="preserve">בצורה כנה ולתקן שגיאות בהקדם האפשרי </w:t>
      </w:r>
      <w:r w:rsidR="009A3E2A">
        <w:rPr>
          <w:rFonts w:hint="cs"/>
          <w:rtl/>
        </w:rPr>
        <w:t>ו</w:t>
      </w:r>
      <w:r>
        <w:rPr>
          <w:rFonts w:hint="cs"/>
          <w:rtl/>
        </w:rPr>
        <w:t xml:space="preserve">להשתמש במשאבים לצורך התכליות </w:t>
      </w:r>
      <w:r w:rsidR="009A3E2A">
        <w:rPr>
          <w:rFonts w:hint="cs"/>
          <w:rtl/>
        </w:rPr>
        <w:t xml:space="preserve">שלשמם </w:t>
      </w:r>
      <w:r>
        <w:rPr>
          <w:rFonts w:hint="cs"/>
          <w:rtl/>
        </w:rPr>
        <w:t xml:space="preserve">ניתנו לו ולצורך עבודתו המאושרת בלבד. עוד נקבע כי  אסור לעובד להטעות שרים, חברי פרלמנט ואחרים, כמו גם כי חל עליו </w:t>
      </w:r>
      <w:r w:rsidRPr="000C4D93">
        <w:rPr>
          <w:rFonts w:hint="cs"/>
          <w:b/>
          <w:bCs/>
          <w:rtl/>
        </w:rPr>
        <w:t xml:space="preserve">איסור להיות מושפע מלחצים של אחרים או </w:t>
      </w:r>
      <w:r w:rsidR="009A3E2A">
        <w:rPr>
          <w:rFonts w:hint="cs"/>
          <w:b/>
          <w:bCs/>
          <w:rtl/>
        </w:rPr>
        <w:t>משיקולים של</w:t>
      </w:r>
      <w:r w:rsidR="009A3E2A" w:rsidRPr="000C4D93">
        <w:rPr>
          <w:rFonts w:hint="cs"/>
          <w:b/>
          <w:bCs/>
          <w:rtl/>
        </w:rPr>
        <w:t xml:space="preserve"> </w:t>
      </w:r>
      <w:r w:rsidRPr="000C4D93">
        <w:rPr>
          <w:rFonts w:hint="cs"/>
          <w:b/>
          <w:bCs/>
          <w:rtl/>
        </w:rPr>
        <w:t>רווח אישי</w:t>
      </w:r>
      <w:r>
        <w:rPr>
          <w:rFonts w:hint="cs"/>
          <w:rtl/>
        </w:rPr>
        <w:t>.</w:t>
      </w:r>
    </w:p>
    <w:p w:rsidR="00731DAB" w:rsidRDefault="00731DAB" w:rsidP="00426035">
      <w:pPr>
        <w:pStyle w:val="a4"/>
        <w:numPr>
          <w:ilvl w:val="0"/>
          <w:numId w:val="17"/>
        </w:numPr>
        <w:ind w:left="357" w:hanging="357"/>
      </w:pPr>
      <w:r w:rsidRPr="00B52F42">
        <w:rPr>
          <w:rFonts w:hint="cs"/>
          <w:b/>
          <w:bCs/>
          <w:u w:val="single"/>
          <w:rtl/>
        </w:rPr>
        <w:t>אובייקטיביות (</w:t>
      </w:r>
      <w:r w:rsidRPr="00B52F42">
        <w:rPr>
          <w:b/>
          <w:bCs/>
          <w:u w:val="single"/>
        </w:rPr>
        <w:t>objectivity</w:t>
      </w:r>
      <w:r w:rsidRPr="00B52F42">
        <w:rPr>
          <w:rFonts w:hint="cs"/>
          <w:b/>
          <w:bCs/>
          <w:u w:val="single"/>
          <w:rtl/>
        </w:rPr>
        <w:t>)</w:t>
      </w:r>
      <w:r>
        <w:rPr>
          <w:rFonts w:hint="cs"/>
          <w:rtl/>
        </w:rPr>
        <w:t xml:space="preserve">: ככלל, מונח זה מפורש בקוד כדרישה לכך שעובדי הציבור יבססו את החלטותיהם על ניתוח קפדני של </w:t>
      </w:r>
      <w:r w:rsidR="001E69E1">
        <w:rPr>
          <w:rFonts w:hint="cs"/>
          <w:rtl/>
        </w:rPr>
        <w:t>המידע והתשתית שבפניהם</w:t>
      </w:r>
      <w:r>
        <w:rPr>
          <w:rFonts w:hint="cs"/>
          <w:rtl/>
        </w:rPr>
        <w:t xml:space="preserve">. כך, בין היתר, נקבע כי על עובד הציבור לספק מידע וייעוץ על בסיס ראייתי ולהציג באופן מדויק את האפשרויות והעובדות, לקבל החלטות על פי נסיבות המקרה </w:t>
      </w:r>
      <w:r w:rsidR="009A3E2A">
        <w:rPr>
          <w:rFonts w:hint="cs"/>
          <w:rtl/>
        </w:rPr>
        <w:t>ו</w:t>
      </w:r>
      <w:r>
        <w:rPr>
          <w:rFonts w:hint="cs"/>
          <w:rtl/>
        </w:rPr>
        <w:t xml:space="preserve">להתייחס בקפידה לייעוץ מקצועי או מטעם מומחים. עוד נקבע כי אסור לעובד הציבור להתעלם מעובדות או משיקולים רלוונטיים שאינם נוחים עבורו, או לסכל את היישום של מדיניות או החלטות בדרך של סירוב </w:t>
      </w:r>
      <w:r w:rsidR="009A3E2A">
        <w:rPr>
          <w:rFonts w:hint="cs"/>
          <w:rtl/>
        </w:rPr>
        <w:t xml:space="preserve">לבצען </w:t>
      </w:r>
      <w:r>
        <w:rPr>
          <w:rFonts w:hint="cs"/>
          <w:rtl/>
        </w:rPr>
        <w:t>או הימנעות מביצוע שלהן.</w:t>
      </w:r>
    </w:p>
    <w:p w:rsidR="00731DAB" w:rsidRDefault="00731DAB" w:rsidP="00426035">
      <w:pPr>
        <w:pStyle w:val="a4"/>
        <w:numPr>
          <w:ilvl w:val="0"/>
          <w:numId w:val="17"/>
        </w:numPr>
        <w:ind w:left="357" w:hanging="357"/>
      </w:pPr>
      <w:r w:rsidRPr="00B52F42">
        <w:rPr>
          <w:rFonts w:hint="cs"/>
          <w:b/>
          <w:bCs/>
          <w:u w:val="single"/>
          <w:rtl/>
        </w:rPr>
        <w:t>העדר משוא פנים (</w:t>
      </w:r>
      <w:r w:rsidRPr="00B52F42">
        <w:rPr>
          <w:b/>
          <w:bCs/>
          <w:u w:val="single"/>
        </w:rPr>
        <w:t>impartiality</w:t>
      </w:r>
      <w:r w:rsidRPr="00B52F42">
        <w:rPr>
          <w:rFonts w:hint="cs"/>
          <w:b/>
          <w:bCs/>
          <w:u w:val="single"/>
          <w:rtl/>
        </w:rPr>
        <w:t>)</w:t>
      </w:r>
      <w:r>
        <w:rPr>
          <w:rFonts w:hint="cs"/>
          <w:rtl/>
        </w:rPr>
        <w:t xml:space="preserve">: ככלל, מונח זה מפורש בקוד כדרישה לכך שפעילות עובד הציבור תהיה אך ורק על בסיס נסיבות המקרה </w:t>
      </w:r>
      <w:r w:rsidR="001E69E1">
        <w:rPr>
          <w:rFonts w:hint="cs"/>
          <w:rtl/>
        </w:rPr>
        <w:t xml:space="preserve">שבפניו </w:t>
      </w:r>
      <w:r>
        <w:rPr>
          <w:rFonts w:hint="cs"/>
          <w:rtl/>
        </w:rPr>
        <w:t xml:space="preserve">וכי עובד הציבור ישרת באופן ראוי </w:t>
      </w:r>
      <w:r w:rsidR="009A3E2A">
        <w:rPr>
          <w:rFonts w:hint="cs"/>
          <w:rtl/>
        </w:rPr>
        <w:t xml:space="preserve">כל ממשל </w:t>
      </w:r>
      <w:r>
        <w:rPr>
          <w:rFonts w:hint="cs"/>
          <w:rtl/>
        </w:rPr>
        <w:t xml:space="preserve">ללא קשר להעדפות פוליטיות. כך, בין היתר, נקבע כי על עובד הציבור למלא אחר התחייבויותיו באופן הוגן, צודק ושוויוני ולשקף את </w:t>
      </w:r>
      <w:r w:rsidR="009A3E2A">
        <w:rPr>
          <w:rFonts w:hint="cs"/>
          <w:rtl/>
        </w:rPr>
        <w:t xml:space="preserve">מחוייבות </w:t>
      </w:r>
      <w:r>
        <w:rPr>
          <w:rFonts w:hint="cs"/>
          <w:rtl/>
        </w:rPr>
        <w:t>השירות הציבורי לשוויון ולגיוון. עוד נקבע כי אסור לעובד ציבור לפעול באופן שאינו צודק</w:t>
      </w:r>
      <w:r w:rsidR="001E69E1">
        <w:rPr>
          <w:rFonts w:hint="cs"/>
          <w:rtl/>
        </w:rPr>
        <w:t>, או</w:t>
      </w:r>
      <w:r>
        <w:rPr>
          <w:rFonts w:hint="cs"/>
          <w:rtl/>
        </w:rPr>
        <w:t xml:space="preserve"> מפלה או </w:t>
      </w:r>
      <w:r w:rsidR="004B58CD">
        <w:rPr>
          <w:rFonts w:hint="cs"/>
          <w:rtl/>
        </w:rPr>
        <w:t xml:space="preserve">מביא להעדפה של </w:t>
      </w:r>
      <w:r>
        <w:rPr>
          <w:rFonts w:hint="cs"/>
          <w:rtl/>
        </w:rPr>
        <w:t xml:space="preserve">פרט או </w:t>
      </w:r>
      <w:r w:rsidR="004B58CD">
        <w:rPr>
          <w:rFonts w:hint="cs"/>
          <w:rtl/>
        </w:rPr>
        <w:t xml:space="preserve">של </w:t>
      </w:r>
      <w:r>
        <w:rPr>
          <w:rFonts w:hint="cs"/>
          <w:rtl/>
        </w:rPr>
        <w:t>אינטרסים ספציפיים.</w:t>
      </w:r>
    </w:p>
    <w:p w:rsidR="00731DAB" w:rsidRDefault="00731DAB" w:rsidP="00426035">
      <w:pPr>
        <w:pStyle w:val="a4"/>
        <w:rPr>
          <w:rtl/>
        </w:rPr>
      </w:pPr>
      <w:r>
        <w:rPr>
          <w:rFonts w:hint="cs"/>
          <w:rtl/>
        </w:rPr>
        <w:t xml:space="preserve">מעבר לכך, נקבע בקוד כי על המחלקה או הרשות הרלוונטית חלה החובה </w:t>
      </w:r>
      <w:r w:rsidRPr="008748E2">
        <w:rPr>
          <w:rFonts w:hint="cs"/>
          <w:b/>
          <w:bCs/>
          <w:rtl/>
        </w:rPr>
        <w:t>ליידע את העובד</w:t>
      </w:r>
      <w:r>
        <w:rPr>
          <w:rFonts w:hint="cs"/>
          <w:rtl/>
        </w:rPr>
        <w:t xml:space="preserve"> בדבר הוראות הקוד והערכים המרכזיים שקבועים בו. עוד נקבע כי </w:t>
      </w:r>
      <w:r w:rsidRPr="008748E2">
        <w:rPr>
          <w:rFonts w:hint="cs"/>
          <w:b/>
          <w:bCs/>
          <w:rtl/>
        </w:rPr>
        <w:t xml:space="preserve">אם עולה </w:t>
      </w:r>
      <w:r w:rsidR="009A3E2A">
        <w:rPr>
          <w:rFonts w:hint="cs"/>
          <w:b/>
          <w:bCs/>
          <w:rtl/>
        </w:rPr>
        <w:t xml:space="preserve">בעובד </w:t>
      </w:r>
      <w:r w:rsidRPr="008748E2">
        <w:rPr>
          <w:rFonts w:hint="cs"/>
          <w:b/>
          <w:bCs/>
          <w:rtl/>
        </w:rPr>
        <w:t xml:space="preserve">חשש בנוגע להוראות הקוד </w:t>
      </w:r>
      <w:r>
        <w:rPr>
          <w:rFonts w:hint="cs"/>
          <w:b/>
          <w:bCs/>
          <w:rtl/>
        </w:rPr>
        <w:t xml:space="preserve">ביחס </w:t>
      </w:r>
      <w:r w:rsidR="004B58CD">
        <w:rPr>
          <w:rFonts w:hint="cs"/>
          <w:b/>
          <w:bCs/>
          <w:rtl/>
        </w:rPr>
        <w:t>ל</w:t>
      </w:r>
      <w:r>
        <w:rPr>
          <w:rFonts w:hint="cs"/>
          <w:b/>
          <w:bCs/>
          <w:rtl/>
        </w:rPr>
        <w:t>עצמו</w:t>
      </w:r>
      <w:r w:rsidRPr="008748E2">
        <w:rPr>
          <w:rFonts w:hint="cs"/>
          <w:b/>
          <w:bCs/>
          <w:rtl/>
        </w:rPr>
        <w:t xml:space="preserve"> או לגבי עובד אחר, עליו לפנות </w:t>
      </w:r>
      <w:r w:rsidR="009A3E2A">
        <w:rPr>
          <w:rFonts w:hint="cs"/>
          <w:b/>
          <w:bCs/>
          <w:rtl/>
        </w:rPr>
        <w:t xml:space="preserve">בעניין </w:t>
      </w:r>
      <w:r w:rsidRPr="008748E2">
        <w:rPr>
          <w:rFonts w:hint="cs"/>
          <w:b/>
          <w:bCs/>
          <w:rtl/>
        </w:rPr>
        <w:t>לגורם ניהולי או לגורם שמונה לצורך הטיפול</w:t>
      </w:r>
      <w:r>
        <w:rPr>
          <w:rFonts w:hint="cs"/>
          <w:rtl/>
        </w:rPr>
        <w:t xml:space="preserve"> </w:t>
      </w:r>
      <w:r>
        <w:rPr>
          <w:rFonts w:hint="cs"/>
          <w:b/>
          <w:bCs/>
          <w:rtl/>
        </w:rPr>
        <w:t>בנושא זה</w:t>
      </w:r>
      <w:r>
        <w:rPr>
          <w:rFonts w:hint="cs"/>
          <w:rtl/>
        </w:rPr>
        <w:t xml:space="preserve"> (</w:t>
      </w:r>
      <w:r>
        <w:t>nominated officer</w:t>
      </w:r>
      <w:r>
        <w:rPr>
          <w:rFonts w:hint="cs"/>
          <w:rtl/>
        </w:rPr>
        <w:t xml:space="preserve">). כמו כן, נקבע כי במקרה של חשש לפעילות פלילית או לא חוקית, על העובד לפנות גם למשטרה או לגוף רגולטורי אחר לשם המשך הטיפול. </w:t>
      </w:r>
      <w:r w:rsidRPr="008748E2">
        <w:rPr>
          <w:rFonts w:hint="cs"/>
          <w:b/>
          <w:bCs/>
          <w:rtl/>
        </w:rPr>
        <w:t xml:space="preserve">לעובד שמורה גם הזכות לפנות לנציבות אם הוא חש שהגורם הניהולי או גורם </w:t>
      </w:r>
      <w:r w:rsidR="004B58CD">
        <w:rPr>
          <w:rFonts w:hint="cs"/>
          <w:b/>
          <w:bCs/>
          <w:rtl/>
        </w:rPr>
        <w:t xml:space="preserve">אחר </w:t>
      </w:r>
      <w:r w:rsidRPr="008748E2">
        <w:rPr>
          <w:rFonts w:hint="cs"/>
          <w:b/>
          <w:bCs/>
          <w:rtl/>
        </w:rPr>
        <w:t xml:space="preserve">שמונה </w:t>
      </w:r>
      <w:r w:rsidR="004B58CD">
        <w:rPr>
          <w:rFonts w:hint="cs"/>
          <w:b/>
          <w:bCs/>
          <w:rtl/>
        </w:rPr>
        <w:t>לטפל בכך</w:t>
      </w:r>
      <w:r w:rsidRPr="008748E2">
        <w:rPr>
          <w:rFonts w:hint="cs"/>
          <w:b/>
          <w:bCs/>
          <w:rtl/>
        </w:rPr>
        <w:t xml:space="preserve"> לא מטפלים </w:t>
      </w:r>
      <w:r>
        <w:rPr>
          <w:rFonts w:hint="cs"/>
          <w:b/>
          <w:bCs/>
          <w:rtl/>
        </w:rPr>
        <w:t xml:space="preserve">כראוי </w:t>
      </w:r>
      <w:r w:rsidRPr="008748E2">
        <w:rPr>
          <w:rFonts w:hint="cs"/>
          <w:b/>
          <w:bCs/>
          <w:rtl/>
        </w:rPr>
        <w:t>בתלונתו</w:t>
      </w:r>
      <w:r>
        <w:rPr>
          <w:rFonts w:hint="cs"/>
          <w:rtl/>
        </w:rPr>
        <w:t>.</w:t>
      </w:r>
      <w:r>
        <w:rPr>
          <w:rStyle w:val="ac"/>
          <w:rtl/>
        </w:rPr>
        <w:footnoteReference w:id="43"/>
      </w:r>
    </w:p>
    <w:p w:rsidR="00731DAB" w:rsidRPr="00E3593E" w:rsidRDefault="00731DAB" w:rsidP="00731DAB">
      <w:pPr>
        <w:pStyle w:val="11"/>
        <w:keepNext/>
        <w:keepLines/>
        <w:numPr>
          <w:ilvl w:val="1"/>
          <w:numId w:val="1"/>
        </w:numPr>
        <w:spacing w:before="120"/>
        <w:rPr>
          <w:sz w:val="26"/>
          <w:rtl/>
        </w:rPr>
      </w:pPr>
      <w:r w:rsidRPr="00E3593E">
        <w:rPr>
          <w:rFonts w:hint="cs"/>
          <w:sz w:val="26"/>
          <w:rtl/>
        </w:rPr>
        <w:t>קוד השרים</w:t>
      </w:r>
    </w:p>
    <w:p w:rsidR="00731DAB" w:rsidRDefault="00731DAB" w:rsidP="00426035">
      <w:pPr>
        <w:pStyle w:val="a4"/>
        <w:rPr>
          <w:rtl/>
        </w:rPr>
      </w:pPr>
      <w:r w:rsidRPr="00731DAB">
        <w:rPr>
          <w:rFonts w:hint="cs"/>
          <w:b/>
          <w:bCs/>
          <w:rtl/>
        </w:rPr>
        <w:t>קוד השרים</w:t>
      </w:r>
      <w:r>
        <w:rPr>
          <w:rFonts w:hint="cs"/>
          <w:rtl/>
        </w:rPr>
        <w:t xml:space="preserve"> (להלן</w:t>
      </w:r>
      <w:r w:rsidR="009A3E2A">
        <w:rPr>
          <w:rFonts w:hint="cs"/>
          <w:rtl/>
        </w:rPr>
        <w:t xml:space="preserve"> בסעיף זה</w:t>
      </w:r>
      <w:r>
        <w:rPr>
          <w:rFonts w:hint="cs"/>
          <w:rtl/>
        </w:rPr>
        <w:t>: הקוד),</w:t>
      </w:r>
      <w:r>
        <w:rPr>
          <w:rStyle w:val="ac"/>
          <w:rtl/>
        </w:rPr>
        <w:footnoteReference w:id="44"/>
      </w:r>
      <w:r>
        <w:rPr>
          <w:rFonts w:hint="cs"/>
          <w:rtl/>
        </w:rPr>
        <w:t xml:space="preserve"> אומנם נעדר עוגן חקיקתי כלשהו, אך הוא נחשב מקור נורמטיבי משמעותי ובעל משקל בבריטניה, שנאכף בידי ראשי הממשלה השונים.</w:t>
      </w:r>
      <w:r>
        <w:rPr>
          <w:rStyle w:val="ac"/>
          <w:rtl/>
        </w:rPr>
        <w:footnoteReference w:id="45"/>
      </w:r>
      <w:r>
        <w:rPr>
          <w:rFonts w:hint="cs"/>
          <w:rtl/>
        </w:rPr>
        <w:t xml:space="preserve"> הקוד מבוסס על </w:t>
      </w:r>
      <w:r w:rsidR="009A3E2A">
        <w:rPr>
          <w:rFonts w:hint="cs"/>
          <w:rtl/>
        </w:rPr>
        <w:t xml:space="preserve">שבעה </w:t>
      </w:r>
      <w:r>
        <w:rPr>
          <w:rFonts w:hint="cs"/>
          <w:rtl/>
        </w:rPr>
        <w:t>עקרונות יסוד, שעל בסיסם השרים נדרשים לפעול (</w:t>
      </w:r>
      <w:r w:rsidRPr="00B45F3F">
        <w:t>The Seven Principles of Public Life</w:t>
      </w:r>
      <w:r>
        <w:rPr>
          <w:rFonts w:hint="cs"/>
          <w:rtl/>
        </w:rPr>
        <w:t>):</w:t>
      </w:r>
      <w:r>
        <w:rPr>
          <w:rStyle w:val="ac"/>
          <w:rtl/>
        </w:rPr>
        <w:footnoteReference w:id="46"/>
      </w:r>
    </w:p>
    <w:p w:rsidR="00731DAB" w:rsidRDefault="00731DAB" w:rsidP="00CA4E53">
      <w:pPr>
        <w:pStyle w:val="a4"/>
        <w:numPr>
          <w:ilvl w:val="0"/>
          <w:numId w:val="17"/>
        </w:numPr>
        <w:ind w:left="357" w:hanging="357"/>
      </w:pPr>
      <w:r w:rsidRPr="00F74380">
        <w:rPr>
          <w:b/>
          <w:bCs/>
          <w:rtl/>
        </w:rPr>
        <w:t xml:space="preserve">חובה לפעול </w:t>
      </w:r>
      <w:r w:rsidRPr="00F74380">
        <w:rPr>
          <w:rFonts w:hint="cs"/>
          <w:b/>
          <w:bCs/>
          <w:rtl/>
        </w:rPr>
        <w:t>בחוסר אנוכיות</w:t>
      </w:r>
      <w:r>
        <w:rPr>
          <w:rFonts w:hint="cs"/>
          <w:rtl/>
        </w:rPr>
        <w:t xml:space="preserve"> (</w:t>
      </w:r>
      <w:r>
        <w:t>Selflessness</w:t>
      </w:r>
      <w:r>
        <w:rPr>
          <w:rFonts w:hint="cs"/>
          <w:rtl/>
        </w:rPr>
        <w:t xml:space="preserve">), </w:t>
      </w:r>
      <w:r w:rsidRPr="00F74380">
        <w:rPr>
          <w:rFonts w:hint="cs"/>
          <w:b/>
          <w:bCs/>
          <w:rtl/>
        </w:rPr>
        <w:t xml:space="preserve">שהיא </w:t>
      </w:r>
      <w:r w:rsidR="004B58CD">
        <w:rPr>
          <w:rFonts w:hint="cs"/>
          <w:b/>
          <w:bCs/>
          <w:rtl/>
        </w:rPr>
        <w:t>ה</w:t>
      </w:r>
      <w:r w:rsidRPr="00F74380">
        <w:rPr>
          <w:rFonts w:hint="cs"/>
          <w:b/>
          <w:bCs/>
          <w:rtl/>
        </w:rPr>
        <w:t>חובה לפעול</w:t>
      </w:r>
      <w:r w:rsidRPr="00F74380">
        <w:rPr>
          <w:b/>
          <w:bCs/>
          <w:rtl/>
        </w:rPr>
        <w:t xml:space="preserve"> לטובת האינטרס הציבורי</w:t>
      </w:r>
      <w:r w:rsidRPr="00F74380">
        <w:rPr>
          <w:rFonts w:hint="cs"/>
          <w:b/>
          <w:bCs/>
          <w:rtl/>
        </w:rPr>
        <w:t xml:space="preserve"> בלבד</w:t>
      </w:r>
      <w:r>
        <w:rPr>
          <w:rFonts w:hint="cs"/>
          <w:rtl/>
        </w:rPr>
        <w:t>.</w:t>
      </w:r>
    </w:p>
    <w:p w:rsidR="00731DAB" w:rsidRDefault="00731DAB" w:rsidP="00CB3CE6">
      <w:pPr>
        <w:pStyle w:val="a4"/>
        <w:numPr>
          <w:ilvl w:val="0"/>
          <w:numId w:val="17"/>
        </w:numPr>
        <w:ind w:left="357" w:hanging="357"/>
      </w:pPr>
      <w:r w:rsidRPr="00F74380">
        <w:rPr>
          <w:rFonts w:hint="cs"/>
          <w:b/>
          <w:bCs/>
          <w:rtl/>
        </w:rPr>
        <w:t xml:space="preserve">חובה </w:t>
      </w:r>
      <w:r w:rsidRPr="00F74380">
        <w:rPr>
          <w:b/>
          <w:bCs/>
          <w:rtl/>
        </w:rPr>
        <w:t xml:space="preserve">לפעול </w:t>
      </w:r>
      <w:r>
        <w:rPr>
          <w:rFonts w:hint="cs"/>
          <w:b/>
          <w:bCs/>
          <w:rtl/>
        </w:rPr>
        <w:t>ביושרה</w:t>
      </w:r>
      <w:r>
        <w:rPr>
          <w:rFonts w:hint="cs"/>
          <w:rtl/>
        </w:rPr>
        <w:t xml:space="preserve"> (</w:t>
      </w:r>
      <w:r>
        <w:t>Integrity</w:t>
      </w:r>
      <w:r>
        <w:rPr>
          <w:rFonts w:hint="cs"/>
          <w:rtl/>
        </w:rPr>
        <w:t xml:space="preserve">), </w:t>
      </w:r>
      <w:r w:rsidRPr="00F74380">
        <w:rPr>
          <w:rFonts w:hint="cs"/>
          <w:b/>
          <w:bCs/>
          <w:rtl/>
        </w:rPr>
        <w:t>שכוללת גם איסור על העמדת אינטרסים אישיים של השר על פני אינטרס ציבורי, כמו גם החובה להצהיר על אינטרסים כאמור</w:t>
      </w:r>
      <w:r>
        <w:rPr>
          <w:rFonts w:hint="cs"/>
          <w:rtl/>
        </w:rPr>
        <w:t xml:space="preserve"> (לעניין זה ראו גם את הוראות הקוד </w:t>
      </w:r>
      <w:r w:rsidR="004B58CD">
        <w:rPr>
          <w:rFonts w:hint="cs"/>
          <w:rtl/>
        </w:rPr>
        <w:t xml:space="preserve">המפורטות </w:t>
      </w:r>
      <w:r>
        <w:rPr>
          <w:rFonts w:hint="cs"/>
          <w:rtl/>
        </w:rPr>
        <w:t>להלן שקובעות את הפרוצדורה הרלוונטית).</w:t>
      </w:r>
    </w:p>
    <w:p w:rsidR="00731DAB" w:rsidRDefault="00731DAB" w:rsidP="00CA4E53">
      <w:pPr>
        <w:pStyle w:val="a4"/>
        <w:numPr>
          <w:ilvl w:val="0"/>
          <w:numId w:val="17"/>
        </w:numPr>
        <w:ind w:left="357" w:hanging="357"/>
      </w:pPr>
      <w:r>
        <w:rPr>
          <w:rFonts w:hint="cs"/>
          <w:rtl/>
        </w:rPr>
        <w:t xml:space="preserve">חובה </w:t>
      </w:r>
      <w:r w:rsidRPr="00084BDD">
        <w:rPr>
          <w:rtl/>
        </w:rPr>
        <w:t>לפעול באובייקטיביות</w:t>
      </w:r>
      <w:r>
        <w:rPr>
          <w:rFonts w:hint="cs"/>
          <w:rtl/>
        </w:rPr>
        <w:t xml:space="preserve"> (</w:t>
      </w:r>
      <w:r w:rsidRPr="00F74380">
        <w:t>Objectivity</w:t>
      </w:r>
      <w:r>
        <w:rPr>
          <w:rFonts w:hint="cs"/>
          <w:rtl/>
        </w:rPr>
        <w:t xml:space="preserve">), </w:t>
      </w:r>
      <w:r w:rsidRPr="001A71C6">
        <w:rPr>
          <w:rtl/>
        </w:rPr>
        <w:t>שמחייבת כי קבלת החלטות של שרים תעשה ללא משוא פנים או אפליה, באופן הוגן ועל בסיס הראיות הטובות ביותר</w:t>
      </w:r>
      <w:r>
        <w:rPr>
          <w:rFonts w:hint="cs"/>
          <w:rtl/>
        </w:rPr>
        <w:t>.</w:t>
      </w:r>
    </w:p>
    <w:p w:rsidR="00731DAB" w:rsidRDefault="00731DAB" w:rsidP="00CA4E53">
      <w:pPr>
        <w:pStyle w:val="a4"/>
        <w:numPr>
          <w:ilvl w:val="0"/>
          <w:numId w:val="17"/>
        </w:numPr>
        <w:ind w:left="357" w:hanging="357"/>
      </w:pPr>
      <w:r>
        <w:rPr>
          <w:rFonts w:hint="cs"/>
          <w:rtl/>
        </w:rPr>
        <w:t xml:space="preserve">חובה </w:t>
      </w:r>
      <w:r w:rsidRPr="00084BDD">
        <w:rPr>
          <w:rtl/>
        </w:rPr>
        <w:t>לפעול באחריותיות (</w:t>
      </w:r>
      <w:r>
        <w:t>Accountability</w:t>
      </w:r>
      <w:r w:rsidRPr="00084BDD">
        <w:rPr>
          <w:rtl/>
        </w:rPr>
        <w:t>)</w:t>
      </w:r>
      <w:r>
        <w:rPr>
          <w:rFonts w:hint="cs"/>
          <w:rtl/>
        </w:rPr>
        <w:t xml:space="preserve">, </w:t>
      </w:r>
      <w:r w:rsidRPr="001A71C6">
        <w:rPr>
          <w:rtl/>
        </w:rPr>
        <w:t>שקובעת כי על השר לקבל את החלטותיו ו</w:t>
      </w:r>
      <w:r>
        <w:rPr>
          <w:rFonts w:hint="cs"/>
          <w:rtl/>
        </w:rPr>
        <w:t xml:space="preserve">לבצע את </w:t>
      </w:r>
      <w:r w:rsidRPr="001A71C6">
        <w:rPr>
          <w:rtl/>
        </w:rPr>
        <w:t>פעולותיו באופן שנתון ל</w:t>
      </w:r>
      <w:r>
        <w:rPr>
          <w:rFonts w:hint="cs"/>
          <w:rtl/>
        </w:rPr>
        <w:t xml:space="preserve">כל סוג של </w:t>
      </w:r>
      <w:r w:rsidRPr="001A71C6">
        <w:rPr>
          <w:rtl/>
        </w:rPr>
        <w:t xml:space="preserve">ביקורת </w:t>
      </w:r>
      <w:r>
        <w:rPr>
          <w:rFonts w:hint="cs"/>
          <w:rtl/>
        </w:rPr>
        <w:t>שיבטיח אחריותיות בהחלטות ובפעולות אלה.</w:t>
      </w:r>
    </w:p>
    <w:p w:rsidR="00731DAB" w:rsidRDefault="00731DAB" w:rsidP="00CA4E53">
      <w:pPr>
        <w:pStyle w:val="a4"/>
        <w:numPr>
          <w:ilvl w:val="0"/>
          <w:numId w:val="17"/>
        </w:numPr>
        <w:ind w:left="357" w:hanging="357"/>
      </w:pPr>
      <w:r>
        <w:rPr>
          <w:rFonts w:hint="cs"/>
          <w:rtl/>
        </w:rPr>
        <w:t xml:space="preserve">חובה </w:t>
      </w:r>
      <w:r w:rsidRPr="00084BDD">
        <w:rPr>
          <w:rtl/>
        </w:rPr>
        <w:t>לפעול בפתיחות</w:t>
      </w:r>
      <w:r>
        <w:rPr>
          <w:rFonts w:hint="cs"/>
          <w:rtl/>
        </w:rPr>
        <w:t xml:space="preserve"> (</w:t>
      </w:r>
      <w:r w:rsidRPr="001A71C6">
        <w:t>Openness</w:t>
      </w:r>
      <w:r>
        <w:rPr>
          <w:rFonts w:hint="cs"/>
          <w:rtl/>
        </w:rPr>
        <w:t xml:space="preserve">), שהיא </w:t>
      </w:r>
      <w:r w:rsidRPr="00A101A4">
        <w:rPr>
          <w:rtl/>
        </w:rPr>
        <w:t xml:space="preserve">החובה לפעול בשקיפות ובצורה פתוחה שמאפשרת למידע לעבור לציבור, למעט במקרים שבהם יש סיבות מוצדקות משפטית </w:t>
      </w:r>
      <w:r w:rsidR="009A3E2A">
        <w:rPr>
          <w:rFonts w:hint="cs"/>
          <w:rtl/>
        </w:rPr>
        <w:t xml:space="preserve">שלא </w:t>
      </w:r>
      <w:r w:rsidRPr="00A101A4">
        <w:rPr>
          <w:rtl/>
        </w:rPr>
        <w:t>לעשות כן</w:t>
      </w:r>
      <w:r>
        <w:rPr>
          <w:rFonts w:hint="cs"/>
          <w:rtl/>
        </w:rPr>
        <w:t>.</w:t>
      </w:r>
    </w:p>
    <w:p w:rsidR="00731DAB" w:rsidRDefault="00731DAB" w:rsidP="00CA4E53">
      <w:pPr>
        <w:pStyle w:val="a4"/>
        <w:numPr>
          <w:ilvl w:val="0"/>
          <w:numId w:val="17"/>
        </w:numPr>
        <w:ind w:left="357" w:hanging="357"/>
      </w:pPr>
      <w:r>
        <w:rPr>
          <w:rFonts w:hint="cs"/>
          <w:rtl/>
        </w:rPr>
        <w:t xml:space="preserve">חובה </w:t>
      </w:r>
      <w:r w:rsidRPr="00084BDD">
        <w:rPr>
          <w:rtl/>
        </w:rPr>
        <w:t xml:space="preserve">לפעול </w:t>
      </w:r>
      <w:r>
        <w:rPr>
          <w:rFonts w:hint="cs"/>
          <w:rtl/>
        </w:rPr>
        <w:t>בכנות (</w:t>
      </w:r>
      <w:r>
        <w:t>Honesty</w:t>
      </w:r>
      <w:r>
        <w:rPr>
          <w:rFonts w:hint="cs"/>
          <w:rtl/>
        </w:rPr>
        <w:t>), שהיא החובה להיות דובר אמת (</w:t>
      </w:r>
      <w:r>
        <w:t>truthful</w:t>
      </w:r>
      <w:r>
        <w:rPr>
          <w:rFonts w:hint="cs"/>
          <w:rtl/>
        </w:rPr>
        <w:t>).</w:t>
      </w:r>
    </w:p>
    <w:p w:rsidR="00731DAB" w:rsidRDefault="00731DAB" w:rsidP="00CA4E53">
      <w:pPr>
        <w:pStyle w:val="a4"/>
        <w:numPr>
          <w:ilvl w:val="0"/>
          <w:numId w:val="17"/>
        </w:numPr>
        <w:ind w:left="357" w:hanging="357"/>
        <w:rPr>
          <w:rtl/>
        </w:rPr>
      </w:pPr>
      <w:r>
        <w:rPr>
          <w:rFonts w:hint="cs"/>
          <w:rtl/>
        </w:rPr>
        <w:t>חובה לפעול במנהיגות (</w:t>
      </w:r>
      <w:r w:rsidRPr="00D746AB">
        <w:t>Leadership</w:t>
      </w:r>
      <w:r>
        <w:rPr>
          <w:rFonts w:hint="cs"/>
          <w:rtl/>
        </w:rPr>
        <w:t xml:space="preserve">), שהיא החובה </w:t>
      </w:r>
      <w:r w:rsidRPr="00084BDD">
        <w:rPr>
          <w:rtl/>
        </w:rPr>
        <w:t>לשמש דוגמה לאחרים בהתנהגות</w:t>
      </w:r>
      <w:r>
        <w:rPr>
          <w:rFonts w:hint="cs"/>
          <w:rtl/>
        </w:rPr>
        <w:t xml:space="preserve"> במטרה לגלם את כל ה</w:t>
      </w:r>
      <w:r w:rsidRPr="00084BDD">
        <w:rPr>
          <w:rtl/>
        </w:rPr>
        <w:t xml:space="preserve">ערכים </w:t>
      </w:r>
      <w:r>
        <w:rPr>
          <w:rFonts w:hint="cs"/>
          <w:rtl/>
        </w:rPr>
        <w:t>האמורים.</w:t>
      </w:r>
    </w:p>
    <w:p w:rsidR="00731DAB" w:rsidRDefault="00731DAB" w:rsidP="00731DAB">
      <w:pPr>
        <w:pStyle w:val="a4"/>
        <w:rPr>
          <w:rtl/>
        </w:rPr>
      </w:pPr>
      <w:r>
        <w:rPr>
          <w:rFonts w:hint="cs"/>
          <w:rtl/>
        </w:rPr>
        <w:t xml:space="preserve">מעבר לכך, הקוד </w:t>
      </w:r>
      <w:r w:rsidRPr="008748E2">
        <w:rPr>
          <w:rtl/>
        </w:rPr>
        <w:t xml:space="preserve">קובע הוראות שונות בדבר מערכות היחסים של השרים עם גופים שלטוניים </w:t>
      </w:r>
      <w:r>
        <w:rPr>
          <w:rFonts w:hint="cs"/>
          <w:rtl/>
        </w:rPr>
        <w:t xml:space="preserve">נוספים וגופים </w:t>
      </w:r>
      <w:r w:rsidRPr="008748E2">
        <w:rPr>
          <w:rtl/>
        </w:rPr>
        <w:t>אחרים</w:t>
      </w:r>
      <w:r>
        <w:rPr>
          <w:rFonts w:hint="cs"/>
          <w:rtl/>
        </w:rPr>
        <w:t xml:space="preserve"> שפועלים בבריטניה</w:t>
      </w:r>
      <w:r w:rsidRPr="008748E2">
        <w:rPr>
          <w:rtl/>
        </w:rPr>
        <w:t xml:space="preserve">, </w:t>
      </w:r>
      <w:r>
        <w:rPr>
          <w:rFonts w:hint="cs"/>
          <w:rtl/>
        </w:rPr>
        <w:t>דוגמת: מערכות היחסים עם</w:t>
      </w:r>
      <w:r w:rsidRPr="008748E2">
        <w:rPr>
          <w:rtl/>
        </w:rPr>
        <w:t xml:space="preserve"> </w:t>
      </w:r>
      <w:r>
        <w:rPr>
          <w:rFonts w:hint="cs"/>
          <w:rtl/>
        </w:rPr>
        <w:t xml:space="preserve">בית המלוכה, </w:t>
      </w:r>
      <w:r w:rsidRPr="008748E2">
        <w:rPr>
          <w:rtl/>
        </w:rPr>
        <w:t xml:space="preserve">הפרלמנט, </w:t>
      </w:r>
      <w:r>
        <w:rPr>
          <w:rFonts w:hint="cs"/>
          <w:rtl/>
        </w:rPr>
        <w:t>משרדי הממשלה שעליהם השרים אמונים</w:t>
      </w:r>
      <w:r w:rsidRPr="008748E2">
        <w:rPr>
          <w:rtl/>
        </w:rPr>
        <w:t>, עובדי ציבור, גורמים בתוך מפלגות ועוד</w:t>
      </w:r>
      <w:r>
        <w:rPr>
          <w:rFonts w:hint="cs"/>
          <w:rtl/>
        </w:rPr>
        <w:t>.</w:t>
      </w:r>
      <w:r>
        <w:rPr>
          <w:rStyle w:val="ac"/>
          <w:rtl/>
        </w:rPr>
        <w:footnoteReference w:id="47"/>
      </w:r>
      <w:r>
        <w:rPr>
          <w:rFonts w:hint="cs"/>
          <w:rtl/>
        </w:rPr>
        <w:t xml:space="preserve"> </w:t>
      </w:r>
    </w:p>
    <w:p w:rsidR="00731DAB" w:rsidRDefault="00731DAB" w:rsidP="00731DAB">
      <w:pPr>
        <w:pStyle w:val="a4"/>
        <w:rPr>
          <w:rtl/>
        </w:rPr>
      </w:pPr>
      <w:r>
        <w:rPr>
          <w:rFonts w:hint="cs"/>
          <w:rtl/>
        </w:rPr>
        <w:t>בין ההוראות האמורות, קבועות גם הוראות שנועדו לטפל באינטרסים האישיים של השרים.</w:t>
      </w:r>
      <w:r>
        <w:rPr>
          <w:rStyle w:val="ac"/>
          <w:rtl/>
        </w:rPr>
        <w:footnoteReference w:id="48"/>
      </w:r>
      <w:r>
        <w:rPr>
          <w:rFonts w:hint="cs"/>
          <w:rtl/>
        </w:rPr>
        <w:t xml:space="preserve"> כך, </w:t>
      </w:r>
      <w:r w:rsidRPr="001327AA">
        <w:rPr>
          <w:rtl/>
        </w:rPr>
        <w:t>הע</w:t>
      </w:r>
      <w:r>
        <w:rPr>
          <w:rFonts w:hint="cs"/>
          <w:rtl/>
        </w:rPr>
        <w:t>י</w:t>
      </w:r>
      <w:r w:rsidRPr="001327AA">
        <w:rPr>
          <w:rtl/>
        </w:rPr>
        <w:t xml:space="preserve">קרון הבסיסי </w:t>
      </w:r>
      <w:r>
        <w:rPr>
          <w:rFonts w:hint="cs"/>
          <w:rtl/>
        </w:rPr>
        <w:t xml:space="preserve">שנקבע בחלק זה קובע כי </w:t>
      </w:r>
      <w:r w:rsidRPr="001327AA">
        <w:rPr>
          <w:rtl/>
        </w:rPr>
        <w:t xml:space="preserve">שרים צריכים להבטיח שלא </w:t>
      </w:r>
      <w:r>
        <w:rPr>
          <w:rFonts w:hint="cs"/>
          <w:rtl/>
        </w:rPr>
        <w:t>נוצר</w:t>
      </w:r>
      <w:r w:rsidRPr="001327AA">
        <w:rPr>
          <w:rtl/>
        </w:rPr>
        <w:t xml:space="preserve"> </w:t>
      </w:r>
      <w:r>
        <w:rPr>
          <w:rFonts w:hint="cs"/>
          <w:rtl/>
        </w:rPr>
        <w:t>ניגוד עניינים (</w:t>
      </w:r>
      <w:r>
        <w:t>conflict</w:t>
      </w:r>
      <w:r>
        <w:rPr>
          <w:rFonts w:hint="cs"/>
          <w:rtl/>
        </w:rPr>
        <w:t>)</w:t>
      </w:r>
      <w:r w:rsidRPr="001327AA">
        <w:rPr>
          <w:rtl/>
        </w:rPr>
        <w:t xml:space="preserve"> בין האינטרסים האישיים שלהם (</w:t>
      </w:r>
      <w:r>
        <w:rPr>
          <w:rFonts w:hint="cs"/>
          <w:rtl/>
        </w:rPr>
        <w:t xml:space="preserve">בין אם הם </w:t>
      </w:r>
      <w:r w:rsidRPr="001327AA">
        <w:rPr>
          <w:rtl/>
        </w:rPr>
        <w:t>כלכליים ו</w:t>
      </w:r>
      <w:r>
        <w:rPr>
          <w:rFonts w:hint="cs"/>
          <w:rtl/>
        </w:rPr>
        <w:t>בין אם</w:t>
      </w:r>
      <w:r w:rsidRPr="001327AA">
        <w:rPr>
          <w:rtl/>
        </w:rPr>
        <w:t xml:space="preserve"> אחרים) ובין ח</w:t>
      </w:r>
      <w:r>
        <w:rPr>
          <w:rFonts w:hint="cs"/>
          <w:rtl/>
        </w:rPr>
        <w:t>ו</w:t>
      </w:r>
      <w:r w:rsidRPr="001327AA">
        <w:rPr>
          <w:rtl/>
        </w:rPr>
        <w:t xml:space="preserve">בותיהם הציבוריות, כמו גם כי לא </w:t>
      </w:r>
      <w:r>
        <w:rPr>
          <w:rFonts w:hint="cs"/>
          <w:rtl/>
        </w:rPr>
        <w:t xml:space="preserve">ניתן להעריך </w:t>
      </w:r>
      <w:r w:rsidRPr="001327AA">
        <w:rPr>
          <w:rtl/>
        </w:rPr>
        <w:t xml:space="preserve">באופן סביר כי </w:t>
      </w:r>
      <w:r>
        <w:rPr>
          <w:rFonts w:hint="cs"/>
          <w:rtl/>
        </w:rPr>
        <w:t>ניגוד עניינים</w:t>
      </w:r>
      <w:r w:rsidRPr="001327AA">
        <w:rPr>
          <w:rtl/>
        </w:rPr>
        <w:t xml:space="preserve"> כאמור </w:t>
      </w:r>
      <w:r>
        <w:rPr>
          <w:rFonts w:hint="cs"/>
          <w:rtl/>
        </w:rPr>
        <w:t>י</w:t>
      </w:r>
      <w:r w:rsidRPr="001327AA">
        <w:rPr>
          <w:rtl/>
        </w:rPr>
        <w:t>יווצר</w:t>
      </w:r>
      <w:r>
        <w:rPr>
          <w:rFonts w:hint="cs"/>
          <w:rtl/>
        </w:rPr>
        <w:t>.</w:t>
      </w:r>
      <w:r>
        <w:rPr>
          <w:rStyle w:val="ac"/>
          <w:rtl/>
        </w:rPr>
        <w:footnoteReference w:id="49"/>
      </w:r>
      <w:r>
        <w:rPr>
          <w:rFonts w:hint="cs"/>
          <w:rtl/>
        </w:rPr>
        <w:t xml:space="preserve"> כמו כן, נקבע כי </w:t>
      </w:r>
      <w:r w:rsidRPr="001327AA">
        <w:rPr>
          <w:rtl/>
        </w:rPr>
        <w:t>החובה לעשות כל פעולה שנחוצה לצורך הבטחת העדר ניגוד עניינים מוטלת על השרים עצמם.</w:t>
      </w:r>
      <w:r>
        <w:rPr>
          <w:rStyle w:val="ac"/>
          <w:rtl/>
        </w:rPr>
        <w:footnoteReference w:id="50"/>
      </w:r>
      <w:r w:rsidRPr="001327AA">
        <w:rPr>
          <w:rtl/>
        </w:rPr>
        <w:t xml:space="preserve"> </w:t>
      </w:r>
    </w:p>
    <w:p w:rsidR="00731DAB" w:rsidRDefault="00731DAB" w:rsidP="00426035">
      <w:pPr>
        <w:pStyle w:val="a4"/>
        <w:rPr>
          <w:rtl/>
        </w:rPr>
      </w:pPr>
      <w:r>
        <w:rPr>
          <w:rFonts w:hint="cs"/>
          <w:rtl/>
        </w:rPr>
        <w:t xml:space="preserve">לצורך מניעת ניגודי עניינים נקבעה הפרוצדורה שלהלן בקוד: </w:t>
      </w:r>
      <w:r w:rsidRPr="001327AA">
        <w:rPr>
          <w:rtl/>
        </w:rPr>
        <w:t xml:space="preserve">על שרים שמתמנים לתפקיד חדש לספק למנכ"ל המשרד </w:t>
      </w:r>
      <w:r>
        <w:rPr>
          <w:rFonts w:hint="cs"/>
          <w:rtl/>
        </w:rPr>
        <w:t>(</w:t>
      </w:r>
      <w:r>
        <w:t>Permanent Secretary</w:t>
      </w:r>
      <w:r>
        <w:rPr>
          <w:rFonts w:hint="cs"/>
          <w:rtl/>
        </w:rPr>
        <w:t xml:space="preserve">) </w:t>
      </w:r>
      <w:r w:rsidRPr="001327AA">
        <w:rPr>
          <w:rtl/>
        </w:rPr>
        <w:t xml:space="preserve">רשימה של אינטרסים </w:t>
      </w:r>
      <w:r>
        <w:rPr>
          <w:rFonts w:hint="cs"/>
          <w:rtl/>
        </w:rPr>
        <w:t xml:space="preserve">אישיים שלהם </w:t>
      </w:r>
      <w:r w:rsidRPr="001327AA">
        <w:rPr>
          <w:rtl/>
        </w:rPr>
        <w:t>שעשויים ל</w:t>
      </w:r>
      <w:r w:rsidR="009A3E2A">
        <w:rPr>
          <w:rFonts w:hint="cs"/>
          <w:rtl/>
        </w:rPr>
        <w:t>ה</w:t>
      </w:r>
      <w:r w:rsidRPr="001327AA">
        <w:rPr>
          <w:rtl/>
        </w:rPr>
        <w:t>עלות חשש לקונפליקט</w:t>
      </w:r>
      <w:r>
        <w:rPr>
          <w:rFonts w:hint="cs"/>
          <w:rtl/>
        </w:rPr>
        <w:t xml:space="preserve"> (</w:t>
      </w:r>
      <w:r w:rsidRPr="00FC6AC0">
        <w:t>a full list in writing of all interests which might be thought to give rise to a conflict</w:t>
      </w:r>
      <w:r>
        <w:rPr>
          <w:rFonts w:hint="cs"/>
          <w:rtl/>
        </w:rPr>
        <w:t>)</w:t>
      </w:r>
      <w:r w:rsidRPr="001327AA">
        <w:rPr>
          <w:rtl/>
        </w:rPr>
        <w:t>. רשימ</w:t>
      </w:r>
      <w:r>
        <w:rPr>
          <w:rFonts w:hint="cs"/>
          <w:rtl/>
        </w:rPr>
        <w:t>ה</w:t>
      </w:r>
      <w:r w:rsidRPr="001327AA">
        <w:rPr>
          <w:rtl/>
        </w:rPr>
        <w:t xml:space="preserve"> זו צריכה לפרט גם את האינטרסים של בן או בת הזוג של השר וכן של </w:t>
      </w:r>
      <w:r>
        <w:rPr>
          <w:rFonts w:hint="cs"/>
          <w:rtl/>
        </w:rPr>
        <w:t xml:space="preserve">כל </w:t>
      </w:r>
      <w:r w:rsidRPr="001327AA">
        <w:rPr>
          <w:rtl/>
        </w:rPr>
        <w:t xml:space="preserve">בני </w:t>
      </w:r>
      <w:r>
        <w:rPr>
          <w:rFonts w:hint="cs"/>
          <w:rtl/>
        </w:rPr>
        <w:t>ה</w:t>
      </w:r>
      <w:r w:rsidRPr="001327AA">
        <w:rPr>
          <w:rtl/>
        </w:rPr>
        <w:t xml:space="preserve">משפחה </w:t>
      </w:r>
      <w:r w:rsidR="004B58CD">
        <w:rPr>
          <w:rFonts w:hint="cs"/>
          <w:rtl/>
        </w:rPr>
        <w:t>ה</w:t>
      </w:r>
      <w:r w:rsidRPr="001327AA">
        <w:rPr>
          <w:rtl/>
        </w:rPr>
        <w:t xml:space="preserve">קרובה </w:t>
      </w:r>
      <w:r>
        <w:rPr>
          <w:rFonts w:hint="cs"/>
          <w:rtl/>
        </w:rPr>
        <w:t>(</w:t>
      </w:r>
      <w:r w:rsidRPr="00551677">
        <w:t>close</w:t>
      </w:r>
      <w:r>
        <w:t xml:space="preserve"> </w:t>
      </w:r>
      <w:r w:rsidRPr="00551677">
        <w:t>family</w:t>
      </w:r>
      <w:r>
        <w:rPr>
          <w:rFonts w:hint="cs"/>
          <w:rtl/>
        </w:rPr>
        <w:t xml:space="preserve">) </w:t>
      </w:r>
      <w:r w:rsidRPr="001327AA">
        <w:rPr>
          <w:rtl/>
        </w:rPr>
        <w:t>שעלולים להעלות חשש לניגוד עניינים.</w:t>
      </w:r>
      <w:r>
        <w:rPr>
          <w:rStyle w:val="ac"/>
          <w:rtl/>
        </w:rPr>
        <w:footnoteReference w:id="51"/>
      </w:r>
      <w:r w:rsidRPr="001327AA">
        <w:rPr>
          <w:rtl/>
        </w:rPr>
        <w:t xml:space="preserve"> </w:t>
      </w:r>
      <w:r w:rsidRPr="00DD71AD">
        <w:rPr>
          <w:b/>
          <w:bCs/>
          <w:rtl/>
        </w:rPr>
        <w:t xml:space="preserve">אם יש </w:t>
      </w:r>
      <w:r w:rsidRPr="00DD71AD">
        <w:rPr>
          <w:rFonts w:hint="cs"/>
          <w:b/>
          <w:bCs/>
          <w:rtl/>
        </w:rPr>
        <w:t xml:space="preserve">בכך </w:t>
      </w:r>
      <w:r w:rsidRPr="00DD71AD">
        <w:rPr>
          <w:b/>
          <w:bCs/>
          <w:rtl/>
        </w:rPr>
        <w:t xml:space="preserve">צורך השר </w:t>
      </w:r>
      <w:r w:rsidRPr="00DD71AD">
        <w:rPr>
          <w:rFonts w:hint="cs"/>
          <w:b/>
          <w:bCs/>
          <w:rtl/>
        </w:rPr>
        <w:t>י</w:t>
      </w:r>
      <w:r w:rsidRPr="00DD71AD">
        <w:rPr>
          <w:b/>
          <w:bCs/>
          <w:rtl/>
        </w:rPr>
        <w:t>יפגש עם</w:t>
      </w:r>
      <w:r w:rsidRPr="001327AA">
        <w:rPr>
          <w:rtl/>
        </w:rPr>
        <w:t xml:space="preserve"> </w:t>
      </w:r>
      <w:r w:rsidRPr="00DD71AD">
        <w:rPr>
          <w:b/>
          <w:bCs/>
          <w:rtl/>
        </w:rPr>
        <w:t>המנכ"ל ועם היוע</w:t>
      </w:r>
      <w:r w:rsidRPr="00DD71AD">
        <w:rPr>
          <w:rFonts w:hint="cs"/>
          <w:b/>
          <w:bCs/>
          <w:rtl/>
        </w:rPr>
        <w:t>ץ</w:t>
      </w:r>
      <w:r w:rsidRPr="00DD71AD">
        <w:rPr>
          <w:b/>
          <w:bCs/>
          <w:rtl/>
        </w:rPr>
        <w:t xml:space="preserve"> המיוחד לענייני אינטרסים של שרים</w:t>
      </w:r>
      <w:r w:rsidRPr="001327AA">
        <w:rPr>
          <w:rtl/>
        </w:rPr>
        <w:t xml:space="preserve"> (</w:t>
      </w:r>
      <w:r w:rsidRPr="00551677">
        <w:t>independent adviser on Ministers’ interests</w:t>
      </w:r>
      <w:r w:rsidRPr="001327AA">
        <w:rPr>
          <w:rtl/>
        </w:rPr>
        <w:t>)</w:t>
      </w:r>
      <w:r>
        <w:rPr>
          <w:rStyle w:val="ac"/>
          <w:rtl/>
        </w:rPr>
        <w:footnoteReference w:id="52"/>
      </w:r>
      <w:r w:rsidRPr="001327AA">
        <w:rPr>
          <w:rtl/>
        </w:rPr>
        <w:t xml:space="preserve"> </w:t>
      </w:r>
      <w:r w:rsidRPr="00DD71AD">
        <w:rPr>
          <w:b/>
          <w:bCs/>
          <w:rtl/>
        </w:rPr>
        <w:t xml:space="preserve">לצורך קביעת דרכי </w:t>
      </w:r>
      <w:r>
        <w:rPr>
          <w:rFonts w:hint="cs"/>
          <w:b/>
          <w:bCs/>
          <w:rtl/>
        </w:rPr>
        <w:t>ה</w:t>
      </w:r>
      <w:r w:rsidRPr="00DD71AD">
        <w:rPr>
          <w:b/>
          <w:bCs/>
          <w:rtl/>
        </w:rPr>
        <w:t>טיפול באינטרסים של</w:t>
      </w:r>
      <w:r>
        <w:rPr>
          <w:rFonts w:hint="cs"/>
          <w:b/>
          <w:bCs/>
          <w:rtl/>
        </w:rPr>
        <w:t xml:space="preserve"> השר. על השר לתעד בכתב את הפעולות הנדרשות ולהעביר העתק למנכ"ל וליועץ המיוחד</w:t>
      </w:r>
      <w:r w:rsidRPr="001327AA">
        <w:rPr>
          <w:rtl/>
        </w:rPr>
        <w:t>.</w:t>
      </w:r>
      <w:r>
        <w:rPr>
          <w:rStyle w:val="ac"/>
          <w:rtl/>
        </w:rPr>
        <w:footnoteReference w:id="53"/>
      </w:r>
      <w:r w:rsidRPr="001327AA">
        <w:rPr>
          <w:rtl/>
        </w:rPr>
        <w:t xml:space="preserve"> </w:t>
      </w:r>
      <w:r>
        <w:rPr>
          <w:rFonts w:hint="cs"/>
          <w:rtl/>
        </w:rPr>
        <w:t xml:space="preserve">ככלל, </w:t>
      </w:r>
      <w:r w:rsidRPr="001327AA">
        <w:rPr>
          <w:rtl/>
        </w:rPr>
        <w:t>המידע שמועבר למנכ"ל וליועץ המיוחד ייחשב כמי</w:t>
      </w:r>
      <w:r>
        <w:rPr>
          <w:rFonts w:hint="cs"/>
          <w:rtl/>
        </w:rPr>
        <w:t>ד</w:t>
      </w:r>
      <w:r w:rsidRPr="001327AA">
        <w:rPr>
          <w:rtl/>
        </w:rPr>
        <w:t>ע חסוי</w:t>
      </w:r>
      <w:r>
        <w:rPr>
          <w:rFonts w:hint="cs"/>
          <w:rtl/>
        </w:rPr>
        <w:t>,</w:t>
      </w:r>
      <w:r w:rsidRPr="001327AA">
        <w:rPr>
          <w:rtl/>
        </w:rPr>
        <w:t xml:space="preserve"> עם זאת</w:t>
      </w:r>
      <w:r w:rsidR="009A3E2A">
        <w:rPr>
          <w:rFonts w:hint="cs"/>
          <w:rtl/>
        </w:rPr>
        <w:t>,</w:t>
      </w:r>
      <w:r w:rsidRPr="001327AA">
        <w:rPr>
          <w:rtl/>
        </w:rPr>
        <w:t xml:space="preserve"> הצהרה שמכסה את האינטרסים השונים של השרים תפורסם פעמיים בשנה.</w:t>
      </w:r>
      <w:r>
        <w:rPr>
          <w:rStyle w:val="ac"/>
          <w:rtl/>
        </w:rPr>
        <w:footnoteReference w:id="54"/>
      </w:r>
      <w:r w:rsidRPr="001327AA">
        <w:rPr>
          <w:rtl/>
        </w:rPr>
        <w:t xml:space="preserve"> אם </w:t>
      </w:r>
      <w:r>
        <w:rPr>
          <w:rFonts w:hint="cs"/>
          <w:rtl/>
        </w:rPr>
        <w:t xml:space="preserve">הוחלט כי </w:t>
      </w:r>
      <w:r w:rsidRPr="001327AA">
        <w:rPr>
          <w:rtl/>
        </w:rPr>
        <w:t xml:space="preserve">ראוי </w:t>
      </w:r>
      <w:r>
        <w:rPr>
          <w:rFonts w:hint="cs"/>
          <w:rtl/>
        </w:rPr>
        <w:t>ש</w:t>
      </w:r>
      <w:r w:rsidRPr="001327AA">
        <w:rPr>
          <w:rtl/>
        </w:rPr>
        <w:t xml:space="preserve">שר ימשיך </w:t>
      </w:r>
      <w:r>
        <w:rPr>
          <w:rFonts w:hint="cs"/>
          <w:rtl/>
        </w:rPr>
        <w:t>"</w:t>
      </w:r>
      <w:r w:rsidRPr="001327AA">
        <w:rPr>
          <w:rtl/>
        </w:rPr>
        <w:t>להחזיק</w:t>
      </w:r>
      <w:r>
        <w:rPr>
          <w:rFonts w:hint="cs"/>
          <w:rtl/>
        </w:rPr>
        <w:t>"</w:t>
      </w:r>
      <w:r w:rsidRPr="001327AA">
        <w:rPr>
          <w:rtl/>
        </w:rPr>
        <w:t xml:space="preserve"> באינטרס אישי</w:t>
      </w:r>
      <w:r>
        <w:rPr>
          <w:rFonts w:hint="cs"/>
          <w:rtl/>
        </w:rPr>
        <w:t>,</w:t>
      </w:r>
      <w:r w:rsidRPr="001327AA">
        <w:rPr>
          <w:rtl/>
        </w:rPr>
        <w:t xml:space="preserve"> יהיה עליו להצהיר על כך בפני יתר השרים</w:t>
      </w:r>
      <w:r>
        <w:rPr>
          <w:rFonts w:hint="cs"/>
          <w:rtl/>
        </w:rPr>
        <w:t>. אם השרים נדרשים לעסוק יחדיו בנושא שיכול להשפיע על האינטרס האישי</w:t>
      </w:r>
      <w:r w:rsidR="004B58CD">
        <w:rPr>
          <w:rFonts w:hint="cs"/>
          <w:rtl/>
        </w:rPr>
        <w:t>,</w:t>
      </w:r>
      <w:r w:rsidRPr="001327AA">
        <w:rPr>
          <w:rtl/>
        </w:rPr>
        <w:t xml:space="preserve"> </w:t>
      </w:r>
      <w:r>
        <w:rPr>
          <w:rFonts w:hint="cs"/>
          <w:rtl/>
        </w:rPr>
        <w:t>השר יידרש</w:t>
      </w:r>
      <w:r w:rsidR="005A65D2">
        <w:rPr>
          <w:rFonts w:hint="cs"/>
          <w:rtl/>
        </w:rPr>
        <w:t xml:space="preserve"> להיות מנותק</w:t>
      </w:r>
      <w:r w:rsidR="009A3E2A">
        <w:rPr>
          <w:rFonts w:hint="cs"/>
          <w:rtl/>
        </w:rPr>
        <w:t xml:space="preserve"> </w:t>
      </w:r>
      <w:r>
        <w:rPr>
          <w:rFonts w:hint="cs"/>
          <w:rtl/>
        </w:rPr>
        <w:t>(</w:t>
      </w:r>
      <w:r>
        <w:t>detached</w:t>
      </w:r>
      <w:r>
        <w:rPr>
          <w:rFonts w:hint="cs"/>
          <w:rtl/>
        </w:rPr>
        <w:t>) מדיונים אלה.</w:t>
      </w:r>
      <w:r>
        <w:rPr>
          <w:rStyle w:val="ac"/>
          <w:rtl/>
        </w:rPr>
        <w:footnoteReference w:id="55"/>
      </w:r>
    </w:p>
    <w:p w:rsidR="00731DAB" w:rsidRDefault="00731DAB" w:rsidP="00426035">
      <w:pPr>
        <w:pStyle w:val="a4"/>
        <w:rPr>
          <w:rtl/>
        </w:rPr>
      </w:pPr>
      <w:r>
        <w:rPr>
          <w:rFonts w:hint="cs"/>
          <w:rtl/>
        </w:rPr>
        <w:t>ספציפית בנוגע ל</w:t>
      </w:r>
      <w:r w:rsidRPr="00DD71AD">
        <w:rPr>
          <w:rtl/>
        </w:rPr>
        <w:t>אינטרסים כלכליים</w:t>
      </w:r>
      <w:r>
        <w:rPr>
          <w:rFonts w:hint="cs"/>
          <w:rtl/>
        </w:rPr>
        <w:t xml:space="preserve"> אישיים נקבע</w:t>
      </w:r>
      <w:r w:rsidRPr="00DD71AD">
        <w:rPr>
          <w:rtl/>
        </w:rPr>
        <w:t xml:space="preserve"> </w:t>
      </w:r>
      <w:r>
        <w:rPr>
          <w:rFonts w:hint="cs"/>
          <w:rtl/>
        </w:rPr>
        <w:t xml:space="preserve">כי </w:t>
      </w:r>
      <w:r w:rsidRPr="00150387">
        <w:rPr>
          <w:b/>
          <w:bCs/>
          <w:rtl/>
        </w:rPr>
        <w:t>על שרים להקפיד שלא להיות בס</w:t>
      </w:r>
      <w:r>
        <w:rPr>
          <w:rFonts w:hint="cs"/>
          <w:b/>
          <w:bCs/>
          <w:rtl/>
        </w:rPr>
        <w:t>יכון</w:t>
      </w:r>
      <w:r w:rsidRPr="00150387">
        <w:rPr>
          <w:b/>
          <w:bCs/>
          <w:rtl/>
        </w:rPr>
        <w:t xml:space="preserve"> אמ</w:t>
      </w:r>
      <w:r>
        <w:rPr>
          <w:rFonts w:hint="cs"/>
          <w:b/>
          <w:bCs/>
          <w:rtl/>
        </w:rPr>
        <w:t>י</w:t>
      </w:r>
      <w:r w:rsidRPr="00150387">
        <w:rPr>
          <w:b/>
          <w:bCs/>
          <w:rtl/>
        </w:rPr>
        <w:t>תי או נחז</w:t>
      </w:r>
      <w:r>
        <w:rPr>
          <w:rFonts w:hint="cs"/>
          <w:b/>
          <w:bCs/>
          <w:rtl/>
        </w:rPr>
        <w:t>ה</w:t>
      </w:r>
      <w:r w:rsidRPr="00150387">
        <w:rPr>
          <w:b/>
          <w:bCs/>
          <w:rtl/>
        </w:rPr>
        <w:t xml:space="preserve"> של ניגוד עניינים בין תפקידם </w:t>
      </w:r>
      <w:r>
        <w:rPr>
          <w:rFonts w:hint="cs"/>
          <w:b/>
          <w:bCs/>
          <w:rtl/>
        </w:rPr>
        <w:t xml:space="preserve">הרשמי </w:t>
      </w:r>
      <w:r w:rsidRPr="00150387">
        <w:rPr>
          <w:b/>
          <w:bCs/>
          <w:rtl/>
        </w:rPr>
        <w:t xml:space="preserve">ובין </w:t>
      </w:r>
      <w:r w:rsidRPr="00150387">
        <w:rPr>
          <w:rFonts w:hint="cs"/>
          <w:b/>
          <w:bCs/>
          <w:rtl/>
        </w:rPr>
        <w:t>ה</w:t>
      </w:r>
      <w:r w:rsidRPr="00150387">
        <w:rPr>
          <w:b/>
          <w:bCs/>
          <w:rtl/>
        </w:rPr>
        <w:t xml:space="preserve">אינטרסים </w:t>
      </w:r>
      <w:r w:rsidRPr="00150387">
        <w:rPr>
          <w:rFonts w:hint="cs"/>
          <w:b/>
          <w:bCs/>
          <w:rtl/>
        </w:rPr>
        <w:t>ה</w:t>
      </w:r>
      <w:r w:rsidRPr="00150387">
        <w:rPr>
          <w:b/>
          <w:bCs/>
          <w:rtl/>
        </w:rPr>
        <w:t xml:space="preserve">כלכליים </w:t>
      </w:r>
      <w:r w:rsidRPr="00150387">
        <w:rPr>
          <w:rFonts w:hint="cs"/>
          <w:b/>
          <w:bCs/>
          <w:rtl/>
        </w:rPr>
        <w:t>ה</w:t>
      </w:r>
      <w:r w:rsidRPr="00150387">
        <w:rPr>
          <w:b/>
          <w:bCs/>
          <w:rtl/>
        </w:rPr>
        <w:t>אישיים שלהם</w:t>
      </w:r>
      <w:r w:rsidRPr="00DD71AD">
        <w:rPr>
          <w:rtl/>
        </w:rPr>
        <w:t xml:space="preserve">. </w:t>
      </w:r>
      <w:r>
        <w:rPr>
          <w:rFonts w:hint="cs"/>
          <w:rtl/>
        </w:rPr>
        <w:t xml:space="preserve">כך, </w:t>
      </w:r>
      <w:r w:rsidRPr="00DD71AD">
        <w:rPr>
          <w:rtl/>
        </w:rPr>
        <w:t>עליהם להיות מונחים על בסיס הע</w:t>
      </w:r>
      <w:r>
        <w:rPr>
          <w:rFonts w:hint="cs"/>
          <w:rtl/>
        </w:rPr>
        <w:t>י</w:t>
      </w:r>
      <w:r w:rsidRPr="00DD71AD">
        <w:rPr>
          <w:rtl/>
        </w:rPr>
        <w:t xml:space="preserve">קרון כי </w:t>
      </w:r>
      <w:r w:rsidRPr="001937C1">
        <w:rPr>
          <w:b/>
          <w:bCs/>
          <w:rtl/>
        </w:rPr>
        <w:t xml:space="preserve">עליהם </w:t>
      </w:r>
      <w:r w:rsidRPr="00150387">
        <w:rPr>
          <w:b/>
          <w:bCs/>
          <w:rtl/>
        </w:rPr>
        <w:t>ל</w:t>
      </w:r>
      <w:r w:rsidRPr="00150387">
        <w:rPr>
          <w:rFonts w:hint="cs"/>
          <w:b/>
          <w:bCs/>
          <w:rtl/>
        </w:rPr>
        <w:t>היפ</w:t>
      </w:r>
      <w:r>
        <w:rPr>
          <w:rFonts w:hint="cs"/>
          <w:b/>
          <w:bCs/>
          <w:rtl/>
        </w:rPr>
        <w:t>ט</w:t>
      </w:r>
      <w:r w:rsidRPr="00150387">
        <w:rPr>
          <w:rFonts w:hint="cs"/>
          <w:b/>
          <w:bCs/>
          <w:rtl/>
        </w:rPr>
        <w:t>ר</w:t>
      </w:r>
      <w:r w:rsidRPr="00150387">
        <w:rPr>
          <w:b/>
          <w:bCs/>
          <w:rtl/>
        </w:rPr>
        <w:t xml:space="preserve"> </w:t>
      </w:r>
      <w:r w:rsidRPr="00150387">
        <w:rPr>
          <w:rFonts w:hint="cs"/>
          <w:b/>
          <w:bCs/>
          <w:rtl/>
        </w:rPr>
        <w:t>(</w:t>
      </w:r>
      <w:r w:rsidRPr="00150387">
        <w:rPr>
          <w:b/>
          <w:bCs/>
        </w:rPr>
        <w:t>dispose</w:t>
      </w:r>
      <w:r w:rsidRPr="00150387">
        <w:rPr>
          <w:rFonts w:hint="cs"/>
          <w:b/>
          <w:bCs/>
          <w:rtl/>
        </w:rPr>
        <w:t>) מ</w:t>
      </w:r>
      <w:r w:rsidRPr="00150387">
        <w:rPr>
          <w:b/>
          <w:bCs/>
          <w:rtl/>
        </w:rPr>
        <w:t xml:space="preserve">האינטרס האישי </w:t>
      </w:r>
      <w:r w:rsidRPr="00150387">
        <w:rPr>
          <w:rFonts w:hint="cs"/>
          <w:b/>
          <w:bCs/>
          <w:rtl/>
        </w:rPr>
        <w:t xml:space="preserve">שלהם, </w:t>
      </w:r>
      <w:r w:rsidRPr="00150387">
        <w:rPr>
          <w:b/>
          <w:bCs/>
          <w:rtl/>
        </w:rPr>
        <w:t xml:space="preserve">או לנקוט בפעולות </w:t>
      </w:r>
      <w:r>
        <w:rPr>
          <w:rFonts w:hint="cs"/>
          <w:b/>
          <w:bCs/>
          <w:rtl/>
        </w:rPr>
        <w:t xml:space="preserve">אחרות </w:t>
      </w:r>
      <w:r w:rsidRPr="00150387">
        <w:rPr>
          <w:b/>
          <w:bCs/>
          <w:rtl/>
        </w:rPr>
        <w:t>שימנעו א</w:t>
      </w:r>
      <w:r w:rsidRPr="00150387">
        <w:rPr>
          <w:rFonts w:hint="cs"/>
          <w:b/>
          <w:bCs/>
          <w:rtl/>
        </w:rPr>
        <w:t>ו</w:t>
      </w:r>
      <w:r w:rsidRPr="00150387">
        <w:rPr>
          <w:b/>
          <w:bCs/>
          <w:rtl/>
        </w:rPr>
        <w:t>תו</w:t>
      </w:r>
      <w:r w:rsidRPr="00DD71AD">
        <w:rPr>
          <w:rtl/>
        </w:rPr>
        <w:t xml:space="preserve">. בהחלטתם </w:t>
      </w:r>
      <w:r>
        <w:rPr>
          <w:rFonts w:hint="cs"/>
          <w:rtl/>
        </w:rPr>
        <w:t>הם נדרשים</w:t>
      </w:r>
      <w:r w:rsidRPr="00DD71AD">
        <w:rPr>
          <w:rtl/>
        </w:rPr>
        <w:t xml:space="preserve"> </w:t>
      </w:r>
      <w:r w:rsidRPr="00150387">
        <w:rPr>
          <w:b/>
          <w:bCs/>
          <w:rtl/>
        </w:rPr>
        <w:t>להתחשב בייעוץ של המנכ"ל ושל היועץ המיוחד</w:t>
      </w:r>
      <w:r w:rsidRPr="00DD71AD">
        <w:rPr>
          <w:rtl/>
        </w:rPr>
        <w:t xml:space="preserve">, </w:t>
      </w:r>
      <w:r w:rsidR="009A3E2A">
        <w:rPr>
          <w:rFonts w:hint="cs"/>
          <w:rtl/>
        </w:rPr>
        <w:t>ו</w:t>
      </w:r>
      <w:r w:rsidRPr="00DD71AD">
        <w:rPr>
          <w:rtl/>
        </w:rPr>
        <w:t>אסור להם להתחשב באפשרות העסקה עתידית בחברה או בארגון ספציפי, או בציפייה לכך.</w:t>
      </w:r>
      <w:r>
        <w:rPr>
          <w:rStyle w:val="ac"/>
          <w:rtl/>
        </w:rPr>
        <w:footnoteReference w:id="56"/>
      </w:r>
      <w:r>
        <w:rPr>
          <w:rFonts w:hint="cs"/>
          <w:rtl/>
        </w:rPr>
        <w:t xml:space="preserve"> </w:t>
      </w:r>
      <w:r w:rsidRPr="00D837C0">
        <w:rPr>
          <w:rtl/>
        </w:rPr>
        <w:t>אם הוחלט כי שר יכול ל</w:t>
      </w:r>
      <w:r>
        <w:rPr>
          <w:rFonts w:hint="cs"/>
          <w:rtl/>
        </w:rPr>
        <w:t>המשיך "ול</w:t>
      </w:r>
      <w:r w:rsidRPr="00D837C0">
        <w:rPr>
          <w:rtl/>
        </w:rPr>
        <w:t>החזיק</w:t>
      </w:r>
      <w:r>
        <w:rPr>
          <w:rFonts w:hint="cs"/>
          <w:rtl/>
        </w:rPr>
        <w:t>"</w:t>
      </w:r>
      <w:r w:rsidRPr="00D837C0">
        <w:rPr>
          <w:rtl/>
        </w:rPr>
        <w:t xml:space="preserve"> באינטרס האישי שלו, אזי על השר והמשרד הרלוונטי לנקוט בפעולות שימנעו מעורבות של השר בהחלטות ובדיונים בנושאים הרלוונטיים</w:t>
      </w:r>
      <w:r>
        <w:rPr>
          <w:rFonts w:hint="cs"/>
          <w:rtl/>
        </w:rPr>
        <w:t>, כמו גם</w:t>
      </w:r>
      <w:r w:rsidRPr="00D837C0">
        <w:rPr>
          <w:rtl/>
        </w:rPr>
        <w:t xml:space="preserve"> </w:t>
      </w:r>
      <w:r w:rsidR="000F5878">
        <w:rPr>
          <w:rFonts w:hint="cs"/>
          <w:rtl/>
        </w:rPr>
        <w:t xml:space="preserve">לדאוג כי </w:t>
      </w:r>
      <w:r w:rsidRPr="00D837C0">
        <w:rPr>
          <w:rtl/>
        </w:rPr>
        <w:t xml:space="preserve">תימנע ממנו גישה למסמכים קשורים. אם אין אפשרות לנקוט בפעולות אלה </w:t>
      </w:r>
      <w:r>
        <w:rPr>
          <w:rFonts w:hint="cs"/>
          <w:rtl/>
        </w:rPr>
        <w:t>יש</w:t>
      </w:r>
      <w:r w:rsidRPr="00D837C0">
        <w:rPr>
          <w:rtl/>
        </w:rPr>
        <w:t xml:space="preserve"> להיוועץ עם ראש הממשלה ולעיתים אף יהיה חיוני כי השר יפסיק לכהן במשרה הרלוונטית</w:t>
      </w:r>
      <w:r>
        <w:rPr>
          <w:rFonts w:hint="cs"/>
          <w:rtl/>
        </w:rPr>
        <w:t xml:space="preserve"> (</w:t>
      </w:r>
      <w:r w:rsidRPr="00B00417">
        <w:rPr>
          <w:spacing w:val="4"/>
        </w:rPr>
        <w:t>may be necessary for the Minister to cease to hold the office in question</w:t>
      </w:r>
      <w:r>
        <w:rPr>
          <w:rFonts w:hint="cs"/>
          <w:rtl/>
        </w:rPr>
        <w:t>).</w:t>
      </w:r>
      <w:r>
        <w:rPr>
          <w:rStyle w:val="ac"/>
          <w:rtl/>
        </w:rPr>
        <w:footnoteReference w:id="57"/>
      </w:r>
      <w:r>
        <w:rPr>
          <w:rFonts w:hint="cs"/>
          <w:rtl/>
        </w:rPr>
        <w:t xml:space="preserve"> </w:t>
      </w:r>
      <w:r w:rsidRPr="00D837C0">
        <w:rPr>
          <w:rtl/>
        </w:rPr>
        <w:t>כמו כן, נקבעו הוראות מיוחדות בדבר מגורים רשמיים של שרים, הפסקת כהונה של שרים במשרות ציבוריות אחרות שהם עשויים לכהן בהן, כמו גם הפסקת כהונה בוועדות הפרלמנט</w:t>
      </w:r>
      <w:r>
        <w:rPr>
          <w:rFonts w:hint="cs"/>
          <w:rtl/>
        </w:rPr>
        <w:t>, הימנעות מקבלת פרסים, תארים ממדינות זרות, מתנות</w:t>
      </w:r>
      <w:r w:rsidRPr="00D837C0">
        <w:rPr>
          <w:rtl/>
        </w:rPr>
        <w:t xml:space="preserve"> וכדומה.</w:t>
      </w:r>
      <w:r>
        <w:rPr>
          <w:rStyle w:val="ac"/>
          <w:rtl/>
        </w:rPr>
        <w:footnoteReference w:id="58"/>
      </w:r>
    </w:p>
    <w:p w:rsidR="00731DAB" w:rsidRPr="00E3593E" w:rsidRDefault="00731DAB" w:rsidP="00041950">
      <w:pPr>
        <w:pStyle w:val="11"/>
        <w:keepNext/>
        <w:keepLines/>
        <w:numPr>
          <w:ilvl w:val="1"/>
          <w:numId w:val="1"/>
        </w:numPr>
        <w:spacing w:before="120"/>
        <w:rPr>
          <w:rtl/>
        </w:rPr>
      </w:pPr>
      <w:r w:rsidRPr="00E3593E">
        <w:rPr>
          <w:rFonts w:hint="cs"/>
          <w:rtl/>
        </w:rPr>
        <w:t>יועצים מיוחדים</w:t>
      </w:r>
    </w:p>
    <w:p w:rsidR="00731DAB" w:rsidRDefault="00731DAB" w:rsidP="00426035">
      <w:pPr>
        <w:pStyle w:val="a4"/>
        <w:rPr>
          <w:rtl/>
        </w:rPr>
      </w:pPr>
      <w:r>
        <w:rPr>
          <w:rFonts w:hint="cs"/>
          <w:rtl/>
        </w:rPr>
        <w:t>קוד השרים שהוצג לעיל מטפל גם במינויים של יועצים מיוחדים מטעם שרים,</w:t>
      </w:r>
      <w:r>
        <w:rPr>
          <w:rStyle w:val="ac"/>
          <w:rtl/>
        </w:rPr>
        <w:footnoteReference w:id="59"/>
      </w:r>
      <w:r>
        <w:rPr>
          <w:rFonts w:hint="cs"/>
          <w:rtl/>
        </w:rPr>
        <w:t xml:space="preserve"> למעט בעניין מעורבות שרים בגיוס עובדים אלה אשר מבוצעת בהתאם ל"עקרונות גיוס עובדים של הנציבות" (ראו </w:t>
      </w:r>
      <w:r w:rsidR="00E94D98">
        <w:rPr>
          <w:rFonts w:hint="cs"/>
          <w:rtl/>
        </w:rPr>
        <w:t>לעיל</w:t>
      </w:r>
      <w:r>
        <w:rPr>
          <w:rFonts w:hint="cs"/>
          <w:rtl/>
        </w:rPr>
        <w:t>).</w:t>
      </w:r>
      <w:r>
        <w:rPr>
          <w:rStyle w:val="ac"/>
          <w:rtl/>
        </w:rPr>
        <w:footnoteReference w:id="60"/>
      </w:r>
      <w:r>
        <w:rPr>
          <w:rFonts w:hint="cs"/>
          <w:rtl/>
        </w:rPr>
        <w:t xml:space="preserve"> כך, לפי הקוד</w:t>
      </w:r>
      <w:r w:rsidR="00E94D98">
        <w:rPr>
          <w:rFonts w:hint="cs"/>
          <w:rtl/>
        </w:rPr>
        <w:t>,</w:t>
      </w:r>
      <w:r>
        <w:rPr>
          <w:rFonts w:hint="cs"/>
          <w:rtl/>
        </w:rPr>
        <w:t xml:space="preserve"> מינוי של יועצים מיוחדים צריך להיעשות לפי הוראות חוק הרפורמה החוקתית והממשל משנת 2010 (שהוצג לעיל), כמו גם כי המינוי צריך להיעשות לפי </w:t>
      </w:r>
      <w:r w:rsidR="00E94D98">
        <w:rPr>
          <w:rFonts w:hint="cs"/>
          <w:rtl/>
        </w:rPr>
        <w:t xml:space="preserve">הוראות הדין הכללי </w:t>
      </w:r>
      <w:r>
        <w:rPr>
          <w:rFonts w:hint="cs"/>
          <w:rtl/>
        </w:rPr>
        <w:t xml:space="preserve">ובהתאם להוראות הקבינט. עוד נקבע כי לשרים תהיה החובה להבטיח </w:t>
      </w:r>
      <w:r w:rsidR="000F5878">
        <w:rPr>
          <w:rFonts w:hint="cs"/>
          <w:rtl/>
        </w:rPr>
        <w:t>ש</w:t>
      </w:r>
      <w:r>
        <w:rPr>
          <w:rFonts w:hint="cs"/>
          <w:rtl/>
        </w:rPr>
        <w:t>לא נעשה שימוש לרעה בהשפעתם על השירות הציבורי ועל מינויים ציבוריים.</w:t>
      </w:r>
      <w:r>
        <w:rPr>
          <w:rStyle w:val="ac"/>
          <w:rtl/>
        </w:rPr>
        <w:footnoteReference w:id="61"/>
      </w:r>
      <w:r>
        <w:rPr>
          <w:rFonts w:hint="cs"/>
          <w:rtl/>
        </w:rPr>
        <w:t xml:space="preserve"> כך, לפי הקוד, כל אחד מהשרים (למעט ראש הממשלה) רשאי למנות עד שני יועצים מיוחדים (ראש הממשלה רשאי לקבוע אחרת). מינויים אלה ייעשו לפי קוד ההתנהגות הכללי לעובדי מדינה שהוצג לעיל ולפי מודל החוזה ליועצים מיוחדים (</w:t>
      </w:r>
      <w:r w:rsidRPr="00B00417">
        <w:rPr>
          <w:spacing w:val="-2"/>
        </w:rPr>
        <w:t>Model Contract for Special Advisers</w:t>
      </w:r>
      <w:r>
        <w:rPr>
          <w:rFonts w:hint="cs"/>
          <w:rtl/>
        </w:rPr>
        <w:t>). המינויים מחייבים אישור מראש של ראש הממשלה.</w:t>
      </w:r>
      <w:r>
        <w:rPr>
          <w:rStyle w:val="ac"/>
          <w:rtl/>
        </w:rPr>
        <w:footnoteReference w:id="62"/>
      </w:r>
      <w:r>
        <w:rPr>
          <w:rFonts w:hint="cs"/>
          <w:rtl/>
        </w:rPr>
        <w:t xml:space="preserve"> </w:t>
      </w:r>
    </w:p>
    <w:p w:rsidR="00731DAB" w:rsidRPr="00E3593E" w:rsidRDefault="00731DAB" w:rsidP="00731DAB">
      <w:pPr>
        <w:pStyle w:val="a4"/>
        <w:rPr>
          <w:rtl/>
        </w:rPr>
      </w:pPr>
      <w:r>
        <w:rPr>
          <w:rFonts w:hint="cs"/>
          <w:rtl/>
        </w:rPr>
        <w:t>עוד נקבע, כי יועצים מיוחדים נדרשים לפעול באחריות כלפי הממשלה ולא רק כלפי השר שמינה אותם. האחריות להתנהגותם ולהתנהלותם של יועצים מיוחדים, לרבות בהיבטים משמעתיים, מסורה לשר הממנה. השרים יהיו אחראים (</w:t>
      </w:r>
      <w:r>
        <w:t>accountable</w:t>
      </w:r>
      <w:r>
        <w:rPr>
          <w:rFonts w:hint="cs"/>
          <w:rtl/>
        </w:rPr>
        <w:t>) כלפי ראש הממשלה, הפרלמנט והציבור בנוגע לפעולותיהם והחלטותיהם בדבר יועצים מיוחדים. יחד עם זאת, לראש הממשלה תהיה מסורה הסמכות לפטר יועצים כאמור באמצעות משיכת ההסכמה למינוי.</w:t>
      </w:r>
      <w:r>
        <w:rPr>
          <w:rStyle w:val="ac"/>
          <w:rtl/>
        </w:rPr>
        <w:footnoteReference w:id="63"/>
      </w:r>
      <w:r>
        <w:rPr>
          <w:rFonts w:hint="cs"/>
          <w:rtl/>
        </w:rPr>
        <w:t xml:space="preserve"> הממשלה תפרסם הצהרה שנתית לפרלמנט שבמסגרתה יצוינו כמות היועצים, פרטיהם, וכן עלותם.</w:t>
      </w:r>
      <w:r>
        <w:rPr>
          <w:rStyle w:val="ac"/>
          <w:rtl/>
        </w:rPr>
        <w:footnoteReference w:id="64"/>
      </w:r>
      <w:r>
        <w:rPr>
          <w:rFonts w:hint="cs"/>
          <w:rtl/>
        </w:rPr>
        <w:t xml:space="preserve"> </w:t>
      </w:r>
    </w:p>
    <w:p w:rsidR="00731DAB" w:rsidRPr="007B3BD5" w:rsidRDefault="00731DAB" w:rsidP="00426035">
      <w:pPr>
        <w:pStyle w:val="a4"/>
        <w:rPr>
          <w:rtl/>
        </w:rPr>
      </w:pPr>
      <w:r>
        <w:rPr>
          <w:rFonts w:hint="cs"/>
          <w:rtl/>
        </w:rPr>
        <w:t>מעבר לכך, שרים רשאים למנות מזכירים פרלמנטריים (</w:t>
      </w:r>
      <w:r w:rsidRPr="00B00417">
        <w:rPr>
          <w:spacing w:val="-2"/>
        </w:rPr>
        <w:t>Parliamentary Private Secretaries</w:t>
      </w:r>
      <w:r>
        <w:rPr>
          <w:rFonts w:hint="cs"/>
          <w:rtl/>
        </w:rPr>
        <w:t>).</w:t>
      </w:r>
      <w:r w:rsidR="008F2494">
        <w:rPr>
          <w:rStyle w:val="ac"/>
          <w:rtl/>
        </w:rPr>
        <w:footnoteReference w:id="65"/>
      </w:r>
      <w:r>
        <w:rPr>
          <w:rFonts w:hint="cs"/>
          <w:rtl/>
        </w:rPr>
        <w:t xml:space="preserve"> </w:t>
      </w:r>
      <w:r w:rsidRPr="00CE352E">
        <w:rPr>
          <w:rtl/>
        </w:rPr>
        <w:t xml:space="preserve">מינויים אלה יחייבו אישור מראש של ראש הממשלה, </w:t>
      </w:r>
      <w:r w:rsidR="000F5878">
        <w:rPr>
          <w:rFonts w:hint="cs"/>
          <w:rtl/>
        </w:rPr>
        <w:t>וכן</w:t>
      </w:r>
      <w:r w:rsidRPr="00CE352E">
        <w:rPr>
          <w:rtl/>
        </w:rPr>
        <w:t xml:space="preserve"> יהיה עליהם להיוועץ עם </w:t>
      </w:r>
      <w:r>
        <w:rPr>
          <w:rFonts w:hint="cs"/>
          <w:rtl/>
        </w:rPr>
        <w:t>יו"ר הקואליציה (</w:t>
      </w:r>
      <w:r w:rsidRPr="00B00417">
        <w:rPr>
          <w:spacing w:val="-2"/>
        </w:rPr>
        <w:t>chief whip</w:t>
      </w:r>
      <w:r>
        <w:rPr>
          <w:rFonts w:hint="cs"/>
          <w:rtl/>
        </w:rPr>
        <w:t>)</w:t>
      </w:r>
      <w:r w:rsidRPr="00CE352E">
        <w:rPr>
          <w:rtl/>
        </w:rPr>
        <w:t xml:space="preserve">. מזכירים אלה לא ייחשבו כחברי ממשלה אך חלה </w:t>
      </w:r>
      <w:r>
        <w:rPr>
          <w:rFonts w:hint="cs"/>
          <w:rtl/>
        </w:rPr>
        <w:t>עליהם ה</w:t>
      </w:r>
      <w:r w:rsidRPr="00CE352E">
        <w:rPr>
          <w:rtl/>
        </w:rPr>
        <w:t xml:space="preserve">חובה שלא </w:t>
      </w:r>
      <w:r>
        <w:rPr>
          <w:rFonts w:hint="cs"/>
          <w:rtl/>
        </w:rPr>
        <w:t>להיות ב</w:t>
      </w:r>
      <w:r w:rsidRPr="00CE352E">
        <w:rPr>
          <w:rtl/>
        </w:rPr>
        <w:t xml:space="preserve">ניגודי עניינים בין תפקידם ובין האינטרסים האישיים שלהם, ואף חל </w:t>
      </w:r>
      <w:r>
        <w:rPr>
          <w:rFonts w:hint="cs"/>
          <w:rtl/>
        </w:rPr>
        <w:t xml:space="preserve">עליהם </w:t>
      </w:r>
      <w:r w:rsidRPr="00CE352E">
        <w:rPr>
          <w:rtl/>
        </w:rPr>
        <w:t xml:space="preserve">איסור </w:t>
      </w:r>
      <w:r>
        <w:rPr>
          <w:rFonts w:hint="cs"/>
          <w:rtl/>
        </w:rPr>
        <w:t>להימצא ב</w:t>
      </w:r>
      <w:r w:rsidRPr="00CE352E">
        <w:rPr>
          <w:rtl/>
        </w:rPr>
        <w:t>מראית עין לניגודי עניינים כאמור</w:t>
      </w:r>
      <w:r>
        <w:rPr>
          <w:rFonts w:hint="cs"/>
          <w:rtl/>
        </w:rPr>
        <w:t>.</w:t>
      </w:r>
      <w:r w:rsidR="00B00417">
        <w:rPr>
          <w:rFonts w:hint="cs"/>
          <w:rtl/>
        </w:rPr>
        <w:t xml:space="preserve"> </w:t>
      </w:r>
      <w:r>
        <w:rPr>
          <w:rFonts w:hint="cs"/>
          <w:rtl/>
        </w:rPr>
        <w:t xml:space="preserve">מעבר לכך, חלים עליהם איסורים פרטניים שונים (להישמע להוראות הממשלה, חובות במהלך ביקורים </w:t>
      </w:r>
      <w:r w:rsidRPr="007B3BD5">
        <w:rPr>
          <w:rFonts w:hint="cs"/>
          <w:rtl/>
        </w:rPr>
        <w:t>רשמיים מחוץ למדינה וכדומה)</w:t>
      </w:r>
      <w:r w:rsidRPr="007B3BD5">
        <w:rPr>
          <w:rtl/>
        </w:rPr>
        <w:t>.</w:t>
      </w:r>
      <w:r w:rsidRPr="007B3BD5">
        <w:rPr>
          <w:rStyle w:val="ac"/>
          <w:rtl/>
        </w:rPr>
        <w:footnoteReference w:id="66"/>
      </w:r>
    </w:p>
    <w:p w:rsidR="00731DAB" w:rsidRPr="000C5099" w:rsidRDefault="00731DAB" w:rsidP="00731DAB">
      <w:pPr>
        <w:pStyle w:val="111"/>
        <w:numPr>
          <w:ilvl w:val="2"/>
          <w:numId w:val="1"/>
        </w:numPr>
        <w:spacing w:before="120"/>
        <w:rPr>
          <w:sz w:val="24"/>
          <w:rtl/>
        </w:rPr>
      </w:pPr>
      <w:r w:rsidRPr="000C5099">
        <w:rPr>
          <w:rFonts w:hint="cs"/>
          <w:sz w:val="24"/>
          <w:rtl/>
        </w:rPr>
        <w:t>קוד התנהגות ליועצים המיוחדים</w:t>
      </w:r>
    </w:p>
    <w:p w:rsidR="00731DAB" w:rsidRDefault="00731DAB" w:rsidP="00426035">
      <w:pPr>
        <w:pStyle w:val="a4"/>
        <w:rPr>
          <w:rtl/>
        </w:rPr>
      </w:pPr>
      <w:r w:rsidRPr="00FE03B7">
        <w:rPr>
          <w:rtl/>
        </w:rPr>
        <w:t xml:space="preserve">כאמור לעיל, יועצים מיוחדים הם חלק מהצוות שעובד עם שרים, אך בניגוד לעובדי מדינה אחרים הם מהווים מינוי אישי. </w:t>
      </w:r>
      <w:r>
        <w:rPr>
          <w:rFonts w:hint="cs"/>
          <w:rtl/>
        </w:rPr>
        <w:t>כך, גם בנוגע ליועצים מיוחדים נקבע קוד התנהגות מיוחד מכוח ההסמכה שבחוק הרפורמה החוקתית והממשל משנת 2010 (להלן: קוד היועצים המיוחדים).</w:t>
      </w:r>
      <w:r>
        <w:rPr>
          <w:rStyle w:val="ac"/>
          <w:rtl/>
        </w:rPr>
        <w:footnoteReference w:id="67"/>
      </w:r>
      <w:r>
        <w:rPr>
          <w:rFonts w:hint="cs"/>
          <w:rtl/>
        </w:rPr>
        <w:t xml:space="preserve"> לקוד מצורף קוד השירות הציבורי שהוצג לעיל כתוספת, והעקרונות שלו מנחים גם את היועצים המיוחדים, למעט כל אותן הוראות שמתנגשות עם העובדה שהיועצים </w:t>
      </w:r>
      <w:r w:rsidR="008F2494">
        <w:rPr>
          <w:rFonts w:hint="cs"/>
          <w:rtl/>
        </w:rPr>
        <w:t>ממונים ב</w:t>
      </w:r>
      <w:r>
        <w:rPr>
          <w:rFonts w:hint="cs"/>
          <w:rtl/>
        </w:rPr>
        <w:t>מינויים פוליטיים.</w:t>
      </w:r>
      <w:r>
        <w:rPr>
          <w:rStyle w:val="ac"/>
          <w:rtl/>
        </w:rPr>
        <w:footnoteReference w:id="68"/>
      </w:r>
      <w:r>
        <w:rPr>
          <w:rFonts w:hint="cs"/>
          <w:rtl/>
        </w:rPr>
        <w:t xml:space="preserve"> </w:t>
      </w:r>
    </w:p>
    <w:p w:rsidR="00731DAB" w:rsidRPr="00E466AF" w:rsidRDefault="00731DAB" w:rsidP="00041950">
      <w:pPr>
        <w:pStyle w:val="11"/>
        <w:keepNext/>
        <w:keepLines/>
        <w:numPr>
          <w:ilvl w:val="1"/>
          <w:numId w:val="1"/>
        </w:numPr>
        <w:spacing w:before="120"/>
        <w:rPr>
          <w:sz w:val="26"/>
          <w:rtl/>
        </w:rPr>
      </w:pPr>
      <w:r w:rsidRPr="00E466AF">
        <w:rPr>
          <w:rFonts w:hint="cs"/>
          <w:sz w:val="26"/>
          <w:rtl/>
        </w:rPr>
        <w:t>קוד הניהול של עובדי ציבור</w:t>
      </w:r>
    </w:p>
    <w:p w:rsidR="00731DAB" w:rsidRDefault="00731DAB" w:rsidP="00426035">
      <w:pPr>
        <w:pStyle w:val="a4"/>
        <w:rPr>
          <w:rtl/>
        </w:rPr>
      </w:pPr>
      <w:r>
        <w:rPr>
          <w:rFonts w:hint="cs"/>
          <w:rtl/>
        </w:rPr>
        <w:t>קוד הניהול של עובדי ציבור (להלן</w:t>
      </w:r>
      <w:r w:rsidR="008F2494">
        <w:rPr>
          <w:rFonts w:hint="cs"/>
          <w:rtl/>
        </w:rPr>
        <w:t xml:space="preserve"> בסעיף זה</w:t>
      </w:r>
      <w:r>
        <w:rPr>
          <w:rFonts w:hint="cs"/>
          <w:rtl/>
        </w:rPr>
        <w:t>: הקוד),</w:t>
      </w:r>
      <w:r>
        <w:rPr>
          <w:rStyle w:val="ac"/>
          <w:rtl/>
        </w:rPr>
        <w:footnoteReference w:id="69"/>
      </w:r>
      <w:r>
        <w:rPr>
          <w:rFonts w:hint="cs"/>
          <w:rtl/>
        </w:rPr>
        <w:t xml:space="preserve"> הוא הקוד המרכזי שעוסק בניהול השוטף </w:t>
      </w:r>
      <w:r w:rsidR="008F2494">
        <w:rPr>
          <w:rFonts w:hint="cs"/>
          <w:rtl/>
        </w:rPr>
        <w:t xml:space="preserve">בנושאי </w:t>
      </w:r>
      <w:r>
        <w:rPr>
          <w:rFonts w:hint="cs"/>
          <w:rtl/>
        </w:rPr>
        <w:t>עובדי ציבור, לרבות ההסדרה של סוגיות שונות שקשורות לתנאי העבודה שלהם וענייני משמעת. הקוד מהווה מעין השלמה להוראות חוק הרפורמה החוקתית והממשל משנת 2010 והוראות אחרות שקבועות בבריטניה דוגמת עקרונות גיוס עובדים של הנציבות.</w:t>
      </w:r>
      <w:r>
        <w:rPr>
          <w:rStyle w:val="ac"/>
          <w:rtl/>
        </w:rPr>
        <w:footnoteReference w:id="70"/>
      </w:r>
      <w:r>
        <w:rPr>
          <w:rFonts w:hint="cs"/>
          <w:rtl/>
        </w:rPr>
        <w:t xml:space="preserve"> כך, בין ההוראות שקבועות בקוד קבועה גם הוראה כללית בחלק שעוסק בענייני משמעת והתנהגות של עובדי ציבור, שאוסרת על עובדי ציבור להימצא בניגודי עניינים.</w:t>
      </w:r>
      <w:r>
        <w:rPr>
          <w:rStyle w:val="ac"/>
          <w:rtl/>
        </w:rPr>
        <w:footnoteReference w:id="71"/>
      </w:r>
      <w:r>
        <w:rPr>
          <w:rFonts w:hint="cs"/>
          <w:rtl/>
        </w:rPr>
        <w:t xml:space="preserve"> לפי ההוראה חל איסור על עובדי ציבור </w:t>
      </w:r>
      <w:r w:rsidRPr="00131FAE">
        <w:rPr>
          <w:rFonts w:hint="cs"/>
          <w:rtl/>
        </w:rPr>
        <w:t>לנצל לרע</w:t>
      </w:r>
      <w:r w:rsidR="008F2494">
        <w:rPr>
          <w:rFonts w:hint="cs"/>
          <w:rtl/>
        </w:rPr>
        <w:t>ה</w:t>
      </w:r>
      <w:r w:rsidRPr="00131FAE">
        <w:rPr>
          <w:rFonts w:hint="cs"/>
          <w:rtl/>
        </w:rPr>
        <w:t xml:space="preserve"> את משרתם</w:t>
      </w:r>
      <w:r>
        <w:rPr>
          <w:rFonts w:hint="cs"/>
          <w:rtl/>
        </w:rPr>
        <w:t xml:space="preserve"> </w:t>
      </w:r>
      <w:r w:rsidRPr="00131FAE">
        <w:rPr>
          <w:rFonts w:hint="cs"/>
          <w:rtl/>
        </w:rPr>
        <w:t>(</w:t>
      </w:r>
      <w:r>
        <w:t>misuse their official position</w:t>
      </w:r>
      <w:r w:rsidRPr="00131FAE">
        <w:rPr>
          <w:rFonts w:hint="cs"/>
          <w:rtl/>
        </w:rPr>
        <w:t>)</w:t>
      </w:r>
      <w:r>
        <w:rPr>
          <w:rFonts w:hint="cs"/>
          <w:rtl/>
        </w:rPr>
        <w:t xml:space="preserve"> או </w:t>
      </w:r>
      <w:r w:rsidR="008F2494">
        <w:rPr>
          <w:rFonts w:hint="cs"/>
          <w:rtl/>
        </w:rPr>
        <w:t xml:space="preserve">לנצל לרעה </w:t>
      </w:r>
      <w:r>
        <w:rPr>
          <w:rFonts w:hint="cs"/>
          <w:rtl/>
        </w:rPr>
        <w:t>מידע שהתקבל במהלך מילוי חובותיהם הרשמיות לצורך האינטרסים האישיים שלהם או של אנשים אחרים. לפי ההוראה, ניגוד עניינים עשוי להיווצר כתוצאה מאינטרסים כלכליים של העובד, וכן באופן רחב יותר מקבלת החלטות בעניינם של מי שחולקים עם עובד הציבור אינטרס פרטי. בהתקיים ניגוד עניינים, על עובד המדינה להצהיר על כך בפני גורמי הנהלה בכירה במחלקתו כדי שגורמים אלה יחליטו כיצד לפעול.</w:t>
      </w:r>
      <w:r>
        <w:rPr>
          <w:rStyle w:val="ac"/>
          <w:rtl/>
        </w:rPr>
        <w:footnoteReference w:id="72"/>
      </w:r>
    </w:p>
    <w:p w:rsidR="00731DAB" w:rsidRPr="00E466AF" w:rsidRDefault="00731DAB" w:rsidP="00731DAB">
      <w:pPr>
        <w:pStyle w:val="11"/>
        <w:numPr>
          <w:ilvl w:val="1"/>
          <w:numId w:val="1"/>
        </w:numPr>
        <w:spacing w:before="120"/>
        <w:rPr>
          <w:sz w:val="26"/>
          <w:rtl/>
        </w:rPr>
      </w:pPr>
      <w:r w:rsidRPr="00E466AF">
        <w:rPr>
          <w:rFonts w:hint="cs"/>
          <w:sz w:val="26"/>
          <w:rtl/>
        </w:rPr>
        <w:t xml:space="preserve">הוראות </w:t>
      </w:r>
      <w:r>
        <w:rPr>
          <w:rFonts w:hint="cs"/>
          <w:sz w:val="26"/>
          <w:rtl/>
        </w:rPr>
        <w:t>נוספות של משרד האוצר הבריטי</w:t>
      </w:r>
    </w:p>
    <w:p w:rsidR="00E306B5" w:rsidRDefault="00731DAB" w:rsidP="00426035">
      <w:pPr>
        <w:pStyle w:val="a4"/>
        <w:rPr>
          <w:rtl/>
        </w:rPr>
      </w:pPr>
      <w:r>
        <w:rPr>
          <w:rFonts w:hint="cs"/>
          <w:rtl/>
        </w:rPr>
        <w:t>בכללי ניהול כספי ציבור של משרד האוצר הבריטי (להלן</w:t>
      </w:r>
      <w:r w:rsidR="008F2494">
        <w:rPr>
          <w:rFonts w:hint="cs"/>
          <w:rtl/>
        </w:rPr>
        <w:t xml:space="preserve"> בסעיף זה</w:t>
      </w:r>
      <w:r>
        <w:rPr>
          <w:rFonts w:hint="cs"/>
          <w:rtl/>
        </w:rPr>
        <w:t>: הכללים),</w:t>
      </w:r>
      <w:r>
        <w:rPr>
          <w:rStyle w:val="ac"/>
          <w:rtl/>
        </w:rPr>
        <w:footnoteReference w:id="73"/>
      </w:r>
      <w:r>
        <w:rPr>
          <w:rFonts w:hint="cs"/>
          <w:rtl/>
        </w:rPr>
        <w:t xml:space="preserve"> קבועות הוראות נוספות שעשויות להיות רלוונטיות. כללים אלה קובעים, בין היתר, כי נושאי משרה </w:t>
      </w:r>
      <w:r w:rsidR="008F2494">
        <w:rPr>
          <w:rFonts w:hint="cs"/>
          <w:rtl/>
        </w:rPr>
        <w:t>בתחום החשבות (</w:t>
      </w:r>
      <w:r>
        <w:t>accounting officers</w:t>
      </w:r>
      <w:r w:rsidR="008F2494">
        <w:rPr>
          <w:rFonts w:hint="cs"/>
          <w:rtl/>
        </w:rPr>
        <w:t>)</w:t>
      </w:r>
      <w:r>
        <w:rPr>
          <w:rFonts w:hint="cs"/>
          <w:rtl/>
        </w:rPr>
        <w:t>,</w:t>
      </w:r>
      <w:r>
        <w:rPr>
          <w:rStyle w:val="ac"/>
          <w:rtl/>
        </w:rPr>
        <w:footnoteReference w:id="74"/>
      </w:r>
      <w:r>
        <w:rPr>
          <w:rFonts w:hint="cs"/>
          <w:rtl/>
        </w:rPr>
        <w:t xml:space="preserve"> שעומדים בפני ניגוד עניינים פוטנציאלי או ממשי יהיו חייבים לפעול בהתאם לסטנדרטים שקבועים בכללים. </w:t>
      </w:r>
    </w:p>
    <w:p w:rsidR="00731DAB" w:rsidRDefault="00731DAB" w:rsidP="00426035">
      <w:pPr>
        <w:pStyle w:val="a4"/>
        <w:rPr>
          <w:rtl/>
        </w:rPr>
      </w:pPr>
      <w:r>
        <w:rPr>
          <w:rFonts w:hint="cs"/>
          <w:rtl/>
        </w:rPr>
        <w:t>בין דרכי הטיפול המוצעות בכללים:</w:t>
      </w:r>
      <w:r>
        <w:rPr>
          <w:rStyle w:val="ac"/>
          <w:rtl/>
        </w:rPr>
        <w:footnoteReference w:id="75"/>
      </w:r>
      <w:r>
        <w:rPr>
          <w:rFonts w:hint="cs"/>
          <w:rtl/>
        </w:rPr>
        <w:t xml:space="preserve"> </w:t>
      </w:r>
    </w:p>
    <w:p w:rsidR="00731DAB" w:rsidRDefault="00731DAB" w:rsidP="00CA4E53">
      <w:pPr>
        <w:pStyle w:val="a4"/>
        <w:numPr>
          <w:ilvl w:val="0"/>
          <w:numId w:val="16"/>
        </w:numPr>
        <w:ind w:left="357" w:hanging="357"/>
      </w:pPr>
      <w:r>
        <w:rPr>
          <w:rFonts w:hint="cs"/>
          <w:rtl/>
        </w:rPr>
        <w:t>במקרה של ניגוד עניינים מזערי (</w:t>
      </w:r>
      <w:r>
        <w:t>minor conflict</w:t>
      </w:r>
      <w:r>
        <w:rPr>
          <w:rFonts w:hint="cs"/>
          <w:rtl/>
        </w:rPr>
        <w:t xml:space="preserve">), </w:t>
      </w:r>
      <w:r w:rsidR="008F2494">
        <w:rPr>
          <w:rFonts w:hint="cs"/>
          <w:rtl/>
        </w:rPr>
        <w:t xml:space="preserve">תהיה </w:t>
      </w:r>
      <w:r>
        <w:rPr>
          <w:rFonts w:hint="cs"/>
          <w:rtl/>
        </w:rPr>
        <w:t xml:space="preserve">הצהרה על ניגוד העניינים מצד נושא המשרה והעברת קבלת ההחלטות הרלוונטיות לגורם אחר. </w:t>
      </w:r>
    </w:p>
    <w:p w:rsidR="00731DAB" w:rsidRDefault="00731DAB" w:rsidP="00426035">
      <w:pPr>
        <w:pStyle w:val="a4"/>
        <w:numPr>
          <w:ilvl w:val="0"/>
          <w:numId w:val="16"/>
        </w:numPr>
        <w:ind w:left="357" w:hanging="357"/>
      </w:pPr>
      <w:r>
        <w:rPr>
          <w:rFonts w:hint="cs"/>
          <w:rtl/>
        </w:rPr>
        <w:t xml:space="preserve">במקרה של ניגוד עניינים משמעותי </w:t>
      </w:r>
      <w:r w:rsidR="008F2494">
        <w:rPr>
          <w:rFonts w:hint="cs"/>
          <w:rtl/>
        </w:rPr>
        <w:t xml:space="preserve">אך זמני </w:t>
      </w:r>
      <w:r>
        <w:rPr>
          <w:rFonts w:hint="cs"/>
          <w:rtl/>
        </w:rPr>
        <w:t>(</w:t>
      </w:r>
      <w:r>
        <w:t>significant but temporary</w:t>
      </w:r>
      <w:r>
        <w:rPr>
          <w:rFonts w:hint="cs"/>
          <w:rtl/>
        </w:rPr>
        <w:t xml:space="preserve">), </w:t>
      </w:r>
      <w:r w:rsidR="008F2494">
        <w:rPr>
          <w:rFonts w:hint="cs"/>
          <w:rtl/>
        </w:rPr>
        <w:t>ימונה</w:t>
      </w:r>
      <w:r>
        <w:rPr>
          <w:rFonts w:hint="cs"/>
          <w:rtl/>
        </w:rPr>
        <w:t xml:space="preserve"> נושא משרה זמני שיחליף את נושא המשרה שמצוי בניגוד עניינים למשך התקופה שבה ניגוד העניינים קיים. </w:t>
      </w:r>
    </w:p>
    <w:p w:rsidR="00731DAB" w:rsidRDefault="00731DAB" w:rsidP="00426035">
      <w:pPr>
        <w:pStyle w:val="a4"/>
        <w:numPr>
          <w:ilvl w:val="0"/>
          <w:numId w:val="16"/>
        </w:numPr>
        <w:ind w:left="357" w:hanging="357"/>
        <w:rPr>
          <w:rtl/>
        </w:rPr>
      </w:pPr>
      <w:r>
        <w:rPr>
          <w:rFonts w:hint="cs"/>
          <w:rtl/>
        </w:rPr>
        <w:t>במקרה של ניגוד עניינים משמעותי ומתמשך (</w:t>
      </w:r>
      <w:r>
        <w:t>serious and lasting conflict</w:t>
      </w:r>
      <w:r>
        <w:rPr>
          <w:rFonts w:hint="cs"/>
          <w:rtl/>
        </w:rPr>
        <w:t>)</w:t>
      </w:r>
      <w:r w:rsidR="007B2410">
        <w:rPr>
          <w:rFonts w:hint="cs"/>
          <w:rtl/>
        </w:rPr>
        <w:t xml:space="preserve"> </w:t>
      </w:r>
      <w:r w:rsidR="008F2494">
        <w:rPr>
          <w:rFonts w:hint="cs"/>
          <w:rtl/>
        </w:rPr>
        <w:t xml:space="preserve">תידרש </w:t>
      </w:r>
      <w:r>
        <w:rPr>
          <w:rFonts w:hint="cs"/>
          <w:rtl/>
        </w:rPr>
        <w:t>התפטרות.</w:t>
      </w:r>
    </w:p>
    <w:p w:rsidR="00731DAB" w:rsidRDefault="00731DAB" w:rsidP="00426035">
      <w:pPr>
        <w:pStyle w:val="a4"/>
        <w:rPr>
          <w:rtl/>
        </w:rPr>
      </w:pPr>
      <w:r>
        <w:rPr>
          <w:rFonts w:hint="cs"/>
          <w:rtl/>
        </w:rPr>
        <w:t>כמו כן, גם בכללי הממשל התאגידי הראוי לרשויות ציבוריות של משרד האוצר,</w:t>
      </w:r>
      <w:r>
        <w:rPr>
          <w:rStyle w:val="ac"/>
          <w:rtl/>
        </w:rPr>
        <w:footnoteReference w:id="76"/>
      </w:r>
      <w:r>
        <w:rPr>
          <w:rFonts w:hint="cs"/>
          <w:rtl/>
        </w:rPr>
        <w:t xml:space="preserve"> נקבעו הוראות בדבר טיפול </w:t>
      </w:r>
      <w:r w:rsidR="008F2494">
        <w:rPr>
          <w:rFonts w:hint="cs"/>
          <w:rtl/>
        </w:rPr>
        <w:t>ב</w:t>
      </w:r>
      <w:r>
        <w:rPr>
          <w:rFonts w:hint="cs"/>
          <w:rtl/>
        </w:rPr>
        <w:t xml:space="preserve">ניגודי עניינים בתאגידים ציבוריים ובמחלקות </w:t>
      </w:r>
      <w:r w:rsidR="00440B29">
        <w:rPr>
          <w:rFonts w:hint="cs"/>
          <w:rtl/>
        </w:rPr>
        <w:t xml:space="preserve">שונות </w:t>
      </w:r>
      <w:r>
        <w:rPr>
          <w:rFonts w:hint="cs"/>
          <w:rtl/>
        </w:rPr>
        <w:t>של גופים ציבוריים</w:t>
      </w:r>
      <w:r w:rsidR="008F2494">
        <w:rPr>
          <w:rFonts w:hint="cs"/>
          <w:rtl/>
        </w:rPr>
        <w:t xml:space="preserve"> וניהול של ניגוד עניינים כאמור</w:t>
      </w:r>
      <w:r>
        <w:rPr>
          <w:rFonts w:hint="cs"/>
          <w:rtl/>
        </w:rPr>
        <w:t xml:space="preserve">. כך, בין היתר, נקבע כי </w:t>
      </w:r>
      <w:r w:rsidRPr="00ED176A">
        <w:rPr>
          <w:rtl/>
        </w:rPr>
        <w:t xml:space="preserve">על </w:t>
      </w:r>
      <w:r>
        <w:rPr>
          <w:rFonts w:hint="cs"/>
          <w:rtl/>
        </w:rPr>
        <w:t>ה</w:t>
      </w:r>
      <w:r w:rsidRPr="00ED176A">
        <w:rPr>
          <w:rtl/>
        </w:rPr>
        <w:t>הנהל</w:t>
      </w:r>
      <w:r>
        <w:rPr>
          <w:rFonts w:hint="cs"/>
          <w:rtl/>
        </w:rPr>
        <w:t>ה</w:t>
      </w:r>
      <w:r w:rsidRPr="00ED176A">
        <w:rPr>
          <w:rtl/>
        </w:rPr>
        <w:t xml:space="preserve"> </w:t>
      </w:r>
      <w:r>
        <w:rPr>
          <w:rFonts w:hint="cs"/>
          <w:rtl/>
        </w:rPr>
        <w:t xml:space="preserve">של גופים רלוונטיים </w:t>
      </w:r>
      <w:r w:rsidRPr="00ED176A">
        <w:rPr>
          <w:rtl/>
        </w:rPr>
        <w:t xml:space="preserve">לקבוע מערכות לתיעוד ולניהול של ניגודי עניינים של חברי ההנהלה </w:t>
      </w:r>
      <w:r>
        <w:rPr>
          <w:rFonts w:hint="cs"/>
          <w:rtl/>
        </w:rPr>
        <w:t xml:space="preserve">(הן ניגודי עניינים </w:t>
      </w:r>
      <w:r w:rsidRPr="00ED176A">
        <w:rPr>
          <w:rtl/>
        </w:rPr>
        <w:t>בפועל ו</w:t>
      </w:r>
      <w:r>
        <w:rPr>
          <w:rFonts w:hint="cs"/>
          <w:rtl/>
        </w:rPr>
        <w:t xml:space="preserve">הן </w:t>
      </w:r>
      <w:r w:rsidRPr="00ED176A">
        <w:rPr>
          <w:rtl/>
        </w:rPr>
        <w:t>ניגודי עניינים פוטנציאליים</w:t>
      </w:r>
      <w:r>
        <w:rPr>
          <w:rFonts w:hint="cs"/>
          <w:rtl/>
        </w:rPr>
        <w:t>)</w:t>
      </w:r>
      <w:r w:rsidRPr="00ED176A">
        <w:rPr>
          <w:rtl/>
        </w:rPr>
        <w:t>, וכי על ההנהל</w:t>
      </w:r>
      <w:r>
        <w:rPr>
          <w:rFonts w:hint="cs"/>
          <w:rtl/>
        </w:rPr>
        <w:t>ה</w:t>
      </w:r>
      <w:r w:rsidRPr="00ED176A">
        <w:rPr>
          <w:rtl/>
        </w:rPr>
        <w:t xml:space="preserve"> </w:t>
      </w:r>
      <w:r>
        <w:rPr>
          <w:rFonts w:hint="cs"/>
          <w:rtl/>
        </w:rPr>
        <w:t xml:space="preserve">של כל גוף כאמור </w:t>
      </w:r>
      <w:r w:rsidRPr="00ED176A">
        <w:rPr>
          <w:rtl/>
        </w:rPr>
        <w:t xml:space="preserve">לפרסם כיצד </w:t>
      </w:r>
      <w:r>
        <w:rPr>
          <w:rFonts w:hint="cs"/>
          <w:rtl/>
        </w:rPr>
        <w:t xml:space="preserve">טופלו ומטופלים </w:t>
      </w:r>
      <w:r w:rsidRPr="00ED176A">
        <w:rPr>
          <w:rtl/>
        </w:rPr>
        <w:t>מקרים אלה.</w:t>
      </w:r>
      <w:r>
        <w:rPr>
          <w:rStyle w:val="ac"/>
          <w:rtl/>
        </w:rPr>
        <w:footnoteReference w:id="77"/>
      </w:r>
    </w:p>
    <w:p w:rsidR="00731DAB" w:rsidRPr="000C5099" w:rsidRDefault="00731DAB" w:rsidP="00731DAB">
      <w:pPr>
        <w:pStyle w:val="11"/>
        <w:numPr>
          <w:ilvl w:val="1"/>
          <w:numId w:val="1"/>
        </w:numPr>
        <w:spacing w:before="120"/>
        <w:rPr>
          <w:sz w:val="26"/>
          <w:rtl/>
        </w:rPr>
      </w:pPr>
      <w:r w:rsidRPr="000C5099">
        <w:rPr>
          <w:rFonts w:hint="cs"/>
          <w:sz w:val="26"/>
          <w:rtl/>
        </w:rPr>
        <w:t>קודי ההתנהגות של חברי הפרלמנט</w:t>
      </w:r>
    </w:p>
    <w:p w:rsidR="00731DAB" w:rsidRDefault="00731DAB" w:rsidP="00731DAB">
      <w:pPr>
        <w:pStyle w:val="a4"/>
        <w:rPr>
          <w:rtl/>
        </w:rPr>
      </w:pPr>
      <w:r>
        <w:rPr>
          <w:rFonts w:hint="cs"/>
          <w:rtl/>
        </w:rPr>
        <w:t xml:space="preserve">מקורות נוספים שרלוונטיים להסדרה </w:t>
      </w:r>
      <w:r w:rsidR="008F2494">
        <w:rPr>
          <w:rFonts w:hint="cs"/>
          <w:rtl/>
        </w:rPr>
        <w:t xml:space="preserve">בנושא ניגוד עניינים </w:t>
      </w:r>
      <w:r>
        <w:rPr>
          <w:rFonts w:hint="cs"/>
          <w:rtl/>
        </w:rPr>
        <w:t>הם קודי ההתנהגות של חברי הבית התחתון בפרלמנט הבריטי (</w:t>
      </w:r>
      <w:r>
        <w:t>House of Commons</w:t>
      </w:r>
      <w:r>
        <w:rPr>
          <w:rFonts w:hint="cs"/>
          <w:rtl/>
        </w:rPr>
        <w:t>, בית הנבחרים) וקוד ההתנהגות של הבית העליון (</w:t>
      </w:r>
      <w:r>
        <w:t>House of Lords</w:t>
      </w:r>
      <w:r>
        <w:rPr>
          <w:rFonts w:hint="cs"/>
          <w:rtl/>
        </w:rPr>
        <w:t xml:space="preserve">, בית הלורדים). </w:t>
      </w:r>
    </w:p>
    <w:p w:rsidR="00731DAB" w:rsidRDefault="00731DAB" w:rsidP="00426035">
      <w:pPr>
        <w:pStyle w:val="a4"/>
        <w:rPr>
          <w:rtl/>
        </w:rPr>
      </w:pPr>
      <w:r>
        <w:rPr>
          <w:rFonts w:hint="cs"/>
          <w:rtl/>
        </w:rPr>
        <w:t>קוד ההתנהגות של חברי הבית התחתון בפרלמנט הבריטי (להלן: קוד בית הנבחרים),</w:t>
      </w:r>
      <w:r>
        <w:rPr>
          <w:rStyle w:val="ac"/>
          <w:rtl/>
        </w:rPr>
        <w:footnoteReference w:id="78"/>
      </w:r>
      <w:r>
        <w:rPr>
          <w:rFonts w:hint="cs"/>
          <w:rtl/>
        </w:rPr>
        <w:t xml:space="preserve"> עוסק בזכויות ובחובות של חברי בית הנבחרים, ובתוך כך גם קובע הוראות שרלוונטיות להסדרת ניגודי עניינים. לקוד זה נלווה גם מדריך רשמי בדבר התנהגות חברי בית הנבחרים שאף אושר בידי הפרלמנט (להלן: המדריך הרשמי).</w:t>
      </w:r>
      <w:r>
        <w:rPr>
          <w:rStyle w:val="ac"/>
          <w:rtl/>
        </w:rPr>
        <w:footnoteReference w:id="79"/>
      </w:r>
      <w:r>
        <w:rPr>
          <w:rFonts w:hint="cs"/>
          <w:rtl/>
        </w:rPr>
        <w:t xml:space="preserve"> קוד בית הנבחרים מעגן את </w:t>
      </w:r>
      <w:r w:rsidR="00330FF3">
        <w:rPr>
          <w:rFonts w:hint="cs"/>
          <w:rtl/>
        </w:rPr>
        <w:t xml:space="preserve">שבעת </w:t>
      </w:r>
      <w:r>
        <w:rPr>
          <w:rFonts w:hint="cs"/>
          <w:rtl/>
        </w:rPr>
        <w:t>עקרונות היסוד שקבועים בקוד השרים, ובתוך כך קובע כי עקרון ה"כנות" (</w:t>
      </w:r>
      <w:r>
        <w:t>honesty</w:t>
      </w:r>
      <w:r>
        <w:rPr>
          <w:rFonts w:hint="cs"/>
          <w:rtl/>
        </w:rPr>
        <w:t>)</w:t>
      </w:r>
      <w:r>
        <w:rPr>
          <w:rStyle w:val="ac"/>
          <w:rtl/>
        </w:rPr>
        <w:footnoteReference w:id="80"/>
      </w:r>
      <w:r>
        <w:rPr>
          <w:rFonts w:hint="cs"/>
          <w:rtl/>
        </w:rPr>
        <w:t xml:space="preserve"> יכלול גם את החובה להצהיר על כל אינטרס פרטי שעשוי להתנגש עם חובותיהם הציבוריות</w:t>
      </w:r>
      <w:r w:rsidR="00330FF3">
        <w:rPr>
          <w:rFonts w:hint="cs"/>
          <w:rtl/>
        </w:rPr>
        <w:t xml:space="preserve"> של חברי הפרלמנט</w:t>
      </w:r>
      <w:r>
        <w:rPr>
          <w:rFonts w:hint="cs"/>
          <w:rtl/>
        </w:rPr>
        <w:t>, וכן לנקוט בצעדים כדי לפתור את ההתנגשות האמורה בדרך שתגן על האינטרס הציבורי.</w:t>
      </w:r>
      <w:r>
        <w:rPr>
          <w:rStyle w:val="ac"/>
          <w:rtl/>
        </w:rPr>
        <w:footnoteReference w:id="81"/>
      </w:r>
      <w:r>
        <w:rPr>
          <w:rFonts w:hint="cs"/>
          <w:rtl/>
        </w:rPr>
        <w:t xml:space="preserve"> עקרון זה אף מעוגן בחלק של </w:t>
      </w:r>
      <w:r w:rsidRPr="004E43D1">
        <w:rPr>
          <w:rtl/>
        </w:rPr>
        <w:t xml:space="preserve">קוד בית הנבחרים </w:t>
      </w:r>
      <w:r>
        <w:rPr>
          <w:rFonts w:hint="cs"/>
          <w:rtl/>
        </w:rPr>
        <w:t>שעוסק בכללי ההתנהגות שחלים עליהם.</w:t>
      </w:r>
      <w:r>
        <w:rPr>
          <w:rStyle w:val="ac"/>
          <w:rtl/>
        </w:rPr>
        <w:footnoteReference w:id="82"/>
      </w:r>
      <w:r>
        <w:rPr>
          <w:rFonts w:hint="cs"/>
          <w:rtl/>
        </w:rPr>
        <w:t xml:space="preserve"> </w:t>
      </w:r>
      <w:r w:rsidRPr="004E43D1">
        <w:rPr>
          <w:rtl/>
        </w:rPr>
        <w:t>כ</w:t>
      </w:r>
      <w:r>
        <w:rPr>
          <w:rFonts w:hint="cs"/>
          <w:rtl/>
        </w:rPr>
        <w:t>ך, נקבע כי</w:t>
      </w:r>
      <w:r w:rsidRPr="004E43D1">
        <w:rPr>
          <w:rtl/>
        </w:rPr>
        <w:t xml:space="preserve"> על חברי הבית לפעול על בסיס האינטרס הציבורי ולהימנע מהתנגשות בין האינטרסים האישיים שלהם ובין האינטרס הציבורי ולפתור כל התנגשות ביניהם באופן מיידי לטובת האינטרס הציבורי</w:t>
      </w:r>
      <w:r>
        <w:rPr>
          <w:rFonts w:hint="cs"/>
          <w:rtl/>
        </w:rPr>
        <w:t>.</w:t>
      </w:r>
      <w:r>
        <w:rPr>
          <w:rStyle w:val="ac"/>
          <w:rtl/>
        </w:rPr>
        <w:footnoteReference w:id="83"/>
      </w:r>
      <w:r>
        <w:rPr>
          <w:rFonts w:hint="cs"/>
          <w:rtl/>
        </w:rPr>
        <w:t xml:space="preserve"> מעבר לכך, נקבע כי חברי פרלמנט נדרשים להצהיר ולרשום את האינטרסים הכלכליים האישיים שלהם במרשם מיוחד, כמו גם כי עליהם להיות כנים ולהסב את תשומת הלב במהלך עבודתם לאינטרסים האישיים שלהם.</w:t>
      </w:r>
      <w:r>
        <w:rPr>
          <w:rStyle w:val="ac"/>
          <w:rtl/>
        </w:rPr>
        <w:footnoteReference w:id="84"/>
      </w:r>
      <w:r>
        <w:rPr>
          <w:rFonts w:hint="cs"/>
          <w:rtl/>
        </w:rPr>
        <w:t xml:space="preserve"> </w:t>
      </w:r>
    </w:p>
    <w:p w:rsidR="00731DAB" w:rsidRDefault="00731DAB" w:rsidP="00426035">
      <w:pPr>
        <w:pStyle w:val="a4"/>
        <w:rPr>
          <w:rtl/>
        </w:rPr>
      </w:pPr>
      <w:r w:rsidRPr="00772210">
        <w:rPr>
          <w:rtl/>
        </w:rPr>
        <w:t>לפי המדריך הרשמי, חברים חדשים בבית נדרשים בתוך חודש ממועד בחירתם לרשום את האינטרסים הכלכליים העדכניים שלהם וכן כל אינטרס שהיה להם במהלך תקופה בת 12 חודשים שקדמה למועד בחירתם. כמו כן, עליהם לעדכן את הרישומים בתוך 28 ימים ממועד של כל שינוי שנעשה באינטרסים הרשומים (לרבות במקרה ש</w:t>
      </w:r>
      <w:r w:rsidR="00330FF3">
        <w:rPr>
          <w:rFonts w:hint="cs"/>
          <w:rtl/>
        </w:rPr>
        <w:t xml:space="preserve">בו </w:t>
      </w:r>
      <w:r w:rsidRPr="00772210">
        <w:rPr>
          <w:rtl/>
        </w:rPr>
        <w:t xml:space="preserve">נוצר אינטרס חדש). חברי הבית נדרשים גם להודיע לנציב (ראו להלן) בטרם ביצוע פעולות כלשהן, לרבות נאומים או השתתפות בהליכים (למעט הצבעה), </w:t>
      </w:r>
      <w:r w:rsidR="00330FF3" w:rsidRPr="00772210">
        <w:rPr>
          <w:rtl/>
        </w:rPr>
        <w:t>שלגביה</w:t>
      </w:r>
      <w:r w:rsidR="00330FF3">
        <w:rPr>
          <w:rFonts w:hint="cs"/>
          <w:rtl/>
        </w:rPr>
        <w:t>ם</w:t>
      </w:r>
      <w:r w:rsidR="00330FF3" w:rsidRPr="00772210">
        <w:rPr>
          <w:rtl/>
        </w:rPr>
        <w:t xml:space="preserve"> </w:t>
      </w:r>
      <w:r w:rsidRPr="00772210">
        <w:rPr>
          <w:rtl/>
        </w:rPr>
        <w:t>האינטרסים רלוונטיים.</w:t>
      </w:r>
      <w:r>
        <w:rPr>
          <w:rStyle w:val="ac"/>
          <w:rtl/>
        </w:rPr>
        <w:footnoteReference w:id="85"/>
      </w:r>
      <w:r>
        <w:rPr>
          <w:rFonts w:hint="cs"/>
          <w:rtl/>
        </w:rPr>
        <w:t xml:space="preserve"> </w:t>
      </w:r>
      <w:r w:rsidRPr="005D2498">
        <w:rPr>
          <w:rtl/>
        </w:rPr>
        <w:t>המדריך קובע 10 קטגוריות שונות שלגביהן חלות חובות דיווח</w:t>
      </w:r>
      <w:r>
        <w:rPr>
          <w:rFonts w:hint="cs"/>
          <w:rtl/>
        </w:rPr>
        <w:t xml:space="preserve"> כדלקמן</w:t>
      </w:r>
      <w:r w:rsidRPr="005D2498">
        <w:rPr>
          <w:rtl/>
        </w:rPr>
        <w:t xml:space="preserve">: </w:t>
      </w:r>
    </w:p>
    <w:p w:rsidR="00731DAB" w:rsidRDefault="00731DAB" w:rsidP="00E306B5">
      <w:pPr>
        <w:pStyle w:val="a4"/>
        <w:numPr>
          <w:ilvl w:val="0"/>
          <w:numId w:val="16"/>
        </w:numPr>
        <w:ind w:left="357" w:hanging="357"/>
      </w:pPr>
      <w:r w:rsidRPr="005D2498">
        <w:rPr>
          <w:b/>
          <w:bCs/>
          <w:u w:val="single"/>
          <w:rtl/>
        </w:rPr>
        <w:t>העסקה</w:t>
      </w:r>
      <w:r w:rsidRPr="005D2498">
        <w:rPr>
          <w:rFonts w:hint="cs"/>
          <w:b/>
          <w:bCs/>
          <w:u w:val="single"/>
          <w:rtl/>
        </w:rPr>
        <w:t xml:space="preserve"> ורווחים אחרים (</w:t>
      </w:r>
      <w:r w:rsidRPr="005D2498">
        <w:rPr>
          <w:b/>
          <w:bCs/>
          <w:u w:val="single"/>
        </w:rPr>
        <w:t>Employment and earnings</w:t>
      </w:r>
      <w:r w:rsidRPr="005D2498">
        <w:rPr>
          <w:rFonts w:hint="cs"/>
          <w:b/>
          <w:bCs/>
          <w:u w:val="single"/>
          <w:rtl/>
        </w:rPr>
        <w:t>)</w:t>
      </w:r>
      <w:r>
        <w:rPr>
          <w:rFonts w:hint="cs"/>
          <w:rtl/>
        </w:rPr>
        <w:t>:</w:t>
      </w:r>
      <w:r>
        <w:rPr>
          <w:rStyle w:val="ac"/>
          <w:rtl/>
        </w:rPr>
        <w:footnoteReference w:id="86"/>
      </w:r>
      <w:r>
        <w:rPr>
          <w:rFonts w:hint="cs"/>
          <w:rtl/>
        </w:rPr>
        <w:t xml:space="preserve"> </w:t>
      </w:r>
      <w:r w:rsidRPr="005D2498">
        <w:rPr>
          <w:rtl/>
        </w:rPr>
        <w:t xml:space="preserve">על חברי </w:t>
      </w:r>
      <w:r>
        <w:rPr>
          <w:rFonts w:hint="cs"/>
          <w:rtl/>
        </w:rPr>
        <w:t>ה</w:t>
      </w:r>
      <w:r w:rsidRPr="005D2498">
        <w:rPr>
          <w:rtl/>
        </w:rPr>
        <w:t>פרלמנט לדווח על כל תשלום ש</w:t>
      </w:r>
      <w:r>
        <w:rPr>
          <w:rFonts w:hint="cs"/>
          <w:rtl/>
        </w:rPr>
        <w:t xml:space="preserve">סכומו </w:t>
      </w:r>
      <w:r w:rsidRPr="005D2498">
        <w:rPr>
          <w:rtl/>
        </w:rPr>
        <w:t xml:space="preserve">עולה על 100 ליש"ט שהתקבל כתוצאה מעבודה מחוץ לפרלמנט, כמו גם </w:t>
      </w:r>
      <w:r>
        <w:rPr>
          <w:rFonts w:hint="cs"/>
          <w:rtl/>
        </w:rPr>
        <w:t xml:space="preserve">על </w:t>
      </w:r>
      <w:r w:rsidRPr="005D2498">
        <w:rPr>
          <w:rtl/>
        </w:rPr>
        <w:t>כל תשלום שהתקבל ללא קשר לסכומו</w:t>
      </w:r>
      <w:r>
        <w:rPr>
          <w:rFonts w:hint="cs"/>
          <w:rtl/>
        </w:rPr>
        <w:t>,</w:t>
      </w:r>
      <w:r w:rsidRPr="005D2498">
        <w:rPr>
          <w:rtl/>
        </w:rPr>
        <w:t xml:space="preserve"> אם הוא מהווה חלק מתשלום של סכום העולה על 300 ליש"ט שהתקבל במהלך שנה </w:t>
      </w:r>
      <w:proofErr w:type="spellStart"/>
      <w:r>
        <w:rPr>
          <w:rFonts w:hint="cs"/>
          <w:rtl/>
        </w:rPr>
        <w:t>קלנדרית</w:t>
      </w:r>
      <w:proofErr w:type="spellEnd"/>
      <w:r>
        <w:rPr>
          <w:rFonts w:hint="cs"/>
          <w:rtl/>
        </w:rPr>
        <w:t xml:space="preserve"> אחת </w:t>
      </w:r>
      <w:r w:rsidRPr="005D2498">
        <w:rPr>
          <w:rtl/>
        </w:rPr>
        <w:t>מאותו המקור.</w:t>
      </w:r>
      <w:r>
        <w:rPr>
          <w:rStyle w:val="ac"/>
          <w:rtl/>
        </w:rPr>
        <w:footnoteReference w:id="87"/>
      </w:r>
      <w:r>
        <w:rPr>
          <w:rFonts w:hint="cs"/>
          <w:rtl/>
        </w:rPr>
        <w:t xml:space="preserve"> </w:t>
      </w:r>
      <w:r w:rsidRPr="005D2498">
        <w:rPr>
          <w:rtl/>
        </w:rPr>
        <w:t xml:space="preserve">כך, </w:t>
      </w:r>
      <w:r>
        <w:rPr>
          <w:rFonts w:hint="cs"/>
          <w:rtl/>
        </w:rPr>
        <w:t>ככלל ובכפוף לסייגים שבמדריך,</w:t>
      </w:r>
      <w:r>
        <w:rPr>
          <w:rStyle w:val="ac"/>
          <w:rtl/>
        </w:rPr>
        <w:footnoteReference w:id="88"/>
      </w:r>
      <w:r>
        <w:rPr>
          <w:rFonts w:hint="cs"/>
          <w:rtl/>
        </w:rPr>
        <w:t xml:space="preserve"> </w:t>
      </w:r>
      <w:r w:rsidRPr="005D2498">
        <w:rPr>
          <w:rtl/>
        </w:rPr>
        <w:t>עליהם לכלול בדיווח כל תשלום שקיבלו בגין שירות</w:t>
      </w:r>
      <w:r>
        <w:rPr>
          <w:rFonts w:hint="cs"/>
          <w:rtl/>
        </w:rPr>
        <w:t>ים</w:t>
      </w:r>
      <w:r w:rsidRPr="005D2498">
        <w:rPr>
          <w:rtl/>
        </w:rPr>
        <w:t xml:space="preserve"> או עבודה שביצעו (בין אם במזומן או בדרך אחרת, כגון: מתנ</w:t>
      </w:r>
      <w:r>
        <w:rPr>
          <w:rFonts w:hint="cs"/>
          <w:rtl/>
        </w:rPr>
        <w:t>ות</w:t>
      </w:r>
      <w:r w:rsidRPr="005D2498">
        <w:rPr>
          <w:rtl/>
        </w:rPr>
        <w:t>)</w:t>
      </w:r>
      <w:r>
        <w:rPr>
          <w:rFonts w:hint="cs"/>
          <w:rtl/>
        </w:rPr>
        <w:t>,</w:t>
      </w:r>
      <w:r w:rsidRPr="005D2498">
        <w:rPr>
          <w:rtl/>
        </w:rPr>
        <w:t xml:space="preserve"> </w:t>
      </w:r>
      <w:r>
        <w:rPr>
          <w:rFonts w:hint="cs"/>
          <w:rtl/>
        </w:rPr>
        <w:t xml:space="preserve">כמו גם </w:t>
      </w:r>
      <w:r w:rsidRPr="005D2498">
        <w:rPr>
          <w:rtl/>
        </w:rPr>
        <w:t>תשלומי פיטורין</w:t>
      </w:r>
      <w:r>
        <w:rPr>
          <w:rFonts w:hint="cs"/>
          <w:rtl/>
        </w:rPr>
        <w:t xml:space="preserve">, </w:t>
      </w:r>
      <w:r w:rsidRPr="005D2498">
        <w:rPr>
          <w:rtl/>
        </w:rPr>
        <w:t>תשלומים לפנים משורת הדין</w:t>
      </w:r>
      <w:r>
        <w:rPr>
          <w:rFonts w:hint="cs"/>
          <w:rtl/>
        </w:rPr>
        <w:t xml:space="preserve"> ועוד.</w:t>
      </w:r>
      <w:r>
        <w:rPr>
          <w:rStyle w:val="ac"/>
          <w:rtl/>
        </w:rPr>
        <w:footnoteReference w:id="89"/>
      </w:r>
      <w:r>
        <w:rPr>
          <w:rFonts w:hint="cs"/>
          <w:rtl/>
        </w:rPr>
        <w:t xml:space="preserve"> </w:t>
      </w:r>
      <w:r w:rsidRPr="00CD776D">
        <w:rPr>
          <w:rtl/>
        </w:rPr>
        <w:t xml:space="preserve">אם מקור התשלומים בחוזה שמשכו עולה על 12 חודשים חבר הבית </w:t>
      </w:r>
      <w:r w:rsidR="00E306B5">
        <w:rPr>
          <w:rFonts w:hint="cs"/>
          <w:rtl/>
        </w:rPr>
        <w:t xml:space="preserve">רשאי </w:t>
      </w:r>
      <w:r w:rsidRPr="00CD776D">
        <w:rPr>
          <w:rtl/>
        </w:rPr>
        <w:t>לרשום את החוזה כולו במקום לרשום כל תשלום בנפרד.</w:t>
      </w:r>
      <w:r>
        <w:rPr>
          <w:rStyle w:val="ac"/>
          <w:rtl/>
        </w:rPr>
        <w:footnoteReference w:id="90"/>
      </w:r>
    </w:p>
    <w:p w:rsidR="00731DAB" w:rsidRDefault="00731DAB" w:rsidP="00CA4E53">
      <w:pPr>
        <w:pStyle w:val="a4"/>
        <w:numPr>
          <w:ilvl w:val="0"/>
          <w:numId w:val="16"/>
        </w:numPr>
        <w:ind w:left="357" w:hanging="357"/>
      </w:pPr>
      <w:r w:rsidRPr="00CD776D">
        <w:rPr>
          <w:b/>
          <w:bCs/>
          <w:u w:val="single"/>
          <w:rtl/>
        </w:rPr>
        <w:t>תרומות ותמיכה אחרת ב</w:t>
      </w:r>
      <w:r>
        <w:rPr>
          <w:rFonts w:hint="cs"/>
          <w:b/>
          <w:bCs/>
          <w:u w:val="single"/>
          <w:rtl/>
        </w:rPr>
        <w:t>פעילות כ</w:t>
      </w:r>
      <w:r w:rsidRPr="00CD776D">
        <w:rPr>
          <w:b/>
          <w:bCs/>
          <w:u w:val="single"/>
          <w:rtl/>
        </w:rPr>
        <w:t>חברי פרלמנ</w:t>
      </w:r>
      <w:r>
        <w:rPr>
          <w:rFonts w:hint="cs"/>
          <w:b/>
          <w:bCs/>
          <w:u w:val="single"/>
          <w:rtl/>
        </w:rPr>
        <w:t>ט</w:t>
      </w:r>
      <w:r w:rsidRPr="00CD776D">
        <w:rPr>
          <w:rtl/>
        </w:rPr>
        <w:t xml:space="preserve">: </w:t>
      </w:r>
      <w:r>
        <w:rPr>
          <w:rFonts w:hint="cs"/>
          <w:rtl/>
        </w:rPr>
        <w:t xml:space="preserve">על </w:t>
      </w:r>
      <w:r w:rsidRPr="00CD776D">
        <w:rPr>
          <w:rtl/>
        </w:rPr>
        <w:t xml:space="preserve">חברי </w:t>
      </w:r>
      <w:r>
        <w:rPr>
          <w:rFonts w:hint="cs"/>
          <w:rtl/>
        </w:rPr>
        <w:t>הפרלמנט</w:t>
      </w:r>
      <w:r w:rsidRPr="00CD776D">
        <w:rPr>
          <w:rtl/>
        </w:rPr>
        <w:t xml:space="preserve"> לדווח על כל תשלום שניתן </w:t>
      </w:r>
      <w:r>
        <w:rPr>
          <w:rFonts w:hint="cs"/>
          <w:rtl/>
        </w:rPr>
        <w:t xml:space="preserve">להם </w:t>
      </w:r>
      <w:r w:rsidRPr="00CD776D">
        <w:rPr>
          <w:rtl/>
        </w:rPr>
        <w:t xml:space="preserve">במטרה לתמוך בפעילותם כחברי פרלמנט או לצורך בחירתם לתפקיד פרלמנטרי או </w:t>
      </w:r>
      <w:r>
        <w:rPr>
          <w:rFonts w:hint="cs"/>
          <w:rtl/>
        </w:rPr>
        <w:t xml:space="preserve">תפקיד </w:t>
      </w:r>
      <w:r w:rsidRPr="00CD776D">
        <w:rPr>
          <w:rtl/>
        </w:rPr>
        <w:t>אחר</w:t>
      </w:r>
      <w:r>
        <w:rPr>
          <w:rFonts w:hint="cs"/>
          <w:rtl/>
        </w:rPr>
        <w:t>,</w:t>
      </w:r>
      <w:r w:rsidRPr="00CD776D">
        <w:rPr>
          <w:rtl/>
        </w:rPr>
        <w:t xml:space="preserve"> שסכומו עולה על 1,500 ליש"ט בין אם כתרומה אחת או בכמה תרומות שסכומן עולה על 500 ליש"ט במשך שנה </w:t>
      </w:r>
      <w:proofErr w:type="spellStart"/>
      <w:r w:rsidRPr="00CD776D">
        <w:rPr>
          <w:rtl/>
        </w:rPr>
        <w:t>קלנדרית</w:t>
      </w:r>
      <w:proofErr w:type="spellEnd"/>
      <w:r>
        <w:rPr>
          <w:rFonts w:hint="cs"/>
          <w:rtl/>
        </w:rPr>
        <w:t xml:space="preserve"> אחת</w:t>
      </w:r>
      <w:r w:rsidRPr="00235808">
        <w:rPr>
          <w:rtl/>
        </w:rPr>
        <w:t xml:space="preserve"> </w:t>
      </w:r>
      <w:r w:rsidRPr="00CD776D">
        <w:rPr>
          <w:rtl/>
        </w:rPr>
        <w:t>מאותו המקור</w:t>
      </w:r>
      <w:r>
        <w:rPr>
          <w:rFonts w:hint="cs"/>
          <w:rtl/>
        </w:rPr>
        <w:t>.</w:t>
      </w:r>
      <w:r>
        <w:rPr>
          <w:rStyle w:val="ac"/>
          <w:rtl/>
        </w:rPr>
        <w:footnoteReference w:id="91"/>
      </w:r>
      <w:r>
        <w:rPr>
          <w:rFonts w:hint="cs"/>
          <w:rtl/>
        </w:rPr>
        <w:t xml:space="preserve"> כך, ככלל ובכפוף לסייגים שבמדריך,</w:t>
      </w:r>
      <w:r>
        <w:rPr>
          <w:rStyle w:val="ac"/>
          <w:rtl/>
        </w:rPr>
        <w:footnoteReference w:id="92"/>
      </w:r>
      <w:r>
        <w:rPr>
          <w:rFonts w:hint="cs"/>
          <w:rtl/>
        </w:rPr>
        <w:t xml:space="preserve"> עליהם לכלול בדיווח כל תשלום </w:t>
      </w:r>
      <w:r w:rsidRPr="00235808">
        <w:rPr>
          <w:rtl/>
        </w:rPr>
        <w:t xml:space="preserve">שמהווה סיוע פיננסי, חסות, הלוואות, הסכם אשראי </w:t>
      </w:r>
      <w:r>
        <w:rPr>
          <w:rFonts w:hint="cs"/>
          <w:rtl/>
        </w:rPr>
        <w:t>ועוד.</w:t>
      </w:r>
      <w:r>
        <w:rPr>
          <w:rStyle w:val="ac"/>
        </w:rPr>
        <w:footnoteReference w:id="93"/>
      </w:r>
      <w:r w:rsidRPr="00235808">
        <w:rPr>
          <w:rtl/>
        </w:rPr>
        <w:t xml:space="preserve"> </w:t>
      </w:r>
    </w:p>
    <w:p w:rsidR="00731DAB" w:rsidRDefault="00731DAB" w:rsidP="00426035">
      <w:pPr>
        <w:pStyle w:val="a4"/>
        <w:numPr>
          <w:ilvl w:val="0"/>
          <w:numId w:val="16"/>
        </w:numPr>
        <w:ind w:left="357" w:hanging="357"/>
      </w:pPr>
      <w:r w:rsidRPr="00F6553D">
        <w:rPr>
          <w:b/>
          <w:bCs/>
          <w:u w:val="single"/>
          <w:rtl/>
        </w:rPr>
        <w:t>מתנות</w:t>
      </w:r>
      <w:r>
        <w:rPr>
          <w:rFonts w:hint="cs"/>
          <w:b/>
          <w:bCs/>
          <w:u w:val="single"/>
          <w:rtl/>
        </w:rPr>
        <w:t xml:space="preserve">, </w:t>
      </w:r>
      <w:r w:rsidRPr="00F6553D">
        <w:rPr>
          <w:b/>
          <w:bCs/>
          <w:u w:val="single"/>
          <w:rtl/>
        </w:rPr>
        <w:t xml:space="preserve">הטבות </w:t>
      </w:r>
      <w:r>
        <w:rPr>
          <w:rFonts w:hint="cs"/>
          <w:b/>
          <w:bCs/>
          <w:u w:val="single"/>
          <w:rtl/>
        </w:rPr>
        <w:t xml:space="preserve">ואירוח </w:t>
      </w:r>
      <w:r w:rsidR="00330FF3">
        <w:rPr>
          <w:rFonts w:hint="cs"/>
          <w:b/>
          <w:bCs/>
          <w:u w:val="single"/>
          <w:rtl/>
        </w:rPr>
        <w:t xml:space="preserve">שמקורם </w:t>
      </w:r>
      <w:r>
        <w:rPr>
          <w:rFonts w:hint="cs"/>
          <w:b/>
          <w:bCs/>
          <w:u w:val="single"/>
          <w:rtl/>
        </w:rPr>
        <w:t>בבריטניה</w:t>
      </w:r>
      <w:r w:rsidRPr="00F6553D">
        <w:rPr>
          <w:rtl/>
        </w:rPr>
        <w:t xml:space="preserve">: על חברי הפרלמנט לדווח על כל מתנה, הטבה או אירוח </w:t>
      </w:r>
      <w:r w:rsidR="00330FF3">
        <w:rPr>
          <w:rFonts w:hint="cs"/>
          <w:rtl/>
        </w:rPr>
        <w:t xml:space="preserve">שמקורם </w:t>
      </w:r>
      <w:r>
        <w:rPr>
          <w:rFonts w:hint="cs"/>
          <w:rtl/>
        </w:rPr>
        <w:t xml:space="preserve">בבריטניה </w:t>
      </w:r>
      <w:r w:rsidRPr="00F6553D">
        <w:rPr>
          <w:rtl/>
        </w:rPr>
        <w:t xml:space="preserve">(להלן - מתנות) שקיבלו </w:t>
      </w:r>
      <w:r>
        <w:rPr>
          <w:rFonts w:hint="cs"/>
          <w:rtl/>
        </w:rPr>
        <w:t>וא</w:t>
      </w:r>
      <w:r w:rsidRPr="00F6553D">
        <w:rPr>
          <w:rtl/>
        </w:rPr>
        <w:t>ש</w:t>
      </w:r>
      <w:r>
        <w:rPr>
          <w:rFonts w:hint="cs"/>
          <w:rtl/>
        </w:rPr>
        <w:t xml:space="preserve">ר </w:t>
      </w:r>
      <w:r w:rsidRPr="00F6553D">
        <w:rPr>
          <w:rtl/>
        </w:rPr>
        <w:t xml:space="preserve">ערכם </w:t>
      </w:r>
      <w:r>
        <w:rPr>
          <w:rFonts w:hint="cs"/>
          <w:rtl/>
        </w:rPr>
        <w:t xml:space="preserve">עלה </w:t>
      </w:r>
      <w:r w:rsidRPr="00F6553D">
        <w:rPr>
          <w:rtl/>
        </w:rPr>
        <w:t xml:space="preserve">על סכום של 300 ליש"ט, </w:t>
      </w:r>
      <w:r w:rsidR="00330FF3">
        <w:rPr>
          <w:rFonts w:hint="cs"/>
          <w:rtl/>
        </w:rPr>
        <w:t>ו</w:t>
      </w:r>
      <w:r w:rsidRPr="00FF30E5">
        <w:rPr>
          <w:rtl/>
        </w:rPr>
        <w:t xml:space="preserve">על מתנות כאמור מאותו המקור אם ערכן המשותף עלה </w:t>
      </w:r>
      <w:r w:rsidR="00330FF3">
        <w:rPr>
          <w:rFonts w:hint="cs"/>
          <w:rtl/>
        </w:rPr>
        <w:t xml:space="preserve">על </w:t>
      </w:r>
      <w:r w:rsidRPr="00FF30E5">
        <w:rPr>
          <w:rtl/>
        </w:rPr>
        <w:t xml:space="preserve">סכום של 300 ליש"ט בשנה </w:t>
      </w:r>
      <w:proofErr w:type="spellStart"/>
      <w:r w:rsidRPr="00FF30E5">
        <w:rPr>
          <w:rtl/>
        </w:rPr>
        <w:t>קלנדרית</w:t>
      </w:r>
      <w:proofErr w:type="spellEnd"/>
      <w:r>
        <w:rPr>
          <w:rFonts w:hint="cs"/>
          <w:rtl/>
        </w:rPr>
        <w:t>.</w:t>
      </w:r>
      <w:r>
        <w:rPr>
          <w:rStyle w:val="ac"/>
          <w:rtl/>
        </w:rPr>
        <w:footnoteReference w:id="94"/>
      </w:r>
      <w:r w:rsidRPr="00FF30E5">
        <w:rPr>
          <w:rFonts w:hint="cs"/>
          <w:rtl/>
        </w:rPr>
        <w:t xml:space="preserve"> </w:t>
      </w:r>
      <w:r>
        <w:rPr>
          <w:rFonts w:hint="cs"/>
          <w:rtl/>
        </w:rPr>
        <w:t>כך, ככלל</w:t>
      </w:r>
      <w:r w:rsidR="00330FF3">
        <w:rPr>
          <w:rFonts w:hint="cs"/>
          <w:rtl/>
        </w:rPr>
        <w:t>,</w:t>
      </w:r>
      <w:r>
        <w:rPr>
          <w:rFonts w:hint="cs"/>
          <w:rtl/>
        </w:rPr>
        <w:t xml:space="preserve"> ובכפוף לסייגים שבמדריך,</w:t>
      </w:r>
      <w:r>
        <w:rPr>
          <w:rStyle w:val="ac"/>
          <w:rtl/>
        </w:rPr>
        <w:footnoteReference w:id="95"/>
      </w:r>
      <w:r>
        <w:rPr>
          <w:rFonts w:hint="cs"/>
          <w:rtl/>
        </w:rPr>
        <w:t xml:space="preserve"> עליהם לכלול בדיווח כל </w:t>
      </w:r>
      <w:r w:rsidRPr="00FF30E5">
        <w:rPr>
          <w:rtl/>
        </w:rPr>
        <w:t>מתנה שקשורה בדרך כלשהי לחברותם בבית או לפעילותם הפוליטית, לרבות</w:t>
      </w:r>
      <w:r>
        <w:rPr>
          <w:rFonts w:hint="cs"/>
          <w:rtl/>
        </w:rPr>
        <w:t>:</w:t>
      </w:r>
      <w:r w:rsidRPr="00FF30E5">
        <w:rPr>
          <w:rtl/>
        </w:rPr>
        <w:t xml:space="preserve"> </w:t>
      </w:r>
      <w:r>
        <w:rPr>
          <w:rFonts w:hint="cs"/>
          <w:rtl/>
        </w:rPr>
        <w:t xml:space="preserve">תשלום בגין אירועים או טיולים, </w:t>
      </w:r>
      <w:r w:rsidRPr="00FF30E5">
        <w:rPr>
          <w:rtl/>
        </w:rPr>
        <w:t>אירוח, מנויים</w:t>
      </w:r>
      <w:r>
        <w:rPr>
          <w:rFonts w:hint="cs"/>
          <w:rtl/>
        </w:rPr>
        <w:t xml:space="preserve"> ועוד.</w:t>
      </w:r>
      <w:r>
        <w:rPr>
          <w:rStyle w:val="ac"/>
          <w:rtl/>
        </w:rPr>
        <w:footnoteReference w:id="96"/>
      </w:r>
      <w:r>
        <w:rPr>
          <w:rFonts w:hint="cs"/>
          <w:rtl/>
        </w:rPr>
        <w:t xml:space="preserve"> כמו כן, חלה חובה לדווח על מתן מתנות כאמור לצד שלישי, אם חבר הבית יודע כי המתנות ניתנו בקשר עם פעילותו הפוליטית או חברותו בבית.</w:t>
      </w:r>
      <w:r>
        <w:rPr>
          <w:rStyle w:val="ac"/>
          <w:rtl/>
        </w:rPr>
        <w:footnoteReference w:id="97"/>
      </w:r>
    </w:p>
    <w:p w:rsidR="00731DAB" w:rsidRDefault="00731DAB" w:rsidP="00CA4E53">
      <w:pPr>
        <w:pStyle w:val="a4"/>
        <w:numPr>
          <w:ilvl w:val="0"/>
          <w:numId w:val="16"/>
        </w:numPr>
        <w:ind w:left="357" w:hanging="357"/>
      </w:pPr>
      <w:r w:rsidRPr="00FF30E5">
        <w:rPr>
          <w:rFonts w:hint="cs"/>
          <w:b/>
          <w:bCs/>
          <w:u w:val="single"/>
          <w:rtl/>
        </w:rPr>
        <w:t>ביקורים מחוץ לבריטניה</w:t>
      </w:r>
      <w:r>
        <w:rPr>
          <w:rFonts w:hint="cs"/>
          <w:rtl/>
        </w:rPr>
        <w:t xml:space="preserve">: על חברי פרלמנט לדווח </w:t>
      </w:r>
      <w:r w:rsidRPr="002D34AF">
        <w:rPr>
          <w:rtl/>
        </w:rPr>
        <w:t>על כל ביקור מחוץ לשטחי בריטניה שעלותו עלתה על סכום של 300 ליש"ט</w:t>
      </w:r>
      <w:r w:rsidR="00440B29">
        <w:rPr>
          <w:rFonts w:hint="cs"/>
          <w:rtl/>
        </w:rPr>
        <w:t>,</w:t>
      </w:r>
      <w:r w:rsidRPr="002D34AF">
        <w:rPr>
          <w:rtl/>
        </w:rPr>
        <w:t xml:space="preserve"> אם העלות האמורה לא שולמה במלואה בידי חבר הבית או קרן ציבורית בריטית, כמו גם ביקורים נפרדים ששולמו בידי אותו המקור אם עלותם המצרפית עולה על 300 ליש"ט בשנה </w:t>
      </w:r>
      <w:proofErr w:type="spellStart"/>
      <w:r w:rsidRPr="002D34AF">
        <w:rPr>
          <w:rtl/>
        </w:rPr>
        <w:t>קלנדרית</w:t>
      </w:r>
      <w:proofErr w:type="spellEnd"/>
      <w:r w:rsidRPr="002D34AF">
        <w:rPr>
          <w:rtl/>
        </w:rPr>
        <w:t xml:space="preserve"> אחת.</w:t>
      </w:r>
      <w:r>
        <w:rPr>
          <w:rStyle w:val="ac"/>
          <w:rtl/>
        </w:rPr>
        <w:footnoteReference w:id="98"/>
      </w:r>
      <w:r w:rsidRPr="002D34AF">
        <w:rPr>
          <w:rFonts w:hint="cs"/>
          <w:rtl/>
        </w:rPr>
        <w:t xml:space="preserve"> </w:t>
      </w:r>
      <w:r>
        <w:rPr>
          <w:rFonts w:hint="cs"/>
          <w:rtl/>
        </w:rPr>
        <w:t>כך, ככלל ובכפוף לסייגים שבמדריך,</w:t>
      </w:r>
      <w:r>
        <w:rPr>
          <w:rStyle w:val="ac"/>
          <w:rtl/>
        </w:rPr>
        <w:footnoteReference w:id="99"/>
      </w:r>
      <w:r>
        <w:rPr>
          <w:rFonts w:hint="cs"/>
          <w:rtl/>
        </w:rPr>
        <w:t xml:space="preserve"> עליהם לכלול בדיווח כל ביקור כאמור </w:t>
      </w:r>
      <w:r w:rsidRPr="00FF30E5">
        <w:rPr>
          <w:rtl/>
        </w:rPr>
        <w:t>שקשור בדרך כלשהי לחברותם בבית או לפעילותם הפוליטית, לרבות</w:t>
      </w:r>
      <w:r>
        <w:rPr>
          <w:rFonts w:hint="cs"/>
          <w:rtl/>
        </w:rPr>
        <w:t>:</w:t>
      </w:r>
      <w:r w:rsidRPr="00FF30E5">
        <w:rPr>
          <w:rtl/>
        </w:rPr>
        <w:t xml:space="preserve"> </w:t>
      </w:r>
      <w:r>
        <w:rPr>
          <w:rFonts w:hint="cs"/>
          <w:rtl/>
        </w:rPr>
        <w:t>נסיעות מחוץ למדינה, עלויות אירוח, ארוחות וכדומה.</w:t>
      </w:r>
      <w:r>
        <w:rPr>
          <w:rStyle w:val="ac"/>
          <w:rtl/>
        </w:rPr>
        <w:footnoteReference w:id="100"/>
      </w:r>
    </w:p>
    <w:p w:rsidR="00731DAB" w:rsidRDefault="00731DAB" w:rsidP="00CA4E53">
      <w:pPr>
        <w:pStyle w:val="a4"/>
        <w:numPr>
          <w:ilvl w:val="0"/>
          <w:numId w:val="16"/>
        </w:numPr>
        <w:ind w:left="357" w:hanging="357"/>
      </w:pPr>
      <w:r w:rsidRPr="002D34AF">
        <w:rPr>
          <w:rFonts w:hint="cs"/>
          <w:b/>
          <w:bCs/>
          <w:u w:val="single"/>
          <w:rtl/>
        </w:rPr>
        <w:t>מתנות והטבות שמקורן מחוץ לבריטניה</w:t>
      </w:r>
      <w:r w:rsidRPr="002D34AF">
        <w:rPr>
          <w:rFonts w:hint="cs"/>
          <w:rtl/>
        </w:rPr>
        <w:t>:</w:t>
      </w:r>
      <w:r>
        <w:rPr>
          <w:rFonts w:hint="cs"/>
          <w:rtl/>
        </w:rPr>
        <w:t xml:space="preserve"> הוראות אלה דומות להוראות שהוצגו לעיל בדבר מתנות והטבות שמקורן בבריטניה.</w:t>
      </w:r>
      <w:r>
        <w:rPr>
          <w:rStyle w:val="ac"/>
          <w:rtl/>
        </w:rPr>
        <w:footnoteReference w:id="101"/>
      </w:r>
    </w:p>
    <w:p w:rsidR="00731DAB" w:rsidRDefault="00731DAB" w:rsidP="00CA4E53">
      <w:pPr>
        <w:pStyle w:val="a4"/>
        <w:numPr>
          <w:ilvl w:val="0"/>
          <w:numId w:val="16"/>
        </w:numPr>
        <w:ind w:left="357" w:hanging="357"/>
      </w:pPr>
      <w:r w:rsidRPr="002D34AF">
        <w:rPr>
          <w:b/>
          <w:bCs/>
          <w:u w:val="single"/>
          <w:rtl/>
        </w:rPr>
        <w:t>קרקעות ורכוש</w:t>
      </w:r>
      <w:r w:rsidRPr="002D34AF">
        <w:rPr>
          <w:rtl/>
        </w:rPr>
        <w:t>: על חברי הפרלמנט לדווח על קרקעות ורכוש ששווי</w:t>
      </w:r>
      <w:r>
        <w:rPr>
          <w:rFonts w:hint="cs"/>
          <w:rtl/>
        </w:rPr>
        <w:t>ם</w:t>
      </w:r>
      <w:r w:rsidRPr="002D34AF">
        <w:rPr>
          <w:rtl/>
        </w:rPr>
        <w:t xml:space="preserve"> עולה על 100,000 ליש</w:t>
      </w:r>
      <w:r>
        <w:rPr>
          <w:rFonts w:hint="cs"/>
          <w:rtl/>
        </w:rPr>
        <w:t>"</w:t>
      </w:r>
      <w:r w:rsidRPr="002D34AF">
        <w:rPr>
          <w:rtl/>
        </w:rPr>
        <w:t xml:space="preserve">ט או אשר מהווים חלק מפורטפוליו שסכומו עולה על סכום זה; או לחילופין </w:t>
      </w:r>
      <w:r>
        <w:rPr>
          <w:rFonts w:hint="cs"/>
          <w:rtl/>
        </w:rPr>
        <w:t>על קרקעות ורכוש ששווים</w:t>
      </w:r>
      <w:r w:rsidRPr="002D34AF">
        <w:rPr>
          <w:rtl/>
        </w:rPr>
        <w:t>, לבד או ביחד עם רכוש אחר שבבעלות חבר הפרלמנט, מספק הכנסה שנתית</w:t>
      </w:r>
      <w:r>
        <w:rPr>
          <w:rFonts w:hint="cs"/>
          <w:rtl/>
        </w:rPr>
        <w:t xml:space="preserve"> </w:t>
      </w:r>
      <w:r w:rsidRPr="002D34AF">
        <w:rPr>
          <w:rtl/>
        </w:rPr>
        <w:t>משכירות  של 10,000</w:t>
      </w:r>
      <w:r>
        <w:rPr>
          <w:rFonts w:hint="cs"/>
          <w:rtl/>
        </w:rPr>
        <w:t xml:space="preserve"> ליש"ט או יותר.</w:t>
      </w:r>
      <w:r>
        <w:rPr>
          <w:rStyle w:val="ac"/>
          <w:rtl/>
        </w:rPr>
        <w:footnoteReference w:id="102"/>
      </w:r>
      <w:r w:rsidRPr="00017893">
        <w:rPr>
          <w:rFonts w:hint="cs"/>
          <w:rtl/>
        </w:rPr>
        <w:t xml:space="preserve"> </w:t>
      </w:r>
      <w:r>
        <w:rPr>
          <w:rFonts w:hint="cs"/>
          <w:rtl/>
        </w:rPr>
        <w:t>כך, ככלל ובכפוף לסייגים שבמדריך,</w:t>
      </w:r>
      <w:r>
        <w:rPr>
          <w:rStyle w:val="ac"/>
          <w:rtl/>
        </w:rPr>
        <w:footnoteReference w:id="103"/>
      </w:r>
      <w:r>
        <w:rPr>
          <w:rFonts w:hint="cs"/>
          <w:rtl/>
        </w:rPr>
        <w:t xml:space="preserve"> עליהם לכלול בדיווח כל קרקע או רכוש כאמור שבבעלות חבר הפרלמנט, בין אם </w:t>
      </w:r>
      <w:r w:rsidRPr="00017893">
        <w:rPr>
          <w:rtl/>
        </w:rPr>
        <w:t xml:space="preserve">לבד </w:t>
      </w:r>
      <w:r>
        <w:rPr>
          <w:rFonts w:hint="cs"/>
          <w:rtl/>
        </w:rPr>
        <w:t xml:space="preserve">ובין אם </w:t>
      </w:r>
      <w:r w:rsidRPr="00017893">
        <w:rPr>
          <w:rtl/>
        </w:rPr>
        <w:t xml:space="preserve">ביחד או בשם </w:t>
      </w:r>
      <w:r>
        <w:rPr>
          <w:rFonts w:hint="cs"/>
          <w:rtl/>
        </w:rPr>
        <w:t>בן או בת זוג</w:t>
      </w:r>
      <w:r w:rsidRPr="00017893">
        <w:rPr>
          <w:rtl/>
        </w:rPr>
        <w:t xml:space="preserve">, </w:t>
      </w:r>
      <w:r>
        <w:rPr>
          <w:rFonts w:hint="cs"/>
          <w:rtl/>
        </w:rPr>
        <w:t xml:space="preserve">או </w:t>
      </w:r>
      <w:r w:rsidRPr="00017893">
        <w:rPr>
          <w:rtl/>
        </w:rPr>
        <w:t>שות</w:t>
      </w:r>
      <w:r>
        <w:rPr>
          <w:rFonts w:hint="cs"/>
          <w:rtl/>
        </w:rPr>
        <w:t>ף,</w:t>
      </w:r>
      <w:r w:rsidRPr="00017893">
        <w:rPr>
          <w:rtl/>
        </w:rPr>
        <w:t xml:space="preserve"> או ילד</w:t>
      </w:r>
      <w:r>
        <w:rPr>
          <w:rFonts w:hint="cs"/>
          <w:rtl/>
        </w:rPr>
        <w:t xml:space="preserve"> שתלוי בחבר הפרלמנט.</w:t>
      </w:r>
      <w:r>
        <w:rPr>
          <w:rStyle w:val="ac"/>
          <w:rtl/>
        </w:rPr>
        <w:footnoteReference w:id="104"/>
      </w:r>
    </w:p>
    <w:p w:rsidR="00731DAB" w:rsidRDefault="00731DAB" w:rsidP="00CA4E53">
      <w:pPr>
        <w:pStyle w:val="a4"/>
        <w:numPr>
          <w:ilvl w:val="0"/>
          <w:numId w:val="16"/>
        </w:numPr>
        <w:ind w:left="357" w:hanging="357"/>
      </w:pPr>
      <w:r w:rsidRPr="00E45661">
        <w:rPr>
          <w:b/>
          <w:bCs/>
          <w:u w:val="single"/>
          <w:rtl/>
        </w:rPr>
        <w:t>החזקת מניות</w:t>
      </w:r>
      <w:r w:rsidRPr="00E45661">
        <w:rPr>
          <w:rtl/>
        </w:rPr>
        <w:t>: על חבר</w:t>
      </w:r>
      <w:r>
        <w:rPr>
          <w:rFonts w:hint="cs"/>
          <w:rtl/>
        </w:rPr>
        <w:t>י</w:t>
      </w:r>
      <w:r w:rsidRPr="00E45661">
        <w:rPr>
          <w:rtl/>
        </w:rPr>
        <w:t xml:space="preserve"> הפרלמנט לדווח על החזקות שמהוות 15% מסך ההון המונפק של חברה או שותפות, או לחילופין ששווין עולה על סכום של 70,000 ליש"ט.</w:t>
      </w:r>
      <w:r>
        <w:rPr>
          <w:rStyle w:val="ac"/>
          <w:rtl/>
        </w:rPr>
        <w:footnoteReference w:id="105"/>
      </w:r>
      <w:r>
        <w:rPr>
          <w:rFonts w:hint="cs"/>
          <w:rtl/>
        </w:rPr>
        <w:t xml:space="preserve"> כך, ככלל ובכפוף לסייגים שבמדריך,</w:t>
      </w:r>
      <w:r>
        <w:rPr>
          <w:rStyle w:val="ac"/>
          <w:rtl/>
        </w:rPr>
        <w:footnoteReference w:id="106"/>
      </w:r>
      <w:r>
        <w:rPr>
          <w:rFonts w:hint="cs"/>
          <w:rtl/>
        </w:rPr>
        <w:t xml:space="preserve"> עליהם לכלול בדיווח כל החזקה כאמור שמצויה בבעלות חבר הפרלמנט, בין אם </w:t>
      </w:r>
      <w:r w:rsidRPr="00017893">
        <w:rPr>
          <w:rtl/>
        </w:rPr>
        <w:t xml:space="preserve">לבד </w:t>
      </w:r>
      <w:r>
        <w:rPr>
          <w:rFonts w:hint="cs"/>
          <w:rtl/>
        </w:rPr>
        <w:t xml:space="preserve">ובין אם </w:t>
      </w:r>
      <w:r w:rsidRPr="00017893">
        <w:rPr>
          <w:rtl/>
        </w:rPr>
        <w:t xml:space="preserve">ביחד או בשם </w:t>
      </w:r>
      <w:r>
        <w:rPr>
          <w:rFonts w:hint="cs"/>
          <w:rtl/>
        </w:rPr>
        <w:t>בן או בת זוג</w:t>
      </w:r>
      <w:r w:rsidRPr="00017893">
        <w:rPr>
          <w:rtl/>
        </w:rPr>
        <w:t xml:space="preserve">, </w:t>
      </w:r>
      <w:r>
        <w:rPr>
          <w:rFonts w:hint="cs"/>
          <w:rtl/>
        </w:rPr>
        <w:t xml:space="preserve">או </w:t>
      </w:r>
      <w:r w:rsidRPr="00017893">
        <w:rPr>
          <w:rtl/>
        </w:rPr>
        <w:t>שות</w:t>
      </w:r>
      <w:r>
        <w:rPr>
          <w:rFonts w:hint="cs"/>
          <w:rtl/>
        </w:rPr>
        <w:t>ף,</w:t>
      </w:r>
      <w:r w:rsidRPr="00017893">
        <w:rPr>
          <w:rtl/>
        </w:rPr>
        <w:t xml:space="preserve"> או ילד</w:t>
      </w:r>
      <w:r>
        <w:rPr>
          <w:rFonts w:hint="cs"/>
          <w:rtl/>
        </w:rPr>
        <w:t xml:space="preserve"> שתלוי בחבר הפרלמנט, לרבות מניות שמנוהלות בנאמנות (</w:t>
      </w:r>
      <w:r>
        <w:t>trust</w:t>
      </w:r>
      <w:r>
        <w:rPr>
          <w:rFonts w:hint="cs"/>
          <w:rtl/>
        </w:rPr>
        <w:t>) או מכשירים פיננסי</w:t>
      </w:r>
      <w:r w:rsidR="00330FF3">
        <w:rPr>
          <w:rFonts w:hint="cs"/>
          <w:rtl/>
        </w:rPr>
        <w:t>י</w:t>
      </w:r>
      <w:r>
        <w:rPr>
          <w:rFonts w:hint="cs"/>
          <w:rtl/>
        </w:rPr>
        <w:t>ם אחרים.</w:t>
      </w:r>
      <w:r>
        <w:rPr>
          <w:rStyle w:val="ac"/>
          <w:rtl/>
        </w:rPr>
        <w:footnoteReference w:id="107"/>
      </w:r>
    </w:p>
    <w:p w:rsidR="00731DAB" w:rsidRDefault="00731DAB" w:rsidP="00426035">
      <w:pPr>
        <w:pStyle w:val="a4"/>
        <w:numPr>
          <w:ilvl w:val="0"/>
          <w:numId w:val="16"/>
        </w:numPr>
        <w:ind w:left="357" w:hanging="357"/>
      </w:pPr>
      <w:r>
        <w:rPr>
          <w:rFonts w:hint="cs"/>
          <w:b/>
          <w:bCs/>
          <w:u w:val="single"/>
          <w:rtl/>
        </w:rPr>
        <w:t>שונות</w:t>
      </w:r>
      <w:r w:rsidRPr="000943E8">
        <w:rPr>
          <w:rFonts w:hint="cs"/>
          <w:rtl/>
        </w:rPr>
        <w:t>:</w:t>
      </w:r>
      <w:r>
        <w:rPr>
          <w:rFonts w:hint="cs"/>
          <w:rtl/>
        </w:rPr>
        <w:t xml:space="preserve"> על חברי הפרלמנט לדווח </w:t>
      </w:r>
      <w:r w:rsidRPr="00AB1339">
        <w:rPr>
          <w:rtl/>
        </w:rPr>
        <w:t xml:space="preserve">על כל אינטרס כלכלי או הטבה מהותית שלא </w:t>
      </w:r>
      <w:r w:rsidR="00330FF3">
        <w:rPr>
          <w:rFonts w:hint="cs"/>
          <w:rtl/>
        </w:rPr>
        <w:t>נופלים</w:t>
      </w:r>
      <w:r w:rsidR="00330FF3" w:rsidRPr="00AB1339">
        <w:rPr>
          <w:rtl/>
        </w:rPr>
        <w:t xml:space="preserve"> </w:t>
      </w:r>
      <w:r w:rsidRPr="00AB1339">
        <w:rPr>
          <w:rtl/>
        </w:rPr>
        <w:t>לאחת הקטגוריות האחרות, לרבות החזקה של מניות או רכוש אחר</w:t>
      </w:r>
      <w:r w:rsidR="00330FF3">
        <w:rPr>
          <w:rFonts w:hint="cs"/>
          <w:rtl/>
        </w:rPr>
        <w:t>,</w:t>
      </w:r>
      <w:r w:rsidRPr="00AB1339">
        <w:rPr>
          <w:rtl/>
        </w:rPr>
        <w:t xml:space="preserve"> שבאופן סביר ניתן היה להסיק כי יש </w:t>
      </w:r>
      <w:proofErr w:type="spellStart"/>
      <w:r w:rsidR="00330FF3">
        <w:rPr>
          <w:rFonts w:hint="cs"/>
          <w:rtl/>
        </w:rPr>
        <w:t>ב</w:t>
      </w:r>
      <w:r w:rsidR="00A44D8D">
        <w:rPr>
          <w:rFonts w:hint="cs"/>
          <w:rtl/>
        </w:rPr>
        <w:t>ו</w:t>
      </w:r>
      <w:r w:rsidR="00330FF3">
        <w:rPr>
          <w:rFonts w:hint="cs"/>
          <w:rtl/>
        </w:rPr>
        <w:t>הם</w:t>
      </w:r>
      <w:proofErr w:type="spellEnd"/>
      <w:r w:rsidR="00330FF3" w:rsidRPr="00AB1339">
        <w:rPr>
          <w:rtl/>
        </w:rPr>
        <w:t xml:space="preserve"> </w:t>
      </w:r>
      <w:r w:rsidRPr="00AB1339">
        <w:rPr>
          <w:rtl/>
        </w:rPr>
        <w:t>כדי להשפיע על חבר הפרלמנט, גם אם אותו אינטרס לא עומד ברף הכספי שנקבע בקריטריונים.</w:t>
      </w:r>
      <w:r>
        <w:rPr>
          <w:rStyle w:val="ac"/>
          <w:rtl/>
        </w:rPr>
        <w:footnoteReference w:id="108"/>
      </w:r>
    </w:p>
    <w:p w:rsidR="00731DAB" w:rsidRDefault="00731DAB" w:rsidP="00CA4E53">
      <w:pPr>
        <w:pStyle w:val="a4"/>
        <w:numPr>
          <w:ilvl w:val="0"/>
          <w:numId w:val="16"/>
        </w:numPr>
        <w:ind w:left="357" w:hanging="357"/>
      </w:pPr>
      <w:r w:rsidRPr="00694A6D">
        <w:rPr>
          <w:b/>
          <w:bCs/>
          <w:u w:val="single"/>
          <w:rtl/>
        </w:rPr>
        <w:t>בני משפחה שמועסקים</w:t>
      </w:r>
      <w:r w:rsidRPr="00694A6D">
        <w:rPr>
          <w:rFonts w:hint="cs"/>
          <w:b/>
          <w:bCs/>
          <w:u w:val="single"/>
          <w:rtl/>
        </w:rPr>
        <w:t xml:space="preserve"> בקשר עם הפרלמנט</w:t>
      </w:r>
      <w:r w:rsidRPr="00CA0548">
        <w:rPr>
          <w:rtl/>
        </w:rPr>
        <w:t xml:space="preserve">: על חברי הפרלמנט לדווח על </w:t>
      </w:r>
      <w:r>
        <w:rPr>
          <w:rFonts w:hint="cs"/>
          <w:rtl/>
        </w:rPr>
        <w:t>כל בני</w:t>
      </w:r>
      <w:r w:rsidRPr="00CA0548">
        <w:rPr>
          <w:rtl/>
        </w:rPr>
        <w:t xml:space="preserve"> </w:t>
      </w:r>
      <w:r>
        <w:rPr>
          <w:rFonts w:hint="cs"/>
          <w:rtl/>
        </w:rPr>
        <w:t>ה</w:t>
      </w:r>
      <w:r w:rsidRPr="00CA0548">
        <w:rPr>
          <w:rtl/>
        </w:rPr>
        <w:t xml:space="preserve">משפחה </w:t>
      </w:r>
      <w:r>
        <w:rPr>
          <w:rFonts w:hint="cs"/>
          <w:rtl/>
        </w:rPr>
        <w:t xml:space="preserve">שלהם </w:t>
      </w:r>
      <w:r w:rsidRPr="00CA0548">
        <w:rPr>
          <w:rtl/>
        </w:rPr>
        <w:t xml:space="preserve">שמקבלים תשלום מסעיף הוצאות פרלמנטריות </w:t>
      </w:r>
      <w:r>
        <w:rPr>
          <w:rFonts w:hint="cs"/>
          <w:rtl/>
        </w:rPr>
        <w:t>(</w:t>
      </w:r>
      <w:r w:rsidRPr="00CA1037">
        <w:t>parliamentary</w:t>
      </w:r>
      <w:r>
        <w:t xml:space="preserve"> </w:t>
      </w:r>
      <w:r w:rsidRPr="00CA1037">
        <w:t>expenses</w:t>
      </w:r>
      <w:r>
        <w:rPr>
          <w:rFonts w:hint="cs"/>
          <w:rtl/>
        </w:rPr>
        <w:t xml:space="preserve">) </w:t>
      </w:r>
      <w:r w:rsidRPr="00CA0548">
        <w:rPr>
          <w:rtl/>
        </w:rPr>
        <w:t xml:space="preserve">בסכום שעולה על 700 ליש"ט בשנה </w:t>
      </w:r>
      <w:proofErr w:type="spellStart"/>
      <w:r w:rsidRPr="00CA0548">
        <w:rPr>
          <w:rtl/>
        </w:rPr>
        <w:t>קלנדרית</w:t>
      </w:r>
      <w:proofErr w:type="spellEnd"/>
      <w:r w:rsidRPr="00CA0548">
        <w:rPr>
          <w:rtl/>
        </w:rPr>
        <w:t xml:space="preserve"> אחת</w:t>
      </w:r>
      <w:r>
        <w:rPr>
          <w:rFonts w:hint="cs"/>
          <w:rtl/>
        </w:rPr>
        <w:t>.</w:t>
      </w:r>
      <w:r>
        <w:rPr>
          <w:rStyle w:val="ac"/>
        </w:rPr>
        <w:footnoteReference w:id="109"/>
      </w:r>
      <w:r>
        <w:rPr>
          <w:rFonts w:hint="cs"/>
          <w:rtl/>
        </w:rPr>
        <w:t xml:space="preserve"> בני משפחה מוגדרים במדריך כדלקמן: </w:t>
      </w:r>
      <w:r w:rsidRPr="00694A6D">
        <w:rPr>
          <w:rtl/>
        </w:rPr>
        <w:t>בן או בת זוג, הורים, ילדים, נכדים, סבים, אחים, דודים, אח</w:t>
      </w:r>
      <w:r>
        <w:rPr>
          <w:rFonts w:hint="cs"/>
          <w:rtl/>
        </w:rPr>
        <w:t>י</w:t>
      </w:r>
      <w:r w:rsidRPr="00694A6D">
        <w:rPr>
          <w:rtl/>
        </w:rPr>
        <w:t>ינים, או קרובי משפחה אלה של בן או בת הזוג</w:t>
      </w:r>
      <w:r>
        <w:rPr>
          <w:rFonts w:hint="cs"/>
          <w:rtl/>
        </w:rPr>
        <w:t>.</w:t>
      </w:r>
      <w:r>
        <w:rPr>
          <w:rStyle w:val="ac"/>
          <w:rtl/>
        </w:rPr>
        <w:footnoteReference w:id="110"/>
      </w:r>
    </w:p>
    <w:p w:rsidR="00731DAB" w:rsidRDefault="00731DAB" w:rsidP="00CA4E53">
      <w:pPr>
        <w:pStyle w:val="a4"/>
        <w:numPr>
          <w:ilvl w:val="0"/>
          <w:numId w:val="16"/>
        </w:numPr>
        <w:ind w:left="357" w:hanging="357"/>
      </w:pPr>
      <w:r w:rsidRPr="00694A6D">
        <w:rPr>
          <w:b/>
          <w:bCs/>
          <w:u w:val="single"/>
          <w:rtl/>
        </w:rPr>
        <w:t>בני משפחה שעוסקים בפעילות שתדלנית</w:t>
      </w:r>
      <w:r w:rsidRPr="00694A6D">
        <w:rPr>
          <w:rtl/>
        </w:rPr>
        <w:t>: על חברי הפרלמנט לדווח על כל בני המשפחה שלהם</w:t>
      </w:r>
      <w:r>
        <w:rPr>
          <w:rFonts w:hint="cs"/>
          <w:rtl/>
        </w:rPr>
        <w:t xml:space="preserve"> </w:t>
      </w:r>
      <w:r w:rsidRPr="006D5160">
        <w:rPr>
          <w:rtl/>
        </w:rPr>
        <w:t>שעוסקים בפעילות שתדלנית במגזר הציבורי, אם הם מודעים או שהיו צריכים להיות מודעים באופן סביר למעורבותם של בני משפחה אלה בפעילות האמורה</w:t>
      </w:r>
      <w:r>
        <w:rPr>
          <w:rFonts w:hint="cs"/>
          <w:rtl/>
        </w:rPr>
        <w:t>.</w:t>
      </w:r>
      <w:r>
        <w:rPr>
          <w:rStyle w:val="ac"/>
          <w:rtl/>
        </w:rPr>
        <w:footnoteReference w:id="111"/>
      </w:r>
      <w:r>
        <w:rPr>
          <w:rFonts w:hint="cs"/>
          <w:rtl/>
        </w:rPr>
        <w:t xml:space="preserve"> פעילות שתדלנית מוגדרת במדריך כדלקמן: ביצוע פעולות באופן מקצועי בשם או מטעם צד שלישי או לקוח במטרה להשפיע, או לתת עצה לגורמים אשר מבקשים להשפיע על הממשלה, הפרלמנט, גופים מנהליים, מקומיים או אחרים וכן כל גוף ציבורי אחר בנושא מסוים.</w:t>
      </w:r>
      <w:r>
        <w:rPr>
          <w:rStyle w:val="ac"/>
        </w:rPr>
        <w:footnoteReference w:id="112"/>
      </w:r>
    </w:p>
    <w:p w:rsidR="00731DAB" w:rsidRDefault="00731DAB" w:rsidP="00731DAB">
      <w:pPr>
        <w:pStyle w:val="a4"/>
        <w:rPr>
          <w:rtl/>
        </w:rPr>
      </w:pPr>
      <w:r>
        <w:rPr>
          <w:rFonts w:hint="cs"/>
          <w:rtl/>
        </w:rPr>
        <w:t>מעבר לכך</w:t>
      </w:r>
      <w:r w:rsidRPr="00BE0E69">
        <w:rPr>
          <w:rtl/>
        </w:rPr>
        <w:t xml:space="preserve">, במדריך </w:t>
      </w:r>
      <w:r>
        <w:rPr>
          <w:rFonts w:hint="cs"/>
          <w:rtl/>
        </w:rPr>
        <w:t>קבועה גם דרישה</w:t>
      </w:r>
      <w:r w:rsidRPr="00BE0E69">
        <w:rPr>
          <w:rtl/>
        </w:rPr>
        <w:t xml:space="preserve"> כי </w:t>
      </w:r>
      <w:r>
        <w:rPr>
          <w:rFonts w:hint="cs"/>
          <w:rtl/>
        </w:rPr>
        <w:t>במהלך דיונים חברי הפרלמנט יספקו הצהרה מתאימה (בכתב או בע"פ)</w:t>
      </w:r>
      <w:r w:rsidRPr="00BE0E69">
        <w:rPr>
          <w:rtl/>
        </w:rPr>
        <w:t xml:space="preserve"> </w:t>
      </w:r>
      <w:r>
        <w:rPr>
          <w:rFonts w:hint="cs"/>
          <w:rtl/>
        </w:rPr>
        <w:t>בדבר האינטרסים האמורים, כל עוד הם רלוונטיים לנושא הדיון או הפעולה הפרלמנטרית, וזאת על בסיס ההוראה הכללית שבקוד בית הנבחרים שתוארה לעיל.</w:t>
      </w:r>
      <w:r>
        <w:rPr>
          <w:rStyle w:val="ac"/>
          <w:rtl/>
        </w:rPr>
        <w:footnoteReference w:id="113"/>
      </w:r>
      <w:r>
        <w:rPr>
          <w:rFonts w:hint="cs"/>
          <w:rtl/>
        </w:rPr>
        <w:t xml:space="preserve"> הצהרות אלה </w:t>
      </w:r>
      <w:r w:rsidRPr="00BE0E69">
        <w:rPr>
          <w:rtl/>
        </w:rPr>
        <w:t xml:space="preserve">צריכות לכלול מידע מספק בדבר טבעם של האינטרסים מבלי </w:t>
      </w:r>
      <w:r w:rsidRPr="00BE0E69">
        <w:rPr>
          <w:rFonts w:hint="cs"/>
          <w:rtl/>
        </w:rPr>
        <w:t>להזדקק</w:t>
      </w:r>
      <w:r w:rsidRPr="00BE0E69">
        <w:rPr>
          <w:rtl/>
        </w:rPr>
        <w:t xml:space="preserve"> למקורות נוספים</w:t>
      </w:r>
      <w:r>
        <w:rPr>
          <w:rFonts w:hint="cs"/>
          <w:rtl/>
        </w:rPr>
        <w:t>.</w:t>
      </w:r>
      <w:r>
        <w:rPr>
          <w:rStyle w:val="ac"/>
          <w:rtl/>
        </w:rPr>
        <w:footnoteReference w:id="114"/>
      </w:r>
    </w:p>
    <w:p w:rsidR="00731DAB" w:rsidRDefault="00731DAB" w:rsidP="00CB3CE6">
      <w:pPr>
        <w:pStyle w:val="a4"/>
        <w:rPr>
          <w:rtl/>
        </w:rPr>
      </w:pPr>
      <w:r>
        <w:rPr>
          <w:rFonts w:hint="cs"/>
          <w:rtl/>
        </w:rPr>
        <w:t>יוער, כי לפי הקוד</w:t>
      </w:r>
      <w:r w:rsidR="00440B29">
        <w:rPr>
          <w:rFonts w:hint="cs"/>
          <w:rtl/>
        </w:rPr>
        <w:t>,</w:t>
      </w:r>
      <w:r>
        <w:rPr>
          <w:rFonts w:hint="cs"/>
          <w:rtl/>
        </w:rPr>
        <w:t xml:space="preserve"> </w:t>
      </w:r>
      <w:r w:rsidRPr="00BE0E69">
        <w:rPr>
          <w:rtl/>
        </w:rPr>
        <w:t>הוועדה לסטנדרטים של הפרלמנט ונציב הסטנדרטים הפרלמנטרי יהיו אחראים לאכיפת הקוד.</w:t>
      </w:r>
      <w:r>
        <w:rPr>
          <w:rStyle w:val="ac"/>
          <w:rtl/>
        </w:rPr>
        <w:footnoteReference w:id="115"/>
      </w:r>
      <w:r w:rsidRPr="00BE0E69">
        <w:rPr>
          <w:rtl/>
        </w:rPr>
        <w:t xml:space="preserve"> בסמכות הנציב לחקור הפרות של הקוד בידי חברי בית הנבחרים ולדווח על הפרות לוועדת הסטנדרטים. הוועדה תדון בדוחות נציב הסטנדרטים </w:t>
      </w:r>
      <w:r w:rsidR="00440B29">
        <w:rPr>
          <w:rFonts w:hint="cs"/>
          <w:rtl/>
        </w:rPr>
        <w:t xml:space="preserve">ותדווח </w:t>
      </w:r>
      <w:r w:rsidRPr="00BE0E69">
        <w:rPr>
          <w:rtl/>
        </w:rPr>
        <w:t>על כך למליאת הבית. המליאה תהיה רשאית להורות על הטלת סנקציות כנגד חבר פרלמנט אם היא סברה שהדבר נחוץ</w:t>
      </w:r>
      <w:r>
        <w:rPr>
          <w:rFonts w:hint="cs"/>
          <w:rtl/>
        </w:rPr>
        <w:t>.</w:t>
      </w:r>
      <w:r>
        <w:rPr>
          <w:rStyle w:val="ac"/>
          <w:rtl/>
        </w:rPr>
        <w:footnoteReference w:id="116"/>
      </w:r>
    </w:p>
    <w:p w:rsidR="00731DAB" w:rsidRDefault="00731DAB" w:rsidP="00426035">
      <w:pPr>
        <w:pStyle w:val="a4"/>
        <w:rPr>
          <w:rtl/>
        </w:rPr>
      </w:pPr>
      <w:r>
        <w:rPr>
          <w:rFonts w:hint="cs"/>
          <w:rtl/>
        </w:rPr>
        <w:t xml:space="preserve">בנוסף וכאמור לעיל, בבית הלורדים קבוע קוד התנהגות מקביל. הוראותיו של קוד זה דומות להוראות קוד בית הנבחרים ומתבססות אף הן על </w:t>
      </w:r>
      <w:r w:rsidR="00330FF3">
        <w:rPr>
          <w:rFonts w:hint="cs"/>
          <w:rtl/>
        </w:rPr>
        <w:t xml:space="preserve">שבעת </w:t>
      </w:r>
      <w:r>
        <w:rPr>
          <w:rFonts w:hint="cs"/>
          <w:rtl/>
        </w:rPr>
        <w:t>עקרונות היסוד שהוצגו לעיל, כמו גם על ההצהרות השונות שנדרשות מחברי פרלמנט ואשר הוצגו בהרחבה לעיל.</w:t>
      </w:r>
      <w:r>
        <w:rPr>
          <w:rStyle w:val="ac"/>
          <w:rtl/>
        </w:rPr>
        <w:footnoteReference w:id="117"/>
      </w:r>
    </w:p>
    <w:p w:rsidR="00041950" w:rsidRDefault="00041950" w:rsidP="00731DAB">
      <w:pPr>
        <w:pStyle w:val="a4"/>
        <w:rPr>
          <w:rtl/>
        </w:rPr>
      </w:pPr>
    </w:p>
    <w:p w:rsidR="009775E1" w:rsidRDefault="00B67460" w:rsidP="00731DAB">
      <w:pPr>
        <w:pStyle w:val="1"/>
        <w:spacing w:before="240"/>
        <w:ind w:left="357" w:right="11" w:hanging="357"/>
        <w:rPr>
          <w:rtl/>
        </w:rPr>
      </w:pPr>
      <w:r>
        <w:rPr>
          <w:rFonts w:hint="cs"/>
          <w:rtl/>
        </w:rPr>
        <w:t>אוסטרליה</w:t>
      </w:r>
    </w:p>
    <w:p w:rsidR="00B67460" w:rsidRDefault="00B67460" w:rsidP="00FA2A62">
      <w:pPr>
        <w:pStyle w:val="a4"/>
        <w:rPr>
          <w:rtl/>
        </w:rPr>
      </w:pPr>
      <w:r>
        <w:rPr>
          <w:rFonts w:hint="cs"/>
          <w:rtl/>
        </w:rPr>
        <w:t xml:space="preserve">אוסטרליה היא מדינה פדרלית ונושא ניגוד העניינים מוסדר בה </w:t>
      </w:r>
      <w:r w:rsidR="00404E13">
        <w:rPr>
          <w:rFonts w:hint="cs"/>
          <w:rtl/>
        </w:rPr>
        <w:t xml:space="preserve">הן </w:t>
      </w:r>
      <w:r>
        <w:rPr>
          <w:rFonts w:hint="cs"/>
          <w:rtl/>
        </w:rPr>
        <w:t>ברמת הממשל הפדרלי ו</w:t>
      </w:r>
      <w:r w:rsidR="00404E13">
        <w:rPr>
          <w:rFonts w:hint="cs"/>
          <w:rtl/>
        </w:rPr>
        <w:t xml:space="preserve">הן </w:t>
      </w:r>
      <w:r>
        <w:rPr>
          <w:rFonts w:hint="cs"/>
          <w:rtl/>
        </w:rPr>
        <w:t xml:space="preserve">ברמת </w:t>
      </w:r>
      <w:r w:rsidR="00404E13">
        <w:rPr>
          <w:rFonts w:hint="cs"/>
          <w:rtl/>
        </w:rPr>
        <w:t>ה</w:t>
      </w:r>
      <w:r>
        <w:rPr>
          <w:rFonts w:hint="cs"/>
          <w:rtl/>
        </w:rPr>
        <w:t>מדינות והטריטוריות.</w:t>
      </w:r>
      <w:r w:rsidR="00322A92">
        <w:rPr>
          <w:rFonts w:hint="cs"/>
          <w:rtl/>
        </w:rPr>
        <w:t xml:space="preserve"> </w:t>
      </w:r>
      <w:r w:rsidR="00404E13">
        <w:rPr>
          <w:rFonts w:hint="cs"/>
          <w:rtl/>
        </w:rPr>
        <w:t xml:space="preserve">במסמך </w:t>
      </w:r>
      <w:r w:rsidR="00322A92">
        <w:rPr>
          <w:rFonts w:hint="cs"/>
          <w:rtl/>
        </w:rPr>
        <w:t xml:space="preserve">זה נסקור את ההסדרה </w:t>
      </w:r>
      <w:r w:rsidR="00404E13">
        <w:rPr>
          <w:rFonts w:hint="cs"/>
          <w:rtl/>
        </w:rPr>
        <w:t>ברמה הפדרלית</w:t>
      </w:r>
      <w:r w:rsidR="00FA2A62">
        <w:rPr>
          <w:rFonts w:hint="cs"/>
          <w:rtl/>
        </w:rPr>
        <w:t xml:space="preserve"> בלבד</w:t>
      </w:r>
      <w:r w:rsidR="00404E13">
        <w:rPr>
          <w:rFonts w:hint="cs"/>
          <w:rtl/>
        </w:rPr>
        <w:t xml:space="preserve">. </w:t>
      </w:r>
    </w:p>
    <w:p w:rsidR="00711734" w:rsidRDefault="00CF3D89" w:rsidP="00A44D8D">
      <w:pPr>
        <w:pStyle w:val="a4"/>
        <w:keepNext/>
        <w:keepLines/>
        <w:rPr>
          <w:rtl/>
          <w:lang w:eastAsia="he-IL"/>
        </w:rPr>
      </w:pPr>
      <w:r w:rsidRPr="00404E13">
        <w:rPr>
          <w:rFonts w:hint="cs"/>
          <w:b/>
          <w:bCs/>
          <w:rtl/>
        </w:rPr>
        <w:t xml:space="preserve">בעלי תפקידים שונים בממשל הפדרלי של אוסטרליה </w:t>
      </w:r>
      <w:r w:rsidR="00287953" w:rsidRPr="00404E13">
        <w:rPr>
          <w:rFonts w:hint="cs"/>
          <w:b/>
          <w:bCs/>
          <w:rtl/>
        </w:rPr>
        <w:t>כפופים להוראות שונות באשר לניגודי עניינים</w:t>
      </w:r>
      <w:r w:rsidR="00287953">
        <w:rPr>
          <w:rFonts w:hint="cs"/>
          <w:rtl/>
        </w:rPr>
        <w:t xml:space="preserve"> בהתאם לתפקידם. בפרק זה יפורטו ההסדרים החלים על </w:t>
      </w:r>
      <w:r>
        <w:rPr>
          <w:rFonts w:hint="cs"/>
          <w:rtl/>
        </w:rPr>
        <w:t>חברי פרלמנט</w:t>
      </w:r>
      <w:r w:rsidR="00287953">
        <w:rPr>
          <w:rFonts w:hint="cs"/>
          <w:rtl/>
        </w:rPr>
        <w:t xml:space="preserve">, </w:t>
      </w:r>
      <w:r>
        <w:rPr>
          <w:rFonts w:hint="cs"/>
          <w:rtl/>
        </w:rPr>
        <w:t>חב</w:t>
      </w:r>
      <w:r w:rsidR="00287953">
        <w:rPr>
          <w:rFonts w:hint="cs"/>
          <w:rtl/>
        </w:rPr>
        <w:t>רי הממ</w:t>
      </w:r>
      <w:r w:rsidR="00CA4E53">
        <w:rPr>
          <w:rFonts w:hint="cs"/>
          <w:rtl/>
        </w:rPr>
        <w:t>שלה ועובדי השירות הציבורי</w:t>
      </w:r>
      <w:r w:rsidR="002B7C58">
        <w:rPr>
          <w:rFonts w:hint="cs"/>
          <w:rtl/>
        </w:rPr>
        <w:t>;</w:t>
      </w:r>
      <w:r w:rsidR="00CA4E53">
        <w:rPr>
          <w:rFonts w:hint="cs"/>
          <w:rtl/>
        </w:rPr>
        <w:t xml:space="preserve"> </w:t>
      </w:r>
      <w:r w:rsidR="002B7C58">
        <w:rPr>
          <w:rFonts w:hint="cs"/>
          <w:rtl/>
        </w:rPr>
        <w:t xml:space="preserve">כפי שצוין לעיל, </w:t>
      </w:r>
      <w:r w:rsidR="00CA4E53">
        <w:rPr>
          <w:rFonts w:hint="cs"/>
          <w:rtl/>
        </w:rPr>
        <w:t>לגבי אף אחד מ</w:t>
      </w:r>
      <w:r w:rsidR="002B7C58">
        <w:rPr>
          <w:rFonts w:hint="cs"/>
          <w:rtl/>
        </w:rPr>
        <w:t>בעלי התפקידים</w:t>
      </w:r>
      <w:r w:rsidR="00CA4E53">
        <w:rPr>
          <w:rFonts w:hint="cs"/>
          <w:rtl/>
        </w:rPr>
        <w:t xml:space="preserve"> </w:t>
      </w:r>
      <w:r w:rsidR="00CA4E53" w:rsidRPr="00CB3CE6">
        <w:rPr>
          <w:rFonts w:hint="eastAsia"/>
          <w:rtl/>
        </w:rPr>
        <w:t>לא</w:t>
      </w:r>
      <w:r w:rsidR="00CA4E53" w:rsidRPr="00CB3CE6">
        <w:rPr>
          <w:rtl/>
        </w:rPr>
        <w:t xml:space="preserve"> </w:t>
      </w:r>
      <w:r w:rsidR="00CA4E53" w:rsidRPr="00CB3CE6">
        <w:rPr>
          <w:rFonts w:hint="eastAsia"/>
          <w:rtl/>
        </w:rPr>
        <w:t>מצאנו</w:t>
      </w:r>
      <w:r w:rsidR="00CA4E53" w:rsidRPr="00CB3CE6">
        <w:rPr>
          <w:rtl/>
        </w:rPr>
        <w:t xml:space="preserve"> </w:t>
      </w:r>
      <w:r w:rsidR="00CA4E53" w:rsidRPr="00CB3CE6">
        <w:rPr>
          <w:rFonts w:hint="eastAsia"/>
          <w:rtl/>
        </w:rPr>
        <w:t>הוראות</w:t>
      </w:r>
      <w:r w:rsidR="00CA4E53" w:rsidRPr="00CB3CE6">
        <w:rPr>
          <w:rtl/>
        </w:rPr>
        <w:t xml:space="preserve"> </w:t>
      </w:r>
      <w:r w:rsidR="00CA4E53" w:rsidRPr="00CB3CE6">
        <w:rPr>
          <w:rFonts w:hint="eastAsia"/>
          <w:rtl/>
        </w:rPr>
        <w:t>המסדירות</w:t>
      </w:r>
      <w:r w:rsidR="00CA4E53" w:rsidRPr="00CB3CE6">
        <w:rPr>
          <w:rtl/>
        </w:rPr>
        <w:t xml:space="preserve"> </w:t>
      </w:r>
      <w:r w:rsidR="00CA4E53" w:rsidRPr="00CB3CE6">
        <w:rPr>
          <w:rFonts w:hint="eastAsia"/>
          <w:rtl/>
        </w:rPr>
        <w:t>עריכה</w:t>
      </w:r>
      <w:r w:rsidR="00CA4E53" w:rsidRPr="00CB3CE6">
        <w:rPr>
          <w:rtl/>
        </w:rPr>
        <w:t xml:space="preserve"> </w:t>
      </w:r>
      <w:r w:rsidR="00CA4E53" w:rsidRPr="00CB3CE6">
        <w:rPr>
          <w:rFonts w:hint="eastAsia"/>
          <w:rtl/>
        </w:rPr>
        <w:t>של</w:t>
      </w:r>
      <w:r w:rsidR="00CA4E53" w:rsidRPr="00CB3CE6">
        <w:rPr>
          <w:rtl/>
        </w:rPr>
        <w:t xml:space="preserve"> </w:t>
      </w:r>
      <w:r w:rsidR="00CA4E53" w:rsidRPr="00CB3CE6">
        <w:rPr>
          <w:rFonts w:hint="eastAsia"/>
          <w:rtl/>
        </w:rPr>
        <w:t>הסדרי</w:t>
      </w:r>
      <w:r w:rsidR="00CA4E53" w:rsidRPr="00CB3CE6">
        <w:rPr>
          <w:rtl/>
        </w:rPr>
        <w:t xml:space="preserve"> </w:t>
      </w:r>
      <w:r w:rsidR="00CA4E53" w:rsidRPr="00CB3CE6">
        <w:rPr>
          <w:rFonts w:hint="eastAsia"/>
          <w:rtl/>
        </w:rPr>
        <w:t>ניגוד</w:t>
      </w:r>
      <w:r w:rsidR="00CA4E53" w:rsidRPr="00CB3CE6">
        <w:rPr>
          <w:rtl/>
        </w:rPr>
        <w:t xml:space="preserve"> </w:t>
      </w:r>
      <w:r w:rsidR="00CA4E53" w:rsidRPr="00CB3CE6">
        <w:rPr>
          <w:rFonts w:hint="eastAsia"/>
          <w:rtl/>
        </w:rPr>
        <w:t>עניינים</w:t>
      </w:r>
      <w:r w:rsidR="00CA4E53" w:rsidRPr="00CB3CE6">
        <w:rPr>
          <w:rtl/>
        </w:rPr>
        <w:t xml:space="preserve"> </w:t>
      </w:r>
      <w:r w:rsidR="00CA4E53" w:rsidRPr="00CB3CE6">
        <w:rPr>
          <w:rFonts w:hint="eastAsia"/>
          <w:rtl/>
        </w:rPr>
        <w:t>מראש</w:t>
      </w:r>
      <w:r w:rsidR="00CA4E53">
        <w:rPr>
          <w:rFonts w:hint="cs"/>
          <w:rtl/>
        </w:rPr>
        <w:t>.</w:t>
      </w:r>
    </w:p>
    <w:p w:rsidR="00404E13" w:rsidRDefault="00404E13" w:rsidP="00426035">
      <w:pPr>
        <w:pStyle w:val="a4"/>
        <w:rPr>
          <w:rtl/>
          <w:lang w:eastAsia="he-IL"/>
        </w:rPr>
      </w:pPr>
      <w:r>
        <w:rPr>
          <w:rFonts w:hint="cs"/>
          <w:rtl/>
          <w:lang w:eastAsia="he-IL"/>
        </w:rPr>
        <w:t xml:space="preserve">ככלל, </w:t>
      </w:r>
      <w:r w:rsidRPr="00711734">
        <w:rPr>
          <w:rFonts w:hint="cs"/>
          <w:b/>
          <w:bCs/>
          <w:rtl/>
          <w:lang w:eastAsia="he-IL"/>
        </w:rPr>
        <w:t>לחבר</w:t>
      </w:r>
      <w:r w:rsidR="00F71F93">
        <w:rPr>
          <w:rFonts w:hint="cs"/>
          <w:b/>
          <w:bCs/>
          <w:rtl/>
          <w:lang w:eastAsia="he-IL"/>
        </w:rPr>
        <w:t>י</w:t>
      </w:r>
      <w:r w:rsidRPr="00711734">
        <w:rPr>
          <w:rFonts w:hint="cs"/>
          <w:b/>
          <w:bCs/>
          <w:rtl/>
          <w:lang w:eastAsia="he-IL"/>
        </w:rPr>
        <w:t xml:space="preserve"> הפרלמנט</w:t>
      </w:r>
      <w:r w:rsidRPr="00404E13">
        <w:rPr>
          <w:rFonts w:hint="cs"/>
          <w:rtl/>
          <w:lang w:eastAsia="he-IL"/>
        </w:rPr>
        <w:t xml:space="preserve"> </w:t>
      </w:r>
      <w:r>
        <w:rPr>
          <w:rFonts w:hint="cs"/>
          <w:rtl/>
          <w:lang w:eastAsia="he-IL"/>
        </w:rPr>
        <w:t xml:space="preserve">אסור </w:t>
      </w:r>
      <w:r w:rsidRPr="00404E13">
        <w:rPr>
          <w:rFonts w:hint="cs"/>
          <w:rtl/>
          <w:lang w:eastAsia="he-IL"/>
        </w:rPr>
        <w:t xml:space="preserve">להצביע </w:t>
      </w:r>
      <w:r>
        <w:rPr>
          <w:rFonts w:hint="cs"/>
          <w:rtl/>
          <w:lang w:eastAsia="he-IL"/>
        </w:rPr>
        <w:t>ב</w:t>
      </w:r>
      <w:r w:rsidRPr="00404E13">
        <w:rPr>
          <w:rFonts w:hint="cs"/>
          <w:rtl/>
          <w:lang w:eastAsia="he-IL"/>
        </w:rPr>
        <w:t xml:space="preserve">מליאה </w:t>
      </w:r>
      <w:r w:rsidR="00F71F93">
        <w:rPr>
          <w:rFonts w:hint="cs"/>
          <w:rtl/>
          <w:lang w:eastAsia="he-IL"/>
        </w:rPr>
        <w:t xml:space="preserve">(בהצבעות מסוימות) </w:t>
      </w:r>
      <w:r w:rsidRPr="00404E13">
        <w:rPr>
          <w:rFonts w:hint="cs"/>
          <w:rtl/>
          <w:lang w:eastAsia="he-IL"/>
        </w:rPr>
        <w:t>או להשתתף בד</w:t>
      </w:r>
      <w:r w:rsidR="00F71F93">
        <w:rPr>
          <w:rFonts w:hint="cs"/>
          <w:rtl/>
          <w:lang w:eastAsia="he-IL"/>
        </w:rPr>
        <w:t>יונים בוועדות בנושאים שבהם יש להם</w:t>
      </w:r>
      <w:r w:rsidRPr="00404E13">
        <w:rPr>
          <w:rFonts w:hint="cs"/>
          <w:rtl/>
          <w:lang w:eastAsia="he-IL"/>
        </w:rPr>
        <w:t xml:space="preserve"> אינטרס כספי ישיר וספציפי</w:t>
      </w:r>
      <w:r>
        <w:rPr>
          <w:rFonts w:hint="cs"/>
          <w:rtl/>
          <w:lang w:eastAsia="he-IL"/>
        </w:rPr>
        <w:t xml:space="preserve">. נוסף </w:t>
      </w:r>
      <w:r w:rsidR="00330FF3">
        <w:rPr>
          <w:rFonts w:hint="cs"/>
          <w:rtl/>
          <w:lang w:eastAsia="he-IL"/>
        </w:rPr>
        <w:t xml:space="preserve">על </w:t>
      </w:r>
      <w:r>
        <w:rPr>
          <w:rFonts w:hint="cs"/>
          <w:rtl/>
          <w:lang w:eastAsia="he-IL"/>
        </w:rPr>
        <w:t xml:space="preserve">כך, מחויבים חברי הפרלמנט להגיש הצהרה על האינטרסים שלהם ושל משפחתם הקרובה שעשויים להיות מנוגדים לתפקידם הציבורי; ההצהרות יוחזקו במרשם פתוח לציבור. גם </w:t>
      </w:r>
      <w:r w:rsidRPr="00711734">
        <w:rPr>
          <w:rFonts w:hint="cs"/>
          <w:b/>
          <w:bCs/>
          <w:rtl/>
          <w:lang w:eastAsia="he-IL"/>
        </w:rPr>
        <w:t>שרי הממשלה</w:t>
      </w:r>
      <w:r>
        <w:rPr>
          <w:rFonts w:hint="cs"/>
          <w:rtl/>
          <w:lang w:eastAsia="he-IL"/>
        </w:rPr>
        <w:t xml:space="preserve"> מחויבים בהגשת הצהרה דומה. </w:t>
      </w:r>
      <w:r w:rsidRPr="00711734">
        <w:rPr>
          <w:rFonts w:hint="cs"/>
          <w:b/>
          <w:bCs/>
          <w:rtl/>
          <w:lang w:eastAsia="he-IL"/>
        </w:rPr>
        <w:t>עובדי השירות הציבורי</w:t>
      </w:r>
      <w:r>
        <w:rPr>
          <w:rFonts w:hint="cs"/>
          <w:rtl/>
          <w:lang w:eastAsia="he-IL"/>
        </w:rPr>
        <w:t xml:space="preserve"> </w:t>
      </w:r>
      <w:r w:rsidR="00711734">
        <w:rPr>
          <w:rFonts w:hint="cs"/>
          <w:rtl/>
          <w:lang w:eastAsia="he-IL"/>
        </w:rPr>
        <w:t xml:space="preserve">מחויבים לנקוט צעדים סבירים כדי למנוע כל ניגוד אינטרסים, לגלות פרטים בדבר כל אינטרס אישי מהותי הקשור לעבודתם ולא לעשות שימוש לא הולם במידע, במעמד או בסמכות כדי להשיג רווח או תועלת לעצמם או לאחרים או לגרום נזק או אבדן לאחרים. יצוין כי עובדים בכירים בשירות הציבורי מחויבים בהצהרה שנתית על האינטרסים שלהם וכל רשות רשאית לדרוש זאת גם מעובדים זוטרים יותר. אם בהתאם לחובת הגילוי עולה מצב של ניגוד אינטרסים, על הצדדים לפעול לניהול ניגוד האינטרסים בהתאם לנסיבות, כפי שיפורט להלן. </w:t>
      </w:r>
    </w:p>
    <w:p w:rsidR="00EE7CFE" w:rsidRDefault="003621E2" w:rsidP="00CB3CE6">
      <w:pPr>
        <w:pStyle w:val="11"/>
        <w:keepNext/>
        <w:keepLines/>
        <w:rPr>
          <w:rtl/>
        </w:rPr>
      </w:pPr>
      <w:r w:rsidRPr="00226A7B">
        <w:rPr>
          <w:rFonts w:hint="cs"/>
          <w:rtl/>
        </w:rPr>
        <w:t xml:space="preserve">חברי </w:t>
      </w:r>
      <w:r w:rsidR="00226A7B">
        <w:rPr>
          <w:rFonts w:hint="cs"/>
          <w:rtl/>
        </w:rPr>
        <w:t>ה</w:t>
      </w:r>
      <w:r w:rsidRPr="00226A7B">
        <w:rPr>
          <w:rFonts w:hint="cs"/>
          <w:rtl/>
        </w:rPr>
        <w:t>פרלמנט</w:t>
      </w:r>
      <w:bookmarkStart w:id="0" w:name="_Ref473727904"/>
      <w:r w:rsidR="00226A7B" w:rsidRPr="00404E13">
        <w:rPr>
          <w:rStyle w:val="ac"/>
          <w:b w:val="0"/>
          <w:bCs w:val="0"/>
          <w:sz w:val="22"/>
          <w:szCs w:val="24"/>
          <w:rtl/>
        </w:rPr>
        <w:footnoteReference w:id="118"/>
      </w:r>
      <w:bookmarkEnd w:id="0"/>
      <w:r w:rsidRPr="003E2A03">
        <w:rPr>
          <w:rFonts w:hint="cs"/>
          <w:b w:val="0"/>
          <w:bCs w:val="0"/>
          <w:rtl/>
        </w:rPr>
        <w:t xml:space="preserve"> </w:t>
      </w:r>
    </w:p>
    <w:p w:rsidR="00893181" w:rsidRPr="00893181" w:rsidRDefault="00893181" w:rsidP="00893181">
      <w:pPr>
        <w:pStyle w:val="a4"/>
        <w:rPr>
          <w:rtl/>
          <w:lang w:eastAsia="he-IL"/>
        </w:rPr>
      </w:pPr>
      <w:r>
        <w:rPr>
          <w:rFonts w:hint="cs"/>
          <w:rtl/>
          <w:lang w:eastAsia="he-IL"/>
        </w:rPr>
        <w:t>להלן יפורטו ההוראות הרלוונטיות החלות על חברי בית-הנבחרים, כאשר בסנאט קיימים הסדרים דומים.</w:t>
      </w:r>
    </w:p>
    <w:p w:rsidR="00843889" w:rsidRPr="00810928" w:rsidRDefault="00843889" w:rsidP="00041950">
      <w:pPr>
        <w:pStyle w:val="111"/>
        <w:rPr>
          <w:rtl/>
        </w:rPr>
      </w:pPr>
      <w:r w:rsidRPr="00810928">
        <w:rPr>
          <w:rFonts w:hint="cs"/>
          <w:rtl/>
        </w:rPr>
        <w:t>הצבעה</w:t>
      </w:r>
      <w:r w:rsidR="00FB0B0F">
        <w:rPr>
          <w:rFonts w:hint="cs"/>
          <w:rtl/>
        </w:rPr>
        <w:t xml:space="preserve"> והשתתפות בדיונים</w:t>
      </w:r>
    </w:p>
    <w:p w:rsidR="00CC76DD" w:rsidRDefault="00CC76DD" w:rsidP="00893181">
      <w:pPr>
        <w:pStyle w:val="a4"/>
        <w:rPr>
          <w:rtl/>
          <w:lang w:eastAsia="he-IL"/>
        </w:rPr>
      </w:pPr>
      <w:r>
        <w:rPr>
          <w:rFonts w:hint="cs"/>
          <w:rtl/>
          <w:lang w:eastAsia="he-IL"/>
        </w:rPr>
        <w:t xml:space="preserve">לפי סעיף 134 לתקנון </w:t>
      </w:r>
      <w:r w:rsidR="00893181">
        <w:rPr>
          <w:rFonts w:hint="cs"/>
          <w:rtl/>
          <w:lang w:eastAsia="he-IL"/>
        </w:rPr>
        <w:t>בית-הנבחרים</w:t>
      </w:r>
      <w:r w:rsidR="00810928">
        <w:rPr>
          <w:rFonts w:hint="cs"/>
          <w:rtl/>
          <w:lang w:eastAsia="he-IL"/>
        </w:rPr>
        <w:t>,</w:t>
      </w:r>
      <w:r w:rsidR="00810928">
        <w:rPr>
          <w:rStyle w:val="ac"/>
          <w:rtl/>
          <w:lang w:eastAsia="he-IL"/>
        </w:rPr>
        <w:footnoteReference w:id="119"/>
      </w:r>
      <w:r w:rsidR="00810928">
        <w:rPr>
          <w:rFonts w:hint="cs"/>
          <w:rtl/>
          <w:lang w:eastAsia="he-IL"/>
        </w:rPr>
        <w:t xml:space="preserve"> </w:t>
      </w:r>
      <w:r w:rsidR="00810928" w:rsidRPr="008521A6">
        <w:rPr>
          <w:rFonts w:hint="cs"/>
          <w:b/>
          <w:bCs/>
          <w:rtl/>
          <w:lang w:eastAsia="he-IL"/>
        </w:rPr>
        <w:t xml:space="preserve">אסור לחבר </w:t>
      </w:r>
      <w:r w:rsidR="00893181">
        <w:rPr>
          <w:rFonts w:hint="cs"/>
          <w:b/>
          <w:bCs/>
          <w:rtl/>
          <w:lang w:eastAsia="he-IL"/>
        </w:rPr>
        <w:t>בית-הנבחרים</w:t>
      </w:r>
      <w:r w:rsidR="00837E19" w:rsidRPr="008521A6">
        <w:rPr>
          <w:rFonts w:hint="cs"/>
          <w:b/>
          <w:bCs/>
          <w:rtl/>
          <w:lang w:eastAsia="he-IL"/>
        </w:rPr>
        <w:t xml:space="preserve"> להשתתף בהצבעה</w:t>
      </w:r>
      <w:r w:rsidR="00893181">
        <w:rPr>
          <w:rFonts w:hint="cs"/>
          <w:b/>
          <w:bCs/>
          <w:rtl/>
          <w:lang w:eastAsia="he-IL"/>
        </w:rPr>
        <w:t xml:space="preserve"> במליאה</w:t>
      </w:r>
      <w:r w:rsidR="00365561">
        <w:rPr>
          <w:rFonts w:hint="cs"/>
          <w:b/>
          <w:bCs/>
          <w:rtl/>
          <w:lang w:eastAsia="he-IL"/>
        </w:rPr>
        <w:t xml:space="preserve"> </w:t>
      </w:r>
      <w:r w:rsidR="008131C8">
        <w:rPr>
          <w:rFonts w:hint="cs"/>
          <w:b/>
          <w:bCs/>
          <w:rtl/>
          <w:lang w:eastAsia="he-IL"/>
        </w:rPr>
        <w:t xml:space="preserve">בדרך של </w:t>
      </w:r>
      <w:r w:rsidR="00365561">
        <w:rPr>
          <w:b/>
          <w:bCs/>
          <w:lang w:eastAsia="he-IL"/>
        </w:rPr>
        <w:t>division</w:t>
      </w:r>
      <w:r w:rsidR="00837E19">
        <w:rPr>
          <w:rStyle w:val="ac"/>
          <w:rtl/>
          <w:lang w:eastAsia="he-IL"/>
        </w:rPr>
        <w:footnoteReference w:id="120"/>
      </w:r>
      <w:r w:rsidR="00837E19">
        <w:rPr>
          <w:rFonts w:hint="cs"/>
          <w:rtl/>
          <w:lang w:eastAsia="he-IL"/>
        </w:rPr>
        <w:t xml:space="preserve"> </w:t>
      </w:r>
      <w:r w:rsidR="00837E19" w:rsidRPr="008521A6">
        <w:rPr>
          <w:rFonts w:hint="cs"/>
          <w:b/>
          <w:bCs/>
          <w:rtl/>
          <w:lang w:eastAsia="he-IL"/>
        </w:rPr>
        <w:t>בנושא שבו יש לו אינטרס כספי ישיר וספציפי</w:t>
      </w:r>
      <w:r w:rsidR="00404E13">
        <w:rPr>
          <w:rFonts w:hint="cs"/>
          <w:b/>
          <w:bCs/>
          <w:rtl/>
          <w:lang w:eastAsia="he-IL"/>
        </w:rPr>
        <w:t xml:space="preserve"> </w:t>
      </w:r>
      <w:r w:rsidR="00404E13">
        <w:rPr>
          <w:rFonts w:hint="cs"/>
          <w:rtl/>
          <w:lang w:eastAsia="he-IL"/>
        </w:rPr>
        <w:t>(</w:t>
      </w:r>
      <w:r w:rsidR="00404E13">
        <w:rPr>
          <w:lang w:eastAsia="he-IL"/>
        </w:rPr>
        <w:t>particular direct pecuniary interest</w:t>
      </w:r>
      <w:r w:rsidR="00404E13">
        <w:rPr>
          <w:rFonts w:hint="cs"/>
          <w:rtl/>
          <w:lang w:eastAsia="he-IL"/>
        </w:rPr>
        <w:t>)</w:t>
      </w:r>
      <w:r w:rsidR="00837E19">
        <w:rPr>
          <w:rFonts w:hint="cs"/>
          <w:rtl/>
          <w:lang w:eastAsia="he-IL"/>
        </w:rPr>
        <w:t>, למעט בעניינים של מדיניות כללית</w:t>
      </w:r>
      <w:r w:rsidR="00837E19" w:rsidRPr="008521A6">
        <w:rPr>
          <w:rFonts w:hint="cs"/>
          <w:rtl/>
          <w:lang w:eastAsia="he-IL"/>
        </w:rPr>
        <w:t>.</w:t>
      </w:r>
      <w:r w:rsidR="005401A0" w:rsidRPr="008521A6">
        <w:rPr>
          <w:rFonts w:hint="cs"/>
          <w:rtl/>
          <w:lang w:eastAsia="he-IL"/>
        </w:rPr>
        <w:t xml:space="preserve"> מדיניות כללית </w:t>
      </w:r>
      <w:r w:rsidR="008521A6" w:rsidRPr="008521A6">
        <w:rPr>
          <w:rFonts w:hint="cs"/>
          <w:rtl/>
          <w:lang w:eastAsia="he-IL"/>
        </w:rPr>
        <w:t>היא כל מדיניות שאינה מתייחסת לאדם מסוים בצורה אישית ומיידית (</w:t>
      </w:r>
      <w:r w:rsidR="008521A6" w:rsidRPr="008521A6">
        <w:rPr>
          <w:lang w:eastAsia="he-IL"/>
        </w:rPr>
        <w:t>individually and immediately</w:t>
      </w:r>
      <w:r w:rsidR="008521A6" w:rsidRPr="008521A6">
        <w:rPr>
          <w:rFonts w:hint="cs"/>
          <w:rtl/>
          <w:lang w:eastAsia="he-IL"/>
        </w:rPr>
        <w:t>)</w:t>
      </w:r>
      <w:r w:rsidR="008521A6">
        <w:rPr>
          <w:rFonts w:hint="cs"/>
          <w:rtl/>
          <w:lang w:eastAsia="he-IL"/>
        </w:rPr>
        <w:t>.</w:t>
      </w:r>
      <w:r w:rsidR="008521A6">
        <w:rPr>
          <w:rStyle w:val="ac"/>
          <w:rtl/>
          <w:lang w:eastAsia="he-IL"/>
        </w:rPr>
        <w:footnoteReference w:id="121"/>
      </w:r>
      <w:r w:rsidR="008521A6" w:rsidRPr="008521A6">
        <w:rPr>
          <w:rFonts w:hint="cs"/>
          <w:rtl/>
          <w:lang w:eastAsia="he-IL"/>
        </w:rPr>
        <w:t xml:space="preserve"> </w:t>
      </w:r>
      <w:r w:rsidR="00837E19" w:rsidRPr="008521A6">
        <w:rPr>
          <w:rFonts w:hint="cs"/>
          <w:rtl/>
          <w:lang w:eastAsia="he-IL"/>
        </w:rPr>
        <w:t>כל</w:t>
      </w:r>
      <w:r w:rsidR="00837E19">
        <w:rPr>
          <w:rFonts w:hint="cs"/>
          <w:rtl/>
          <w:lang w:eastAsia="he-IL"/>
        </w:rPr>
        <w:t xml:space="preserve"> חבר </w:t>
      </w:r>
      <w:r w:rsidR="008521A6">
        <w:rPr>
          <w:rFonts w:hint="cs"/>
          <w:rtl/>
          <w:lang w:eastAsia="he-IL"/>
        </w:rPr>
        <w:t>ב</w:t>
      </w:r>
      <w:r w:rsidR="00893181">
        <w:rPr>
          <w:rFonts w:hint="cs"/>
          <w:rtl/>
          <w:lang w:eastAsia="he-IL"/>
        </w:rPr>
        <w:t>בית-הנבחרים</w:t>
      </w:r>
      <w:r w:rsidR="00837E19">
        <w:rPr>
          <w:rFonts w:hint="cs"/>
          <w:rtl/>
          <w:lang w:eastAsia="he-IL"/>
        </w:rPr>
        <w:t xml:space="preserve"> רשאי להתנגד להצבעה של חברו </w:t>
      </w:r>
      <w:r w:rsidR="007E67ED">
        <w:rPr>
          <w:rFonts w:hint="cs"/>
          <w:rtl/>
          <w:lang w:eastAsia="he-IL"/>
        </w:rPr>
        <w:t xml:space="preserve">(במסגרת הצבעה בדרך של </w:t>
      </w:r>
      <w:r w:rsidR="007E67ED">
        <w:rPr>
          <w:lang w:eastAsia="he-IL"/>
        </w:rPr>
        <w:t>division</w:t>
      </w:r>
      <w:r w:rsidR="007E67ED">
        <w:rPr>
          <w:rFonts w:hint="cs"/>
          <w:rtl/>
          <w:lang w:eastAsia="he-IL"/>
        </w:rPr>
        <w:t xml:space="preserve">) </w:t>
      </w:r>
      <w:r w:rsidR="00837E19">
        <w:rPr>
          <w:rFonts w:hint="cs"/>
          <w:rtl/>
          <w:lang w:eastAsia="he-IL"/>
        </w:rPr>
        <w:t xml:space="preserve">בטענה שהיה לו אינטרס כספי </w:t>
      </w:r>
      <w:r w:rsidR="008521A6">
        <w:rPr>
          <w:rFonts w:hint="cs"/>
          <w:rtl/>
          <w:lang w:eastAsia="he-IL"/>
        </w:rPr>
        <w:t>כאמור</w:t>
      </w:r>
      <w:r w:rsidR="00893181">
        <w:rPr>
          <w:rFonts w:hint="cs"/>
          <w:rtl/>
          <w:lang w:eastAsia="he-IL"/>
        </w:rPr>
        <w:t>,</w:t>
      </w:r>
      <w:r w:rsidR="008521A6">
        <w:rPr>
          <w:rFonts w:hint="cs"/>
          <w:rtl/>
          <w:lang w:eastAsia="he-IL"/>
        </w:rPr>
        <w:t xml:space="preserve"> </w:t>
      </w:r>
      <w:r w:rsidR="00837E19">
        <w:rPr>
          <w:rFonts w:hint="cs"/>
          <w:rtl/>
          <w:lang w:eastAsia="he-IL"/>
        </w:rPr>
        <w:t xml:space="preserve">וההתנגדות תועמד להצבעה; אם </w:t>
      </w:r>
      <w:r w:rsidR="00893181">
        <w:rPr>
          <w:rFonts w:hint="cs"/>
          <w:rtl/>
          <w:lang w:eastAsia="he-IL"/>
        </w:rPr>
        <w:t>ההתנגדות</w:t>
      </w:r>
      <w:r w:rsidR="00837E19">
        <w:rPr>
          <w:rFonts w:hint="cs"/>
          <w:rtl/>
          <w:lang w:eastAsia="he-IL"/>
        </w:rPr>
        <w:t xml:space="preserve"> מתקבלת </w:t>
      </w:r>
      <w:r w:rsidR="00837E19">
        <w:rPr>
          <w:rtl/>
          <w:lang w:eastAsia="he-IL"/>
        </w:rPr>
        <w:t>–</w:t>
      </w:r>
      <w:r w:rsidR="00837E19">
        <w:rPr>
          <w:rFonts w:hint="cs"/>
          <w:rtl/>
          <w:lang w:eastAsia="he-IL"/>
        </w:rPr>
        <w:t xml:space="preserve"> ההצבעה המקורית של חבר </w:t>
      </w:r>
      <w:r w:rsidR="00893181">
        <w:rPr>
          <w:rFonts w:hint="cs"/>
          <w:rtl/>
          <w:lang w:eastAsia="he-IL"/>
        </w:rPr>
        <w:t>בית-הנבחרים</w:t>
      </w:r>
      <w:r w:rsidR="00837E19">
        <w:rPr>
          <w:rFonts w:hint="cs"/>
          <w:rtl/>
          <w:lang w:eastAsia="he-IL"/>
        </w:rPr>
        <w:t xml:space="preserve"> מבוטלת.</w:t>
      </w:r>
      <w:r w:rsidR="008521A6">
        <w:rPr>
          <w:rStyle w:val="ac"/>
          <w:rtl/>
          <w:lang w:eastAsia="he-IL"/>
        </w:rPr>
        <w:footnoteReference w:id="122"/>
      </w:r>
      <w:r w:rsidR="00FB0B0F">
        <w:rPr>
          <w:rFonts w:hint="cs"/>
          <w:rtl/>
          <w:lang w:eastAsia="he-IL"/>
        </w:rPr>
        <w:t xml:space="preserve"> </w:t>
      </w:r>
    </w:p>
    <w:p w:rsidR="00803AA9" w:rsidRDefault="00FB0B0F" w:rsidP="009A4B20">
      <w:pPr>
        <w:pStyle w:val="a4"/>
        <w:rPr>
          <w:rtl/>
          <w:lang w:eastAsia="he-IL"/>
        </w:rPr>
      </w:pPr>
      <w:r>
        <w:rPr>
          <w:rFonts w:hint="cs"/>
          <w:rtl/>
          <w:lang w:eastAsia="he-IL"/>
        </w:rPr>
        <w:t xml:space="preserve">באופן דומה, </w:t>
      </w:r>
      <w:r w:rsidR="00CC76DD">
        <w:rPr>
          <w:rFonts w:hint="cs"/>
          <w:rtl/>
          <w:lang w:eastAsia="he-IL"/>
        </w:rPr>
        <w:t>סעיף 231 לתקנון</w:t>
      </w:r>
      <w:r w:rsidR="00AA54AE">
        <w:rPr>
          <w:rStyle w:val="ac"/>
          <w:rtl/>
          <w:lang w:eastAsia="he-IL"/>
        </w:rPr>
        <w:footnoteReference w:id="123"/>
      </w:r>
      <w:r w:rsidR="00CC76DD">
        <w:rPr>
          <w:rFonts w:hint="cs"/>
          <w:rtl/>
          <w:lang w:eastAsia="he-IL"/>
        </w:rPr>
        <w:t xml:space="preserve"> </w:t>
      </w:r>
      <w:r w:rsidR="00AA54AE">
        <w:rPr>
          <w:rFonts w:hint="cs"/>
          <w:rtl/>
          <w:lang w:eastAsia="he-IL"/>
        </w:rPr>
        <w:t xml:space="preserve">קובע כי </w:t>
      </w:r>
      <w:r w:rsidR="00AA54AE" w:rsidRPr="00AA54AE">
        <w:rPr>
          <w:rFonts w:hint="cs"/>
          <w:b/>
          <w:bCs/>
          <w:rtl/>
          <w:lang w:eastAsia="he-IL"/>
        </w:rPr>
        <w:t xml:space="preserve">אסור לחבר </w:t>
      </w:r>
      <w:r w:rsidR="00893181">
        <w:rPr>
          <w:rFonts w:hint="cs"/>
          <w:b/>
          <w:bCs/>
          <w:rtl/>
          <w:lang w:eastAsia="he-IL"/>
        </w:rPr>
        <w:t>בית-הנבחרים</w:t>
      </w:r>
      <w:r w:rsidR="00AA54AE" w:rsidRPr="00AA54AE">
        <w:rPr>
          <w:rFonts w:hint="cs"/>
          <w:b/>
          <w:bCs/>
          <w:rtl/>
          <w:lang w:eastAsia="he-IL"/>
        </w:rPr>
        <w:t xml:space="preserve"> להשתתף בדיוני ועדה של הבית אם יש לו אינטרס כספי ישיר וספציפי בעניין הנדון</w:t>
      </w:r>
      <w:r w:rsidR="00AA54AE">
        <w:rPr>
          <w:rFonts w:hint="cs"/>
          <w:rtl/>
          <w:lang w:eastAsia="he-IL"/>
        </w:rPr>
        <w:t>.</w:t>
      </w:r>
      <w:r w:rsidR="00803AA9">
        <w:rPr>
          <w:rStyle w:val="ac"/>
          <w:rtl/>
          <w:lang w:eastAsia="he-IL"/>
        </w:rPr>
        <w:footnoteReference w:id="124"/>
      </w:r>
      <w:r w:rsidR="00AA54AE">
        <w:rPr>
          <w:rFonts w:hint="cs"/>
          <w:rtl/>
          <w:lang w:eastAsia="he-IL"/>
        </w:rPr>
        <w:t xml:space="preserve"> </w:t>
      </w:r>
      <w:r w:rsidR="00803AA9">
        <w:rPr>
          <w:rFonts w:hint="cs"/>
          <w:rtl/>
          <w:lang w:eastAsia="he-IL"/>
        </w:rPr>
        <w:t xml:space="preserve">אם חבר אחר מתנגד להשתתפות חבר הפרלמנט </w:t>
      </w:r>
      <w:r w:rsidR="00803AA9">
        <w:rPr>
          <w:rtl/>
          <w:lang w:eastAsia="he-IL"/>
        </w:rPr>
        <w:t>–</w:t>
      </w:r>
      <w:r w:rsidR="00803AA9">
        <w:rPr>
          <w:rFonts w:hint="cs"/>
          <w:rtl/>
          <w:lang w:eastAsia="he-IL"/>
        </w:rPr>
        <w:t xml:space="preserve"> העניין יועבר להכרעת הבית. ה</w:t>
      </w:r>
      <w:r w:rsidR="008A7653">
        <w:rPr>
          <w:rFonts w:hint="cs"/>
          <w:rtl/>
          <w:lang w:eastAsia="he-IL"/>
        </w:rPr>
        <w:t xml:space="preserve">הוראה </w:t>
      </w:r>
      <w:r w:rsidR="00803AA9">
        <w:rPr>
          <w:rFonts w:hint="cs"/>
          <w:rtl/>
          <w:lang w:eastAsia="he-IL"/>
        </w:rPr>
        <w:t>האוסרת השתתפות חבר הבית בדיון בוועדה בשל קיום אינטרס כספי</w:t>
      </w:r>
      <w:r w:rsidR="008A7653">
        <w:rPr>
          <w:rFonts w:hint="cs"/>
          <w:rtl/>
          <w:lang w:eastAsia="he-IL"/>
        </w:rPr>
        <w:t xml:space="preserve"> פורשה בצמצום, כך ש</w:t>
      </w:r>
      <w:r w:rsidR="00803AA9">
        <w:rPr>
          <w:rFonts w:hint="cs"/>
          <w:rtl/>
          <w:lang w:eastAsia="he-IL"/>
        </w:rPr>
        <w:t>ה</w:t>
      </w:r>
      <w:r w:rsidR="008A7653">
        <w:rPr>
          <w:rFonts w:hint="cs"/>
          <w:rtl/>
          <w:lang w:eastAsia="he-IL"/>
        </w:rPr>
        <w:t xml:space="preserve">השתתפות </w:t>
      </w:r>
      <w:r w:rsidR="003E3E90">
        <w:rPr>
          <w:rFonts w:hint="cs"/>
          <w:rtl/>
          <w:lang w:eastAsia="he-IL"/>
        </w:rPr>
        <w:t xml:space="preserve">אסורה רק אם מדובר באינטרס מיוחד לאדם מסוים. </w:t>
      </w:r>
      <w:r w:rsidR="00803AA9">
        <w:rPr>
          <w:rFonts w:hint="cs"/>
          <w:rtl/>
          <w:lang w:eastAsia="he-IL"/>
        </w:rPr>
        <w:t xml:space="preserve">בעבר היו </w:t>
      </w:r>
      <w:r w:rsidR="003E3E90">
        <w:rPr>
          <w:rFonts w:hint="cs"/>
          <w:rtl/>
          <w:lang w:eastAsia="he-IL"/>
        </w:rPr>
        <w:t xml:space="preserve">מקרים שבהם </w:t>
      </w:r>
      <w:r w:rsidR="00803AA9">
        <w:rPr>
          <w:rFonts w:hint="cs"/>
          <w:rtl/>
          <w:lang w:eastAsia="he-IL"/>
        </w:rPr>
        <w:t>התעוררה</w:t>
      </w:r>
      <w:r w:rsidR="003E3E90">
        <w:rPr>
          <w:rFonts w:hint="cs"/>
          <w:rtl/>
          <w:lang w:eastAsia="he-IL"/>
        </w:rPr>
        <w:t xml:space="preserve"> אפשרות לניגוד אינטרסים כלשהו, או מראית עין של ניגוד אינטרסים, </w:t>
      </w:r>
      <w:r w:rsidR="00803AA9">
        <w:rPr>
          <w:rFonts w:hint="cs"/>
          <w:rtl/>
          <w:lang w:eastAsia="he-IL"/>
        </w:rPr>
        <w:t xml:space="preserve">שבהם חבר הפרלמנט הרלוונטי הצהיר על כך בתחילת הדיון בוועדה, גם אם ברמה הפורמלית העניין לא </w:t>
      </w:r>
      <w:r w:rsidR="009A4B20">
        <w:rPr>
          <w:rFonts w:hint="cs"/>
          <w:rtl/>
          <w:lang w:eastAsia="he-IL"/>
        </w:rPr>
        <w:t>נכלל</w:t>
      </w:r>
      <w:r w:rsidR="00803AA9">
        <w:rPr>
          <w:rFonts w:hint="cs"/>
          <w:rtl/>
          <w:lang w:eastAsia="he-IL"/>
        </w:rPr>
        <w:t xml:space="preserve"> בגדר האיסור הקבוע בתקנון.</w:t>
      </w:r>
      <w:r w:rsidR="00803AA9">
        <w:rPr>
          <w:rStyle w:val="ac"/>
          <w:rtl/>
          <w:lang w:eastAsia="he-IL"/>
        </w:rPr>
        <w:footnoteReference w:id="125"/>
      </w:r>
      <w:r w:rsidR="00803AA9">
        <w:rPr>
          <w:rFonts w:hint="cs"/>
          <w:rtl/>
          <w:lang w:eastAsia="he-IL"/>
        </w:rPr>
        <w:t xml:space="preserve">  </w:t>
      </w:r>
    </w:p>
    <w:p w:rsidR="00CC76DD" w:rsidRDefault="00CC76DD" w:rsidP="00B02BAC">
      <w:pPr>
        <w:pStyle w:val="a4"/>
        <w:rPr>
          <w:rtl/>
          <w:lang w:eastAsia="he-IL"/>
        </w:rPr>
      </w:pPr>
      <w:r>
        <w:rPr>
          <w:rFonts w:hint="cs"/>
          <w:rtl/>
          <w:lang w:eastAsia="he-IL"/>
        </w:rPr>
        <w:t xml:space="preserve">יצוין כי ב-1984 התקבלה הוראה לפיה היה על חברי </w:t>
      </w:r>
      <w:r w:rsidR="00893181">
        <w:rPr>
          <w:rFonts w:hint="cs"/>
          <w:rtl/>
          <w:lang w:eastAsia="he-IL"/>
        </w:rPr>
        <w:t>בית-הנבחרים</w:t>
      </w:r>
      <w:r>
        <w:rPr>
          <w:rFonts w:hint="cs"/>
          <w:rtl/>
          <w:lang w:eastAsia="he-IL"/>
        </w:rPr>
        <w:t xml:space="preserve"> להכריז בעל-פה על כל אינטרס רלוונטי לפני נאום או הצבעה</w:t>
      </w:r>
      <w:r w:rsidR="003804A6">
        <w:rPr>
          <w:rFonts w:hint="cs"/>
          <w:rtl/>
          <w:lang w:eastAsia="he-IL"/>
        </w:rPr>
        <w:t>. דרישה זו בוטלה ב-1988</w:t>
      </w:r>
      <w:r>
        <w:rPr>
          <w:rFonts w:hint="cs"/>
          <w:rtl/>
          <w:lang w:eastAsia="he-IL"/>
        </w:rPr>
        <w:t xml:space="preserve"> מתוך תפיסה שאין בה תועלת</w:t>
      </w:r>
      <w:r w:rsidR="003804A6">
        <w:rPr>
          <w:rFonts w:hint="cs"/>
          <w:rtl/>
          <w:lang w:eastAsia="he-IL"/>
        </w:rPr>
        <w:t>;</w:t>
      </w:r>
      <w:r>
        <w:rPr>
          <w:rFonts w:hint="cs"/>
          <w:rtl/>
          <w:lang w:eastAsia="he-IL"/>
        </w:rPr>
        <w:t xml:space="preserve"> עם זאת יש חברים שעדיין פועלים על-פיה </w:t>
      </w:r>
      <w:r w:rsidR="00B02BAC">
        <w:rPr>
          <w:rFonts w:hint="cs"/>
          <w:rtl/>
          <w:lang w:eastAsia="he-IL"/>
        </w:rPr>
        <w:t>לפעמים</w:t>
      </w:r>
      <w:r>
        <w:rPr>
          <w:rFonts w:hint="cs"/>
          <w:rtl/>
          <w:lang w:eastAsia="he-IL"/>
        </w:rPr>
        <w:t>.</w:t>
      </w:r>
      <w:r>
        <w:rPr>
          <w:rStyle w:val="ac"/>
          <w:rtl/>
          <w:lang w:eastAsia="he-IL"/>
        </w:rPr>
        <w:footnoteReference w:id="126"/>
      </w:r>
    </w:p>
    <w:p w:rsidR="00CC76DD" w:rsidRDefault="005940FA" w:rsidP="00434058">
      <w:pPr>
        <w:pStyle w:val="a4"/>
        <w:rPr>
          <w:rtl/>
          <w:lang w:eastAsia="he-IL"/>
        </w:rPr>
      </w:pPr>
      <w:r>
        <w:rPr>
          <w:rFonts w:hint="cs"/>
          <w:rtl/>
          <w:lang w:eastAsia="he-IL"/>
        </w:rPr>
        <w:t xml:space="preserve">עוד </w:t>
      </w:r>
      <w:r w:rsidR="00CC76DD" w:rsidRPr="005940FA">
        <w:rPr>
          <w:rFonts w:hint="cs"/>
          <w:rtl/>
          <w:lang w:eastAsia="he-IL"/>
        </w:rPr>
        <w:t xml:space="preserve">יצוין כי </w:t>
      </w:r>
      <w:r w:rsidR="003804A6" w:rsidRPr="005940FA">
        <w:rPr>
          <w:rFonts w:hint="cs"/>
          <w:rtl/>
          <w:lang w:eastAsia="he-IL"/>
        </w:rPr>
        <w:t xml:space="preserve">גם בסנאט חל </w:t>
      </w:r>
      <w:r w:rsidR="00CC76DD" w:rsidRPr="005940FA">
        <w:rPr>
          <w:rFonts w:hint="cs"/>
          <w:rtl/>
          <w:lang w:eastAsia="he-IL"/>
        </w:rPr>
        <w:t xml:space="preserve">בעבר נוהג לפיו היה על </w:t>
      </w:r>
      <w:r w:rsidR="00CC76DD" w:rsidRPr="005940FA">
        <w:rPr>
          <w:rFonts w:hint="cs"/>
          <w:b/>
          <w:bCs/>
          <w:rtl/>
          <w:lang w:eastAsia="he-IL"/>
        </w:rPr>
        <w:t>חברי הסנאט</w:t>
      </w:r>
      <w:r w:rsidR="00CC76DD" w:rsidRPr="005940FA">
        <w:rPr>
          <w:rFonts w:hint="cs"/>
          <w:rtl/>
          <w:lang w:eastAsia="he-IL"/>
        </w:rPr>
        <w:t xml:space="preserve"> להכריז בעל-פה על כל אינטרס רלוונטי לדיון שהתקיים; דרישה זו בוטלה ב-2003, אך יש סנאטורים שעדיין פועלים על-פיה</w:t>
      </w:r>
      <w:r w:rsidR="00434058" w:rsidRPr="005940FA">
        <w:rPr>
          <w:rFonts w:hint="cs"/>
          <w:rtl/>
          <w:lang w:eastAsia="he-IL"/>
        </w:rPr>
        <w:t>.</w:t>
      </w:r>
      <w:bookmarkStart w:id="1" w:name="_Ref473808643"/>
      <w:r w:rsidR="00434058" w:rsidRPr="005940FA">
        <w:rPr>
          <w:rStyle w:val="ac"/>
          <w:rtl/>
          <w:lang w:eastAsia="he-IL"/>
        </w:rPr>
        <w:footnoteReference w:id="127"/>
      </w:r>
      <w:bookmarkEnd w:id="1"/>
      <w:r w:rsidR="00CC76DD">
        <w:rPr>
          <w:rFonts w:hint="cs"/>
          <w:rtl/>
          <w:lang w:eastAsia="he-IL"/>
        </w:rPr>
        <w:t xml:space="preserve"> </w:t>
      </w:r>
    </w:p>
    <w:p w:rsidR="00843889" w:rsidRDefault="00843889" w:rsidP="00041950">
      <w:pPr>
        <w:pStyle w:val="111"/>
        <w:rPr>
          <w:rtl/>
        </w:rPr>
      </w:pPr>
      <w:r>
        <w:rPr>
          <w:rFonts w:hint="cs"/>
          <w:rtl/>
        </w:rPr>
        <w:t>הצהרה על אינטרסים</w:t>
      </w:r>
    </w:p>
    <w:p w:rsidR="009B7506" w:rsidRDefault="008131C8" w:rsidP="00434058">
      <w:pPr>
        <w:pStyle w:val="a4"/>
        <w:rPr>
          <w:rtl/>
          <w:lang w:eastAsia="he-IL"/>
        </w:rPr>
      </w:pPr>
      <w:r>
        <w:rPr>
          <w:rFonts w:hint="cs"/>
          <w:rtl/>
          <w:lang w:eastAsia="he-IL"/>
        </w:rPr>
        <w:t xml:space="preserve">לפי </w:t>
      </w:r>
      <w:r w:rsidR="001C4668">
        <w:rPr>
          <w:rFonts w:hint="cs"/>
          <w:rtl/>
          <w:lang w:eastAsia="he-IL"/>
        </w:rPr>
        <w:t>סעיף 216 לתקנון</w:t>
      </w:r>
      <w:r w:rsidR="00B02BAC">
        <w:rPr>
          <w:rFonts w:hint="cs"/>
          <w:rtl/>
          <w:lang w:eastAsia="he-IL"/>
        </w:rPr>
        <w:t xml:space="preserve"> בית-הנבחרים</w:t>
      </w:r>
      <w:r>
        <w:rPr>
          <w:rFonts w:hint="cs"/>
          <w:rtl/>
          <w:lang w:eastAsia="he-IL"/>
        </w:rPr>
        <w:t>, מוקמת</w:t>
      </w:r>
      <w:r w:rsidR="001C4668">
        <w:rPr>
          <w:rFonts w:hint="cs"/>
          <w:rtl/>
          <w:lang w:eastAsia="he-IL"/>
        </w:rPr>
        <w:t xml:space="preserve"> ועדה לזכויות חברי </w:t>
      </w:r>
      <w:r w:rsidR="00893181">
        <w:rPr>
          <w:rFonts w:hint="cs"/>
          <w:rtl/>
          <w:lang w:eastAsia="he-IL"/>
        </w:rPr>
        <w:t>בית-הנבחרים</w:t>
      </w:r>
      <w:r w:rsidR="009B7506">
        <w:rPr>
          <w:rFonts w:hint="cs"/>
          <w:rtl/>
          <w:lang w:eastAsia="he-IL"/>
        </w:rPr>
        <w:t xml:space="preserve"> </w:t>
      </w:r>
      <w:r w:rsidR="001C4668">
        <w:rPr>
          <w:rFonts w:hint="cs"/>
          <w:rtl/>
          <w:lang w:eastAsia="he-IL"/>
        </w:rPr>
        <w:t>והאינטרסים שלהם</w:t>
      </w:r>
      <w:r>
        <w:rPr>
          <w:rFonts w:hint="cs"/>
          <w:rtl/>
          <w:lang w:eastAsia="he-IL"/>
        </w:rPr>
        <w:t xml:space="preserve"> (</w:t>
      </w:r>
      <w:r>
        <w:t>Committee of Privileges and Members' Interests</w:t>
      </w:r>
      <w:r>
        <w:rPr>
          <w:rFonts w:hint="cs"/>
          <w:rtl/>
          <w:lang w:eastAsia="he-IL"/>
        </w:rPr>
        <w:t>)</w:t>
      </w:r>
      <w:r w:rsidR="009B7506">
        <w:rPr>
          <w:rFonts w:hint="cs"/>
          <w:rtl/>
          <w:lang w:eastAsia="he-IL"/>
        </w:rPr>
        <w:t xml:space="preserve"> אשר בין תפקידיה לפקח על </w:t>
      </w:r>
      <w:r w:rsidR="00434058">
        <w:rPr>
          <w:rFonts w:hint="cs"/>
          <w:rtl/>
          <w:lang w:eastAsia="he-IL"/>
        </w:rPr>
        <w:t>ה</w:t>
      </w:r>
      <w:r w:rsidR="009B7506">
        <w:rPr>
          <w:rFonts w:hint="cs"/>
          <w:rtl/>
          <w:lang w:eastAsia="he-IL"/>
        </w:rPr>
        <w:t xml:space="preserve">הקמה, </w:t>
      </w:r>
      <w:r w:rsidR="00434058">
        <w:rPr>
          <w:rFonts w:hint="cs"/>
          <w:rtl/>
          <w:lang w:eastAsia="he-IL"/>
        </w:rPr>
        <w:t>ה</w:t>
      </w:r>
      <w:r w:rsidR="009B7506">
        <w:rPr>
          <w:rFonts w:hint="cs"/>
          <w:rtl/>
          <w:lang w:eastAsia="he-IL"/>
        </w:rPr>
        <w:t>אחזקה ו</w:t>
      </w:r>
      <w:r w:rsidR="00434058">
        <w:rPr>
          <w:rFonts w:hint="cs"/>
          <w:rtl/>
          <w:lang w:eastAsia="he-IL"/>
        </w:rPr>
        <w:t>ה</w:t>
      </w:r>
      <w:r w:rsidR="009B7506">
        <w:rPr>
          <w:rFonts w:hint="cs"/>
          <w:rtl/>
          <w:lang w:eastAsia="he-IL"/>
        </w:rPr>
        <w:t xml:space="preserve">נגישות של </w:t>
      </w:r>
      <w:r w:rsidR="009B7506" w:rsidRPr="009B7506">
        <w:rPr>
          <w:rFonts w:hint="cs"/>
          <w:b/>
          <w:bCs/>
          <w:rtl/>
          <w:lang w:eastAsia="he-IL"/>
        </w:rPr>
        <w:t>מרשם אינטרסים של חברי הבית</w:t>
      </w:r>
      <w:r w:rsidR="009B7506">
        <w:rPr>
          <w:rFonts w:hint="cs"/>
          <w:rtl/>
          <w:lang w:eastAsia="he-IL"/>
        </w:rPr>
        <w:t xml:space="preserve"> (</w:t>
      </w:r>
      <w:r w:rsidR="009B7506">
        <w:t>Register of Members' Interests</w:t>
      </w:r>
      <w:r w:rsidR="009B7506">
        <w:rPr>
          <w:rFonts w:hint="cs"/>
          <w:rtl/>
          <w:lang w:eastAsia="he-IL"/>
        </w:rPr>
        <w:t xml:space="preserve">). </w:t>
      </w:r>
    </w:p>
    <w:p w:rsidR="00B87777" w:rsidRDefault="00434058" w:rsidP="00434058">
      <w:pPr>
        <w:pStyle w:val="a4"/>
        <w:rPr>
          <w:rtl/>
          <w:lang w:eastAsia="he-IL"/>
        </w:rPr>
      </w:pPr>
      <w:r>
        <w:rPr>
          <w:rFonts w:hint="cs"/>
          <w:rtl/>
          <w:lang w:eastAsia="he-IL"/>
        </w:rPr>
        <w:t xml:space="preserve">ההסדר החל על חברי </w:t>
      </w:r>
      <w:r w:rsidR="00893181">
        <w:rPr>
          <w:rFonts w:hint="cs"/>
          <w:rtl/>
          <w:lang w:eastAsia="he-IL"/>
        </w:rPr>
        <w:t>בית-הנבחרים</w:t>
      </w:r>
      <w:r>
        <w:rPr>
          <w:rFonts w:hint="cs"/>
          <w:rtl/>
          <w:lang w:eastAsia="he-IL"/>
        </w:rPr>
        <w:t xml:space="preserve"> נקבע ב</w:t>
      </w:r>
      <w:r w:rsidR="008D0997" w:rsidRPr="005E41C7">
        <w:rPr>
          <w:rFonts w:hint="cs"/>
          <w:b/>
          <w:bCs/>
          <w:rtl/>
          <w:lang w:eastAsia="he-IL"/>
        </w:rPr>
        <w:t xml:space="preserve">החלטת </w:t>
      </w:r>
      <w:r w:rsidR="00893181">
        <w:rPr>
          <w:rFonts w:hint="cs"/>
          <w:b/>
          <w:bCs/>
          <w:rtl/>
          <w:lang w:eastAsia="he-IL"/>
        </w:rPr>
        <w:t>בית-הנבחרים</w:t>
      </w:r>
      <w:r w:rsidR="009B78F9">
        <w:rPr>
          <w:rFonts w:hint="cs"/>
          <w:rtl/>
          <w:lang w:eastAsia="he-IL"/>
        </w:rPr>
        <w:t xml:space="preserve"> מ-1984</w:t>
      </w:r>
      <w:r w:rsidR="005E41C7">
        <w:rPr>
          <w:rFonts w:hint="cs"/>
          <w:rtl/>
          <w:lang w:eastAsia="he-IL"/>
        </w:rPr>
        <w:t xml:space="preserve"> (להלן בפרק זה: </w:t>
      </w:r>
      <w:r w:rsidR="005E41C7" w:rsidRPr="005E41C7">
        <w:rPr>
          <w:rFonts w:hint="cs"/>
          <w:b/>
          <w:bCs/>
          <w:rtl/>
          <w:lang w:eastAsia="he-IL"/>
        </w:rPr>
        <w:t>ההחלטה</w:t>
      </w:r>
      <w:r w:rsidR="005E41C7">
        <w:rPr>
          <w:rFonts w:hint="cs"/>
          <w:rtl/>
          <w:lang w:eastAsia="he-IL"/>
        </w:rPr>
        <w:t>)</w:t>
      </w:r>
      <w:r>
        <w:rPr>
          <w:rFonts w:hint="cs"/>
          <w:rtl/>
          <w:lang w:eastAsia="he-IL"/>
        </w:rPr>
        <w:t>,</w:t>
      </w:r>
      <w:r w:rsidR="008D0997">
        <w:rPr>
          <w:rStyle w:val="ac"/>
          <w:rtl/>
          <w:lang w:eastAsia="he-IL"/>
        </w:rPr>
        <w:footnoteReference w:id="128"/>
      </w:r>
      <w:r w:rsidR="008D0997">
        <w:rPr>
          <w:rFonts w:hint="cs"/>
          <w:rtl/>
          <w:lang w:eastAsia="he-IL"/>
        </w:rPr>
        <w:t xml:space="preserve"> </w:t>
      </w:r>
      <w:r>
        <w:rPr>
          <w:rFonts w:hint="cs"/>
          <w:rtl/>
          <w:lang w:eastAsia="he-IL"/>
        </w:rPr>
        <w:t xml:space="preserve">ולפיה </w:t>
      </w:r>
      <w:r w:rsidR="008D0997" w:rsidRPr="009B78F9">
        <w:rPr>
          <w:rFonts w:hint="cs"/>
          <w:b/>
          <w:bCs/>
          <w:rtl/>
          <w:lang w:eastAsia="he-IL"/>
        </w:rPr>
        <w:t xml:space="preserve">על כל חבר </w:t>
      </w:r>
      <w:r w:rsidR="00893181">
        <w:rPr>
          <w:rFonts w:hint="cs"/>
          <w:b/>
          <w:bCs/>
          <w:rtl/>
          <w:lang w:eastAsia="he-IL"/>
        </w:rPr>
        <w:t>בית-</w:t>
      </w:r>
      <w:r w:rsidR="00B02BAC">
        <w:rPr>
          <w:rFonts w:hint="cs"/>
          <w:b/>
          <w:bCs/>
          <w:rtl/>
          <w:lang w:eastAsia="he-IL"/>
        </w:rPr>
        <w:t>ה</w:t>
      </w:r>
      <w:r w:rsidR="00893181">
        <w:rPr>
          <w:rFonts w:hint="cs"/>
          <w:b/>
          <w:bCs/>
          <w:rtl/>
          <w:lang w:eastAsia="he-IL"/>
        </w:rPr>
        <w:t>נבחרים</w:t>
      </w:r>
      <w:r w:rsidR="008D0997" w:rsidRPr="009B78F9">
        <w:rPr>
          <w:rFonts w:hint="cs"/>
          <w:b/>
          <w:bCs/>
          <w:rtl/>
          <w:lang w:eastAsia="he-IL"/>
        </w:rPr>
        <w:t xml:space="preserve"> להגיש הצהרה על האינטרסים שלו</w:t>
      </w:r>
      <w:r w:rsidR="009B78F9">
        <w:rPr>
          <w:rFonts w:hint="cs"/>
          <w:rtl/>
          <w:lang w:eastAsia="he-IL"/>
        </w:rPr>
        <w:t xml:space="preserve"> שעשויים להיות מנוגדים (או להיתפס כמנוגדים) לתפקידו הציבורי</w:t>
      </w:r>
      <w:r w:rsidR="008D0997">
        <w:rPr>
          <w:rFonts w:hint="cs"/>
          <w:rtl/>
          <w:lang w:eastAsia="he-IL"/>
        </w:rPr>
        <w:t xml:space="preserve">. </w:t>
      </w:r>
    </w:p>
    <w:p w:rsidR="00B87777" w:rsidRDefault="009B78F9" w:rsidP="00B02BAC">
      <w:pPr>
        <w:pStyle w:val="a4"/>
        <w:rPr>
          <w:rtl/>
          <w:lang w:eastAsia="he-IL"/>
        </w:rPr>
      </w:pPr>
      <w:r>
        <w:rPr>
          <w:rFonts w:hint="cs"/>
          <w:rtl/>
          <w:lang w:eastAsia="he-IL"/>
        </w:rPr>
        <w:t xml:space="preserve">חבר הפרלמנט יגיש את ההצהרה </w:t>
      </w:r>
      <w:r w:rsidR="008D0997">
        <w:rPr>
          <w:rFonts w:hint="cs"/>
          <w:rtl/>
          <w:lang w:eastAsia="he-IL"/>
        </w:rPr>
        <w:t>ל</w:t>
      </w:r>
      <w:r w:rsidR="008D0997" w:rsidRPr="006D3651">
        <w:rPr>
          <w:rFonts w:hint="cs"/>
          <w:b/>
          <w:bCs/>
          <w:rtl/>
          <w:lang w:eastAsia="he-IL"/>
        </w:rPr>
        <w:t>רשם האינטרסים</w:t>
      </w:r>
      <w:r w:rsidR="008D0997">
        <w:rPr>
          <w:rFonts w:hint="cs"/>
          <w:rtl/>
          <w:lang w:eastAsia="he-IL"/>
        </w:rPr>
        <w:t xml:space="preserve"> (</w:t>
      </w:r>
      <w:r w:rsidR="008D0997">
        <w:rPr>
          <w:lang w:eastAsia="he-IL"/>
        </w:rPr>
        <w:t>Registrar of Members' Interests</w:t>
      </w:r>
      <w:r w:rsidR="008D0997">
        <w:rPr>
          <w:rFonts w:hint="cs"/>
          <w:rtl/>
          <w:lang w:eastAsia="he-IL"/>
        </w:rPr>
        <w:t>)</w:t>
      </w:r>
      <w:r w:rsidRPr="009B78F9">
        <w:rPr>
          <w:rFonts w:hint="cs"/>
          <w:rtl/>
          <w:lang w:eastAsia="he-IL"/>
        </w:rPr>
        <w:t xml:space="preserve"> </w:t>
      </w:r>
      <w:r>
        <w:rPr>
          <w:rFonts w:hint="cs"/>
          <w:rtl/>
          <w:lang w:eastAsia="he-IL"/>
        </w:rPr>
        <w:t>תוך 28 יום מהשבעתו ל</w:t>
      </w:r>
      <w:r w:rsidR="00893181">
        <w:rPr>
          <w:rFonts w:hint="cs"/>
          <w:rtl/>
          <w:lang w:eastAsia="he-IL"/>
        </w:rPr>
        <w:t>בית-הנבחרים</w:t>
      </w:r>
      <w:r w:rsidR="002B6A0C">
        <w:rPr>
          <w:rStyle w:val="ac"/>
          <w:rtl/>
          <w:lang w:eastAsia="he-IL"/>
        </w:rPr>
        <w:footnoteReference w:id="129"/>
      </w:r>
      <w:r w:rsidR="00B02BAC">
        <w:rPr>
          <w:rFonts w:hint="cs"/>
          <w:rtl/>
          <w:lang w:eastAsia="he-IL"/>
        </w:rPr>
        <w:t xml:space="preserve"> (</w:t>
      </w:r>
      <w:r>
        <w:rPr>
          <w:rFonts w:hint="cs"/>
          <w:rtl/>
          <w:lang w:eastAsia="he-IL"/>
        </w:rPr>
        <w:t>הצהרה על שינוי באינטרסים תוגש תוך 28 יום מקרות השינוי)</w:t>
      </w:r>
      <w:r w:rsidR="008D0997">
        <w:rPr>
          <w:rFonts w:hint="cs"/>
          <w:rtl/>
          <w:lang w:eastAsia="he-IL"/>
        </w:rPr>
        <w:t>.</w:t>
      </w:r>
      <w:r w:rsidR="00253DC7">
        <w:rPr>
          <w:rFonts w:hint="cs"/>
          <w:rtl/>
          <w:lang w:eastAsia="he-IL"/>
        </w:rPr>
        <w:t xml:space="preserve"> </w:t>
      </w:r>
      <w:r>
        <w:rPr>
          <w:rFonts w:hint="cs"/>
          <w:rtl/>
          <w:lang w:eastAsia="he-IL"/>
        </w:rPr>
        <w:t xml:space="preserve">ההצהרה תכלול מידע על האינטרסים של חבר הפרלמנט, </w:t>
      </w:r>
      <w:r w:rsidR="005E41C7">
        <w:rPr>
          <w:rFonts w:hint="cs"/>
          <w:rtl/>
          <w:lang w:eastAsia="he-IL"/>
        </w:rPr>
        <w:t>וכן על האינטרסים שידועים לו של</w:t>
      </w:r>
      <w:r w:rsidR="00FF2C94">
        <w:rPr>
          <w:rFonts w:hint="cs"/>
          <w:rtl/>
          <w:lang w:eastAsia="he-IL"/>
        </w:rPr>
        <w:t xml:space="preserve"> בני משפחת</w:t>
      </w:r>
      <w:r w:rsidR="00B02BAC">
        <w:rPr>
          <w:rFonts w:hint="cs"/>
          <w:rtl/>
          <w:lang w:eastAsia="he-IL"/>
        </w:rPr>
        <w:t>ו</w:t>
      </w:r>
      <w:r w:rsidR="00FF2C94">
        <w:rPr>
          <w:rFonts w:hint="cs"/>
          <w:rtl/>
          <w:lang w:eastAsia="he-IL"/>
        </w:rPr>
        <w:t xml:space="preserve"> הקרובה (</w:t>
      </w:r>
      <w:r>
        <w:rPr>
          <w:rFonts w:hint="cs"/>
          <w:rtl/>
          <w:lang w:eastAsia="he-IL"/>
        </w:rPr>
        <w:t>בן או בת זוגו וילדיו התלויים בו</w:t>
      </w:r>
      <w:r w:rsidR="00FF2C94">
        <w:rPr>
          <w:rFonts w:hint="cs"/>
          <w:rtl/>
          <w:lang w:eastAsia="he-IL"/>
        </w:rPr>
        <w:t xml:space="preserve"> חלקית או באופן מלא)</w:t>
      </w:r>
      <w:r>
        <w:rPr>
          <w:rFonts w:hint="cs"/>
          <w:rtl/>
          <w:lang w:eastAsia="he-IL"/>
        </w:rPr>
        <w:t>.</w:t>
      </w:r>
      <w:r w:rsidR="005E41C7">
        <w:rPr>
          <w:rFonts w:hint="cs"/>
          <w:rtl/>
          <w:lang w:eastAsia="he-IL"/>
        </w:rPr>
        <w:t xml:space="preserve"> </w:t>
      </w:r>
    </w:p>
    <w:p w:rsidR="00253DC7" w:rsidRDefault="009A4B20" w:rsidP="009A4B20">
      <w:pPr>
        <w:pStyle w:val="a4"/>
        <w:rPr>
          <w:rtl/>
          <w:lang w:eastAsia="he-IL"/>
        </w:rPr>
      </w:pPr>
      <w:r>
        <w:rPr>
          <w:rFonts w:hint="cs"/>
          <w:rtl/>
          <w:lang w:eastAsia="he-IL"/>
        </w:rPr>
        <w:t xml:space="preserve">הרשם יחזיק את </w:t>
      </w:r>
      <w:r w:rsidR="00253DC7">
        <w:rPr>
          <w:rFonts w:hint="cs"/>
          <w:rtl/>
          <w:lang w:eastAsia="he-IL"/>
        </w:rPr>
        <w:t>ההצהרות ב</w:t>
      </w:r>
      <w:r w:rsidR="00253DC7" w:rsidRPr="00253DC7">
        <w:rPr>
          <w:rFonts w:hint="cs"/>
          <w:b/>
          <w:bCs/>
          <w:rtl/>
          <w:lang w:eastAsia="he-IL"/>
        </w:rPr>
        <w:t>מרשם האינטרסים</w:t>
      </w:r>
      <w:r w:rsidR="00253DC7">
        <w:rPr>
          <w:rFonts w:hint="cs"/>
          <w:rtl/>
          <w:lang w:eastAsia="he-IL"/>
        </w:rPr>
        <w:t>; המרשם יונח על שולחן בית-הנבחרים בהקדם האפשרי לאחר פתיחת כל פרלמנט</w:t>
      </w:r>
      <w:r w:rsidR="007E67ED">
        <w:rPr>
          <w:rFonts w:hint="cs"/>
          <w:rtl/>
          <w:lang w:eastAsia="he-IL"/>
        </w:rPr>
        <w:t xml:space="preserve"> נכנס</w:t>
      </w:r>
      <w:r w:rsidR="002B6A0C">
        <w:rPr>
          <w:rFonts w:hint="cs"/>
          <w:rtl/>
          <w:lang w:eastAsia="he-IL"/>
        </w:rPr>
        <w:t xml:space="preserve"> (וכל הצהרה על שינוי באינטרסים תונח אף היא על שולחן בית-הנבחרים). </w:t>
      </w:r>
      <w:r w:rsidR="002B6A0C" w:rsidRPr="002B6A0C">
        <w:rPr>
          <w:rFonts w:hint="cs"/>
          <w:b/>
          <w:bCs/>
          <w:rtl/>
          <w:lang w:eastAsia="he-IL"/>
        </w:rPr>
        <w:t>המרשם יהיה פתוח לציבור</w:t>
      </w:r>
      <w:r w:rsidR="002B6A0C">
        <w:rPr>
          <w:rFonts w:hint="cs"/>
          <w:rtl/>
          <w:lang w:eastAsia="he-IL"/>
        </w:rPr>
        <w:t xml:space="preserve"> בהתאם לתנאים שייקבעו בוועדה הפרלמנטרית לענין זה.</w:t>
      </w:r>
      <w:r w:rsidR="002B6A0C">
        <w:rPr>
          <w:rStyle w:val="ac"/>
          <w:rtl/>
          <w:lang w:eastAsia="he-IL"/>
        </w:rPr>
        <w:footnoteReference w:id="130"/>
      </w:r>
    </w:p>
    <w:p w:rsidR="00EE7CFE" w:rsidRDefault="00B87777" w:rsidP="00B87777">
      <w:pPr>
        <w:pStyle w:val="a4"/>
        <w:rPr>
          <w:rtl/>
          <w:lang w:eastAsia="he-IL"/>
        </w:rPr>
      </w:pPr>
      <w:r>
        <w:rPr>
          <w:rFonts w:hint="cs"/>
          <w:rtl/>
          <w:lang w:eastAsia="he-IL"/>
        </w:rPr>
        <w:t xml:space="preserve">בהחלטה מפורטות </w:t>
      </w:r>
      <w:r w:rsidRPr="00B87777">
        <w:rPr>
          <w:rFonts w:hint="cs"/>
          <w:b/>
          <w:bCs/>
          <w:rtl/>
          <w:lang w:eastAsia="he-IL"/>
        </w:rPr>
        <w:t xml:space="preserve">קטגוריות רבות של אינטרסים </w:t>
      </w:r>
      <w:r w:rsidR="005E41C7" w:rsidRPr="00B87777">
        <w:rPr>
          <w:rFonts w:hint="cs"/>
          <w:b/>
          <w:bCs/>
          <w:rtl/>
          <w:lang w:eastAsia="he-IL"/>
        </w:rPr>
        <w:t>שיש להצהיר עליהם</w:t>
      </w:r>
      <w:r>
        <w:rPr>
          <w:rFonts w:hint="cs"/>
          <w:rtl/>
          <w:lang w:eastAsia="he-IL"/>
        </w:rPr>
        <w:t>, ובהן</w:t>
      </w:r>
      <w:r w:rsidR="005E41C7">
        <w:rPr>
          <w:rFonts w:hint="cs"/>
          <w:rtl/>
          <w:lang w:eastAsia="he-IL"/>
        </w:rPr>
        <w:t>:</w:t>
      </w:r>
    </w:p>
    <w:p w:rsidR="00B87777" w:rsidRDefault="005E41C7" w:rsidP="00CA4E53">
      <w:pPr>
        <w:pStyle w:val="a4"/>
        <w:numPr>
          <w:ilvl w:val="0"/>
          <w:numId w:val="12"/>
        </w:numPr>
        <w:ind w:left="357" w:hanging="357"/>
        <w:rPr>
          <w:lang w:eastAsia="he-IL"/>
        </w:rPr>
      </w:pPr>
      <w:r>
        <w:rPr>
          <w:rFonts w:hint="cs"/>
          <w:rtl/>
          <w:lang w:eastAsia="he-IL"/>
        </w:rPr>
        <w:t>החזקה במניות בחברות פרטיות וציבוריות</w:t>
      </w:r>
      <w:r w:rsidR="00B87777">
        <w:rPr>
          <w:rFonts w:hint="cs"/>
          <w:rtl/>
          <w:lang w:eastAsia="he-IL"/>
        </w:rPr>
        <w:t>;</w:t>
      </w:r>
      <w:r w:rsidR="00FF2C94">
        <w:rPr>
          <w:rFonts w:hint="cs"/>
          <w:rtl/>
          <w:lang w:eastAsia="he-IL"/>
        </w:rPr>
        <w:t xml:space="preserve"> </w:t>
      </w:r>
      <w:r>
        <w:rPr>
          <w:rFonts w:hint="cs"/>
          <w:rtl/>
          <w:lang w:eastAsia="he-IL"/>
        </w:rPr>
        <w:t xml:space="preserve">נאמנויות </w:t>
      </w:r>
      <w:r w:rsidR="00FF2C94">
        <w:rPr>
          <w:rFonts w:hint="cs"/>
          <w:rtl/>
          <w:lang w:eastAsia="he-IL"/>
        </w:rPr>
        <w:t>וחברות נאמנות שבהן יש לחבר הפרלמנט או לבן משפחתו מעמד של נהנה או נאמן;</w:t>
      </w:r>
      <w:r w:rsidR="00B87777" w:rsidRPr="00B87777">
        <w:rPr>
          <w:rFonts w:hint="cs"/>
          <w:rtl/>
          <w:lang w:eastAsia="he-IL"/>
        </w:rPr>
        <w:t xml:space="preserve"> </w:t>
      </w:r>
      <w:r w:rsidR="00B87777">
        <w:rPr>
          <w:rFonts w:hint="cs"/>
          <w:rtl/>
          <w:lang w:eastAsia="he-IL"/>
        </w:rPr>
        <w:t>חברות בדירקטוריון של חברה;</w:t>
      </w:r>
      <w:r w:rsidR="00B87777" w:rsidRPr="00B87777">
        <w:rPr>
          <w:rFonts w:hint="cs"/>
          <w:rtl/>
          <w:lang w:eastAsia="he-IL"/>
        </w:rPr>
        <w:t xml:space="preserve"> </w:t>
      </w:r>
      <w:r w:rsidR="00B87777">
        <w:rPr>
          <w:rFonts w:hint="cs"/>
          <w:rtl/>
          <w:lang w:eastAsia="he-IL"/>
        </w:rPr>
        <w:t>שותפות בשותפויות.</w:t>
      </w:r>
    </w:p>
    <w:p w:rsidR="00B87777" w:rsidRDefault="00B87777" w:rsidP="00CA4E53">
      <w:pPr>
        <w:pStyle w:val="a4"/>
        <w:numPr>
          <w:ilvl w:val="0"/>
          <w:numId w:val="12"/>
        </w:numPr>
        <w:ind w:left="357" w:hanging="357"/>
        <w:rPr>
          <w:lang w:eastAsia="he-IL"/>
        </w:rPr>
      </w:pPr>
      <w:r>
        <w:rPr>
          <w:rFonts w:hint="cs"/>
          <w:rtl/>
          <w:lang w:eastAsia="he-IL"/>
        </w:rPr>
        <w:t>אגרות חוב והשקעות דומות; חשבונות חסכון או השקעה.</w:t>
      </w:r>
    </w:p>
    <w:p w:rsidR="00FF2C94" w:rsidRDefault="00FF2C94" w:rsidP="00CA4E53">
      <w:pPr>
        <w:pStyle w:val="a4"/>
        <w:numPr>
          <w:ilvl w:val="0"/>
          <w:numId w:val="12"/>
        </w:numPr>
        <w:ind w:left="357" w:hanging="357"/>
        <w:rPr>
          <w:lang w:eastAsia="he-IL"/>
        </w:rPr>
      </w:pPr>
      <w:r>
        <w:rPr>
          <w:rFonts w:hint="cs"/>
          <w:rtl/>
          <w:lang w:eastAsia="he-IL"/>
        </w:rPr>
        <w:t>החזקה בנדל"ן, לרבות מידע על מיקום הנדל"</w:t>
      </w:r>
      <w:r w:rsidR="00B87777">
        <w:rPr>
          <w:rFonts w:hint="cs"/>
          <w:rtl/>
          <w:lang w:eastAsia="he-IL"/>
        </w:rPr>
        <w:t>ן והשימוש שנעשה בו.</w:t>
      </w:r>
    </w:p>
    <w:p w:rsidR="00FF2C94" w:rsidRDefault="00FF2C94" w:rsidP="00CA4E53">
      <w:pPr>
        <w:pStyle w:val="a4"/>
        <w:numPr>
          <w:ilvl w:val="0"/>
          <w:numId w:val="12"/>
        </w:numPr>
        <w:ind w:left="357" w:hanging="357"/>
        <w:rPr>
          <w:lang w:eastAsia="he-IL"/>
        </w:rPr>
      </w:pPr>
      <w:r>
        <w:rPr>
          <w:rFonts w:hint="cs"/>
          <w:rtl/>
          <w:lang w:eastAsia="he-IL"/>
        </w:rPr>
        <w:t>התחייבויות, לרבות מידע על סוג ההתחייבות וזהות הנושה</w:t>
      </w:r>
      <w:r w:rsidR="00B87777">
        <w:rPr>
          <w:rFonts w:hint="cs"/>
          <w:rtl/>
          <w:lang w:eastAsia="he-IL"/>
        </w:rPr>
        <w:t>.</w:t>
      </w:r>
    </w:p>
    <w:p w:rsidR="00FF2C94" w:rsidRDefault="00FF2C94" w:rsidP="00CA4E53">
      <w:pPr>
        <w:pStyle w:val="a4"/>
        <w:numPr>
          <w:ilvl w:val="0"/>
          <w:numId w:val="12"/>
        </w:numPr>
        <w:ind w:left="357" w:hanging="357"/>
        <w:rPr>
          <w:lang w:eastAsia="he-IL"/>
        </w:rPr>
      </w:pPr>
      <w:r>
        <w:rPr>
          <w:rFonts w:hint="cs"/>
          <w:rtl/>
          <w:lang w:eastAsia="he-IL"/>
        </w:rPr>
        <w:t>כל נכס אחר (מלבד חפצים אישיים וחפצי בית) שערכו עולה על 7,500 דולר אוסטרלי</w:t>
      </w:r>
      <w:r w:rsidR="00B87777">
        <w:rPr>
          <w:rFonts w:hint="cs"/>
          <w:rtl/>
          <w:lang w:eastAsia="he-IL"/>
        </w:rPr>
        <w:t>.</w:t>
      </w:r>
    </w:p>
    <w:p w:rsidR="00FF2C94" w:rsidRDefault="00FF2C94" w:rsidP="00CA4E53">
      <w:pPr>
        <w:pStyle w:val="a4"/>
        <w:numPr>
          <w:ilvl w:val="0"/>
          <w:numId w:val="12"/>
        </w:numPr>
        <w:ind w:left="357" w:hanging="357"/>
        <w:rPr>
          <w:lang w:eastAsia="he-IL"/>
        </w:rPr>
      </w:pPr>
      <w:r>
        <w:rPr>
          <w:rFonts w:hint="cs"/>
          <w:rtl/>
          <w:lang w:eastAsia="he-IL"/>
        </w:rPr>
        <w:t>כל מקור הכנסה משמעותי נוסף</w:t>
      </w:r>
      <w:r w:rsidR="00B87777">
        <w:rPr>
          <w:rFonts w:hint="cs"/>
          <w:rtl/>
          <w:lang w:eastAsia="he-IL"/>
        </w:rPr>
        <w:t>.</w:t>
      </w:r>
    </w:p>
    <w:p w:rsidR="00FF2C94" w:rsidRDefault="00FF2C94" w:rsidP="00CA4E53">
      <w:pPr>
        <w:pStyle w:val="a4"/>
        <w:numPr>
          <w:ilvl w:val="0"/>
          <w:numId w:val="12"/>
        </w:numPr>
        <w:ind w:left="357" w:hanging="357"/>
        <w:rPr>
          <w:lang w:eastAsia="he-IL"/>
        </w:rPr>
      </w:pPr>
      <w:r>
        <w:rPr>
          <w:rFonts w:hint="cs"/>
          <w:rtl/>
          <w:lang w:eastAsia="he-IL"/>
        </w:rPr>
        <w:t xml:space="preserve">מתנות שהתקבלו ממקורות רשמיים </w:t>
      </w:r>
      <w:r w:rsidR="00B87777">
        <w:rPr>
          <w:rFonts w:hint="cs"/>
          <w:rtl/>
          <w:lang w:eastAsia="he-IL"/>
        </w:rPr>
        <w:t>(בשווי העולה</w:t>
      </w:r>
      <w:r>
        <w:rPr>
          <w:rFonts w:hint="cs"/>
          <w:rtl/>
          <w:lang w:eastAsia="he-IL"/>
        </w:rPr>
        <w:t xml:space="preserve"> על 750 דולר אוסטרלי</w:t>
      </w:r>
      <w:r w:rsidR="00B87777">
        <w:rPr>
          <w:rFonts w:hint="cs"/>
          <w:rtl/>
          <w:lang w:eastAsia="he-IL"/>
        </w:rPr>
        <w:t>)</w:t>
      </w:r>
      <w:r>
        <w:rPr>
          <w:rFonts w:hint="cs"/>
          <w:rtl/>
          <w:lang w:eastAsia="he-IL"/>
        </w:rPr>
        <w:t>, וממקורות לא רשמי</w:t>
      </w:r>
      <w:r w:rsidR="00B87777">
        <w:rPr>
          <w:rFonts w:hint="cs"/>
          <w:rtl/>
          <w:lang w:eastAsia="he-IL"/>
        </w:rPr>
        <w:t>ים</w:t>
      </w:r>
      <w:r>
        <w:rPr>
          <w:rFonts w:hint="cs"/>
          <w:rtl/>
          <w:lang w:eastAsia="he-IL"/>
        </w:rPr>
        <w:t xml:space="preserve"> </w:t>
      </w:r>
      <w:r w:rsidR="00B87777">
        <w:rPr>
          <w:rFonts w:hint="cs"/>
          <w:rtl/>
          <w:lang w:eastAsia="he-IL"/>
        </w:rPr>
        <w:t>(בשווי ה</w:t>
      </w:r>
      <w:r>
        <w:rPr>
          <w:rFonts w:hint="cs"/>
          <w:rtl/>
          <w:lang w:eastAsia="he-IL"/>
        </w:rPr>
        <w:t>עולה על 300 דולר אוסטרלי</w:t>
      </w:r>
      <w:r w:rsidR="00B87777">
        <w:rPr>
          <w:rFonts w:hint="cs"/>
          <w:rtl/>
          <w:lang w:eastAsia="he-IL"/>
        </w:rPr>
        <w:t>);</w:t>
      </w:r>
      <w:r w:rsidR="00B87777">
        <w:rPr>
          <w:rStyle w:val="ac"/>
          <w:rtl/>
          <w:lang w:eastAsia="he-IL"/>
        </w:rPr>
        <w:footnoteReference w:id="131"/>
      </w:r>
      <w:r>
        <w:rPr>
          <w:rFonts w:hint="cs"/>
          <w:rtl/>
          <w:lang w:eastAsia="he-IL"/>
        </w:rPr>
        <w:t xml:space="preserve"> </w:t>
      </w:r>
      <w:r w:rsidR="00B87777">
        <w:rPr>
          <w:rFonts w:hint="cs"/>
          <w:rtl/>
          <w:lang w:eastAsia="he-IL"/>
        </w:rPr>
        <w:t>מימון שהתקבל לנסיעות ולאירוח חבר הפרלמנט או משפחתו, כאשר שווי ההטבה עולה על 300 דולר אוסטרלי.</w:t>
      </w:r>
    </w:p>
    <w:p w:rsidR="00B87777" w:rsidRDefault="00B87777" w:rsidP="00CA4E53">
      <w:pPr>
        <w:pStyle w:val="a4"/>
        <w:numPr>
          <w:ilvl w:val="0"/>
          <w:numId w:val="12"/>
        </w:numPr>
        <w:ind w:left="357" w:hanging="357"/>
        <w:rPr>
          <w:lang w:eastAsia="he-IL"/>
        </w:rPr>
      </w:pPr>
      <w:r>
        <w:rPr>
          <w:rFonts w:hint="cs"/>
          <w:rtl/>
          <w:lang w:eastAsia="he-IL"/>
        </w:rPr>
        <w:t>חברות בכל ארגון או כל אינטרס אחר שעשוי לעורר (או להיתפס כמעורר) ניגוד עניינים עם תפקידיו הציבוריים של חבר הפרלמנט.</w:t>
      </w:r>
    </w:p>
    <w:p w:rsidR="00226A7B" w:rsidRDefault="00843889" w:rsidP="009A4B20">
      <w:pPr>
        <w:pStyle w:val="a4"/>
        <w:rPr>
          <w:rtl/>
          <w:lang w:eastAsia="he-IL"/>
        </w:rPr>
      </w:pPr>
      <w:r w:rsidRPr="00843889">
        <w:rPr>
          <w:rFonts w:hint="cs"/>
          <w:b/>
          <w:bCs/>
          <w:rtl/>
          <w:lang w:eastAsia="he-IL"/>
        </w:rPr>
        <w:t>מי שמ</w:t>
      </w:r>
      <w:r w:rsidR="0083678D" w:rsidRPr="00843889">
        <w:rPr>
          <w:rFonts w:hint="cs"/>
          <w:b/>
          <w:bCs/>
          <w:rtl/>
          <w:lang w:eastAsia="he-IL"/>
        </w:rPr>
        <w:t>פר</w:t>
      </w:r>
      <w:r w:rsidRPr="00843889">
        <w:rPr>
          <w:rFonts w:hint="cs"/>
          <w:b/>
          <w:bCs/>
          <w:rtl/>
          <w:lang w:eastAsia="he-IL"/>
        </w:rPr>
        <w:t xml:space="preserve"> את הוראות ההחלטה</w:t>
      </w:r>
      <w:r>
        <w:rPr>
          <w:rFonts w:hint="cs"/>
          <w:rtl/>
          <w:lang w:eastAsia="he-IL"/>
        </w:rPr>
        <w:t xml:space="preserve"> </w:t>
      </w:r>
      <w:r>
        <w:rPr>
          <w:rtl/>
          <w:lang w:eastAsia="he-IL"/>
        </w:rPr>
        <w:t>–</w:t>
      </w:r>
      <w:r>
        <w:rPr>
          <w:rFonts w:hint="cs"/>
          <w:rtl/>
          <w:lang w:eastAsia="he-IL"/>
        </w:rPr>
        <w:t xml:space="preserve"> ובכלל זה </w:t>
      </w:r>
      <w:r w:rsidR="009A4B20">
        <w:rPr>
          <w:rFonts w:hint="cs"/>
          <w:rtl/>
          <w:lang w:eastAsia="he-IL"/>
        </w:rPr>
        <w:t>מי שלא</w:t>
      </w:r>
      <w:r>
        <w:rPr>
          <w:rFonts w:hint="cs"/>
          <w:rtl/>
          <w:lang w:eastAsia="he-IL"/>
        </w:rPr>
        <w:t xml:space="preserve"> מגיש את ההצהרה על האינטרסים (או על שינוי באינטרסים) במועד שנקבע או מספק בהצהרה מידע כוזב או מטעה </w:t>
      </w:r>
      <w:r>
        <w:rPr>
          <w:rtl/>
          <w:lang w:eastAsia="he-IL"/>
        </w:rPr>
        <w:t>–</w:t>
      </w:r>
      <w:r>
        <w:rPr>
          <w:rFonts w:hint="cs"/>
          <w:rtl/>
          <w:lang w:eastAsia="he-IL"/>
        </w:rPr>
        <w:t xml:space="preserve"> </w:t>
      </w:r>
      <w:r w:rsidRPr="00843889">
        <w:rPr>
          <w:rFonts w:hint="cs"/>
          <w:b/>
          <w:bCs/>
          <w:rtl/>
          <w:lang w:eastAsia="he-IL"/>
        </w:rPr>
        <w:t xml:space="preserve">יהיה אשם בביזיון חמור של </w:t>
      </w:r>
      <w:r w:rsidR="00893181">
        <w:rPr>
          <w:rFonts w:hint="cs"/>
          <w:b/>
          <w:bCs/>
          <w:rtl/>
          <w:lang w:eastAsia="he-IL"/>
        </w:rPr>
        <w:t>בית-הנבחרים</w:t>
      </w:r>
      <w:r>
        <w:rPr>
          <w:rFonts w:hint="cs"/>
          <w:rtl/>
          <w:lang w:eastAsia="he-IL"/>
        </w:rPr>
        <w:t xml:space="preserve"> (</w:t>
      </w:r>
      <w:r>
        <w:rPr>
          <w:lang w:eastAsia="he-IL"/>
        </w:rPr>
        <w:t>shall be guilty of a serious contempt</w:t>
      </w:r>
      <w:r>
        <w:rPr>
          <w:rFonts w:hint="cs"/>
          <w:rtl/>
          <w:lang w:eastAsia="he-IL"/>
        </w:rPr>
        <w:t xml:space="preserve">) ויטופל על-פי סמכויות הבית בהתאם. </w:t>
      </w:r>
    </w:p>
    <w:p w:rsidR="006D3651" w:rsidRDefault="00253DC7" w:rsidP="00CC76DD">
      <w:pPr>
        <w:pStyle w:val="a4"/>
        <w:rPr>
          <w:rtl/>
          <w:lang w:eastAsia="he-IL"/>
        </w:rPr>
      </w:pPr>
      <w:r w:rsidRPr="00274E63">
        <w:rPr>
          <w:rFonts w:hint="cs"/>
          <w:rtl/>
          <w:lang w:eastAsia="he-IL"/>
        </w:rPr>
        <w:t xml:space="preserve">באשר </w:t>
      </w:r>
      <w:r w:rsidRPr="00274E63">
        <w:rPr>
          <w:rFonts w:hint="cs"/>
          <w:b/>
          <w:bCs/>
          <w:rtl/>
          <w:lang w:eastAsia="he-IL"/>
        </w:rPr>
        <w:t>לחברי ה</w:t>
      </w:r>
      <w:r w:rsidR="006D3651" w:rsidRPr="00274E63">
        <w:rPr>
          <w:rFonts w:hint="cs"/>
          <w:b/>
          <w:bCs/>
          <w:rtl/>
          <w:lang w:eastAsia="he-IL"/>
        </w:rPr>
        <w:t>סנאט</w:t>
      </w:r>
      <w:r>
        <w:rPr>
          <w:rFonts w:hint="cs"/>
          <w:rtl/>
          <w:lang w:eastAsia="he-IL"/>
        </w:rPr>
        <w:t xml:space="preserve"> נקבעו </w:t>
      </w:r>
      <w:r w:rsidR="00891F7A">
        <w:rPr>
          <w:rFonts w:hint="cs"/>
          <w:rtl/>
          <w:lang w:eastAsia="he-IL"/>
        </w:rPr>
        <w:t>הוראות דומות בהחלטה מ-1994.</w:t>
      </w:r>
      <w:r w:rsidR="00891F7A">
        <w:rPr>
          <w:rStyle w:val="ac"/>
          <w:rtl/>
          <w:lang w:eastAsia="he-IL"/>
        </w:rPr>
        <w:footnoteReference w:id="132"/>
      </w:r>
      <w:r w:rsidR="00891F7A">
        <w:rPr>
          <w:rFonts w:hint="cs"/>
          <w:rtl/>
          <w:lang w:eastAsia="he-IL"/>
        </w:rPr>
        <w:t xml:space="preserve"> </w:t>
      </w:r>
    </w:p>
    <w:p w:rsidR="00B67460" w:rsidRPr="00CF3D89" w:rsidRDefault="00CF3D89" w:rsidP="00404E13">
      <w:pPr>
        <w:pStyle w:val="11"/>
        <w:rPr>
          <w:rtl/>
        </w:rPr>
      </w:pPr>
      <w:r w:rsidRPr="00CF3D89">
        <w:rPr>
          <w:rFonts w:hint="cs"/>
          <w:rtl/>
        </w:rPr>
        <w:t>חברי הממשלה</w:t>
      </w:r>
    </w:p>
    <w:p w:rsidR="00C120E9" w:rsidRDefault="009A4B20" w:rsidP="009A4B20">
      <w:pPr>
        <w:pStyle w:val="a4"/>
        <w:rPr>
          <w:rtl/>
          <w:lang w:eastAsia="he-IL"/>
        </w:rPr>
      </w:pPr>
      <w:r>
        <w:rPr>
          <w:rFonts w:hint="cs"/>
          <w:rtl/>
          <w:lang w:eastAsia="he-IL"/>
        </w:rPr>
        <w:t xml:space="preserve">ככלל, </w:t>
      </w:r>
      <w:r w:rsidR="00226A7B">
        <w:rPr>
          <w:rFonts w:hint="cs"/>
          <w:rtl/>
          <w:lang w:eastAsia="he-IL"/>
        </w:rPr>
        <w:t xml:space="preserve">חברי הממשלה באוסטרליה </w:t>
      </w:r>
      <w:r>
        <w:rPr>
          <w:rFonts w:hint="cs"/>
          <w:rtl/>
          <w:lang w:eastAsia="he-IL"/>
        </w:rPr>
        <w:t xml:space="preserve">חייבים </w:t>
      </w:r>
      <w:r w:rsidR="00C120E9">
        <w:rPr>
          <w:rFonts w:hint="cs"/>
          <w:rtl/>
          <w:lang w:eastAsia="he-IL"/>
        </w:rPr>
        <w:t xml:space="preserve">להיות </w:t>
      </w:r>
      <w:r w:rsidR="00226A7B">
        <w:rPr>
          <w:rFonts w:hint="cs"/>
          <w:rtl/>
          <w:lang w:eastAsia="he-IL"/>
        </w:rPr>
        <w:t>חברי פרלמנט</w:t>
      </w:r>
      <w:r w:rsidR="00C120E9">
        <w:rPr>
          <w:rFonts w:hint="cs"/>
          <w:rtl/>
          <w:lang w:eastAsia="he-IL"/>
        </w:rPr>
        <w:t>,</w:t>
      </w:r>
      <w:r w:rsidR="00226A7B">
        <w:rPr>
          <w:rFonts w:hint="cs"/>
          <w:rtl/>
          <w:lang w:eastAsia="he-IL"/>
        </w:rPr>
        <w:t xml:space="preserve"> ומשכך חל</w:t>
      </w:r>
      <w:r w:rsidR="00C120E9">
        <w:rPr>
          <w:rFonts w:hint="cs"/>
          <w:rtl/>
          <w:lang w:eastAsia="he-IL"/>
        </w:rPr>
        <w:t>ות</w:t>
      </w:r>
      <w:r w:rsidR="00226A7B">
        <w:rPr>
          <w:rFonts w:hint="cs"/>
          <w:rtl/>
          <w:lang w:eastAsia="he-IL"/>
        </w:rPr>
        <w:t xml:space="preserve"> עליהם ההוראות </w:t>
      </w:r>
      <w:r w:rsidR="00C120E9">
        <w:rPr>
          <w:rFonts w:hint="cs"/>
          <w:rtl/>
          <w:lang w:eastAsia="he-IL"/>
        </w:rPr>
        <w:t>החלות על</w:t>
      </w:r>
      <w:r w:rsidR="00226A7B">
        <w:rPr>
          <w:rFonts w:hint="cs"/>
          <w:rtl/>
          <w:lang w:eastAsia="he-IL"/>
        </w:rPr>
        <w:t xml:space="preserve"> חברי פרלמנט</w:t>
      </w:r>
      <w:r w:rsidR="00C120E9">
        <w:rPr>
          <w:rFonts w:hint="cs"/>
          <w:rtl/>
          <w:lang w:eastAsia="he-IL"/>
        </w:rPr>
        <w:t xml:space="preserve"> בדבר הצהרה על אינטרסים</w:t>
      </w:r>
      <w:r w:rsidR="00226A7B">
        <w:rPr>
          <w:rFonts w:hint="cs"/>
          <w:rtl/>
          <w:lang w:eastAsia="he-IL"/>
        </w:rPr>
        <w:t xml:space="preserve">. </w:t>
      </w:r>
    </w:p>
    <w:p w:rsidR="00EE7CFE" w:rsidRDefault="00C120E9" w:rsidP="00F86AEC">
      <w:pPr>
        <w:pStyle w:val="a4"/>
        <w:rPr>
          <w:rtl/>
          <w:lang w:eastAsia="he-IL"/>
        </w:rPr>
      </w:pPr>
      <w:r w:rsidRPr="00C120E9">
        <w:rPr>
          <w:rFonts w:hint="cs"/>
          <w:rtl/>
          <w:lang w:eastAsia="he-IL"/>
        </w:rPr>
        <w:t>נוסף על כך, חברי הממשלה כפופים ל</w:t>
      </w:r>
      <w:r w:rsidR="00CF3D89" w:rsidRPr="0048269B">
        <w:rPr>
          <w:rFonts w:hint="cs"/>
          <w:b/>
          <w:bCs/>
          <w:rtl/>
          <w:lang w:eastAsia="he-IL"/>
        </w:rPr>
        <w:t>הכרזה בדבר סטנדרטים ל</w:t>
      </w:r>
      <w:r w:rsidR="0048269B">
        <w:rPr>
          <w:rFonts w:hint="cs"/>
          <w:b/>
          <w:bCs/>
          <w:rtl/>
          <w:lang w:eastAsia="he-IL"/>
        </w:rPr>
        <w:t>חברי הממשלה</w:t>
      </w:r>
      <w:r w:rsidR="00CF3D89" w:rsidRPr="0048269B">
        <w:rPr>
          <w:rFonts w:hint="cs"/>
          <w:b/>
          <w:bCs/>
          <w:rtl/>
          <w:lang w:eastAsia="he-IL"/>
        </w:rPr>
        <w:t xml:space="preserve"> </w:t>
      </w:r>
      <w:r w:rsidR="00CF3D89">
        <w:rPr>
          <w:rFonts w:hint="cs"/>
          <w:rtl/>
          <w:lang w:eastAsia="he-IL"/>
        </w:rPr>
        <w:t>(</w:t>
      </w:r>
      <w:r w:rsidR="00CF3D89">
        <w:rPr>
          <w:rFonts w:hint="cs"/>
          <w:lang w:eastAsia="he-IL"/>
        </w:rPr>
        <w:t>S</w:t>
      </w:r>
      <w:r w:rsidR="00CF3D89">
        <w:rPr>
          <w:lang w:eastAsia="he-IL"/>
        </w:rPr>
        <w:t>tatement of Ministerial Standards</w:t>
      </w:r>
      <w:r w:rsidR="00CF3D89">
        <w:rPr>
          <w:rFonts w:hint="cs"/>
          <w:rtl/>
          <w:lang w:eastAsia="he-IL"/>
        </w:rPr>
        <w:t>)</w:t>
      </w:r>
      <w:r w:rsidR="00CF3D89">
        <w:rPr>
          <w:rStyle w:val="ac"/>
          <w:rtl/>
          <w:lang w:eastAsia="he-IL"/>
        </w:rPr>
        <w:footnoteReference w:id="133"/>
      </w:r>
      <w:r w:rsidR="0048269B">
        <w:rPr>
          <w:rFonts w:hint="cs"/>
          <w:rtl/>
          <w:lang w:eastAsia="he-IL"/>
        </w:rPr>
        <w:t xml:space="preserve"> </w:t>
      </w:r>
      <w:r>
        <w:rPr>
          <w:rFonts w:hint="cs"/>
          <w:rtl/>
          <w:lang w:eastAsia="he-IL"/>
        </w:rPr>
        <w:t xml:space="preserve">אשר </w:t>
      </w:r>
      <w:r w:rsidR="0048269B">
        <w:rPr>
          <w:rFonts w:hint="cs"/>
          <w:rtl/>
          <w:lang w:eastAsia="he-IL"/>
        </w:rPr>
        <w:t xml:space="preserve">מפרטת את כללי ההתנהגות המצופים </w:t>
      </w:r>
      <w:r>
        <w:rPr>
          <w:rFonts w:hint="cs"/>
          <w:rtl/>
          <w:lang w:eastAsia="he-IL"/>
        </w:rPr>
        <w:t>מהם</w:t>
      </w:r>
      <w:r w:rsidR="0048269B">
        <w:rPr>
          <w:rFonts w:hint="cs"/>
          <w:rtl/>
          <w:lang w:eastAsia="he-IL"/>
        </w:rPr>
        <w:t>.</w:t>
      </w:r>
      <w:r w:rsidR="0048269B">
        <w:rPr>
          <w:rStyle w:val="ac"/>
          <w:rtl/>
          <w:lang w:eastAsia="he-IL"/>
        </w:rPr>
        <w:footnoteReference w:id="134"/>
      </w:r>
      <w:r>
        <w:rPr>
          <w:rFonts w:hint="cs"/>
          <w:rtl/>
          <w:lang w:eastAsia="he-IL"/>
        </w:rPr>
        <w:t xml:space="preserve"> לפי המבוא להכרזה</w:t>
      </w:r>
      <w:r w:rsidR="0048269B">
        <w:rPr>
          <w:rFonts w:hint="cs"/>
          <w:rtl/>
          <w:lang w:eastAsia="he-IL"/>
        </w:rPr>
        <w:t xml:space="preserve"> </w:t>
      </w:r>
      <w:r w:rsidR="00F86AEC">
        <w:rPr>
          <w:rFonts w:hint="cs"/>
          <w:rtl/>
          <w:lang w:eastAsia="he-IL"/>
        </w:rPr>
        <w:t xml:space="preserve">השרים </w:t>
      </w:r>
      <w:r w:rsidR="0048269B">
        <w:rPr>
          <w:rFonts w:hint="cs"/>
          <w:rtl/>
          <w:lang w:eastAsia="he-IL"/>
        </w:rPr>
        <w:t>מופקדים על טיפול בצרכי הציבור ועליהם לפעול באופן שתואם את הסטנדרטים הגבוהים ביותר של יושרה, בצורה הולמת (</w:t>
      </w:r>
      <w:r w:rsidR="0048269B">
        <w:rPr>
          <w:lang w:eastAsia="he-IL"/>
        </w:rPr>
        <w:t>propriety</w:t>
      </w:r>
      <w:r w:rsidR="0048269B">
        <w:rPr>
          <w:rFonts w:hint="cs"/>
          <w:rtl/>
          <w:lang w:eastAsia="he-IL"/>
        </w:rPr>
        <w:t xml:space="preserve">) </w:t>
      </w:r>
      <w:r w:rsidR="00634A91">
        <w:rPr>
          <w:rFonts w:hint="cs"/>
          <w:rtl/>
          <w:lang w:eastAsia="he-IL"/>
        </w:rPr>
        <w:t>ו</w:t>
      </w:r>
      <w:r w:rsidR="0048269B">
        <w:rPr>
          <w:rFonts w:hint="cs"/>
          <w:rtl/>
          <w:lang w:eastAsia="he-IL"/>
        </w:rPr>
        <w:t>בהתאם לחוק, לשבועת האמונים שלהם ולמחויב</w:t>
      </w:r>
      <w:r w:rsidR="00634A91">
        <w:rPr>
          <w:rFonts w:hint="cs"/>
          <w:rtl/>
          <w:lang w:eastAsia="he-IL"/>
        </w:rPr>
        <w:t>ותם כלפי הפרלמנ</w:t>
      </w:r>
      <w:r w:rsidR="00634A91">
        <w:rPr>
          <w:rFonts w:hint="eastAsia"/>
          <w:rtl/>
          <w:lang w:eastAsia="he-IL"/>
        </w:rPr>
        <w:t>ט</w:t>
      </w:r>
      <w:r w:rsidR="0048269B">
        <w:rPr>
          <w:rFonts w:hint="cs"/>
          <w:rtl/>
          <w:lang w:eastAsia="he-IL"/>
        </w:rPr>
        <w:t>.</w:t>
      </w:r>
      <w:r w:rsidR="00634A91">
        <w:rPr>
          <w:rFonts w:hint="cs"/>
          <w:rtl/>
          <w:lang w:eastAsia="he-IL"/>
        </w:rPr>
        <w:t xml:space="preserve"> נוסף על כך עליהם להתנהל בצורה שתבטיח את אמון הציבור בהם ובממשלה בכללותה.</w:t>
      </w:r>
    </w:p>
    <w:p w:rsidR="00C120E9" w:rsidRDefault="00C120E9" w:rsidP="00426035">
      <w:pPr>
        <w:pStyle w:val="a4"/>
        <w:rPr>
          <w:rtl/>
          <w:lang w:eastAsia="he-IL"/>
        </w:rPr>
      </w:pPr>
      <w:r>
        <w:rPr>
          <w:rFonts w:hint="cs"/>
          <w:rtl/>
          <w:lang w:eastAsia="he-IL"/>
        </w:rPr>
        <w:t xml:space="preserve">לענייננו קובעת ההכרזה כי </w:t>
      </w:r>
      <w:r w:rsidRPr="00C120E9">
        <w:rPr>
          <w:rFonts w:hint="cs"/>
          <w:b/>
          <w:bCs/>
          <w:rtl/>
          <w:lang w:eastAsia="he-IL"/>
        </w:rPr>
        <w:t xml:space="preserve">על </w:t>
      </w:r>
      <w:r w:rsidR="00F86AEC">
        <w:rPr>
          <w:rFonts w:hint="cs"/>
          <w:b/>
          <w:bCs/>
          <w:rtl/>
          <w:lang w:eastAsia="he-IL"/>
        </w:rPr>
        <w:t>השרים</w:t>
      </w:r>
      <w:r w:rsidRPr="00C120E9">
        <w:rPr>
          <w:rFonts w:hint="cs"/>
          <w:b/>
          <w:bCs/>
          <w:rtl/>
          <w:lang w:eastAsia="he-IL"/>
        </w:rPr>
        <w:t xml:space="preserve"> להצהיר על האינטרסים האישיים שלהם</w:t>
      </w:r>
      <w:r>
        <w:rPr>
          <w:rFonts w:hint="cs"/>
          <w:rtl/>
          <w:lang w:eastAsia="he-IL"/>
        </w:rPr>
        <w:t xml:space="preserve">, ובכלל זה האינטרסים הכספיים, ולוודא את רישומם במרשם כפי שנדרש על-ידי הפרלמנט מעת לעת. נוסף על כך עליהם לעמוד בדרישות נוספות בדבר הצהרות אינטרסים לראש הממשלה, כפי שייקבעו על-ידו, ולדווח לו על כל שינוי משמעותי באינטרסים הפרטיים שלהם תוך 28 יום. </w:t>
      </w:r>
      <w:r w:rsidR="00580DB2">
        <w:rPr>
          <w:rFonts w:hint="cs"/>
          <w:rtl/>
          <w:lang w:eastAsia="he-IL"/>
        </w:rPr>
        <w:t>עוד נקבע כי</w:t>
      </w:r>
      <w:r w:rsidR="00F86AEC">
        <w:rPr>
          <w:rFonts w:hint="cs"/>
          <w:rtl/>
          <w:lang w:eastAsia="he-IL"/>
        </w:rPr>
        <w:t xml:space="preserve"> על השרים להביא בחשבון את האינטרסים הכספיים והפרטיים של בני משפחתם הקרובה ולשקול האם אלה מעוררים ניגוד אינטרסים </w:t>
      </w:r>
      <w:r w:rsidR="007E67ED">
        <w:rPr>
          <w:rFonts w:hint="cs"/>
          <w:rtl/>
          <w:lang w:eastAsia="he-IL"/>
        </w:rPr>
        <w:t xml:space="preserve">ממשי </w:t>
      </w:r>
      <w:r w:rsidR="00F86AEC">
        <w:rPr>
          <w:rFonts w:hint="cs"/>
          <w:rtl/>
          <w:lang w:eastAsia="he-IL"/>
        </w:rPr>
        <w:t xml:space="preserve">או למראית עין. </w:t>
      </w:r>
    </w:p>
    <w:p w:rsidR="00C120E9" w:rsidRDefault="00116B29" w:rsidP="00116B29">
      <w:pPr>
        <w:pStyle w:val="a4"/>
        <w:rPr>
          <w:rtl/>
          <w:lang w:eastAsia="he-IL"/>
        </w:rPr>
      </w:pPr>
      <w:r>
        <w:rPr>
          <w:rFonts w:hint="cs"/>
          <w:rtl/>
          <w:lang w:eastAsia="he-IL"/>
        </w:rPr>
        <w:t>לשם המחשה</w:t>
      </w:r>
      <w:r w:rsidR="00C85820">
        <w:rPr>
          <w:rFonts w:hint="cs"/>
          <w:rtl/>
          <w:lang w:eastAsia="he-IL"/>
        </w:rPr>
        <w:t xml:space="preserve"> נקבע </w:t>
      </w:r>
      <w:r>
        <w:rPr>
          <w:rFonts w:hint="cs"/>
          <w:rtl/>
          <w:lang w:eastAsia="he-IL"/>
        </w:rPr>
        <w:t xml:space="preserve">בסטנדרטים </w:t>
      </w:r>
      <w:r w:rsidR="00C85820">
        <w:rPr>
          <w:rFonts w:hint="cs"/>
          <w:rtl/>
          <w:lang w:eastAsia="he-IL"/>
        </w:rPr>
        <w:t>כי על השרים להימנע מלשמש בתפקיד דירקטורים בחברות פרטיות או ציבוריות, אלא באישור ראש הממשלה</w:t>
      </w:r>
      <w:r w:rsidR="002B7C58">
        <w:rPr>
          <w:rFonts w:hint="cs"/>
          <w:rtl/>
          <w:lang w:eastAsia="he-IL"/>
        </w:rPr>
        <w:t>,</w:t>
      </w:r>
      <w:r w:rsidR="00C85820">
        <w:rPr>
          <w:rFonts w:hint="cs"/>
          <w:rtl/>
          <w:lang w:eastAsia="he-IL"/>
        </w:rPr>
        <w:t xml:space="preserve"> לאחר שהשתכנע שלא צפוי להתעורר בשל כך ניגוד אינטרסים. גם באשר להחזקה של מניות על השרים להימנע ממצבים של ניגוד אינטרסים</w:t>
      </w:r>
      <w:r w:rsidR="00F86AEC">
        <w:rPr>
          <w:rFonts w:hint="cs"/>
          <w:rtl/>
          <w:lang w:eastAsia="he-IL"/>
        </w:rPr>
        <w:t>. עליהם לפרוש מכל פעילות מקצועית ומניהול יום-יומי של עסקים, ולא ליהנות מהכנסה משמעותית נוספת. אסור לשרים לשמש כיועצים לכל חברה, עסק או גוף אחר, בין בתשלום ובין ללא תשלום, או לתת להם סיוע שאינו בגדר תפקידם המיניסטריאלי.</w:t>
      </w:r>
      <w:r w:rsidR="003B57CB">
        <w:rPr>
          <w:rFonts w:hint="cs"/>
          <w:rtl/>
          <w:lang w:eastAsia="he-IL"/>
        </w:rPr>
        <w:t xml:space="preserve"> </w:t>
      </w:r>
    </w:p>
    <w:p w:rsidR="00C120E9" w:rsidRDefault="00C120E9" w:rsidP="00C120E9">
      <w:pPr>
        <w:pStyle w:val="a4"/>
        <w:rPr>
          <w:rtl/>
          <w:lang w:eastAsia="he-IL"/>
        </w:rPr>
      </w:pPr>
      <w:r w:rsidRPr="00116B29">
        <w:rPr>
          <w:rFonts w:hint="cs"/>
          <w:b/>
          <w:bCs/>
          <w:rtl/>
          <w:lang w:eastAsia="he-IL"/>
        </w:rPr>
        <w:t>הפרת החובה להצהיר על אינטרס אישי ממשי ורלוונטי</w:t>
      </w:r>
      <w:r>
        <w:rPr>
          <w:rFonts w:hint="cs"/>
          <w:rtl/>
          <w:lang w:eastAsia="he-IL"/>
        </w:rPr>
        <w:t xml:space="preserve"> כנדרש על-ידי הפרלמנט </w:t>
      </w:r>
      <w:r w:rsidRPr="00116B29">
        <w:rPr>
          <w:rFonts w:hint="cs"/>
          <w:b/>
          <w:bCs/>
          <w:rtl/>
          <w:lang w:eastAsia="he-IL"/>
        </w:rPr>
        <w:t>תהווה הפרה של הסטנדרטים</w:t>
      </w:r>
      <w:r>
        <w:rPr>
          <w:rFonts w:hint="cs"/>
          <w:rtl/>
          <w:lang w:eastAsia="he-IL"/>
        </w:rPr>
        <w:t xml:space="preserve">. </w:t>
      </w:r>
    </w:p>
    <w:p w:rsidR="00735F60" w:rsidRPr="00EE7CFE" w:rsidRDefault="00EE7CFE" w:rsidP="00404E13">
      <w:pPr>
        <w:pStyle w:val="11"/>
        <w:rPr>
          <w:rtl/>
        </w:rPr>
      </w:pPr>
      <w:r w:rsidRPr="00EE7CFE">
        <w:rPr>
          <w:rFonts w:hint="cs"/>
          <w:rtl/>
        </w:rPr>
        <w:t>עובדי השירות הציבורי</w:t>
      </w:r>
    </w:p>
    <w:p w:rsidR="00C10BC8" w:rsidRDefault="00EE7CFE" w:rsidP="00580DB2">
      <w:pPr>
        <w:pStyle w:val="a4"/>
        <w:rPr>
          <w:rtl/>
        </w:rPr>
      </w:pPr>
      <w:r>
        <w:rPr>
          <w:rFonts w:hint="cs"/>
          <w:rtl/>
        </w:rPr>
        <w:t>נציבות השירות הציבורי של אוסטרליה (</w:t>
      </w:r>
      <w:r w:rsidRPr="00EE7CFE">
        <w:t>Australian Public Service Commission</w:t>
      </w:r>
      <w:r>
        <w:rPr>
          <w:rFonts w:hint="cs"/>
          <w:rtl/>
        </w:rPr>
        <w:t>) היא הגוף האחראי לקידום ערכי השירות ולהבטחת העמידה של עובדי השירות ב</w:t>
      </w:r>
      <w:r w:rsidRPr="00EE7CFE">
        <w:rPr>
          <w:rFonts w:hint="cs"/>
          <w:rtl/>
        </w:rPr>
        <w:t xml:space="preserve">סטנדרטים של התנהגות אתית. </w:t>
      </w:r>
      <w:r w:rsidR="004C372E" w:rsidRPr="00EE7CFE">
        <w:rPr>
          <w:rFonts w:hint="cs"/>
          <w:rtl/>
        </w:rPr>
        <w:t>הסטנדרטים האלה מעוגנים הן ב</w:t>
      </w:r>
      <w:r w:rsidR="003621E2" w:rsidRPr="00EE7CFE">
        <w:rPr>
          <w:rFonts w:hint="cs"/>
          <w:rtl/>
        </w:rPr>
        <w:t xml:space="preserve">דברי </w:t>
      </w:r>
      <w:r w:rsidR="004C372E" w:rsidRPr="00EE7CFE">
        <w:rPr>
          <w:rFonts w:hint="cs"/>
          <w:rtl/>
        </w:rPr>
        <w:t>חקיקה</w:t>
      </w:r>
      <w:r w:rsidR="00904A1E" w:rsidRPr="00EE7CFE">
        <w:rPr>
          <w:rFonts w:hint="cs"/>
          <w:rtl/>
        </w:rPr>
        <w:t xml:space="preserve"> ראשית, כגון: </w:t>
      </w:r>
      <w:r w:rsidR="00904A1E" w:rsidRPr="00EE7CFE">
        <w:rPr>
          <w:rFonts w:hint="cs"/>
          <w:b/>
          <w:bCs/>
          <w:rtl/>
        </w:rPr>
        <w:t>חוק השירות הציבורי</w:t>
      </w:r>
      <w:r w:rsidRPr="00EE7CFE">
        <w:rPr>
          <w:rFonts w:hint="cs"/>
          <w:b/>
          <w:bCs/>
          <w:rtl/>
        </w:rPr>
        <w:t xml:space="preserve"> </w:t>
      </w:r>
      <w:r w:rsidRPr="00EE7CFE">
        <w:rPr>
          <w:rFonts w:hint="cs"/>
          <w:rtl/>
        </w:rPr>
        <w:t>(</w:t>
      </w:r>
      <w:r w:rsidRPr="00EE7CFE">
        <w:t>Public Service Act</w:t>
      </w:r>
      <w:r w:rsidRPr="00EE7CFE">
        <w:rPr>
          <w:rFonts w:hint="cs"/>
          <w:rtl/>
        </w:rPr>
        <w:t>)</w:t>
      </w:r>
      <w:r w:rsidR="00904A1E" w:rsidRPr="00EE7CFE">
        <w:rPr>
          <w:rStyle w:val="ac"/>
          <w:rtl/>
        </w:rPr>
        <w:footnoteReference w:id="135"/>
      </w:r>
      <w:r w:rsidR="00904A1E" w:rsidRPr="00EE7CFE">
        <w:rPr>
          <w:rFonts w:hint="cs"/>
          <w:rtl/>
        </w:rPr>
        <w:t xml:space="preserve"> ו</w:t>
      </w:r>
      <w:r w:rsidR="00904A1E" w:rsidRPr="00EE7CFE">
        <w:rPr>
          <w:rFonts w:hint="cs"/>
          <w:b/>
          <w:bCs/>
          <w:rtl/>
        </w:rPr>
        <w:t>חוק הממשל הציבורי</w:t>
      </w:r>
      <w:r w:rsidR="00580DB2">
        <w:rPr>
          <w:rFonts w:hint="cs"/>
          <w:b/>
          <w:bCs/>
          <w:rtl/>
        </w:rPr>
        <w:t>,</w:t>
      </w:r>
      <w:r w:rsidR="00904A1E" w:rsidRPr="00EE7CFE">
        <w:rPr>
          <w:rFonts w:hint="cs"/>
          <w:b/>
          <w:bCs/>
          <w:rtl/>
        </w:rPr>
        <w:t xml:space="preserve"> הביצוע והאחריותיות</w:t>
      </w:r>
      <w:r w:rsidRPr="00EE7CFE">
        <w:rPr>
          <w:rFonts w:hint="cs"/>
          <w:rtl/>
        </w:rPr>
        <w:t xml:space="preserve"> (</w:t>
      </w:r>
      <w:r w:rsidRPr="00580DB2">
        <w:rPr>
          <w:spacing w:val="-4"/>
        </w:rPr>
        <w:t>Public Governance, Performance and Accountability Act</w:t>
      </w:r>
      <w:r w:rsidRPr="00EE7CFE">
        <w:rPr>
          <w:rFonts w:hint="cs"/>
          <w:rtl/>
        </w:rPr>
        <w:t>)</w:t>
      </w:r>
      <w:r w:rsidR="004C372E" w:rsidRPr="00EE7CFE">
        <w:rPr>
          <w:rStyle w:val="ac"/>
          <w:rtl/>
        </w:rPr>
        <w:footnoteReference w:id="136"/>
      </w:r>
      <w:r w:rsidR="00904A1E" w:rsidRPr="00EE7CFE">
        <w:rPr>
          <w:rFonts w:hint="cs"/>
          <w:rtl/>
        </w:rPr>
        <w:t xml:space="preserve"> </w:t>
      </w:r>
      <w:r w:rsidR="003621E2" w:rsidRPr="00EE7CFE">
        <w:rPr>
          <w:rFonts w:hint="cs"/>
          <w:rtl/>
        </w:rPr>
        <w:t>ו</w:t>
      </w:r>
      <w:r w:rsidR="00904A1E" w:rsidRPr="00EE7CFE">
        <w:rPr>
          <w:rFonts w:hint="cs"/>
          <w:rtl/>
        </w:rPr>
        <w:t xml:space="preserve">הן </w:t>
      </w:r>
      <w:r w:rsidRPr="00EE7CFE">
        <w:rPr>
          <w:rFonts w:hint="cs"/>
          <w:rtl/>
        </w:rPr>
        <w:t>ב</w:t>
      </w:r>
      <w:r w:rsidRPr="00EE7CFE">
        <w:rPr>
          <w:rFonts w:hint="cs"/>
          <w:b/>
          <w:bCs/>
          <w:rtl/>
        </w:rPr>
        <w:t>הוראות של נציב השירות הציבורי</w:t>
      </w:r>
      <w:r w:rsidRPr="00EE7CFE">
        <w:rPr>
          <w:rFonts w:hint="cs"/>
          <w:rtl/>
        </w:rPr>
        <w:t xml:space="preserve"> (</w:t>
      </w:r>
      <w:r w:rsidRPr="00580DB2">
        <w:rPr>
          <w:spacing w:val="-2"/>
        </w:rPr>
        <w:t>Australian Public Service Commissioner’s Directions</w:t>
      </w:r>
      <w:r w:rsidRPr="00EE7CFE">
        <w:rPr>
          <w:rFonts w:hint="cs"/>
          <w:rtl/>
        </w:rPr>
        <w:t>)</w:t>
      </w:r>
      <w:r w:rsidR="00904A1E" w:rsidRPr="00EE7CFE">
        <w:rPr>
          <w:rStyle w:val="ac"/>
          <w:rtl/>
        </w:rPr>
        <w:footnoteReference w:id="137"/>
      </w:r>
      <w:r w:rsidR="004C372E" w:rsidRPr="00EE7CFE">
        <w:rPr>
          <w:rFonts w:hint="cs"/>
          <w:rtl/>
        </w:rPr>
        <w:t xml:space="preserve"> </w:t>
      </w:r>
      <w:r w:rsidR="00580DB2">
        <w:rPr>
          <w:rFonts w:hint="cs"/>
          <w:rtl/>
        </w:rPr>
        <w:t>שמהוות חקיקת משנה.</w:t>
      </w:r>
    </w:p>
    <w:p w:rsidR="004C372E" w:rsidRDefault="003621E2" w:rsidP="00435AE2">
      <w:pPr>
        <w:pStyle w:val="a4"/>
        <w:rPr>
          <w:rtl/>
        </w:rPr>
      </w:pPr>
      <w:r w:rsidRPr="00C10BC8">
        <w:rPr>
          <w:rFonts w:hint="cs"/>
          <w:rtl/>
        </w:rPr>
        <w:t xml:space="preserve">נוסף </w:t>
      </w:r>
      <w:r w:rsidR="00EE7CFE" w:rsidRPr="00C10BC8">
        <w:rPr>
          <w:rFonts w:hint="cs"/>
          <w:rtl/>
        </w:rPr>
        <w:t xml:space="preserve">על כך, </w:t>
      </w:r>
      <w:r w:rsidRPr="00C10BC8">
        <w:rPr>
          <w:rFonts w:hint="cs"/>
          <w:rtl/>
        </w:rPr>
        <w:t xml:space="preserve">הוציאה נציבות השירות הציבורי </w:t>
      </w:r>
      <w:r w:rsidRPr="00C10BC8">
        <w:rPr>
          <w:rFonts w:hint="cs"/>
          <w:b/>
          <w:bCs/>
          <w:rtl/>
        </w:rPr>
        <w:t>חוברת הנחיות</w:t>
      </w:r>
      <w:r w:rsidRPr="00C10BC8">
        <w:rPr>
          <w:rFonts w:hint="cs"/>
          <w:rtl/>
        </w:rPr>
        <w:t xml:space="preserve"> </w:t>
      </w:r>
      <w:r w:rsidR="00C10BC8" w:rsidRPr="00C10BC8">
        <w:rPr>
          <w:rFonts w:hint="cs"/>
          <w:rtl/>
        </w:rPr>
        <w:t xml:space="preserve">אשר </w:t>
      </w:r>
      <w:r w:rsidRPr="00C10BC8">
        <w:rPr>
          <w:rFonts w:hint="cs"/>
          <w:rtl/>
        </w:rPr>
        <w:t>מתווה א</w:t>
      </w:r>
      <w:r w:rsidR="00C10BC8" w:rsidRPr="00C10BC8">
        <w:rPr>
          <w:rFonts w:hint="cs"/>
          <w:rtl/>
        </w:rPr>
        <w:t xml:space="preserve">ת </w:t>
      </w:r>
      <w:r w:rsidR="00C10BC8" w:rsidRPr="00B914C3">
        <w:rPr>
          <w:rFonts w:hint="cs"/>
          <w:b/>
          <w:bCs/>
          <w:rtl/>
        </w:rPr>
        <w:t>ההתנהגות הנדרשת מעובדי השירות הלכה למעשה</w:t>
      </w:r>
      <w:r w:rsidR="00435AE2">
        <w:rPr>
          <w:rFonts w:hint="cs"/>
          <w:rtl/>
        </w:rPr>
        <w:t xml:space="preserve"> </w:t>
      </w:r>
      <w:r w:rsidR="00435AE2" w:rsidRPr="00435AE2">
        <w:rPr>
          <w:rFonts w:hint="cs"/>
          <w:rtl/>
        </w:rPr>
        <w:t>(</w:t>
      </w:r>
      <w:r w:rsidR="00435AE2" w:rsidRPr="00435AE2">
        <w:t>APS Values and Code of Conduct in Practice</w:t>
      </w:r>
      <w:r w:rsidR="00435AE2" w:rsidRPr="00435AE2">
        <w:rPr>
          <w:rFonts w:hint="cs"/>
          <w:rtl/>
        </w:rPr>
        <w:t>)</w:t>
      </w:r>
      <w:r w:rsidR="00435AE2">
        <w:rPr>
          <w:rFonts w:hint="cs"/>
          <w:rtl/>
        </w:rPr>
        <w:t xml:space="preserve"> (להלן: חוברת ההנחיות),</w:t>
      </w:r>
      <w:bookmarkStart w:id="2" w:name="_Ref473626548"/>
      <w:r w:rsidR="00435AE2" w:rsidRPr="00C10BC8">
        <w:rPr>
          <w:rStyle w:val="ac"/>
          <w:rtl/>
        </w:rPr>
        <w:footnoteReference w:id="138"/>
      </w:r>
      <w:bookmarkEnd w:id="2"/>
      <w:r w:rsidR="00C10BC8">
        <w:rPr>
          <w:rFonts w:hint="cs"/>
          <w:rtl/>
        </w:rPr>
        <w:t xml:space="preserve"> וזאת </w:t>
      </w:r>
      <w:r w:rsidRPr="00C10BC8">
        <w:rPr>
          <w:rFonts w:hint="cs"/>
          <w:rtl/>
        </w:rPr>
        <w:t xml:space="preserve">מכוח </w:t>
      </w:r>
      <w:r w:rsidR="00904A1E" w:rsidRPr="00C10BC8">
        <w:rPr>
          <w:rFonts w:hint="cs"/>
          <w:rtl/>
        </w:rPr>
        <w:t xml:space="preserve">ערכי היסוד של השירות הציבורי </w:t>
      </w:r>
      <w:r w:rsidRPr="00C10BC8">
        <w:rPr>
          <w:rFonts w:hint="cs"/>
          <w:rtl/>
        </w:rPr>
        <w:t>ו</w:t>
      </w:r>
      <w:r w:rsidR="004C372E" w:rsidRPr="00C10BC8">
        <w:rPr>
          <w:rFonts w:hint="cs"/>
          <w:rtl/>
        </w:rPr>
        <w:t>קוד התנהגות</w:t>
      </w:r>
      <w:r w:rsidR="00904A1E" w:rsidRPr="00C10BC8">
        <w:rPr>
          <w:rFonts w:hint="cs"/>
          <w:rtl/>
        </w:rPr>
        <w:t xml:space="preserve"> לעובדי השירות</w:t>
      </w:r>
      <w:r w:rsidR="00904A1E" w:rsidRPr="00C10BC8">
        <w:rPr>
          <w:rStyle w:val="ac"/>
          <w:rtl/>
        </w:rPr>
        <w:footnoteReference w:id="139"/>
      </w:r>
      <w:r w:rsidR="00904A1E" w:rsidRPr="00C10BC8">
        <w:rPr>
          <w:rFonts w:hint="cs"/>
          <w:rtl/>
        </w:rPr>
        <w:t xml:space="preserve">. </w:t>
      </w:r>
    </w:p>
    <w:p w:rsidR="001C57D8" w:rsidRDefault="00322A92" w:rsidP="00426035">
      <w:pPr>
        <w:pStyle w:val="a4"/>
        <w:rPr>
          <w:rtl/>
        </w:rPr>
      </w:pPr>
      <w:r>
        <w:rPr>
          <w:rFonts w:hint="cs"/>
          <w:rtl/>
        </w:rPr>
        <w:t>יצוין כי נוסף על האמור לעיל, בחלק ממשרדי הממשלה והרשויות הציבוריות נוסחו</w:t>
      </w:r>
      <w:r w:rsidR="001112CA">
        <w:rPr>
          <w:rFonts w:hint="cs"/>
          <w:rtl/>
        </w:rPr>
        <w:t xml:space="preserve"> </w:t>
      </w:r>
      <w:r w:rsidRPr="00B23D66">
        <w:rPr>
          <w:rFonts w:hint="cs"/>
          <w:b/>
          <w:bCs/>
          <w:rtl/>
        </w:rPr>
        <w:t>הנחיות פנימיות</w:t>
      </w:r>
      <w:r>
        <w:rPr>
          <w:rFonts w:hint="cs"/>
          <w:rtl/>
        </w:rPr>
        <w:t xml:space="preserve"> </w:t>
      </w:r>
      <w:r w:rsidR="001112CA">
        <w:rPr>
          <w:rFonts w:hint="cs"/>
          <w:rtl/>
        </w:rPr>
        <w:t xml:space="preserve">לעובדים </w:t>
      </w:r>
      <w:r>
        <w:rPr>
          <w:rFonts w:hint="cs"/>
          <w:rtl/>
        </w:rPr>
        <w:t>לטיפול במצבים של ניגוד עניינים,</w:t>
      </w:r>
      <w:r w:rsidR="003F006F">
        <w:rPr>
          <w:rStyle w:val="ac"/>
          <w:rtl/>
        </w:rPr>
        <w:footnoteReference w:id="140"/>
      </w:r>
      <w:r>
        <w:rPr>
          <w:rFonts w:hint="cs"/>
          <w:rtl/>
        </w:rPr>
        <w:t xml:space="preserve"> אך </w:t>
      </w:r>
      <w:r w:rsidR="003F006F">
        <w:rPr>
          <w:rFonts w:hint="cs"/>
          <w:rtl/>
        </w:rPr>
        <w:t>לאור תחולתן הממוקדת הן</w:t>
      </w:r>
      <w:r>
        <w:rPr>
          <w:rFonts w:hint="cs"/>
          <w:rtl/>
        </w:rPr>
        <w:t xml:space="preserve"> לא ייסקרו במסגרת מסמך זה.</w:t>
      </w:r>
      <w:r w:rsidR="00287953">
        <w:rPr>
          <w:rStyle w:val="ac"/>
          <w:rtl/>
        </w:rPr>
        <w:footnoteReference w:id="141"/>
      </w:r>
      <w:r w:rsidR="001C57D8">
        <w:rPr>
          <w:rFonts w:hint="cs"/>
          <w:rtl/>
        </w:rPr>
        <w:t xml:space="preserve"> </w:t>
      </w:r>
    </w:p>
    <w:p w:rsidR="00A7027A" w:rsidRPr="00A7027A" w:rsidRDefault="00A7027A" w:rsidP="00404E13">
      <w:pPr>
        <w:pStyle w:val="111"/>
        <w:rPr>
          <w:rtl/>
        </w:rPr>
      </w:pPr>
      <w:r w:rsidRPr="00A7027A">
        <w:rPr>
          <w:rFonts w:hint="cs"/>
          <w:rtl/>
        </w:rPr>
        <w:t>החקיקה</w:t>
      </w:r>
    </w:p>
    <w:p w:rsidR="00783182" w:rsidRDefault="00783182" w:rsidP="00B914C3">
      <w:pPr>
        <w:pStyle w:val="a4"/>
        <w:rPr>
          <w:rtl/>
        </w:rPr>
      </w:pPr>
      <w:r>
        <w:rPr>
          <w:rFonts w:hint="cs"/>
          <w:rtl/>
        </w:rPr>
        <w:t xml:space="preserve">בחוק השירות הציבורי נקבעו </w:t>
      </w:r>
      <w:r w:rsidRPr="00CE7BE8">
        <w:rPr>
          <w:rFonts w:hint="cs"/>
          <w:b/>
          <w:bCs/>
          <w:rtl/>
        </w:rPr>
        <w:t>ערכי היסוד של השירות הציבורי</w:t>
      </w:r>
      <w:r w:rsidR="00435AE2">
        <w:rPr>
          <w:rFonts w:hint="cs"/>
          <w:b/>
          <w:bCs/>
          <w:rtl/>
        </w:rPr>
        <w:t xml:space="preserve"> </w:t>
      </w:r>
      <w:r w:rsidR="00435AE2">
        <w:rPr>
          <w:rFonts w:hint="cs"/>
          <w:rtl/>
        </w:rPr>
        <w:t>(</w:t>
      </w:r>
      <w:r w:rsidR="00435AE2" w:rsidRPr="00C10BC8">
        <w:t>APS Values</w:t>
      </w:r>
      <w:r w:rsidR="00435AE2">
        <w:rPr>
          <w:rFonts w:hint="cs"/>
          <w:rtl/>
        </w:rPr>
        <w:t>)</w:t>
      </w:r>
      <w:r>
        <w:rPr>
          <w:rStyle w:val="ac"/>
          <w:rtl/>
        </w:rPr>
        <w:footnoteReference w:id="142"/>
      </w:r>
      <w:r>
        <w:rPr>
          <w:rFonts w:hint="cs"/>
          <w:rtl/>
        </w:rPr>
        <w:t xml:space="preserve"> ולפיהם</w:t>
      </w:r>
      <w:r w:rsidR="00B914C3">
        <w:rPr>
          <w:rFonts w:hint="cs"/>
          <w:rtl/>
        </w:rPr>
        <w:t>, בין השאר,</w:t>
      </w:r>
      <w:r>
        <w:rPr>
          <w:rFonts w:hint="cs"/>
          <w:rtl/>
        </w:rPr>
        <w:t xml:space="preserve"> על השירות הציבורי </w:t>
      </w:r>
      <w:r w:rsidR="00B914C3">
        <w:rPr>
          <w:rFonts w:hint="cs"/>
          <w:rtl/>
        </w:rPr>
        <w:t xml:space="preserve">לפעול במחויבות להשגת תוצאות מיטביות, בצורה אתית תוך הצגת אמינות ויושרה, באופן מכבד, אחראי וחסר פניות. </w:t>
      </w:r>
      <w:r>
        <w:rPr>
          <w:rFonts w:hint="cs"/>
          <w:rtl/>
        </w:rPr>
        <w:t xml:space="preserve"> </w:t>
      </w:r>
    </w:p>
    <w:p w:rsidR="00CE7BE8" w:rsidRDefault="00B914C3" w:rsidP="00AF1BAF">
      <w:pPr>
        <w:pStyle w:val="a4"/>
      </w:pPr>
      <w:r>
        <w:rPr>
          <w:rFonts w:hint="cs"/>
          <w:rtl/>
        </w:rPr>
        <w:t xml:space="preserve">בחוק זה גם </w:t>
      </w:r>
      <w:r w:rsidR="00AF1BAF">
        <w:rPr>
          <w:rFonts w:hint="cs"/>
          <w:rtl/>
        </w:rPr>
        <w:t>מעוגן</w:t>
      </w:r>
      <w:r>
        <w:rPr>
          <w:rFonts w:hint="cs"/>
          <w:rtl/>
        </w:rPr>
        <w:t xml:space="preserve"> </w:t>
      </w:r>
      <w:r w:rsidR="00CE7BE8" w:rsidRPr="00B914C3">
        <w:rPr>
          <w:rFonts w:hint="cs"/>
          <w:b/>
          <w:bCs/>
          <w:rtl/>
        </w:rPr>
        <w:t>קוד</w:t>
      </w:r>
      <w:r w:rsidRPr="00B914C3">
        <w:rPr>
          <w:rFonts w:hint="cs"/>
          <w:b/>
          <w:bCs/>
          <w:rtl/>
        </w:rPr>
        <w:t xml:space="preserve"> ההתנהגות לעובדי השירות</w:t>
      </w:r>
      <w:r w:rsidR="00435AE2">
        <w:rPr>
          <w:rFonts w:hint="cs"/>
          <w:rtl/>
        </w:rPr>
        <w:t xml:space="preserve"> </w:t>
      </w:r>
      <w:r w:rsidR="00435AE2" w:rsidRPr="00C10BC8">
        <w:rPr>
          <w:rFonts w:hint="cs"/>
          <w:rtl/>
        </w:rPr>
        <w:t>(</w:t>
      </w:r>
      <w:r w:rsidR="00435AE2" w:rsidRPr="00C10BC8">
        <w:rPr>
          <w:rFonts w:hint="cs"/>
        </w:rPr>
        <w:t>C</w:t>
      </w:r>
      <w:r w:rsidR="00435AE2" w:rsidRPr="00C10BC8">
        <w:t>ode of Conduct</w:t>
      </w:r>
      <w:r w:rsidR="00435AE2" w:rsidRPr="00C10BC8">
        <w:rPr>
          <w:rFonts w:hint="cs"/>
          <w:rtl/>
        </w:rPr>
        <w:t>)</w:t>
      </w:r>
      <w:r>
        <w:rPr>
          <w:rFonts w:hint="cs"/>
          <w:rtl/>
        </w:rPr>
        <w:t>,</w:t>
      </w:r>
      <w:r>
        <w:rPr>
          <w:rStyle w:val="ac"/>
          <w:rtl/>
        </w:rPr>
        <w:footnoteReference w:id="143"/>
      </w:r>
      <w:r>
        <w:rPr>
          <w:rFonts w:hint="cs"/>
          <w:rtl/>
        </w:rPr>
        <w:t xml:space="preserve"> אשר בו נקבע</w:t>
      </w:r>
      <w:r w:rsidR="00AF1BAF">
        <w:rPr>
          <w:rFonts w:hint="cs"/>
          <w:rtl/>
        </w:rPr>
        <w:t xml:space="preserve"> כי עובד השירות מחויב לעמוד ב</w:t>
      </w:r>
      <w:r>
        <w:rPr>
          <w:rFonts w:hint="cs"/>
          <w:rtl/>
        </w:rPr>
        <w:t xml:space="preserve">הוראות האלה: </w:t>
      </w:r>
    </w:p>
    <w:p w:rsidR="00CE7BE8" w:rsidRDefault="00AF1BAF" w:rsidP="00AF1BAF">
      <w:pPr>
        <w:pStyle w:val="a4"/>
        <w:numPr>
          <w:ilvl w:val="0"/>
          <w:numId w:val="11"/>
        </w:numPr>
        <w:ind w:left="357" w:hanging="357"/>
      </w:pPr>
      <w:r>
        <w:rPr>
          <w:rFonts w:hint="cs"/>
          <w:rtl/>
        </w:rPr>
        <w:t>לנהוג ביושר וביושרה, בתשומת לב ובשקדנות בכל הנוגע להעסקתו בשירות;</w:t>
      </w:r>
    </w:p>
    <w:p w:rsidR="00AF1BAF" w:rsidRDefault="00AF1BAF" w:rsidP="00AF1BAF">
      <w:pPr>
        <w:pStyle w:val="a4"/>
        <w:numPr>
          <w:ilvl w:val="0"/>
          <w:numId w:val="11"/>
        </w:numPr>
        <w:ind w:left="357" w:hanging="357"/>
      </w:pPr>
      <w:r>
        <w:rPr>
          <w:rFonts w:hint="cs"/>
          <w:rtl/>
        </w:rPr>
        <w:t>במסגרת עבודתו להתנהג בכבוד, באדיבות וללא הטרדה כלפי כל אדם ולציית לכל החקיקה האוסטרלית הרלוונטית;</w:t>
      </w:r>
    </w:p>
    <w:p w:rsidR="00AF1BAF" w:rsidRDefault="00AF1BAF" w:rsidP="00AF1BAF">
      <w:pPr>
        <w:pStyle w:val="a4"/>
        <w:numPr>
          <w:ilvl w:val="0"/>
          <w:numId w:val="11"/>
        </w:numPr>
        <w:ind w:left="357" w:hanging="357"/>
      </w:pPr>
      <w:r>
        <w:rPr>
          <w:rFonts w:hint="cs"/>
          <w:rtl/>
        </w:rPr>
        <w:t>לציית לכל הוראה חוקית וסבירה שניתנה לו על-ידי גורם בשירות המוסמך לכך;</w:t>
      </w:r>
    </w:p>
    <w:p w:rsidR="00AF1BAF" w:rsidRDefault="00AF1BAF" w:rsidP="00AF1BAF">
      <w:pPr>
        <w:pStyle w:val="a4"/>
        <w:numPr>
          <w:ilvl w:val="0"/>
          <w:numId w:val="11"/>
        </w:numPr>
        <w:ind w:left="357" w:hanging="357"/>
      </w:pPr>
      <w:r>
        <w:rPr>
          <w:rFonts w:hint="cs"/>
          <w:rtl/>
        </w:rPr>
        <w:t xml:space="preserve">לשמור על סודיות בכל הנוגע לענייניו של השר או </w:t>
      </w:r>
      <w:r w:rsidR="00EC04F5">
        <w:rPr>
          <w:rFonts w:hint="cs"/>
          <w:rtl/>
        </w:rPr>
        <w:t xml:space="preserve">של </w:t>
      </w:r>
      <w:r>
        <w:rPr>
          <w:rFonts w:hint="cs"/>
          <w:rtl/>
        </w:rPr>
        <w:t>צוותו של השר;</w:t>
      </w:r>
    </w:p>
    <w:p w:rsidR="00AF1BAF" w:rsidRDefault="00AF1BAF" w:rsidP="00426035">
      <w:pPr>
        <w:pStyle w:val="a4"/>
        <w:numPr>
          <w:ilvl w:val="0"/>
          <w:numId w:val="11"/>
        </w:numPr>
        <w:ind w:left="357" w:hanging="357"/>
      </w:pPr>
      <w:r w:rsidRPr="00F44DED">
        <w:rPr>
          <w:rFonts w:hint="cs"/>
          <w:b/>
          <w:bCs/>
          <w:rtl/>
        </w:rPr>
        <w:t xml:space="preserve">לנקוט צעדים סבירים כדי למנוע כל ניגוד אינטרסים </w:t>
      </w:r>
      <w:r w:rsidRPr="007E1634">
        <w:rPr>
          <w:rFonts w:hint="cs"/>
          <w:rtl/>
        </w:rPr>
        <w:t>(</w:t>
      </w:r>
      <w:r w:rsidR="007E67ED">
        <w:rPr>
          <w:rFonts w:hint="cs"/>
          <w:rtl/>
        </w:rPr>
        <w:t>ממשי</w:t>
      </w:r>
      <w:r w:rsidR="007E67ED" w:rsidRPr="007E1634">
        <w:rPr>
          <w:rFonts w:hint="cs"/>
          <w:rtl/>
        </w:rPr>
        <w:t xml:space="preserve"> </w:t>
      </w:r>
      <w:r w:rsidRPr="007E1634">
        <w:rPr>
          <w:rFonts w:hint="cs"/>
          <w:rtl/>
        </w:rPr>
        <w:t xml:space="preserve">או </w:t>
      </w:r>
      <w:r w:rsidR="006F4806">
        <w:rPr>
          <w:rFonts w:hint="cs"/>
          <w:rtl/>
        </w:rPr>
        <w:t>למראית עין</w:t>
      </w:r>
      <w:r w:rsidR="00F44DED" w:rsidRPr="007E1634">
        <w:rPr>
          <w:rFonts w:hint="cs"/>
          <w:rtl/>
        </w:rPr>
        <w:t xml:space="preserve">), </w:t>
      </w:r>
      <w:r w:rsidR="00F44DED" w:rsidRPr="00F44DED">
        <w:rPr>
          <w:rFonts w:hint="cs"/>
          <w:b/>
          <w:bCs/>
          <w:rtl/>
        </w:rPr>
        <w:t xml:space="preserve">ולגלות פרטים בדבר כל אינטרס אישי </w:t>
      </w:r>
      <w:r w:rsidR="0056064F" w:rsidRPr="00580DB2">
        <w:rPr>
          <w:rFonts w:hint="cs"/>
          <w:b/>
          <w:bCs/>
          <w:rtl/>
        </w:rPr>
        <w:t>מהותי</w:t>
      </w:r>
      <w:r w:rsidR="0056064F" w:rsidRPr="0056064F">
        <w:rPr>
          <w:rFonts w:hint="cs"/>
          <w:rtl/>
        </w:rPr>
        <w:t xml:space="preserve"> (</w:t>
      </w:r>
      <w:r w:rsidR="0056064F">
        <w:t>material personal interest</w:t>
      </w:r>
      <w:r w:rsidR="0056064F" w:rsidRPr="0056064F">
        <w:rPr>
          <w:rFonts w:hint="cs"/>
          <w:rtl/>
        </w:rPr>
        <w:t xml:space="preserve">) </w:t>
      </w:r>
      <w:r w:rsidR="00F44DED" w:rsidRPr="00F44DED">
        <w:rPr>
          <w:rFonts w:hint="cs"/>
          <w:b/>
          <w:bCs/>
          <w:rtl/>
        </w:rPr>
        <w:t>של העובד בקשר לעבודתו בשירות</w:t>
      </w:r>
      <w:r w:rsidR="00F44DED">
        <w:rPr>
          <w:rFonts w:hint="cs"/>
          <w:rtl/>
        </w:rPr>
        <w:t>;</w:t>
      </w:r>
    </w:p>
    <w:p w:rsidR="00F44DED" w:rsidRDefault="00F44DED" w:rsidP="00F44DED">
      <w:pPr>
        <w:pStyle w:val="a4"/>
        <w:numPr>
          <w:ilvl w:val="0"/>
          <w:numId w:val="11"/>
        </w:numPr>
        <w:ind w:left="357" w:hanging="357"/>
      </w:pPr>
      <w:r>
        <w:rPr>
          <w:rFonts w:hint="cs"/>
          <w:rtl/>
        </w:rPr>
        <w:t>להשתמש במשאבי המדינה בצורה מתאימה ולמטרות נאותות;</w:t>
      </w:r>
    </w:p>
    <w:p w:rsidR="00F44DED" w:rsidRDefault="00F44DED" w:rsidP="00F44DED">
      <w:pPr>
        <w:pStyle w:val="a4"/>
        <w:numPr>
          <w:ilvl w:val="0"/>
          <w:numId w:val="11"/>
        </w:numPr>
        <w:ind w:left="357" w:hanging="357"/>
      </w:pPr>
      <w:r>
        <w:rPr>
          <w:rFonts w:hint="cs"/>
          <w:rtl/>
        </w:rPr>
        <w:t>לא לספק מידע כוזב או מטעה במענה לבקשת מידע רשמית בקשר לעבודתו בשירות;</w:t>
      </w:r>
    </w:p>
    <w:p w:rsidR="00F44DED" w:rsidRDefault="00F44DED" w:rsidP="00CD7142">
      <w:pPr>
        <w:pStyle w:val="a4"/>
        <w:numPr>
          <w:ilvl w:val="0"/>
          <w:numId w:val="11"/>
        </w:numPr>
        <w:ind w:left="357" w:hanging="357"/>
      </w:pPr>
      <w:r w:rsidRPr="00CD7142">
        <w:rPr>
          <w:rFonts w:hint="cs"/>
          <w:b/>
          <w:bCs/>
          <w:rtl/>
        </w:rPr>
        <w:t xml:space="preserve">לא לעשות שימוש לא הולם במידע פנים, בחובותיו, </w:t>
      </w:r>
      <w:r w:rsidR="00CD7142" w:rsidRPr="00CD7142">
        <w:rPr>
          <w:rFonts w:hint="cs"/>
          <w:b/>
          <w:bCs/>
          <w:rtl/>
        </w:rPr>
        <w:t>ב</w:t>
      </w:r>
      <w:r w:rsidRPr="00CD7142">
        <w:rPr>
          <w:rFonts w:hint="cs"/>
          <w:b/>
          <w:bCs/>
          <w:rtl/>
        </w:rPr>
        <w:t xml:space="preserve">מעמדו, </w:t>
      </w:r>
      <w:r w:rsidR="00CD7142" w:rsidRPr="00CD7142">
        <w:rPr>
          <w:rFonts w:hint="cs"/>
          <w:b/>
          <w:bCs/>
          <w:rtl/>
        </w:rPr>
        <w:t>ב</w:t>
      </w:r>
      <w:r w:rsidRPr="00CD7142">
        <w:rPr>
          <w:rFonts w:hint="cs"/>
          <w:b/>
          <w:bCs/>
          <w:rtl/>
        </w:rPr>
        <w:t xml:space="preserve">כוחו או </w:t>
      </w:r>
      <w:r w:rsidR="00CD7142" w:rsidRPr="00CD7142">
        <w:rPr>
          <w:rFonts w:hint="cs"/>
          <w:b/>
          <w:bCs/>
          <w:rtl/>
        </w:rPr>
        <w:t>ב</w:t>
      </w:r>
      <w:r w:rsidRPr="00CD7142">
        <w:rPr>
          <w:rFonts w:hint="cs"/>
          <w:b/>
          <w:bCs/>
          <w:rtl/>
        </w:rPr>
        <w:t>סמכותו כדי</w:t>
      </w:r>
      <w:r>
        <w:rPr>
          <w:rFonts w:hint="cs"/>
          <w:rtl/>
        </w:rPr>
        <w:t>:</w:t>
      </w:r>
    </w:p>
    <w:p w:rsidR="00F44DED" w:rsidRDefault="00F44DED" w:rsidP="00CD7142">
      <w:pPr>
        <w:pStyle w:val="a4"/>
        <w:numPr>
          <w:ilvl w:val="1"/>
          <w:numId w:val="11"/>
        </w:numPr>
        <w:ind w:left="714" w:hanging="357"/>
      </w:pPr>
      <w:r w:rsidRPr="00CD7142">
        <w:rPr>
          <w:rFonts w:hint="cs"/>
          <w:b/>
          <w:bCs/>
          <w:rtl/>
        </w:rPr>
        <w:t>להשיג, או לנסות להשיג, רווח או תועלת לע</w:t>
      </w:r>
      <w:r w:rsidR="00CD7142">
        <w:rPr>
          <w:rFonts w:hint="cs"/>
          <w:b/>
          <w:bCs/>
          <w:rtl/>
        </w:rPr>
        <w:t>צמו</w:t>
      </w:r>
      <w:r w:rsidRPr="00CD7142">
        <w:rPr>
          <w:rFonts w:hint="cs"/>
          <w:b/>
          <w:bCs/>
          <w:rtl/>
        </w:rPr>
        <w:t xml:space="preserve"> או לאחר</w:t>
      </w:r>
      <w:r>
        <w:rPr>
          <w:rFonts w:hint="cs"/>
          <w:rtl/>
        </w:rPr>
        <w:t>;</w:t>
      </w:r>
    </w:p>
    <w:p w:rsidR="00F44DED" w:rsidRDefault="00F44DED" w:rsidP="00AA340D">
      <w:pPr>
        <w:pStyle w:val="a4"/>
        <w:numPr>
          <w:ilvl w:val="1"/>
          <w:numId w:val="11"/>
        </w:numPr>
        <w:ind w:left="714" w:hanging="357"/>
      </w:pPr>
      <w:r>
        <w:rPr>
          <w:rFonts w:hint="cs"/>
          <w:rtl/>
        </w:rPr>
        <w:t>לגרום, או לנסות לגרום, נזק או אבדן כלשהו לרשות בה מועסק העובד, למדינה או לאחר;</w:t>
      </w:r>
    </w:p>
    <w:p w:rsidR="00AF2CC6" w:rsidRDefault="00AF2CC6" w:rsidP="00D53D86">
      <w:pPr>
        <w:pStyle w:val="a4"/>
        <w:numPr>
          <w:ilvl w:val="0"/>
          <w:numId w:val="11"/>
        </w:numPr>
        <w:ind w:left="357" w:hanging="357"/>
      </w:pPr>
      <w:r>
        <w:rPr>
          <w:rFonts w:hint="cs"/>
          <w:rtl/>
        </w:rPr>
        <w:t>לנהוג בכל עת באופן התומך בערכי השירות, בכבודה ובשמה הטוב של הרשות בה מועסק העובד ושל כלל השירות, ובעבודה מחוץ לגבולות אוסטרליה לנהוג בכל עת באופן התומך בשמה הטוב של אוסטרליה;</w:t>
      </w:r>
    </w:p>
    <w:p w:rsidR="00AF2CC6" w:rsidRDefault="00AF2CC6" w:rsidP="00AF2CC6">
      <w:pPr>
        <w:pStyle w:val="a4"/>
        <w:numPr>
          <w:ilvl w:val="0"/>
          <w:numId w:val="11"/>
        </w:numPr>
        <w:ind w:left="357" w:hanging="357"/>
        <w:rPr>
          <w:rtl/>
        </w:rPr>
      </w:pPr>
      <w:r>
        <w:rPr>
          <w:rFonts w:hint="cs"/>
          <w:rtl/>
        </w:rPr>
        <w:t>לציית לכל דרישת התנהגות אחרת הקבועה בתקנות.</w:t>
      </w:r>
    </w:p>
    <w:p w:rsidR="00F96062" w:rsidRDefault="00F96062" w:rsidP="00CD7142">
      <w:pPr>
        <w:pStyle w:val="a4"/>
        <w:rPr>
          <w:rtl/>
        </w:rPr>
      </w:pPr>
      <w:r>
        <w:rPr>
          <w:rFonts w:hint="cs"/>
          <w:rtl/>
        </w:rPr>
        <w:t>ב</w:t>
      </w:r>
      <w:r w:rsidRPr="00F96062">
        <w:rPr>
          <w:rFonts w:hint="cs"/>
          <w:b/>
          <w:bCs/>
          <w:rtl/>
        </w:rPr>
        <w:t xml:space="preserve">חוק </w:t>
      </w:r>
      <w:r w:rsidRPr="00EE7CFE">
        <w:rPr>
          <w:rFonts w:hint="cs"/>
          <w:b/>
          <w:bCs/>
          <w:rtl/>
        </w:rPr>
        <w:t>הממשל הציבורי הביצוע והאחריותיות</w:t>
      </w:r>
      <w:r w:rsidR="0056064F">
        <w:rPr>
          <w:rStyle w:val="ac"/>
          <w:rtl/>
        </w:rPr>
        <w:footnoteReference w:id="144"/>
      </w:r>
      <w:r>
        <w:rPr>
          <w:rFonts w:hint="cs"/>
          <w:rtl/>
        </w:rPr>
        <w:t xml:space="preserve"> נקבע כי </w:t>
      </w:r>
      <w:r w:rsidR="0056064F">
        <w:rPr>
          <w:rFonts w:hint="cs"/>
          <w:rtl/>
        </w:rPr>
        <w:t xml:space="preserve">עובדים ומנהלים ברשויות השירות הציבורי מחויבים לגלות פרטים בדבר כל אינטרס אישי מהותי הנוגע לענייני אותה הרשות. </w:t>
      </w:r>
    </w:p>
    <w:p w:rsidR="00A7027A" w:rsidRDefault="00A7027A" w:rsidP="00404E13">
      <w:pPr>
        <w:pStyle w:val="111"/>
        <w:rPr>
          <w:rtl/>
        </w:rPr>
      </w:pPr>
      <w:r>
        <w:rPr>
          <w:rFonts w:hint="cs"/>
          <w:rtl/>
        </w:rPr>
        <w:t xml:space="preserve">חוברת ההנחיות </w:t>
      </w:r>
    </w:p>
    <w:p w:rsidR="000A25B2" w:rsidRDefault="00A7027A" w:rsidP="00426035">
      <w:pPr>
        <w:pStyle w:val="a4"/>
        <w:rPr>
          <w:rtl/>
        </w:rPr>
      </w:pPr>
      <w:r>
        <w:rPr>
          <w:rFonts w:hint="cs"/>
          <w:rtl/>
        </w:rPr>
        <w:t>ב</w:t>
      </w:r>
      <w:r w:rsidRPr="00C10BC8">
        <w:rPr>
          <w:rFonts w:hint="cs"/>
          <w:b/>
          <w:bCs/>
          <w:rtl/>
        </w:rPr>
        <w:t xml:space="preserve">חוברת </w:t>
      </w:r>
      <w:r>
        <w:rPr>
          <w:rFonts w:hint="cs"/>
          <w:b/>
          <w:bCs/>
          <w:rtl/>
        </w:rPr>
        <w:t>ה</w:t>
      </w:r>
      <w:r w:rsidRPr="00C10BC8">
        <w:rPr>
          <w:rFonts w:hint="cs"/>
          <w:b/>
          <w:bCs/>
          <w:rtl/>
        </w:rPr>
        <w:t>הנחיות</w:t>
      </w:r>
      <w:r w:rsidRPr="00CD7142">
        <w:rPr>
          <w:rFonts w:hint="cs"/>
          <w:b/>
          <w:bCs/>
          <w:rtl/>
        </w:rPr>
        <w:t xml:space="preserve"> </w:t>
      </w:r>
      <w:r>
        <w:rPr>
          <w:rFonts w:hint="cs"/>
          <w:rtl/>
        </w:rPr>
        <w:t xml:space="preserve">נקבעו </w:t>
      </w:r>
      <w:r w:rsidR="00435AE2" w:rsidRPr="00CD7142">
        <w:rPr>
          <w:rFonts w:hint="cs"/>
          <w:b/>
          <w:bCs/>
          <w:rtl/>
        </w:rPr>
        <w:t>הוראות מעשיות באשר למניעת ניגוד עניינים ו</w:t>
      </w:r>
      <w:r>
        <w:rPr>
          <w:rFonts w:hint="cs"/>
          <w:b/>
          <w:bCs/>
          <w:rtl/>
        </w:rPr>
        <w:t>ל</w:t>
      </w:r>
      <w:r w:rsidR="00CD7142">
        <w:rPr>
          <w:rFonts w:hint="cs"/>
          <w:b/>
          <w:bCs/>
          <w:rtl/>
        </w:rPr>
        <w:t>חובת ה</w:t>
      </w:r>
      <w:r w:rsidR="00435AE2" w:rsidRPr="00CD7142">
        <w:rPr>
          <w:rFonts w:hint="cs"/>
          <w:b/>
          <w:bCs/>
          <w:rtl/>
        </w:rPr>
        <w:t xml:space="preserve">גילוי </w:t>
      </w:r>
      <w:r w:rsidR="00CD7142">
        <w:rPr>
          <w:rFonts w:hint="cs"/>
          <w:b/>
          <w:bCs/>
          <w:rtl/>
        </w:rPr>
        <w:t xml:space="preserve">של </w:t>
      </w:r>
      <w:r w:rsidR="0056064F" w:rsidRPr="00CD7142">
        <w:rPr>
          <w:rFonts w:hint="cs"/>
          <w:b/>
          <w:bCs/>
          <w:rtl/>
        </w:rPr>
        <w:t xml:space="preserve">אינטרסים </w:t>
      </w:r>
      <w:r w:rsidR="00435AE2" w:rsidRPr="00CD7142">
        <w:rPr>
          <w:rFonts w:hint="cs"/>
          <w:b/>
          <w:bCs/>
          <w:rtl/>
        </w:rPr>
        <w:t>אישיים</w:t>
      </w:r>
      <w:r w:rsidR="00435AE2">
        <w:rPr>
          <w:rFonts w:hint="cs"/>
          <w:rtl/>
        </w:rPr>
        <w:t xml:space="preserve"> של עובדי השירות</w:t>
      </w:r>
      <w:r w:rsidR="00F96062">
        <w:rPr>
          <w:rFonts w:hint="cs"/>
          <w:rtl/>
        </w:rPr>
        <w:t>.</w:t>
      </w:r>
      <w:r w:rsidR="00435AE2" w:rsidRPr="00C10BC8">
        <w:rPr>
          <w:rStyle w:val="ac"/>
          <w:rtl/>
        </w:rPr>
        <w:footnoteReference w:id="145"/>
      </w:r>
      <w:r w:rsidR="00580DB2">
        <w:rPr>
          <w:rFonts w:hint="cs"/>
          <w:rtl/>
        </w:rPr>
        <w:t xml:space="preserve"> ב</w:t>
      </w:r>
      <w:r w:rsidR="007E1634">
        <w:rPr>
          <w:rFonts w:hint="cs"/>
          <w:rtl/>
        </w:rPr>
        <w:t xml:space="preserve">הנחיות </w:t>
      </w:r>
      <w:r w:rsidR="00580DB2">
        <w:rPr>
          <w:rFonts w:hint="cs"/>
          <w:rtl/>
        </w:rPr>
        <w:t xml:space="preserve">נקבע </w:t>
      </w:r>
      <w:r>
        <w:rPr>
          <w:rFonts w:hint="cs"/>
          <w:rtl/>
        </w:rPr>
        <w:t xml:space="preserve">כי </w:t>
      </w:r>
      <w:r w:rsidR="007E1634">
        <w:rPr>
          <w:rFonts w:hint="cs"/>
          <w:rtl/>
        </w:rPr>
        <w:t>הציבור זכאי לכך שיהיה לו ביטחון ביושרה של עובדי הציבור</w:t>
      </w:r>
      <w:r w:rsidR="00580DB2">
        <w:rPr>
          <w:rFonts w:hint="cs"/>
          <w:rtl/>
        </w:rPr>
        <w:t>,</w:t>
      </w:r>
      <w:r w:rsidR="007E1634">
        <w:rPr>
          <w:rFonts w:hint="cs"/>
          <w:rtl/>
        </w:rPr>
        <w:t xml:space="preserve"> ו</w:t>
      </w:r>
      <w:r>
        <w:rPr>
          <w:rFonts w:hint="cs"/>
          <w:rtl/>
        </w:rPr>
        <w:t xml:space="preserve">שיוכל לסמוך </w:t>
      </w:r>
      <w:r w:rsidR="002B7C58">
        <w:rPr>
          <w:rFonts w:hint="cs"/>
          <w:rtl/>
        </w:rPr>
        <w:t>ע</w:t>
      </w:r>
      <w:r>
        <w:rPr>
          <w:rFonts w:hint="cs"/>
          <w:rtl/>
        </w:rPr>
        <w:t xml:space="preserve">ל כך </w:t>
      </w:r>
      <w:r w:rsidR="007E1634">
        <w:rPr>
          <w:rFonts w:hint="cs"/>
          <w:rtl/>
        </w:rPr>
        <w:t xml:space="preserve">שהאינטרסים הפרטיים של עובדי השירות הציבורי אינם מנוגדים לחובותיו הציבוריות. על כן, על העובדים לנקוט בצעדים סבירים כדי למנוע ניגוד אינטרסים, אמיתי או </w:t>
      </w:r>
      <w:r w:rsidR="006F4806">
        <w:rPr>
          <w:rFonts w:hint="cs"/>
          <w:rtl/>
        </w:rPr>
        <w:t>למראית עין</w:t>
      </w:r>
      <w:r w:rsidR="007E1634">
        <w:rPr>
          <w:rFonts w:hint="cs"/>
          <w:rtl/>
        </w:rPr>
        <w:t>,</w:t>
      </w:r>
      <w:r w:rsidR="007E1634">
        <w:rPr>
          <w:rStyle w:val="ac"/>
          <w:rtl/>
        </w:rPr>
        <w:footnoteReference w:id="146"/>
      </w:r>
      <w:r w:rsidR="007E1634">
        <w:rPr>
          <w:rFonts w:hint="cs"/>
          <w:rtl/>
        </w:rPr>
        <w:t xml:space="preserve"> בקשר להעסקתם. </w:t>
      </w:r>
      <w:r w:rsidR="00D53D86">
        <w:rPr>
          <w:rFonts w:hint="cs"/>
          <w:rtl/>
        </w:rPr>
        <w:t xml:space="preserve">עוד נאמר כי </w:t>
      </w:r>
      <w:r w:rsidR="00D53D86" w:rsidRPr="000A25B2">
        <w:rPr>
          <w:rFonts w:hint="cs"/>
          <w:b/>
          <w:bCs/>
          <w:rtl/>
        </w:rPr>
        <w:t>לא תמיד אפשר למנוע ניגודי אינטרסים</w:t>
      </w:r>
      <w:r w:rsidR="00D53D86">
        <w:rPr>
          <w:rFonts w:hint="cs"/>
          <w:rtl/>
        </w:rPr>
        <w:t xml:space="preserve"> (</w:t>
      </w:r>
      <w:r w:rsidR="007E67ED">
        <w:rPr>
          <w:rFonts w:hint="cs"/>
          <w:rtl/>
        </w:rPr>
        <w:t xml:space="preserve">ממשיים </w:t>
      </w:r>
      <w:r w:rsidR="00D53D86">
        <w:rPr>
          <w:rFonts w:hint="cs"/>
          <w:rtl/>
        </w:rPr>
        <w:t xml:space="preserve">או למראית עין); </w:t>
      </w:r>
      <w:r w:rsidR="00D53D86" w:rsidRPr="000A25B2">
        <w:rPr>
          <w:rFonts w:hint="cs"/>
          <w:b/>
          <w:bCs/>
          <w:rtl/>
        </w:rPr>
        <w:t>במקרים כאלה כאמור חלה על העובד</w:t>
      </w:r>
      <w:r w:rsidR="000A25B2" w:rsidRPr="000A25B2">
        <w:rPr>
          <w:rFonts w:hint="cs"/>
          <w:b/>
          <w:bCs/>
          <w:rtl/>
        </w:rPr>
        <w:t xml:space="preserve"> חובה</w:t>
      </w:r>
      <w:r w:rsidR="00D53D86" w:rsidRPr="000A25B2">
        <w:rPr>
          <w:rFonts w:hint="cs"/>
          <w:b/>
          <w:bCs/>
          <w:rtl/>
        </w:rPr>
        <w:t xml:space="preserve"> לגלות </w:t>
      </w:r>
      <w:r w:rsidR="00D53D86">
        <w:rPr>
          <w:rFonts w:hint="cs"/>
          <w:rtl/>
        </w:rPr>
        <w:t xml:space="preserve">פרטים בדבר כל אינטרס אישי מהותי הנוגע להעסקתו. </w:t>
      </w:r>
      <w:r>
        <w:rPr>
          <w:rFonts w:hint="cs"/>
          <w:rtl/>
        </w:rPr>
        <w:t>להלן יפורטו ההוראות העיקריות הקבועות בחוברת ההנחיות בנושאים הרלוונטיים:</w:t>
      </w:r>
    </w:p>
    <w:p w:rsidR="00A7027A" w:rsidRPr="00A7027A" w:rsidRDefault="00A7027A" w:rsidP="00041950">
      <w:pPr>
        <w:pStyle w:val="a4"/>
        <w:keepNext/>
        <w:keepLines/>
        <w:rPr>
          <w:b/>
          <w:bCs/>
          <w:u w:val="single"/>
          <w:rtl/>
        </w:rPr>
      </w:pPr>
      <w:r w:rsidRPr="00A7027A">
        <w:rPr>
          <w:rFonts w:hint="cs"/>
          <w:b/>
          <w:bCs/>
          <w:u w:val="single"/>
          <w:rtl/>
        </w:rPr>
        <w:t>חובת הגילוי</w:t>
      </w:r>
      <w:r>
        <w:rPr>
          <w:rStyle w:val="ac"/>
          <w:rtl/>
        </w:rPr>
        <w:footnoteReference w:id="147"/>
      </w:r>
    </w:p>
    <w:p w:rsidR="000A25B2" w:rsidRDefault="000A25B2" w:rsidP="00A7027A">
      <w:pPr>
        <w:pStyle w:val="a4"/>
        <w:numPr>
          <w:ilvl w:val="0"/>
          <w:numId w:val="11"/>
        </w:numPr>
        <w:ind w:left="357" w:hanging="357"/>
      </w:pPr>
      <w:r>
        <w:rPr>
          <w:rFonts w:hint="cs"/>
          <w:rtl/>
        </w:rPr>
        <w:t xml:space="preserve">אינטרס אישי מקים חובת גילוי </w:t>
      </w:r>
      <w:r w:rsidR="00A7027A">
        <w:rPr>
          <w:rFonts w:hint="cs"/>
          <w:rtl/>
        </w:rPr>
        <w:t xml:space="preserve">אם </w:t>
      </w:r>
      <w:r>
        <w:rPr>
          <w:rFonts w:hint="cs"/>
          <w:rtl/>
        </w:rPr>
        <w:t xml:space="preserve">הוא </w:t>
      </w:r>
      <w:r w:rsidRPr="000A25B2">
        <w:rPr>
          <w:rFonts w:hint="cs"/>
          <w:b/>
          <w:bCs/>
          <w:rtl/>
        </w:rPr>
        <w:t>אינטרס מהותי</w:t>
      </w:r>
      <w:r>
        <w:rPr>
          <w:rFonts w:hint="cs"/>
          <w:rtl/>
        </w:rPr>
        <w:t xml:space="preserve"> (</w:t>
      </w:r>
      <w:r>
        <w:t>material</w:t>
      </w:r>
      <w:r>
        <w:rPr>
          <w:rFonts w:hint="cs"/>
          <w:rtl/>
        </w:rPr>
        <w:t xml:space="preserve">), כלומר אינטרס מהסוג שיוצר אפשרות </w:t>
      </w:r>
      <w:proofErr w:type="spellStart"/>
      <w:r>
        <w:rPr>
          <w:rFonts w:hint="cs"/>
          <w:rtl/>
        </w:rPr>
        <w:t>אמיתית</w:t>
      </w:r>
      <w:proofErr w:type="spellEnd"/>
      <w:r>
        <w:rPr>
          <w:rFonts w:hint="cs"/>
          <w:rtl/>
        </w:rPr>
        <w:t xml:space="preserve"> או הגיונית לניגוד אינטרסים</w:t>
      </w:r>
      <w:r w:rsidR="00580DB2">
        <w:rPr>
          <w:rFonts w:hint="cs"/>
          <w:rtl/>
        </w:rPr>
        <w:t>,</w:t>
      </w:r>
      <w:r>
        <w:rPr>
          <w:rFonts w:hint="cs"/>
          <w:rtl/>
        </w:rPr>
        <w:t xml:space="preserve"> ואין די בסיכוי קלוש או באפשרות תאורטית לכך. אם אדם סביר לא היה מסיק על קיום קשר בין האינטרס האישי לחובותיו של העובד </w:t>
      </w:r>
      <w:r>
        <w:rPr>
          <w:rtl/>
        </w:rPr>
        <w:t>–</w:t>
      </w:r>
      <w:r>
        <w:rPr>
          <w:rFonts w:hint="cs"/>
          <w:rtl/>
        </w:rPr>
        <w:t xml:space="preserve"> לא מדובר באינטרס מהותי. </w:t>
      </w:r>
    </w:p>
    <w:p w:rsidR="000A25B2" w:rsidRDefault="000A25B2" w:rsidP="00580DB2">
      <w:pPr>
        <w:pStyle w:val="a4"/>
        <w:numPr>
          <w:ilvl w:val="0"/>
          <w:numId w:val="11"/>
        </w:numPr>
        <w:ind w:left="357" w:hanging="357"/>
      </w:pPr>
      <w:r w:rsidRPr="00C62944">
        <w:rPr>
          <w:rFonts w:hint="cs"/>
          <w:b/>
          <w:bCs/>
          <w:rtl/>
        </w:rPr>
        <w:t>מטרת הגילוי</w:t>
      </w:r>
      <w:r>
        <w:rPr>
          <w:rFonts w:hint="cs"/>
          <w:rtl/>
        </w:rPr>
        <w:t xml:space="preserve"> היא לוודא שמנהלי הרשות מודעים לאינטרסים האישיים של עובדיהם אשר עלולים להשפיע בצורה בלתי הולמת על מילוי חובותיהם של העובדים. במצב כזה יתכן שיתאפשר להקצות מחדש את תפקידי העובדים ומשימותיהם או לקבוע כי העובד לא ישתתף בקבלת החלטות רלוונטיות. יש לתעד בצורה הולמת את ה</w:t>
      </w:r>
      <w:r w:rsidR="000D128B">
        <w:rPr>
          <w:rFonts w:hint="cs"/>
          <w:rtl/>
        </w:rPr>
        <w:t>גילוי ואת</w:t>
      </w:r>
      <w:r w:rsidR="00FB6353">
        <w:rPr>
          <w:rFonts w:hint="cs"/>
          <w:rtl/>
        </w:rPr>
        <w:t xml:space="preserve"> האסטרטגיה שננקטה כדי למנוע את ניגוד העניינים</w:t>
      </w:r>
      <w:r w:rsidR="00C62944">
        <w:rPr>
          <w:rStyle w:val="ac"/>
          <w:rtl/>
        </w:rPr>
        <w:footnoteReference w:id="148"/>
      </w:r>
      <w:r w:rsidR="00FB6353">
        <w:rPr>
          <w:rFonts w:hint="cs"/>
          <w:rtl/>
        </w:rPr>
        <w:t xml:space="preserve"> </w:t>
      </w:r>
      <w:r w:rsidR="00580DB2" w:rsidRPr="006B64AE">
        <w:rPr>
          <w:rFonts w:hint="cs"/>
          <w:rtl/>
        </w:rPr>
        <w:t xml:space="preserve">(וראו </w:t>
      </w:r>
      <w:hyperlink w:anchor="ניהול_ניגודי_אינטרסים" w:history="1">
        <w:r w:rsidR="00580DB2" w:rsidRPr="006B64AE">
          <w:rPr>
            <w:rStyle w:val="Hyperlink"/>
            <w:rFonts w:hint="cs"/>
            <w:rtl/>
          </w:rPr>
          <w:t>להלן</w:t>
        </w:r>
      </w:hyperlink>
      <w:r w:rsidR="00580DB2" w:rsidRPr="006B64AE">
        <w:rPr>
          <w:rFonts w:hint="cs"/>
          <w:rtl/>
        </w:rPr>
        <w:t xml:space="preserve"> בעניין ניהול ניגודי אינטרסים)</w:t>
      </w:r>
      <w:r w:rsidR="00580DB2">
        <w:rPr>
          <w:rFonts w:hint="cs"/>
          <w:rtl/>
        </w:rPr>
        <w:t>.</w:t>
      </w:r>
    </w:p>
    <w:p w:rsidR="00C62944" w:rsidRDefault="00F32101" w:rsidP="00CB3CE6">
      <w:pPr>
        <w:pStyle w:val="a4"/>
        <w:numPr>
          <w:ilvl w:val="0"/>
          <w:numId w:val="11"/>
        </w:numPr>
        <w:ind w:left="357" w:hanging="357"/>
      </w:pPr>
      <w:r>
        <w:rPr>
          <w:rFonts w:hint="cs"/>
          <w:b/>
          <w:bCs/>
          <w:rtl/>
        </w:rPr>
        <w:t>הצהרת אינטרסים שנתית של בכירים</w:t>
      </w:r>
      <w:r>
        <w:rPr>
          <w:rFonts w:hint="cs"/>
          <w:rtl/>
        </w:rPr>
        <w:t xml:space="preserve"> </w:t>
      </w:r>
      <w:r>
        <w:rPr>
          <w:rtl/>
        </w:rPr>
        <w:t>–</w:t>
      </w:r>
      <w:r>
        <w:rPr>
          <w:rFonts w:hint="cs"/>
          <w:rtl/>
        </w:rPr>
        <w:t xml:space="preserve"> מי שעומד ב</w:t>
      </w:r>
      <w:r w:rsidR="00C62944">
        <w:rPr>
          <w:rFonts w:hint="cs"/>
          <w:rtl/>
        </w:rPr>
        <w:t>ראש רשות ציבורית</w:t>
      </w:r>
      <w:r>
        <w:rPr>
          <w:rFonts w:hint="cs"/>
          <w:rtl/>
        </w:rPr>
        <w:t xml:space="preserve"> וכן</w:t>
      </w:r>
      <w:r w:rsidR="00C62944">
        <w:rPr>
          <w:rFonts w:hint="cs"/>
          <w:rtl/>
        </w:rPr>
        <w:t xml:space="preserve"> מנהלים בכירים בשירות </w:t>
      </w:r>
      <w:r>
        <w:rPr>
          <w:rFonts w:hint="cs"/>
          <w:rtl/>
        </w:rPr>
        <w:t xml:space="preserve">הציבורי </w:t>
      </w:r>
      <w:r w:rsidR="00C62944">
        <w:rPr>
          <w:rFonts w:hint="cs"/>
          <w:rtl/>
        </w:rPr>
        <w:t xml:space="preserve">כפופים לחובה </w:t>
      </w:r>
      <w:r>
        <w:rPr>
          <w:rFonts w:hint="cs"/>
          <w:rtl/>
        </w:rPr>
        <w:t xml:space="preserve">מיוחדת ועליהם </w:t>
      </w:r>
      <w:r w:rsidR="00C62944">
        <w:rPr>
          <w:rFonts w:hint="cs"/>
          <w:rtl/>
        </w:rPr>
        <w:t xml:space="preserve">להגיש, אחת לשנה לפחות, הצהרה בכתב על </w:t>
      </w:r>
      <w:r>
        <w:rPr>
          <w:rFonts w:hint="cs"/>
          <w:rtl/>
        </w:rPr>
        <w:t>האינטרסי</w:t>
      </w:r>
      <w:r>
        <w:rPr>
          <w:rFonts w:hint="eastAsia"/>
          <w:rtl/>
        </w:rPr>
        <w:t>ם</w:t>
      </w:r>
      <w:r w:rsidR="00C62944">
        <w:rPr>
          <w:rFonts w:hint="cs"/>
          <w:rtl/>
        </w:rPr>
        <w:t xml:space="preserve"> האישיים</w:t>
      </w:r>
      <w:r>
        <w:rPr>
          <w:rFonts w:hint="cs"/>
          <w:rtl/>
        </w:rPr>
        <w:t xml:space="preserve"> הכספיים והמהותיים</w:t>
      </w:r>
      <w:r w:rsidR="00C62944">
        <w:rPr>
          <w:rFonts w:hint="cs"/>
          <w:rtl/>
        </w:rPr>
        <w:t xml:space="preserve"> שלהם ושל בני משפחתם</w:t>
      </w:r>
      <w:r>
        <w:rPr>
          <w:rFonts w:hint="cs"/>
          <w:rtl/>
        </w:rPr>
        <w:t xml:space="preserve"> הקרובה (</w:t>
      </w:r>
      <w:r w:rsidRPr="00F32101">
        <w:t>immediate family</w:t>
      </w:r>
      <w:r>
        <w:rPr>
          <w:rFonts w:hint="cs"/>
          <w:rtl/>
        </w:rPr>
        <w:t>).</w:t>
      </w:r>
      <w:bookmarkStart w:id="3" w:name="_Ref473642680"/>
      <w:r w:rsidR="00B37911">
        <w:rPr>
          <w:rStyle w:val="ac"/>
          <w:rtl/>
        </w:rPr>
        <w:footnoteReference w:id="149"/>
      </w:r>
      <w:bookmarkEnd w:id="3"/>
      <w:r>
        <w:rPr>
          <w:rFonts w:hint="cs"/>
          <w:rtl/>
        </w:rPr>
        <w:t xml:space="preserve"> ככלל, מנהלים בכירים ידווחו לראש הרשות בה הם מועסקים וראשי הרשויות ידווחו לשר הממונה עליהם. אם מההצ</w:t>
      </w:r>
      <w:r w:rsidRPr="006B64AE">
        <w:rPr>
          <w:rFonts w:hint="cs"/>
          <w:rtl/>
        </w:rPr>
        <w:t xml:space="preserve">הרה עולה ניגוד עניינים </w:t>
      </w:r>
      <w:r w:rsidRPr="006B64AE">
        <w:rPr>
          <w:rtl/>
        </w:rPr>
        <w:t>–</w:t>
      </w:r>
      <w:r w:rsidRPr="006B64AE">
        <w:rPr>
          <w:rFonts w:hint="cs"/>
          <w:rtl/>
        </w:rPr>
        <w:t xml:space="preserve"> על הצדדים לפעול כדי לפתור זאת (וראו </w:t>
      </w:r>
      <w:hyperlink w:anchor="ניהול_ניגודי_אינטרסים" w:history="1">
        <w:r w:rsidRPr="006B64AE">
          <w:rPr>
            <w:rStyle w:val="Hyperlink"/>
            <w:rFonts w:hint="cs"/>
            <w:rtl/>
          </w:rPr>
          <w:t>להלן</w:t>
        </w:r>
      </w:hyperlink>
      <w:r w:rsidR="006B64AE" w:rsidRPr="006B64AE">
        <w:rPr>
          <w:rFonts w:hint="cs"/>
          <w:rtl/>
        </w:rPr>
        <w:t xml:space="preserve"> בעניין ניהול ניגודי אינטרסים</w:t>
      </w:r>
      <w:r w:rsidRPr="006B64AE">
        <w:rPr>
          <w:rFonts w:hint="cs"/>
          <w:rtl/>
        </w:rPr>
        <w:t>)</w:t>
      </w:r>
      <w:r>
        <w:rPr>
          <w:rFonts w:hint="cs"/>
          <w:rtl/>
        </w:rPr>
        <w:t xml:space="preserve">. </w:t>
      </w:r>
    </w:p>
    <w:p w:rsidR="00F32101" w:rsidRDefault="00F32101" w:rsidP="00580DB2">
      <w:pPr>
        <w:pStyle w:val="a4"/>
        <w:numPr>
          <w:ilvl w:val="0"/>
          <w:numId w:val="11"/>
        </w:numPr>
        <w:ind w:left="357" w:hanging="357"/>
      </w:pPr>
      <w:r w:rsidRPr="00F32101">
        <w:rPr>
          <w:rFonts w:hint="cs"/>
          <w:rtl/>
        </w:rPr>
        <w:t>נוסף</w:t>
      </w:r>
      <w:r>
        <w:rPr>
          <w:rFonts w:hint="cs"/>
          <w:rtl/>
        </w:rPr>
        <w:t xml:space="preserve"> על דיווחי הבכירים, </w:t>
      </w:r>
      <w:r w:rsidRPr="00F27B07">
        <w:rPr>
          <w:rFonts w:hint="cs"/>
          <w:b/>
          <w:bCs/>
          <w:rtl/>
        </w:rPr>
        <w:t>כל רשות רשאית לדרוש</w:t>
      </w:r>
      <w:r w:rsidR="00F27B07" w:rsidRPr="00F27B07">
        <w:rPr>
          <w:rFonts w:hint="cs"/>
          <w:rtl/>
        </w:rPr>
        <w:t>, על-פי שיקול דעתה ובהתאם לנסיבות,</w:t>
      </w:r>
      <w:r w:rsidRPr="00F27B07">
        <w:rPr>
          <w:rFonts w:hint="cs"/>
          <w:b/>
          <w:bCs/>
          <w:rtl/>
        </w:rPr>
        <w:t xml:space="preserve"> דיווח שוטף גם מעובדים זוטרים יותר </w:t>
      </w:r>
      <w:r w:rsidRPr="00F27B07">
        <w:rPr>
          <w:rFonts w:hint="cs"/>
          <w:rtl/>
        </w:rPr>
        <w:t>שמכוח תפקידם ואחריותם חשופים לסיכון גבוה יותר של ניגוד עניינים</w:t>
      </w:r>
      <w:r>
        <w:rPr>
          <w:rFonts w:hint="cs"/>
          <w:rtl/>
        </w:rPr>
        <w:t>. מדובר בעיקר בעובדים העוסקים באחד או יותר מהתחומים האלה: רכש</w:t>
      </w:r>
      <w:r w:rsidR="00F27B07">
        <w:rPr>
          <w:rFonts w:hint="cs"/>
          <w:rtl/>
        </w:rPr>
        <w:t>;</w:t>
      </w:r>
      <w:r>
        <w:rPr>
          <w:rFonts w:hint="cs"/>
          <w:rtl/>
        </w:rPr>
        <w:t xml:space="preserve"> גיוס, מינוי וקידום עובדים</w:t>
      </w:r>
      <w:r w:rsidR="00F27B07">
        <w:rPr>
          <w:rFonts w:hint="cs"/>
          <w:rtl/>
        </w:rPr>
        <w:t>;</w:t>
      </w:r>
      <w:r>
        <w:rPr>
          <w:rFonts w:hint="cs"/>
          <w:rtl/>
        </w:rPr>
        <w:t xml:space="preserve"> </w:t>
      </w:r>
      <w:r w:rsidR="00F27B07">
        <w:rPr>
          <w:rFonts w:hint="cs"/>
          <w:rtl/>
        </w:rPr>
        <w:t xml:space="preserve">פיקוח ובקרה על קיום הוראות חוק או כללים; מתן רישיונות; קביעת קנסות או סנקציות מינהליות אחרות </w:t>
      </w:r>
      <w:r w:rsidR="00580DB2">
        <w:rPr>
          <w:rFonts w:hint="cs"/>
          <w:rtl/>
        </w:rPr>
        <w:t xml:space="preserve">והכרעה </w:t>
      </w:r>
      <w:proofErr w:type="spellStart"/>
      <w:r w:rsidR="00580DB2">
        <w:rPr>
          <w:rFonts w:hint="cs"/>
          <w:rtl/>
        </w:rPr>
        <w:t>בעררים</w:t>
      </w:r>
      <w:proofErr w:type="spellEnd"/>
      <w:r w:rsidR="00580DB2">
        <w:rPr>
          <w:rFonts w:hint="cs"/>
          <w:rtl/>
        </w:rPr>
        <w:t xml:space="preserve"> על סנקציות כאלה</w:t>
      </w:r>
      <w:r w:rsidR="00F27B07">
        <w:rPr>
          <w:rFonts w:hint="cs"/>
          <w:rtl/>
        </w:rPr>
        <w:t>; הקצאת כספי ציבור, מענקים, סובסידיות וכדומה; קבלת החלטות מחייבות ושימוש בכוחות סטטוטוריים.</w:t>
      </w:r>
    </w:p>
    <w:p w:rsidR="00837FB7" w:rsidRDefault="00F27B07" w:rsidP="00CF3799">
      <w:pPr>
        <w:pStyle w:val="a4"/>
        <w:numPr>
          <w:ilvl w:val="0"/>
          <w:numId w:val="11"/>
        </w:numPr>
        <w:ind w:left="357" w:hanging="357"/>
      </w:pPr>
      <w:r w:rsidRPr="00F27B07">
        <w:rPr>
          <w:rFonts w:hint="cs"/>
          <w:b/>
          <w:bCs/>
          <w:rtl/>
        </w:rPr>
        <w:t>תוכן ההצהרה בדבר האינטרסים</w:t>
      </w:r>
      <w:r>
        <w:rPr>
          <w:rFonts w:hint="cs"/>
          <w:rtl/>
        </w:rPr>
        <w:t xml:space="preserve"> </w:t>
      </w:r>
      <w:r>
        <w:rPr>
          <w:rtl/>
        </w:rPr>
        <w:t>–</w:t>
      </w:r>
      <w:r>
        <w:rPr>
          <w:rFonts w:hint="cs"/>
          <w:rtl/>
        </w:rPr>
        <w:t xml:space="preserve"> </w:t>
      </w:r>
      <w:r w:rsidRPr="00F27B07">
        <w:rPr>
          <w:rFonts w:hint="cs"/>
          <w:b/>
          <w:bCs/>
          <w:rtl/>
        </w:rPr>
        <w:t>לא נקבעה רשימה סטנדרטית של פרטים שיש לגלות</w:t>
      </w:r>
      <w:r>
        <w:rPr>
          <w:rFonts w:hint="cs"/>
          <w:rtl/>
        </w:rPr>
        <w:t>. באחריות העובדים להביא בחשבון את האינטרסים האישיים ומערכות היחסים שעשויים להשפיע, או להשפיע לכאורה, על פעילותם ולגלות אותם</w:t>
      </w:r>
      <w:r w:rsidR="00837FB7">
        <w:rPr>
          <w:rFonts w:hint="cs"/>
          <w:rtl/>
        </w:rPr>
        <w:t>.</w:t>
      </w:r>
      <w:r w:rsidR="001D675C">
        <w:rPr>
          <w:rStyle w:val="ac"/>
          <w:rtl/>
        </w:rPr>
        <w:footnoteReference w:id="150"/>
      </w:r>
      <w:r w:rsidR="004D2850">
        <w:rPr>
          <w:rFonts w:hint="cs"/>
          <w:rtl/>
        </w:rPr>
        <w:t xml:space="preserve"> </w:t>
      </w:r>
      <w:r w:rsidR="00837FB7" w:rsidRPr="00837FB7">
        <w:rPr>
          <w:rFonts w:hint="cs"/>
          <w:rtl/>
        </w:rPr>
        <w:t>בבחינת השאלה איזה מידע לגלות</w:t>
      </w:r>
      <w:r w:rsidR="00837FB7">
        <w:rPr>
          <w:rFonts w:hint="cs"/>
          <w:rtl/>
        </w:rPr>
        <w:t xml:space="preserve"> </w:t>
      </w:r>
      <w:r w:rsidR="00837FB7" w:rsidRPr="00837FB7">
        <w:rPr>
          <w:rFonts w:hint="cs"/>
          <w:rtl/>
        </w:rPr>
        <w:t>יש לשקול</w:t>
      </w:r>
      <w:r w:rsidR="00837FB7">
        <w:rPr>
          <w:rFonts w:hint="cs"/>
          <w:rtl/>
        </w:rPr>
        <w:t xml:space="preserve"> בין השאר את תפקידי הרשות הספציפית בה מועסק העובד ותחומי אחריותה, </w:t>
      </w:r>
      <w:r w:rsidR="00CF3799">
        <w:rPr>
          <w:rFonts w:hint="cs"/>
          <w:rtl/>
        </w:rPr>
        <w:t>ו</w:t>
      </w:r>
      <w:r w:rsidR="00837FB7">
        <w:rPr>
          <w:rFonts w:hint="cs"/>
          <w:rtl/>
        </w:rPr>
        <w:t xml:space="preserve">בפרט </w:t>
      </w:r>
      <w:r w:rsidR="00CF3799">
        <w:rPr>
          <w:rFonts w:hint="cs"/>
          <w:rtl/>
        </w:rPr>
        <w:t>ככל שאלה נוגעים</w:t>
      </w:r>
      <w:r w:rsidR="00837FB7">
        <w:rPr>
          <w:rFonts w:hint="cs"/>
          <w:rtl/>
        </w:rPr>
        <w:t xml:space="preserve"> </w:t>
      </w:r>
      <w:r w:rsidR="00CF3799">
        <w:rPr>
          <w:rFonts w:hint="cs"/>
          <w:rtl/>
        </w:rPr>
        <w:t>ל</w:t>
      </w:r>
      <w:r w:rsidR="00837FB7">
        <w:rPr>
          <w:rFonts w:hint="cs"/>
          <w:rtl/>
        </w:rPr>
        <w:t>יושר (</w:t>
      </w:r>
      <w:r w:rsidR="00837FB7">
        <w:t>probity</w:t>
      </w:r>
      <w:r w:rsidR="00837FB7">
        <w:rPr>
          <w:rFonts w:hint="cs"/>
          <w:rtl/>
        </w:rPr>
        <w:t>) שלה</w:t>
      </w:r>
      <w:r w:rsidR="00CF3799">
        <w:rPr>
          <w:rFonts w:hint="cs"/>
          <w:rtl/>
        </w:rPr>
        <w:t>,</w:t>
      </w:r>
      <w:r w:rsidR="00837FB7">
        <w:rPr>
          <w:rFonts w:hint="cs"/>
          <w:rtl/>
        </w:rPr>
        <w:t xml:space="preserve"> ואת תפקידיו ותחומי אחריותו של העובד הספציפי.</w:t>
      </w:r>
      <w:r w:rsidR="004D2850">
        <w:rPr>
          <w:rFonts w:hint="cs"/>
          <w:rtl/>
        </w:rPr>
        <w:t xml:space="preserve"> המידע שיש לגלות </w:t>
      </w:r>
      <w:r w:rsidR="002177C0">
        <w:rPr>
          <w:rFonts w:hint="cs"/>
          <w:rtl/>
        </w:rPr>
        <w:t xml:space="preserve">הוא על אינטרסים שיש בהם כדי ליצור ניגוד עניינים פוטנציאלי עם תפקידים רשמיים. </w:t>
      </w:r>
      <w:r w:rsidR="002177C0" w:rsidRPr="00426035">
        <w:rPr>
          <w:rFonts w:hint="eastAsia"/>
          <w:b/>
          <w:bCs/>
          <w:rtl/>
        </w:rPr>
        <w:t>ס</w:t>
      </w:r>
      <w:r w:rsidR="002177C0" w:rsidRPr="00A7027A">
        <w:rPr>
          <w:rFonts w:hint="cs"/>
          <w:b/>
          <w:bCs/>
          <w:rtl/>
        </w:rPr>
        <w:t xml:space="preserve">וגי המידע </w:t>
      </w:r>
      <w:r w:rsidR="004D2850" w:rsidRPr="00A7027A">
        <w:rPr>
          <w:rFonts w:hint="cs"/>
          <w:b/>
          <w:bCs/>
          <w:rtl/>
        </w:rPr>
        <w:t xml:space="preserve">עשויים לכלול </w:t>
      </w:r>
      <w:r w:rsidR="004D2850">
        <w:rPr>
          <w:rFonts w:hint="cs"/>
          <w:rtl/>
        </w:rPr>
        <w:t>בהתאם לנסיבות:</w:t>
      </w:r>
    </w:p>
    <w:p w:rsidR="004D2850" w:rsidRDefault="004D2850" w:rsidP="00CB3CE6">
      <w:pPr>
        <w:pStyle w:val="a4"/>
        <w:numPr>
          <w:ilvl w:val="1"/>
          <w:numId w:val="11"/>
        </w:numPr>
        <w:ind w:left="714" w:hanging="357"/>
      </w:pPr>
      <w:r w:rsidRPr="002177C0">
        <w:rPr>
          <w:rFonts w:hint="cs"/>
          <w:b/>
          <w:bCs/>
          <w:rtl/>
        </w:rPr>
        <w:t>מידע על אינטרסים פיננסיים</w:t>
      </w:r>
      <w:r>
        <w:rPr>
          <w:rFonts w:hint="cs"/>
          <w:rtl/>
        </w:rPr>
        <w:t xml:space="preserve"> </w:t>
      </w:r>
      <w:r>
        <w:rPr>
          <w:rtl/>
        </w:rPr>
        <w:t>–</w:t>
      </w:r>
      <w:r>
        <w:rPr>
          <w:rFonts w:hint="cs"/>
          <w:rtl/>
        </w:rPr>
        <w:t xml:space="preserve"> לרבות כהונה כדירקטור, החזקה במניות ובנאמנויות, השקעות בנדל"ן, מעורבות בקרנות פנסיה בניהול עצמי</w:t>
      </w:r>
      <w:r w:rsidR="002177C0">
        <w:rPr>
          <w:rFonts w:hint="cs"/>
          <w:rtl/>
        </w:rPr>
        <w:t xml:space="preserve">, מקורות הכנסה נוספים </w:t>
      </w:r>
      <w:r w:rsidR="00423EFF">
        <w:rPr>
          <w:rFonts w:hint="cs"/>
          <w:rtl/>
        </w:rPr>
        <w:t xml:space="preserve">או </w:t>
      </w:r>
      <w:r w:rsidR="002177C0">
        <w:rPr>
          <w:rFonts w:hint="cs"/>
          <w:rtl/>
        </w:rPr>
        <w:t>התחייבויות כספיות משמעותיות;</w:t>
      </w:r>
    </w:p>
    <w:p w:rsidR="002177C0" w:rsidRDefault="004D2850" w:rsidP="002177C0">
      <w:pPr>
        <w:pStyle w:val="a4"/>
        <w:numPr>
          <w:ilvl w:val="1"/>
          <w:numId w:val="11"/>
        </w:numPr>
        <w:ind w:left="714" w:hanging="357"/>
      </w:pPr>
      <w:r w:rsidRPr="002177C0">
        <w:rPr>
          <w:rFonts w:hint="cs"/>
          <w:b/>
          <w:bCs/>
          <w:rtl/>
        </w:rPr>
        <w:t>מידע על אינטרסים אישיים</w:t>
      </w:r>
      <w:r>
        <w:rPr>
          <w:rFonts w:hint="cs"/>
          <w:rtl/>
        </w:rPr>
        <w:t xml:space="preserve"> </w:t>
      </w:r>
      <w:r>
        <w:rPr>
          <w:rtl/>
        </w:rPr>
        <w:t>–</w:t>
      </w:r>
      <w:r>
        <w:rPr>
          <w:rFonts w:hint="cs"/>
          <w:rtl/>
        </w:rPr>
        <w:t xml:space="preserve"> לרבות קשרי משפחה, קשרים אינטימיים, קשרי</w:t>
      </w:r>
      <w:r w:rsidR="002177C0">
        <w:rPr>
          <w:rFonts w:hint="cs"/>
          <w:rtl/>
        </w:rPr>
        <w:t>ם שנוצרו במסגרת יחסי</w:t>
      </w:r>
      <w:r>
        <w:rPr>
          <w:rFonts w:hint="cs"/>
          <w:rtl/>
        </w:rPr>
        <w:t xml:space="preserve"> עבודה</w:t>
      </w:r>
      <w:r w:rsidR="002177C0">
        <w:rPr>
          <w:rFonts w:hint="cs"/>
          <w:rtl/>
        </w:rPr>
        <w:t xml:space="preserve"> או במעורבות קהילתית ובכלל זה פעילות התנדבותית, ספורטיבית, חברתית ותרבותית;</w:t>
      </w:r>
    </w:p>
    <w:p w:rsidR="004D2850" w:rsidRDefault="002177C0" w:rsidP="002177C0">
      <w:pPr>
        <w:pStyle w:val="a4"/>
        <w:numPr>
          <w:ilvl w:val="1"/>
          <w:numId w:val="11"/>
        </w:numPr>
        <w:ind w:left="714" w:hanging="357"/>
      </w:pPr>
      <w:r w:rsidRPr="002177C0">
        <w:rPr>
          <w:rFonts w:hint="cs"/>
          <w:b/>
          <w:bCs/>
          <w:rtl/>
        </w:rPr>
        <w:t>מידע על מאורעות מסוגים מסוימים</w:t>
      </w:r>
      <w:r>
        <w:rPr>
          <w:rFonts w:hint="cs"/>
          <w:rtl/>
        </w:rPr>
        <w:t xml:space="preserve"> </w:t>
      </w:r>
      <w:r>
        <w:rPr>
          <w:rtl/>
        </w:rPr>
        <w:t>–</w:t>
      </w:r>
      <w:r>
        <w:rPr>
          <w:rFonts w:hint="cs"/>
          <w:rtl/>
        </w:rPr>
        <w:t xml:space="preserve"> למשל: קבלת מתנות או הטבות אחרות וכן מידע על הצעות שהעובד קיבל וסירב להן (כאשר ההצעה עשויה להיתפס כשוחד). </w:t>
      </w:r>
    </w:p>
    <w:p w:rsidR="00837FB7" w:rsidRPr="00F32101" w:rsidRDefault="00B37911" w:rsidP="002F0F04">
      <w:pPr>
        <w:pStyle w:val="a4"/>
        <w:numPr>
          <w:ilvl w:val="0"/>
          <w:numId w:val="11"/>
        </w:numPr>
        <w:ind w:left="357" w:hanging="357"/>
        <w:rPr>
          <w:rtl/>
        </w:rPr>
      </w:pPr>
      <w:r w:rsidRPr="00B37911">
        <w:rPr>
          <w:rFonts w:hint="cs"/>
          <w:b/>
          <w:bCs/>
          <w:rtl/>
        </w:rPr>
        <w:t>גילוי אינטרסים של בני משפחה קרובה</w:t>
      </w:r>
      <w:r w:rsidR="005C3A85">
        <w:rPr>
          <w:rStyle w:val="ac"/>
          <w:rtl/>
        </w:rPr>
        <w:footnoteReference w:id="151"/>
      </w:r>
      <w:r w:rsidR="005C3A85">
        <w:rPr>
          <w:rFonts w:hint="cs"/>
          <w:b/>
          <w:bCs/>
          <w:rtl/>
        </w:rPr>
        <w:t xml:space="preserve"> </w:t>
      </w:r>
      <w:r>
        <w:rPr>
          <w:rtl/>
        </w:rPr>
        <w:t>–</w:t>
      </w:r>
      <w:r>
        <w:rPr>
          <w:rFonts w:hint="cs"/>
          <w:rtl/>
        </w:rPr>
        <w:t xml:space="preserve"> על העובד לגלות אינטרסים אישיים וקשרים של בני משפחה קרובה כאשר לדעתו האינטרסים או הקשרים האלה עלולים להשפיע (או להראות כמשפיעים) על פעילותם במסגרת עבודתם.</w:t>
      </w:r>
      <w:r w:rsidR="002F0F04">
        <w:rPr>
          <w:rStyle w:val="ac"/>
          <w:rtl/>
        </w:rPr>
        <w:footnoteReference w:id="152"/>
      </w:r>
      <w:r>
        <w:rPr>
          <w:rFonts w:hint="cs"/>
          <w:rtl/>
        </w:rPr>
        <w:t xml:space="preserve"> </w:t>
      </w:r>
    </w:p>
    <w:p w:rsidR="00D53D86" w:rsidRPr="00A7027A" w:rsidRDefault="00A7027A" w:rsidP="0056064F">
      <w:pPr>
        <w:pStyle w:val="a4"/>
        <w:rPr>
          <w:b/>
          <w:bCs/>
          <w:u w:val="single"/>
          <w:rtl/>
        </w:rPr>
      </w:pPr>
      <w:bookmarkStart w:id="4" w:name="ניהול_ניגודי_אינטרסים"/>
      <w:bookmarkEnd w:id="4"/>
      <w:r w:rsidRPr="00A7027A">
        <w:rPr>
          <w:rFonts w:hint="cs"/>
          <w:b/>
          <w:bCs/>
          <w:u w:val="single"/>
          <w:rtl/>
        </w:rPr>
        <w:t>ניהול ניגודי אינטרסים</w:t>
      </w:r>
      <w:r w:rsidR="000D1A5B" w:rsidRPr="00EC7754">
        <w:rPr>
          <w:rStyle w:val="ac"/>
          <w:rtl/>
        </w:rPr>
        <w:footnoteReference w:id="153"/>
      </w:r>
    </w:p>
    <w:p w:rsidR="00A7027A" w:rsidRDefault="00F731D8" w:rsidP="00F731D8">
      <w:pPr>
        <w:pStyle w:val="a4"/>
        <w:rPr>
          <w:rtl/>
        </w:rPr>
      </w:pPr>
      <w:r>
        <w:rPr>
          <w:rFonts w:hint="cs"/>
          <w:rtl/>
        </w:rPr>
        <w:t xml:space="preserve">כאמור, </w:t>
      </w:r>
      <w:r w:rsidRPr="00F731D8">
        <w:rPr>
          <w:rFonts w:hint="cs"/>
          <w:b/>
          <w:bCs/>
          <w:rtl/>
        </w:rPr>
        <w:t>ראשי הרשויות הציבוריות</w:t>
      </w:r>
      <w:r>
        <w:rPr>
          <w:rFonts w:hint="cs"/>
          <w:rtl/>
        </w:rPr>
        <w:t xml:space="preserve"> אחראים לוודא </w:t>
      </w:r>
      <w:r w:rsidR="007E67ED">
        <w:rPr>
          <w:rFonts w:hint="cs"/>
          <w:rtl/>
        </w:rPr>
        <w:t xml:space="preserve">כי קיים </w:t>
      </w:r>
      <w:r>
        <w:rPr>
          <w:rFonts w:hint="cs"/>
          <w:rtl/>
        </w:rPr>
        <w:t xml:space="preserve">ניהול יעיל של ניגודי אינטרסים ועמידה במדיניות הרשות בדבר דיווח על אינטרסים. לשם כך נדרשת </w:t>
      </w:r>
      <w:r w:rsidRPr="00F731D8">
        <w:rPr>
          <w:rFonts w:hint="cs"/>
          <w:b/>
          <w:bCs/>
          <w:rtl/>
        </w:rPr>
        <w:t>מערכת לרישום האינטרסים</w:t>
      </w:r>
      <w:r>
        <w:rPr>
          <w:rFonts w:hint="cs"/>
          <w:rtl/>
        </w:rPr>
        <w:t xml:space="preserve"> שתאפשר:</w:t>
      </w:r>
    </w:p>
    <w:p w:rsidR="00F731D8" w:rsidRDefault="00F731D8" w:rsidP="00F731D8">
      <w:pPr>
        <w:pStyle w:val="a4"/>
        <w:numPr>
          <w:ilvl w:val="0"/>
          <w:numId w:val="11"/>
        </w:numPr>
        <w:ind w:left="357" w:hanging="357"/>
      </w:pPr>
      <w:r>
        <w:rPr>
          <w:rFonts w:hint="cs"/>
          <w:rtl/>
        </w:rPr>
        <w:t>להבטיח שדיווחים על ניגודי אינטרסים ינוהלו בהתאם להוראות כל דין (בין השאר בהתאם לחקיקה בדבר הגנת הפרטיות ובדבר ניהול ארכיונים);</w:t>
      </w:r>
    </w:p>
    <w:p w:rsidR="00F731D8" w:rsidRDefault="00F731D8" w:rsidP="00F731D8">
      <w:pPr>
        <w:pStyle w:val="a4"/>
        <w:numPr>
          <w:ilvl w:val="0"/>
          <w:numId w:val="11"/>
        </w:numPr>
        <w:ind w:left="357" w:hanging="357"/>
      </w:pPr>
      <w:r>
        <w:rPr>
          <w:rFonts w:hint="cs"/>
          <w:rtl/>
        </w:rPr>
        <w:t>לפקח על עדכניות הדיווחים;</w:t>
      </w:r>
    </w:p>
    <w:p w:rsidR="00F731D8" w:rsidRDefault="00F731D8" w:rsidP="00F731D8">
      <w:pPr>
        <w:pStyle w:val="a4"/>
        <w:numPr>
          <w:ilvl w:val="0"/>
          <w:numId w:val="11"/>
        </w:numPr>
        <w:ind w:left="357" w:hanging="357"/>
      </w:pPr>
      <w:r>
        <w:rPr>
          <w:rFonts w:hint="cs"/>
          <w:rtl/>
        </w:rPr>
        <w:t>להביא לידיעת ראש הרשות הציבורית מידע בדבר ניגודי אינטרסים רציניים.</w:t>
      </w:r>
    </w:p>
    <w:p w:rsidR="00F731D8" w:rsidRDefault="00F731D8" w:rsidP="00F731D8">
      <w:pPr>
        <w:pStyle w:val="a4"/>
        <w:rPr>
          <w:rtl/>
        </w:rPr>
      </w:pPr>
      <w:r>
        <w:rPr>
          <w:rFonts w:hint="cs"/>
          <w:rtl/>
        </w:rPr>
        <w:t xml:space="preserve">ככלל, הצהרות עובדים בדבר האינטרסים שלהם יוחזקו בתיקם האישי; כאשר הדיווח על האינטרס נוגע להחלטה מסוימת רצוי לצרף אותו גם לתיק בדבר אותה החלטה. </w:t>
      </w:r>
    </w:p>
    <w:p w:rsidR="00F731D8" w:rsidRDefault="00F731D8" w:rsidP="000D1A5B">
      <w:pPr>
        <w:pStyle w:val="a4"/>
        <w:rPr>
          <w:rtl/>
        </w:rPr>
      </w:pPr>
      <w:r>
        <w:rPr>
          <w:rFonts w:hint="cs"/>
          <w:rtl/>
        </w:rPr>
        <w:t xml:space="preserve">בעת בחינת </w:t>
      </w:r>
      <w:r w:rsidRPr="000D1A5B">
        <w:rPr>
          <w:rFonts w:hint="cs"/>
          <w:b/>
          <w:bCs/>
          <w:rtl/>
        </w:rPr>
        <w:t>המידה בה ניגוד האינטרסים הוא מהותי</w:t>
      </w:r>
      <w:r w:rsidR="000D1A5B">
        <w:rPr>
          <w:rFonts w:hint="cs"/>
          <w:rtl/>
        </w:rPr>
        <w:t xml:space="preserve"> אפשר להביא בחשבון את הגורמים האלה:</w:t>
      </w:r>
    </w:p>
    <w:p w:rsidR="000D1A5B" w:rsidRDefault="000D1A5B" w:rsidP="000D1A5B">
      <w:pPr>
        <w:pStyle w:val="a4"/>
        <w:numPr>
          <w:ilvl w:val="0"/>
          <w:numId w:val="11"/>
        </w:numPr>
        <w:ind w:left="357" w:hanging="357"/>
      </w:pPr>
      <w:r>
        <w:rPr>
          <w:rFonts w:hint="cs"/>
          <w:rtl/>
        </w:rPr>
        <w:t>סוג האינטרס האישי של העובד וה</w:t>
      </w:r>
      <w:r w:rsidR="00423EFF">
        <w:rPr>
          <w:rFonts w:hint="cs"/>
          <w:rtl/>
        </w:rPr>
        <w:t>י</w:t>
      </w:r>
      <w:r>
        <w:rPr>
          <w:rFonts w:hint="cs"/>
          <w:rtl/>
        </w:rPr>
        <w:t>קפו;</w:t>
      </w:r>
    </w:p>
    <w:p w:rsidR="000D1A5B" w:rsidRDefault="000D1A5B" w:rsidP="000D1A5B">
      <w:pPr>
        <w:pStyle w:val="a4"/>
        <w:numPr>
          <w:ilvl w:val="0"/>
          <w:numId w:val="11"/>
        </w:numPr>
        <w:ind w:left="357" w:hanging="357"/>
      </w:pPr>
      <w:r>
        <w:rPr>
          <w:rFonts w:hint="cs"/>
          <w:rtl/>
        </w:rPr>
        <w:t>אופי ההחלטה או הפעילות של הרשות או מידת החשיבות שלה;</w:t>
      </w:r>
    </w:p>
    <w:p w:rsidR="000D1A5B" w:rsidRDefault="000D1A5B" w:rsidP="00CB3CE6">
      <w:pPr>
        <w:pStyle w:val="a4"/>
        <w:numPr>
          <w:ilvl w:val="0"/>
          <w:numId w:val="11"/>
        </w:numPr>
        <w:ind w:left="357" w:hanging="357"/>
      </w:pPr>
      <w:r>
        <w:rPr>
          <w:rFonts w:hint="cs"/>
          <w:rtl/>
        </w:rPr>
        <w:t>המידה שבה האינטרס האישי של העובד עשוי להשפיע על ההחלטה או הפעילות או להיות מושפע ממנה;</w:t>
      </w:r>
    </w:p>
    <w:p w:rsidR="000D1A5B" w:rsidRDefault="000D1A5B" w:rsidP="000D1A5B">
      <w:pPr>
        <w:pStyle w:val="a4"/>
        <w:numPr>
          <w:ilvl w:val="0"/>
          <w:numId w:val="11"/>
        </w:numPr>
        <w:ind w:left="357" w:hanging="357"/>
      </w:pPr>
      <w:r>
        <w:rPr>
          <w:rFonts w:hint="cs"/>
          <w:rtl/>
        </w:rPr>
        <w:t>אופי ומידת המעורבות הקיימת או המתוכננת של העובד בהחלטה או בפעילות של הרשות.</w:t>
      </w:r>
    </w:p>
    <w:p w:rsidR="000D1A5B" w:rsidRDefault="00EC7754" w:rsidP="00EC7754">
      <w:pPr>
        <w:pStyle w:val="a4"/>
        <w:rPr>
          <w:rtl/>
        </w:rPr>
      </w:pPr>
      <w:r w:rsidRPr="00EC7754">
        <w:rPr>
          <w:rFonts w:hint="cs"/>
          <w:b/>
          <w:bCs/>
          <w:rtl/>
        </w:rPr>
        <w:t>ניהול ניגוד אינטרסים</w:t>
      </w:r>
      <w:r>
        <w:rPr>
          <w:rFonts w:hint="cs"/>
          <w:rtl/>
        </w:rPr>
        <w:t xml:space="preserve"> של עובד יכול להיעשות בכמה אמצעים </w:t>
      </w:r>
      <w:r>
        <w:rPr>
          <w:rtl/>
        </w:rPr>
        <w:t>–</w:t>
      </w:r>
      <w:r>
        <w:rPr>
          <w:rFonts w:hint="cs"/>
          <w:rtl/>
        </w:rPr>
        <w:t xml:space="preserve"> </w:t>
      </w:r>
      <w:r w:rsidR="000D1A5B">
        <w:rPr>
          <w:rFonts w:hint="cs"/>
          <w:rtl/>
        </w:rPr>
        <w:t xml:space="preserve">בין השאר באמצעות הימנעות </w:t>
      </w:r>
      <w:r>
        <w:rPr>
          <w:rFonts w:hint="cs"/>
          <w:rtl/>
        </w:rPr>
        <w:t>העובד מהשתתפות ב</w:t>
      </w:r>
      <w:r w:rsidR="000D1A5B">
        <w:rPr>
          <w:rFonts w:hint="cs"/>
          <w:rtl/>
        </w:rPr>
        <w:t>דיונים בנושאים מסוימים, הגבלת העברת מידע</w:t>
      </w:r>
      <w:r>
        <w:rPr>
          <w:rFonts w:hint="cs"/>
          <w:rtl/>
        </w:rPr>
        <w:t xml:space="preserve"> רלוונטי לעובד</w:t>
      </w:r>
      <w:r w:rsidR="000D1A5B">
        <w:rPr>
          <w:rFonts w:hint="cs"/>
          <w:rtl/>
        </w:rPr>
        <w:t xml:space="preserve">, הימנעות </w:t>
      </w:r>
      <w:r>
        <w:rPr>
          <w:rFonts w:hint="cs"/>
          <w:rtl/>
        </w:rPr>
        <w:t xml:space="preserve">העובד </w:t>
      </w:r>
      <w:r w:rsidR="000D1A5B">
        <w:rPr>
          <w:rFonts w:hint="cs"/>
          <w:rtl/>
        </w:rPr>
        <w:t xml:space="preserve">מהשתתפות בקבלת החלטות, </w:t>
      </w:r>
      <w:r>
        <w:rPr>
          <w:rFonts w:hint="cs"/>
          <w:rtl/>
        </w:rPr>
        <w:t xml:space="preserve">הקצאה מחדש של מטלות לעובד, ויתור העובד על האינטרס או ויתור העובד על תפקידו, והכל בהתאם לנסיבות. </w:t>
      </w:r>
    </w:p>
    <w:p w:rsidR="00A7027A" w:rsidRPr="00470BF5" w:rsidRDefault="00A7027A" w:rsidP="005D5408">
      <w:pPr>
        <w:pStyle w:val="a4"/>
        <w:rPr>
          <w:rtl/>
        </w:rPr>
      </w:pPr>
      <w:r w:rsidRPr="00A7027A">
        <w:rPr>
          <w:rFonts w:hint="cs"/>
          <w:b/>
          <w:bCs/>
          <w:u w:val="single"/>
          <w:rtl/>
        </w:rPr>
        <w:t xml:space="preserve">סוגיות </w:t>
      </w:r>
      <w:r w:rsidR="005D5408">
        <w:rPr>
          <w:rFonts w:hint="cs"/>
          <w:b/>
          <w:bCs/>
          <w:u w:val="single"/>
          <w:rtl/>
        </w:rPr>
        <w:t>נוספ</w:t>
      </w:r>
      <w:r w:rsidRPr="00A7027A">
        <w:rPr>
          <w:rFonts w:hint="cs"/>
          <w:b/>
          <w:bCs/>
          <w:u w:val="single"/>
          <w:rtl/>
        </w:rPr>
        <w:t>ות</w:t>
      </w:r>
      <w:r w:rsidR="00470BF5">
        <w:rPr>
          <w:rStyle w:val="ac"/>
          <w:rtl/>
        </w:rPr>
        <w:footnoteReference w:id="154"/>
      </w:r>
    </w:p>
    <w:p w:rsidR="00243CD8" w:rsidRDefault="00243CD8" w:rsidP="00426035">
      <w:pPr>
        <w:pStyle w:val="a4"/>
        <w:rPr>
          <w:rtl/>
        </w:rPr>
      </w:pPr>
      <w:r>
        <w:rPr>
          <w:rFonts w:hint="cs"/>
          <w:rtl/>
        </w:rPr>
        <w:t xml:space="preserve">בחוברת ההנחיות נקבעו הוראות גם </w:t>
      </w:r>
      <w:r w:rsidR="00470BF5">
        <w:rPr>
          <w:rFonts w:hint="cs"/>
          <w:rtl/>
        </w:rPr>
        <w:t xml:space="preserve">באשר למצבים נוספים שעשויים </w:t>
      </w:r>
      <w:r>
        <w:rPr>
          <w:rFonts w:hint="cs"/>
          <w:rtl/>
        </w:rPr>
        <w:t>ליצור ניגוד עניינים</w:t>
      </w:r>
      <w:r w:rsidR="00470BF5">
        <w:rPr>
          <w:rFonts w:hint="cs"/>
          <w:rtl/>
        </w:rPr>
        <w:t xml:space="preserve"> ו</w:t>
      </w:r>
      <w:r w:rsidR="002B31DB">
        <w:rPr>
          <w:rFonts w:hint="cs"/>
          <w:rtl/>
        </w:rPr>
        <w:t>באשר ל</w:t>
      </w:r>
      <w:r w:rsidR="00470BF5">
        <w:rPr>
          <w:rFonts w:hint="cs"/>
          <w:rtl/>
        </w:rPr>
        <w:t>אמצעים להפחתת ניגוד העניינים ולניהולו במצבים אלה</w:t>
      </w:r>
      <w:r>
        <w:rPr>
          <w:rFonts w:hint="cs"/>
          <w:rtl/>
        </w:rPr>
        <w:t>. כך למשל</w:t>
      </w:r>
      <w:r w:rsidR="00470BF5">
        <w:rPr>
          <w:rFonts w:hint="cs"/>
          <w:rtl/>
        </w:rPr>
        <w:t>:</w:t>
      </w:r>
      <w:r>
        <w:rPr>
          <w:rFonts w:hint="cs"/>
          <w:rtl/>
        </w:rPr>
        <w:t xml:space="preserve"> קבלת מתנות והטבות על-ידי עובדי השירות הציבורי, הענקת מתנות על-ידם, הענקת מענקים לביצוע פעילות הממשלה, מגע עם שדלנים (לוביסטים), עבודה נוספת מחוץ לשירות הציבורי ועבו</w:t>
      </w:r>
      <w:r w:rsidR="00470BF5">
        <w:rPr>
          <w:rFonts w:hint="cs"/>
          <w:rtl/>
        </w:rPr>
        <w:t xml:space="preserve">דה לאחר פרישה מהשירות או סיום העבודה </w:t>
      </w:r>
      <w:r w:rsidR="00470BF5">
        <w:rPr>
          <w:rtl/>
        </w:rPr>
        <w:t>–</w:t>
      </w:r>
      <w:r w:rsidR="00470BF5">
        <w:rPr>
          <w:rFonts w:hint="cs"/>
          <w:rtl/>
        </w:rPr>
        <w:t xml:space="preserve"> עשויים כולם בנסיבות מסוימות ליצור ניגוד עניינים אמיתי או למראית עין.</w:t>
      </w:r>
    </w:p>
    <w:p w:rsidR="00B67460" w:rsidRDefault="00B67460" w:rsidP="00D07C52">
      <w:pPr>
        <w:pStyle w:val="a4"/>
        <w:rPr>
          <w:sz w:val="20"/>
          <w:szCs w:val="22"/>
          <w:rtl/>
        </w:rPr>
      </w:pPr>
    </w:p>
    <w:p w:rsidR="00A44D8D" w:rsidRPr="009E7AD2" w:rsidRDefault="00A44D8D" w:rsidP="00D07C52">
      <w:pPr>
        <w:pStyle w:val="a4"/>
        <w:rPr>
          <w:sz w:val="20"/>
          <w:szCs w:val="22"/>
          <w:rtl/>
        </w:rPr>
      </w:pPr>
    </w:p>
    <w:p w:rsidR="00C735A4" w:rsidRPr="00D845EA" w:rsidRDefault="00C735A4" w:rsidP="00A44D8D">
      <w:pPr>
        <w:pStyle w:val="1"/>
        <w:keepNext/>
        <w:keepLines/>
        <w:spacing w:before="240"/>
        <w:ind w:left="357" w:right="11" w:hanging="357"/>
        <w:rPr>
          <w:sz w:val="22"/>
          <w:rtl/>
          <w:lang w:eastAsia="en-US"/>
        </w:rPr>
      </w:pPr>
      <w:r w:rsidRPr="00D845EA">
        <w:rPr>
          <w:rFonts w:hint="cs"/>
          <w:sz w:val="22"/>
          <w:rtl/>
          <w:lang w:eastAsia="en-US"/>
        </w:rPr>
        <w:t>גרמניה</w:t>
      </w:r>
    </w:p>
    <w:p w:rsidR="00C735A4" w:rsidRDefault="00C735A4" w:rsidP="00A44D8D">
      <w:pPr>
        <w:pStyle w:val="11"/>
        <w:keepNext/>
        <w:keepLines/>
        <w:rPr>
          <w:rtl/>
        </w:rPr>
      </w:pPr>
      <w:r w:rsidRPr="00A81F3C">
        <w:rPr>
          <w:rFonts w:hint="cs"/>
          <w:sz w:val="26"/>
          <w:rtl/>
        </w:rPr>
        <w:t>כללי</w:t>
      </w:r>
      <w:r w:rsidRPr="00D845EA">
        <w:rPr>
          <w:rStyle w:val="ac"/>
          <w:b w:val="0"/>
          <w:bCs w:val="0"/>
          <w:sz w:val="18"/>
          <w:szCs w:val="24"/>
          <w:rtl/>
          <w:lang w:eastAsia="en-US"/>
        </w:rPr>
        <w:footnoteReference w:id="155"/>
      </w:r>
    </w:p>
    <w:p w:rsidR="00C735A4" w:rsidRPr="00D845EA" w:rsidRDefault="00C735A4" w:rsidP="00426035">
      <w:pPr>
        <w:pStyle w:val="a4"/>
        <w:rPr>
          <w:rtl/>
        </w:rPr>
      </w:pPr>
      <w:r w:rsidRPr="00D845EA">
        <w:rPr>
          <w:rFonts w:hint="cs"/>
          <w:rtl/>
        </w:rPr>
        <w:t>בגרמניה</w:t>
      </w:r>
      <w:r w:rsidR="00260764">
        <w:rPr>
          <w:rFonts w:hint="cs"/>
          <w:rtl/>
        </w:rPr>
        <w:t xml:space="preserve"> בעלי תפקידים שונים כפופים להוראות שונות בנושא ניגוד עניינים, בהתאם לתפקידם</w:t>
      </w:r>
      <w:r w:rsidRPr="00D845EA">
        <w:rPr>
          <w:rFonts w:hint="cs"/>
          <w:rtl/>
        </w:rPr>
        <w:t xml:space="preserve">. </w:t>
      </w:r>
      <w:r>
        <w:rPr>
          <w:rFonts w:hint="cs"/>
          <w:rtl/>
        </w:rPr>
        <w:t>ההסדרה</w:t>
      </w:r>
      <w:r w:rsidRPr="00D845EA">
        <w:rPr>
          <w:rFonts w:hint="cs"/>
          <w:rtl/>
        </w:rPr>
        <w:t xml:space="preserve"> הרלוונטית בגרמניה כוללת</w:t>
      </w:r>
      <w:r w:rsidR="00440B29">
        <w:rPr>
          <w:rFonts w:hint="cs"/>
          <w:rtl/>
        </w:rPr>
        <w:t>, בין היתר,</w:t>
      </w:r>
      <w:r w:rsidRPr="00D845EA">
        <w:rPr>
          <w:rFonts w:hint="cs"/>
          <w:rtl/>
        </w:rPr>
        <w:t xml:space="preserve"> את ההוראות האלה:</w:t>
      </w:r>
    </w:p>
    <w:p w:rsidR="00C735A4" w:rsidRPr="00EF71C6" w:rsidRDefault="00C735A4" w:rsidP="00426035">
      <w:pPr>
        <w:pStyle w:val="a4"/>
        <w:numPr>
          <w:ilvl w:val="0"/>
          <w:numId w:val="10"/>
        </w:numPr>
        <w:ind w:left="357" w:hanging="357"/>
      </w:pPr>
      <w:r w:rsidRPr="00D845EA">
        <w:rPr>
          <w:rFonts w:hint="cs"/>
          <w:b/>
          <w:bCs/>
          <w:rtl/>
        </w:rPr>
        <w:t>באשר לחברי הפרלמנט</w:t>
      </w:r>
      <w:r w:rsidRPr="00D845EA">
        <w:rPr>
          <w:rFonts w:hint="cs"/>
          <w:rtl/>
        </w:rPr>
        <w:t xml:space="preserve"> (הבונדסטאג) </w:t>
      </w:r>
      <w:r w:rsidRPr="00D845EA">
        <w:rPr>
          <w:rtl/>
        </w:rPr>
        <w:t>–</w:t>
      </w:r>
      <w:r w:rsidRPr="00D845EA">
        <w:rPr>
          <w:rFonts w:hint="cs"/>
          <w:rtl/>
        </w:rPr>
        <w:t xml:space="preserve"> נקבע בחוק כי ביצוע המנדט של חבר הבונדסטאג יהיה במרכז פעילותו</w:t>
      </w:r>
      <w:r>
        <w:rPr>
          <w:rFonts w:hint="cs"/>
          <w:rtl/>
        </w:rPr>
        <w:t>;</w:t>
      </w:r>
      <w:r w:rsidRPr="009F1253">
        <w:rPr>
          <w:rFonts w:hint="cs"/>
          <w:b/>
          <w:bCs/>
          <w:rtl/>
          <w:lang w:eastAsia="he-IL"/>
        </w:rPr>
        <w:t xml:space="preserve"> </w:t>
      </w:r>
      <w:r w:rsidRPr="009F1253">
        <w:rPr>
          <w:rFonts w:hint="cs"/>
          <w:rtl/>
          <w:lang w:eastAsia="he-IL"/>
        </w:rPr>
        <w:t>עליו</w:t>
      </w:r>
      <w:r w:rsidRPr="00C004AA">
        <w:rPr>
          <w:rFonts w:hint="cs"/>
          <w:b/>
          <w:bCs/>
          <w:rtl/>
          <w:lang w:eastAsia="he-IL"/>
        </w:rPr>
        <w:t xml:space="preserve"> להצהיר על כל פעילות קודמת לתחילת </w:t>
      </w:r>
      <w:r>
        <w:rPr>
          <w:rFonts w:hint="cs"/>
          <w:b/>
          <w:bCs/>
          <w:rtl/>
          <w:lang w:eastAsia="he-IL"/>
        </w:rPr>
        <w:t>ה</w:t>
      </w:r>
      <w:r w:rsidRPr="00C004AA">
        <w:rPr>
          <w:rFonts w:hint="cs"/>
          <w:b/>
          <w:bCs/>
          <w:rtl/>
          <w:lang w:eastAsia="he-IL"/>
        </w:rPr>
        <w:t>כהונ</w:t>
      </w:r>
      <w:r>
        <w:rPr>
          <w:rFonts w:hint="cs"/>
          <w:b/>
          <w:bCs/>
          <w:rtl/>
          <w:lang w:eastAsia="he-IL"/>
        </w:rPr>
        <w:t>ה</w:t>
      </w:r>
      <w:r w:rsidRPr="00C004AA">
        <w:rPr>
          <w:rFonts w:hint="cs"/>
          <w:b/>
          <w:bCs/>
          <w:rtl/>
          <w:lang w:eastAsia="he-IL"/>
        </w:rPr>
        <w:t>, כמו גם על פעילויות שנעשות והכנסות שמתקבלות במהלך הכהונה</w:t>
      </w:r>
      <w:r>
        <w:rPr>
          <w:rFonts w:hint="cs"/>
          <w:rtl/>
          <w:lang w:eastAsia="he-IL"/>
        </w:rPr>
        <w:t>, ושעשויות להשפיע על ביצוע המנדט</w:t>
      </w:r>
      <w:r w:rsidRPr="00D845EA">
        <w:rPr>
          <w:rFonts w:hint="cs"/>
          <w:rtl/>
        </w:rPr>
        <w:t>.</w:t>
      </w:r>
      <w:r>
        <w:rPr>
          <w:rFonts w:hint="cs"/>
          <w:rtl/>
        </w:rPr>
        <w:t xml:space="preserve"> נוסף על כך נקבע לחברי הבונדסטאג קוד התנהגות ומכוחו</w:t>
      </w:r>
      <w:r w:rsidRPr="009F1253">
        <w:rPr>
          <w:rFonts w:hint="cs"/>
          <w:b/>
          <w:bCs/>
          <w:rtl/>
          <w:lang w:eastAsia="he-IL"/>
        </w:rPr>
        <w:t xml:space="preserve"> </w:t>
      </w:r>
      <w:r w:rsidRPr="009F1253">
        <w:rPr>
          <w:rFonts w:hint="cs"/>
          <w:rtl/>
          <w:lang w:eastAsia="he-IL"/>
        </w:rPr>
        <w:t xml:space="preserve">חובה על חברי הבונדסטאג </w:t>
      </w:r>
      <w:r>
        <w:rPr>
          <w:rFonts w:hint="cs"/>
          <w:rtl/>
          <w:lang w:eastAsia="he-IL"/>
        </w:rPr>
        <w:t xml:space="preserve">לדווח </w:t>
      </w:r>
      <w:r w:rsidRPr="009F1253">
        <w:rPr>
          <w:rFonts w:hint="cs"/>
          <w:rtl/>
          <w:lang w:eastAsia="he-IL"/>
        </w:rPr>
        <w:t>ליו"ר הבונדסטאג בכתב</w:t>
      </w:r>
      <w:r>
        <w:rPr>
          <w:rFonts w:hint="cs"/>
          <w:rtl/>
          <w:lang w:eastAsia="he-IL"/>
        </w:rPr>
        <w:t xml:space="preserve"> על פעילויותיהם לפני הכהונה ובמהלכה; </w:t>
      </w:r>
      <w:r>
        <w:rPr>
          <w:rFonts w:hint="cs"/>
          <w:rtl/>
        </w:rPr>
        <w:t xml:space="preserve">הדיווחים מתפרסמים. ההוראות החלות על חברי הבונדסטאג יפורטו </w:t>
      </w:r>
      <w:hyperlink w:anchor="חברי_הבונדסטאג" w:history="1">
        <w:r w:rsidRPr="00320687">
          <w:rPr>
            <w:rStyle w:val="Hyperlink"/>
            <w:rFonts w:hint="cs"/>
            <w:rtl/>
          </w:rPr>
          <w:t>להלן</w:t>
        </w:r>
      </w:hyperlink>
      <w:r>
        <w:rPr>
          <w:rFonts w:hint="cs"/>
          <w:rtl/>
        </w:rPr>
        <w:t>.</w:t>
      </w:r>
    </w:p>
    <w:p w:rsidR="00C735A4" w:rsidRDefault="00C735A4" w:rsidP="00C735A4">
      <w:pPr>
        <w:pStyle w:val="a4"/>
        <w:numPr>
          <w:ilvl w:val="0"/>
          <w:numId w:val="10"/>
        </w:numPr>
        <w:ind w:left="357" w:hanging="357"/>
      </w:pPr>
      <w:r w:rsidRPr="00EF71C6">
        <w:rPr>
          <w:rFonts w:hint="cs"/>
          <w:b/>
          <w:bCs/>
          <w:rtl/>
        </w:rPr>
        <w:t xml:space="preserve">באשר לעובדי השירות הציבורי </w:t>
      </w:r>
      <w:r>
        <w:rPr>
          <w:rtl/>
        </w:rPr>
        <w:t>–</w:t>
      </w:r>
      <w:r>
        <w:rPr>
          <w:rFonts w:hint="cs"/>
          <w:rtl/>
        </w:rPr>
        <w:t xml:space="preserve"> עובדים אלה כפופים ל</w:t>
      </w:r>
      <w:r w:rsidRPr="00320687">
        <w:rPr>
          <w:rFonts w:hint="cs"/>
          <w:rtl/>
        </w:rPr>
        <w:t>צו בדבר מניעת שחיתות במינהל הפדרל</w:t>
      </w:r>
      <w:r>
        <w:rPr>
          <w:rFonts w:hint="cs"/>
          <w:rtl/>
        </w:rPr>
        <w:t>י</w:t>
      </w:r>
      <w:r w:rsidRPr="00EF71C6">
        <w:rPr>
          <w:rFonts w:hint="cs"/>
          <w:rtl/>
        </w:rPr>
        <w:t xml:space="preserve"> </w:t>
      </w:r>
      <w:r>
        <w:rPr>
          <w:rFonts w:hint="cs"/>
          <w:rtl/>
        </w:rPr>
        <w:t xml:space="preserve">ולקוד ההתנהגות לעובדים למניעת שחיתות. על-פי </w:t>
      </w:r>
      <w:r w:rsidRPr="00EF71C6">
        <w:rPr>
          <w:rFonts w:hint="cs"/>
          <w:rtl/>
        </w:rPr>
        <w:t xml:space="preserve">קוד ההתנהגות </w:t>
      </w:r>
      <w:r w:rsidRPr="00EF71C6">
        <w:rPr>
          <w:rFonts w:hint="cs"/>
          <w:b/>
          <w:bCs/>
          <w:rtl/>
        </w:rPr>
        <w:t>חלה חובה להפריד</w:t>
      </w:r>
      <w:r>
        <w:rPr>
          <w:rFonts w:hint="cs"/>
          <w:rtl/>
        </w:rPr>
        <w:t xml:space="preserve"> </w:t>
      </w:r>
      <w:r w:rsidRPr="00EF71C6">
        <w:rPr>
          <w:rFonts w:hint="cs"/>
          <w:b/>
          <w:bCs/>
          <w:rtl/>
        </w:rPr>
        <w:t>את העבודה באופן מוחלט מהחיים הפרטיים</w:t>
      </w:r>
      <w:r w:rsidRPr="00EF71C6">
        <w:rPr>
          <w:rFonts w:hint="cs"/>
          <w:rtl/>
        </w:rPr>
        <w:t xml:space="preserve"> ולבדוק האם האינטרסים הפרטיים עשויים להיות מנוגדים לחובות התפקיד. </w:t>
      </w:r>
      <w:r w:rsidRPr="00EF71C6">
        <w:rPr>
          <w:rFonts w:hint="cs"/>
          <w:b/>
          <w:bCs/>
          <w:rtl/>
        </w:rPr>
        <w:t>אם עובד מזהה מצב שבו עשוי להתעורר ניגוד אינטרסים</w:t>
      </w:r>
      <w:r>
        <w:rPr>
          <w:rFonts w:hint="cs"/>
          <w:rtl/>
        </w:rPr>
        <w:t xml:space="preserve"> </w:t>
      </w:r>
      <w:r>
        <w:rPr>
          <w:rtl/>
        </w:rPr>
        <w:t>–</w:t>
      </w:r>
      <w:r>
        <w:rPr>
          <w:rFonts w:hint="cs"/>
          <w:rtl/>
        </w:rPr>
        <w:t xml:space="preserve"> </w:t>
      </w:r>
      <w:r w:rsidRPr="00EF71C6">
        <w:rPr>
          <w:rFonts w:hint="cs"/>
          <w:b/>
          <w:bCs/>
          <w:rtl/>
        </w:rPr>
        <w:t>עליו לדווח על כך מיידית לממונה עליו</w:t>
      </w:r>
      <w:r>
        <w:rPr>
          <w:rFonts w:hint="cs"/>
          <w:rtl/>
        </w:rPr>
        <w:t xml:space="preserve">. </w:t>
      </w:r>
      <w:r w:rsidRPr="00EF71C6">
        <w:rPr>
          <w:rFonts w:hint="cs"/>
          <w:rtl/>
        </w:rPr>
        <w:t>מנהלים בשירות הציבורי מחויבים לנהל את עובדיהם ולנקוט פעולות יזומות כדי לנטרל את נקודות התוּרפה שע</w:t>
      </w:r>
      <w:r>
        <w:rPr>
          <w:rFonts w:hint="cs"/>
          <w:rtl/>
        </w:rPr>
        <w:t>לולות</w:t>
      </w:r>
      <w:r w:rsidRPr="00EF71C6">
        <w:rPr>
          <w:rFonts w:hint="cs"/>
          <w:rtl/>
        </w:rPr>
        <w:t xml:space="preserve"> להוביל לשחיתות</w:t>
      </w:r>
      <w:r>
        <w:rPr>
          <w:rFonts w:hint="cs"/>
          <w:rtl/>
        </w:rPr>
        <w:t xml:space="preserve">. ההוראות החלות על עובדי השירות הציבורי יפורטו </w:t>
      </w:r>
      <w:hyperlink w:anchor="עובדי_השירות_הציבורי" w:history="1">
        <w:r w:rsidRPr="00320687">
          <w:rPr>
            <w:rStyle w:val="Hyperlink"/>
            <w:rFonts w:hint="cs"/>
            <w:rtl/>
          </w:rPr>
          <w:t>להלן</w:t>
        </w:r>
      </w:hyperlink>
      <w:r>
        <w:rPr>
          <w:rFonts w:hint="cs"/>
          <w:rtl/>
        </w:rPr>
        <w:t xml:space="preserve">. </w:t>
      </w:r>
    </w:p>
    <w:p w:rsidR="00C735A4" w:rsidRPr="00D845EA" w:rsidRDefault="00C735A4" w:rsidP="00426035">
      <w:pPr>
        <w:pStyle w:val="a4"/>
        <w:numPr>
          <w:ilvl w:val="0"/>
          <w:numId w:val="10"/>
        </w:numPr>
        <w:ind w:left="357" w:hanging="357"/>
      </w:pPr>
      <w:r w:rsidRPr="00EF71C6">
        <w:rPr>
          <w:rFonts w:hint="cs"/>
          <w:rtl/>
        </w:rPr>
        <w:t>באשר לחברי הממשלה ולקנצלר</w:t>
      </w:r>
      <w:r w:rsidRPr="00D845EA">
        <w:rPr>
          <w:rFonts w:hint="cs"/>
          <w:rtl/>
        </w:rPr>
        <w:t xml:space="preserve"> </w:t>
      </w:r>
      <w:r w:rsidRPr="00D845EA">
        <w:rPr>
          <w:rtl/>
        </w:rPr>
        <w:t>–</w:t>
      </w:r>
      <w:r w:rsidRPr="00D845EA">
        <w:rPr>
          <w:rFonts w:hint="cs"/>
          <w:rtl/>
        </w:rPr>
        <w:t xml:space="preserve"> נק</w:t>
      </w:r>
      <w:r>
        <w:rPr>
          <w:rFonts w:hint="cs"/>
          <w:rtl/>
        </w:rPr>
        <w:t>ב</w:t>
      </w:r>
      <w:r w:rsidRPr="00D845EA">
        <w:rPr>
          <w:rFonts w:hint="cs"/>
          <w:rtl/>
        </w:rPr>
        <w:t>ע בחוק היסוד של גרמניה (החוקה) כי אסור לק</w:t>
      </w:r>
      <w:r w:rsidR="002B31DB">
        <w:rPr>
          <w:rFonts w:hint="cs"/>
          <w:rtl/>
        </w:rPr>
        <w:t>נ</w:t>
      </w:r>
      <w:r w:rsidRPr="00D845EA">
        <w:rPr>
          <w:rFonts w:hint="cs"/>
          <w:rtl/>
        </w:rPr>
        <w:t>צלר ולחברי הממשלה להחזיק בכל משרה אחרת בתשלום, לעסוק בעסק, מקצוע או משלח יד אחר או להשתייך להנהלה של עסק המנוהל למטרת רווח.</w:t>
      </w:r>
    </w:p>
    <w:p w:rsidR="00C735A4" w:rsidRDefault="00C735A4" w:rsidP="00CB3CE6">
      <w:pPr>
        <w:pStyle w:val="11"/>
        <w:keepNext/>
        <w:keepLines/>
        <w:rPr>
          <w:sz w:val="26"/>
          <w:rtl/>
        </w:rPr>
      </w:pPr>
      <w:bookmarkStart w:id="5" w:name="חברי_הבונדסטאג"/>
      <w:bookmarkEnd w:id="5"/>
      <w:r>
        <w:rPr>
          <w:rFonts w:hint="cs"/>
          <w:sz w:val="26"/>
          <w:rtl/>
        </w:rPr>
        <w:t>חברי הפרלמנט (הבונדסטאג)</w:t>
      </w:r>
    </w:p>
    <w:p w:rsidR="00C735A4" w:rsidRDefault="00C735A4" w:rsidP="00426035">
      <w:pPr>
        <w:pStyle w:val="111"/>
        <w:spacing w:before="120"/>
        <w:rPr>
          <w:rtl/>
        </w:rPr>
      </w:pPr>
      <w:r>
        <w:rPr>
          <w:rFonts w:hint="cs"/>
          <w:rtl/>
        </w:rPr>
        <w:t>החקיקה</w:t>
      </w:r>
    </w:p>
    <w:p w:rsidR="00C735A4" w:rsidRDefault="00C735A4" w:rsidP="00C735A4">
      <w:pPr>
        <w:pStyle w:val="a4"/>
        <w:rPr>
          <w:rtl/>
          <w:lang w:eastAsia="he-IL"/>
        </w:rPr>
      </w:pPr>
      <w:r>
        <w:rPr>
          <w:rFonts w:hint="cs"/>
          <w:rtl/>
          <w:lang w:eastAsia="he-IL"/>
        </w:rPr>
        <w:t xml:space="preserve">החלק העשירי </w:t>
      </w:r>
      <w:r>
        <w:rPr>
          <w:rFonts w:hint="cs"/>
          <w:b/>
          <w:bCs/>
          <w:rtl/>
          <w:lang w:eastAsia="he-IL"/>
        </w:rPr>
        <w:t>ב</w:t>
      </w:r>
      <w:r w:rsidRPr="00312AA1">
        <w:rPr>
          <w:rFonts w:hint="cs"/>
          <w:b/>
          <w:bCs/>
          <w:rtl/>
          <w:lang w:eastAsia="he-IL"/>
        </w:rPr>
        <w:t>חוק בדבר חברי הבונדסטאג</w:t>
      </w:r>
      <w:r>
        <w:rPr>
          <w:rFonts w:hint="cs"/>
          <w:b/>
          <w:bCs/>
          <w:rtl/>
          <w:lang w:eastAsia="he-IL"/>
        </w:rPr>
        <w:t xml:space="preserve"> </w:t>
      </w:r>
      <w:r>
        <w:rPr>
          <w:rFonts w:hint="cs"/>
          <w:rtl/>
          <w:lang w:eastAsia="he-IL"/>
        </w:rPr>
        <w:t>(להלן</w:t>
      </w:r>
      <w:r w:rsidR="002B31DB">
        <w:rPr>
          <w:rFonts w:hint="cs"/>
          <w:rtl/>
          <w:lang w:eastAsia="he-IL"/>
        </w:rPr>
        <w:t xml:space="preserve"> בפרק זה</w:t>
      </w:r>
      <w:r>
        <w:rPr>
          <w:rFonts w:hint="cs"/>
          <w:rtl/>
          <w:lang w:eastAsia="he-IL"/>
        </w:rPr>
        <w:t xml:space="preserve">: </w:t>
      </w:r>
      <w:r>
        <w:rPr>
          <w:rFonts w:hint="cs"/>
          <w:b/>
          <w:bCs/>
          <w:rtl/>
          <w:lang w:eastAsia="he-IL"/>
        </w:rPr>
        <w:t>החוק</w:t>
      </w:r>
      <w:r>
        <w:rPr>
          <w:rFonts w:hint="cs"/>
          <w:rtl/>
          <w:lang w:eastAsia="he-IL"/>
        </w:rPr>
        <w:t>)</w:t>
      </w:r>
      <w:r>
        <w:rPr>
          <w:rStyle w:val="ac"/>
          <w:rtl/>
          <w:lang w:eastAsia="he-IL"/>
        </w:rPr>
        <w:footnoteReference w:id="156"/>
      </w:r>
      <w:r>
        <w:rPr>
          <w:rFonts w:hint="cs"/>
          <w:rtl/>
          <w:lang w:eastAsia="he-IL"/>
        </w:rPr>
        <w:t xml:space="preserve"> עוסק בעצמאותם של חברי הבית ולפיו חלה חובה על חברי הבונדסטאג ש</w:t>
      </w:r>
      <w:r w:rsidRPr="00D845EA">
        <w:rPr>
          <w:rFonts w:hint="cs"/>
          <w:rtl/>
        </w:rPr>
        <w:t xml:space="preserve">ביצוע המנדט </w:t>
      </w:r>
      <w:r>
        <w:rPr>
          <w:rFonts w:hint="cs"/>
          <w:rtl/>
        </w:rPr>
        <w:t>שלהם יהיה במרכז פעילותם.</w:t>
      </w:r>
      <w:r>
        <w:rPr>
          <w:rStyle w:val="ac"/>
          <w:rtl/>
        </w:rPr>
        <w:footnoteReference w:id="157"/>
      </w:r>
      <w:r>
        <w:rPr>
          <w:rFonts w:hint="cs"/>
          <w:rtl/>
          <w:lang w:eastAsia="he-IL"/>
        </w:rPr>
        <w:t xml:space="preserve"> חל איסור על חבר הבונדסטאג לקבל כל מענק או רווח כספי מלבד הקבוע בחוק, ובייחוד אסור לו לקבל תשלום או מענק בעל ערך כספי אשר ניתנים לו מתוך ציפיי</w:t>
      </w:r>
      <w:r>
        <w:rPr>
          <w:rFonts w:hint="eastAsia"/>
          <w:rtl/>
          <w:lang w:eastAsia="he-IL"/>
        </w:rPr>
        <w:t>ה</w:t>
      </w:r>
      <w:r>
        <w:rPr>
          <w:rFonts w:hint="cs"/>
          <w:rtl/>
          <w:lang w:eastAsia="he-IL"/>
        </w:rPr>
        <w:t xml:space="preserve"> לייצוג אינטרסים של המעניק בפרלמנט.</w:t>
      </w:r>
      <w:r>
        <w:rPr>
          <w:rStyle w:val="ac"/>
          <w:rtl/>
          <w:lang w:eastAsia="he-IL"/>
        </w:rPr>
        <w:footnoteReference w:id="158"/>
      </w:r>
      <w:r>
        <w:rPr>
          <w:rFonts w:hint="cs"/>
          <w:rtl/>
          <w:lang w:eastAsia="he-IL"/>
        </w:rPr>
        <w:t xml:space="preserve"> </w:t>
      </w:r>
    </w:p>
    <w:p w:rsidR="00C735A4" w:rsidRDefault="00C735A4" w:rsidP="00C735A4">
      <w:pPr>
        <w:pStyle w:val="a4"/>
        <w:rPr>
          <w:rtl/>
          <w:lang w:eastAsia="he-IL"/>
        </w:rPr>
      </w:pPr>
      <w:r>
        <w:rPr>
          <w:rFonts w:hint="cs"/>
          <w:rtl/>
          <w:lang w:eastAsia="he-IL"/>
        </w:rPr>
        <w:t xml:space="preserve">לפי החוק, </w:t>
      </w:r>
      <w:r w:rsidRPr="00C004AA">
        <w:rPr>
          <w:rFonts w:hint="cs"/>
          <w:b/>
          <w:bCs/>
          <w:rtl/>
          <w:lang w:eastAsia="he-IL"/>
        </w:rPr>
        <w:t>על חברי הבונדסטאג להצהיר על כל פעילות קודמת לתחילת כהונתם, כמו גם על פעילויות שנעשות והכנסות שמתקבלות במהלך הכהונה</w:t>
      </w:r>
      <w:r>
        <w:rPr>
          <w:rFonts w:hint="cs"/>
          <w:rtl/>
          <w:lang w:eastAsia="he-IL"/>
        </w:rPr>
        <w:t>, ושעשויות להשפיע על ביצוע המנדט שלהם; ההצהרות יתפרסמו.</w:t>
      </w:r>
      <w:r>
        <w:rPr>
          <w:rStyle w:val="ac"/>
          <w:rtl/>
          <w:lang w:eastAsia="he-IL"/>
        </w:rPr>
        <w:footnoteReference w:id="159"/>
      </w:r>
      <w:r>
        <w:rPr>
          <w:rFonts w:hint="cs"/>
          <w:rtl/>
          <w:lang w:eastAsia="he-IL"/>
        </w:rPr>
        <w:t xml:space="preserve"> הסנקציה על הימנעות מהצהרה כנדרש היא קנס מינהלי בגובה מחצית משכורתו השנתית של חבר הבית. פרטי ההסדר ייקבעו בקוד התנהגות לחברי הבונדסטאג שינוסח מכוח החוק.</w:t>
      </w:r>
      <w:r>
        <w:rPr>
          <w:rStyle w:val="ac"/>
          <w:rtl/>
          <w:lang w:eastAsia="he-IL"/>
        </w:rPr>
        <w:footnoteReference w:id="160"/>
      </w:r>
      <w:r>
        <w:rPr>
          <w:rFonts w:hint="cs"/>
          <w:rtl/>
          <w:lang w:eastAsia="he-IL"/>
        </w:rPr>
        <w:t xml:space="preserve"> </w:t>
      </w:r>
    </w:p>
    <w:p w:rsidR="00C735A4" w:rsidRDefault="00C735A4" w:rsidP="00C735A4">
      <w:pPr>
        <w:pStyle w:val="111"/>
        <w:rPr>
          <w:rtl/>
        </w:rPr>
      </w:pPr>
      <w:r>
        <w:rPr>
          <w:rFonts w:hint="cs"/>
          <w:rtl/>
        </w:rPr>
        <w:t>קוד ההתנהגות לחברי הבונדסטאג וההנחיות ליישומו</w:t>
      </w:r>
    </w:p>
    <w:p w:rsidR="00C735A4" w:rsidRDefault="00C735A4" w:rsidP="00C735A4">
      <w:pPr>
        <w:pStyle w:val="a4"/>
        <w:rPr>
          <w:rtl/>
          <w:lang w:eastAsia="he-IL"/>
        </w:rPr>
      </w:pPr>
      <w:r w:rsidRPr="00C43947">
        <w:rPr>
          <w:rFonts w:hint="cs"/>
          <w:b/>
          <w:bCs/>
          <w:rtl/>
        </w:rPr>
        <w:t>קוד ההתנהגות לחברי הבונדסטאג</w:t>
      </w:r>
      <w:r>
        <w:rPr>
          <w:rFonts w:hint="cs"/>
          <w:rtl/>
        </w:rPr>
        <w:t xml:space="preserve"> </w:t>
      </w:r>
      <w:r>
        <w:rPr>
          <w:rFonts w:hint="cs"/>
          <w:rtl/>
          <w:lang w:eastAsia="he-IL"/>
        </w:rPr>
        <w:t>(להלן</w:t>
      </w:r>
      <w:r w:rsidR="002B31DB">
        <w:rPr>
          <w:rFonts w:hint="cs"/>
          <w:rtl/>
          <w:lang w:eastAsia="he-IL"/>
        </w:rPr>
        <w:t xml:space="preserve"> בפרק זה</w:t>
      </w:r>
      <w:r>
        <w:rPr>
          <w:rFonts w:hint="cs"/>
          <w:rtl/>
          <w:lang w:eastAsia="he-IL"/>
        </w:rPr>
        <w:t xml:space="preserve">: </w:t>
      </w:r>
      <w:r w:rsidRPr="00C43947">
        <w:rPr>
          <w:rFonts w:hint="cs"/>
          <w:b/>
          <w:bCs/>
          <w:rtl/>
          <w:lang w:eastAsia="he-IL"/>
        </w:rPr>
        <w:t>הקוד</w:t>
      </w:r>
      <w:r>
        <w:rPr>
          <w:rFonts w:hint="cs"/>
          <w:rtl/>
          <w:lang w:eastAsia="he-IL"/>
        </w:rPr>
        <w:t>)</w:t>
      </w:r>
      <w:r>
        <w:rPr>
          <w:rStyle w:val="ac"/>
          <w:rtl/>
          <w:lang w:eastAsia="he-IL"/>
        </w:rPr>
        <w:footnoteReference w:id="161"/>
      </w:r>
      <w:r>
        <w:rPr>
          <w:rFonts w:hint="cs"/>
          <w:rtl/>
          <w:lang w:eastAsia="he-IL"/>
        </w:rPr>
        <w:t xml:space="preserve"> נוסח, כאמור, מכוח החוק ומהווה נספח לתקנון הבית.</w:t>
      </w:r>
      <w:bookmarkStart w:id="6" w:name="_Ref474236231"/>
      <w:r w:rsidRPr="006D2459">
        <w:rPr>
          <w:rStyle w:val="ac"/>
          <w:rtl/>
        </w:rPr>
        <w:footnoteReference w:id="162"/>
      </w:r>
      <w:bookmarkEnd w:id="6"/>
      <w:r>
        <w:rPr>
          <w:rFonts w:hint="cs"/>
          <w:rtl/>
          <w:lang w:eastAsia="he-IL"/>
        </w:rPr>
        <w:t xml:space="preserve"> לפי הקוד, יו"ר הבונדסטאג מוסמך, בהתייעצות עם נשיאות הבית ויושבי הראש של הסיעות, להוציא </w:t>
      </w:r>
      <w:r w:rsidRPr="00AB3616">
        <w:rPr>
          <w:rFonts w:hint="cs"/>
          <w:b/>
          <w:bCs/>
          <w:rtl/>
          <w:lang w:eastAsia="he-IL"/>
        </w:rPr>
        <w:t>הנחיות ליישום ההוראות בדבר חובת הדיווח</w:t>
      </w:r>
      <w:r>
        <w:rPr>
          <w:rFonts w:hint="cs"/>
          <w:b/>
          <w:bCs/>
          <w:rtl/>
          <w:lang w:eastAsia="he-IL"/>
        </w:rPr>
        <w:t xml:space="preserve"> </w:t>
      </w:r>
      <w:r w:rsidRPr="0040704B">
        <w:rPr>
          <w:rFonts w:hint="cs"/>
          <w:rtl/>
          <w:lang w:eastAsia="he-IL"/>
        </w:rPr>
        <w:t>(</w:t>
      </w:r>
      <w:r w:rsidRPr="00CA461C">
        <w:rPr>
          <w:rFonts w:hint="cs"/>
          <w:rtl/>
          <w:lang w:eastAsia="he-IL"/>
        </w:rPr>
        <w:t>להלן:</w:t>
      </w:r>
      <w:r>
        <w:rPr>
          <w:rFonts w:hint="cs"/>
          <w:b/>
          <w:bCs/>
          <w:rtl/>
          <w:lang w:eastAsia="he-IL"/>
        </w:rPr>
        <w:t xml:space="preserve"> ההנחיות</w:t>
      </w:r>
      <w:r>
        <w:rPr>
          <w:rFonts w:hint="cs"/>
          <w:rtl/>
          <w:lang w:eastAsia="he-IL"/>
        </w:rPr>
        <w:t>),</w:t>
      </w:r>
      <w:r>
        <w:rPr>
          <w:rStyle w:val="ac"/>
          <w:rtl/>
          <w:lang w:eastAsia="he-IL"/>
        </w:rPr>
        <w:footnoteReference w:id="163"/>
      </w:r>
      <w:r>
        <w:rPr>
          <w:rFonts w:hint="cs"/>
          <w:rtl/>
          <w:lang w:eastAsia="he-IL"/>
        </w:rPr>
        <w:t xml:space="preserve"> בין השאר בכל הנוגע לתוכן הדיווח והיקפו.</w:t>
      </w:r>
      <w:r>
        <w:rPr>
          <w:rStyle w:val="ac"/>
          <w:rtl/>
          <w:lang w:eastAsia="he-IL"/>
        </w:rPr>
        <w:footnoteReference w:id="164"/>
      </w:r>
      <w:r>
        <w:rPr>
          <w:rFonts w:hint="cs"/>
          <w:rtl/>
          <w:lang w:eastAsia="he-IL"/>
        </w:rPr>
        <w:t xml:space="preserve"> ההנחיות מהוות מעין דברי הסבר ופרשנות לקוד.</w:t>
      </w:r>
    </w:p>
    <w:p w:rsidR="00C735A4" w:rsidRDefault="00C735A4" w:rsidP="00C735A4">
      <w:pPr>
        <w:pStyle w:val="a4"/>
        <w:rPr>
          <w:rtl/>
          <w:lang w:eastAsia="he-IL"/>
        </w:rPr>
      </w:pPr>
      <w:r>
        <w:rPr>
          <w:rFonts w:hint="cs"/>
          <w:rtl/>
          <w:lang w:eastAsia="he-IL"/>
        </w:rPr>
        <w:t>בפרק זה יפורטו ההוראות המופיעות בקוד ובהנחיות</w:t>
      </w:r>
      <w:r w:rsidRPr="0040704B">
        <w:rPr>
          <w:rFonts w:hint="cs"/>
          <w:rtl/>
          <w:lang w:eastAsia="he-IL"/>
        </w:rPr>
        <w:t xml:space="preserve"> </w:t>
      </w:r>
      <w:r>
        <w:rPr>
          <w:rFonts w:hint="cs"/>
          <w:rtl/>
          <w:lang w:eastAsia="he-IL"/>
        </w:rPr>
        <w:t xml:space="preserve">העוסקות בניגוד אינטרסים. </w:t>
      </w:r>
    </w:p>
    <w:p w:rsidR="00C735A4" w:rsidRDefault="00C735A4" w:rsidP="00CB3CE6">
      <w:pPr>
        <w:pStyle w:val="a4"/>
        <w:rPr>
          <w:rtl/>
          <w:lang w:eastAsia="he-IL"/>
        </w:rPr>
      </w:pPr>
      <w:r>
        <w:rPr>
          <w:rFonts w:hint="cs"/>
          <w:rtl/>
          <w:lang w:eastAsia="he-IL"/>
        </w:rPr>
        <w:t xml:space="preserve">בקוד נקבעה </w:t>
      </w:r>
      <w:r w:rsidRPr="00C177E8">
        <w:rPr>
          <w:rFonts w:hint="cs"/>
          <w:b/>
          <w:bCs/>
          <w:rtl/>
          <w:lang w:eastAsia="he-IL"/>
        </w:rPr>
        <w:t>חובה על חבר הבונדסטאג לספק ליו"ר הבונדסטאג מידע בכתב על פעילויותיו</w:t>
      </w:r>
      <w:r>
        <w:rPr>
          <w:rFonts w:hint="cs"/>
          <w:rtl/>
          <w:lang w:eastAsia="he-IL"/>
        </w:rPr>
        <w:t xml:space="preserve"> תוך שלושה חודשים מעת שהחל לכהן כחבר הבית, או תוך שלושה חודשים מעת שחלו שינויים </w:t>
      </w:r>
      <w:r w:rsidR="00440B29">
        <w:rPr>
          <w:rFonts w:hint="cs"/>
          <w:rtl/>
          <w:lang w:eastAsia="he-IL"/>
        </w:rPr>
        <w:t xml:space="preserve">בהן </w:t>
      </w:r>
      <w:r>
        <w:rPr>
          <w:rFonts w:hint="cs"/>
          <w:rtl/>
          <w:lang w:eastAsia="he-IL"/>
        </w:rPr>
        <w:t>במהלך הכהונה; הדיווח יכלול מידע על הפעילויות האלה:</w:t>
      </w:r>
      <w:r>
        <w:rPr>
          <w:rStyle w:val="ac"/>
          <w:rtl/>
          <w:lang w:eastAsia="he-IL"/>
        </w:rPr>
        <w:footnoteReference w:id="165"/>
      </w:r>
    </w:p>
    <w:p w:rsidR="00C735A4" w:rsidRDefault="00C735A4" w:rsidP="00C735A4">
      <w:pPr>
        <w:pStyle w:val="a4"/>
        <w:numPr>
          <w:ilvl w:val="0"/>
          <w:numId w:val="14"/>
        </w:numPr>
        <w:ind w:left="357" w:hanging="357"/>
        <w:rPr>
          <w:lang w:eastAsia="he-IL"/>
        </w:rPr>
      </w:pPr>
      <w:r>
        <w:rPr>
          <w:rFonts w:hint="cs"/>
          <w:rtl/>
          <w:lang w:eastAsia="he-IL"/>
        </w:rPr>
        <w:t xml:space="preserve">פעילויות </w:t>
      </w:r>
      <w:r w:rsidRPr="00642C34">
        <w:rPr>
          <w:rFonts w:hint="cs"/>
          <w:b/>
          <w:bCs/>
          <w:rtl/>
          <w:lang w:eastAsia="he-IL"/>
        </w:rPr>
        <w:t>לפני תחילת כהונתו</w:t>
      </w:r>
      <w:r>
        <w:rPr>
          <w:rFonts w:hint="cs"/>
          <w:rtl/>
          <w:lang w:eastAsia="he-IL"/>
        </w:rPr>
        <w:t xml:space="preserve"> כחבר הבית</w:t>
      </w:r>
      <w:r>
        <w:rPr>
          <w:rStyle w:val="ac"/>
          <w:rtl/>
          <w:lang w:eastAsia="he-IL"/>
        </w:rPr>
        <w:footnoteReference w:id="166"/>
      </w:r>
      <w:r>
        <w:rPr>
          <w:rFonts w:hint="cs"/>
          <w:rtl/>
          <w:lang w:eastAsia="he-IL"/>
        </w:rPr>
        <w:t xml:space="preserve"> </w:t>
      </w:r>
      <w:r>
        <w:rPr>
          <w:rtl/>
          <w:lang w:eastAsia="he-IL"/>
        </w:rPr>
        <w:t>–</w:t>
      </w:r>
      <w:r>
        <w:rPr>
          <w:rFonts w:hint="cs"/>
          <w:rtl/>
          <w:lang w:eastAsia="he-IL"/>
        </w:rPr>
        <w:t xml:space="preserve"> </w:t>
      </w:r>
    </w:p>
    <w:p w:rsidR="00C735A4" w:rsidRDefault="00C735A4" w:rsidP="00C735A4">
      <w:pPr>
        <w:pStyle w:val="a4"/>
        <w:numPr>
          <w:ilvl w:val="1"/>
          <w:numId w:val="14"/>
        </w:numPr>
        <w:ind w:left="714" w:hanging="357"/>
        <w:rPr>
          <w:lang w:eastAsia="he-IL"/>
        </w:rPr>
      </w:pPr>
      <w:r>
        <w:rPr>
          <w:rFonts w:hint="cs"/>
          <w:rtl/>
          <w:lang w:eastAsia="he-IL"/>
        </w:rPr>
        <w:t>פרטים על משלח ידו האחרון.</w:t>
      </w:r>
    </w:p>
    <w:p w:rsidR="00C735A4" w:rsidRDefault="00C735A4" w:rsidP="00C735A4">
      <w:pPr>
        <w:pStyle w:val="a4"/>
        <w:numPr>
          <w:ilvl w:val="1"/>
          <w:numId w:val="14"/>
        </w:numPr>
        <w:ind w:left="714" w:hanging="357"/>
        <w:rPr>
          <w:lang w:eastAsia="he-IL"/>
        </w:rPr>
      </w:pPr>
      <w:r>
        <w:rPr>
          <w:rFonts w:hint="cs"/>
          <w:rtl/>
          <w:lang w:eastAsia="he-IL"/>
        </w:rPr>
        <w:t>פרטים על פעילות כחבר בגופי הנהלה או ייעוץ</w:t>
      </w:r>
      <w:r>
        <w:rPr>
          <w:rStyle w:val="ac"/>
          <w:rtl/>
          <w:lang w:eastAsia="he-IL"/>
        </w:rPr>
        <w:footnoteReference w:id="167"/>
      </w:r>
      <w:r>
        <w:rPr>
          <w:rFonts w:hint="cs"/>
          <w:rtl/>
          <w:lang w:eastAsia="he-IL"/>
        </w:rPr>
        <w:t xml:space="preserve"> של חברה פרטית או ציבורית.</w:t>
      </w:r>
    </w:p>
    <w:p w:rsidR="00C735A4" w:rsidRDefault="00C735A4" w:rsidP="00C735A4">
      <w:pPr>
        <w:pStyle w:val="a4"/>
        <w:numPr>
          <w:ilvl w:val="0"/>
          <w:numId w:val="14"/>
        </w:numPr>
        <w:ind w:left="357" w:hanging="357"/>
        <w:rPr>
          <w:lang w:eastAsia="he-IL"/>
        </w:rPr>
      </w:pPr>
      <w:r>
        <w:rPr>
          <w:rFonts w:hint="cs"/>
          <w:rtl/>
          <w:lang w:eastAsia="he-IL"/>
        </w:rPr>
        <w:t xml:space="preserve">פעילויות </w:t>
      </w:r>
      <w:r w:rsidRPr="00642C34">
        <w:rPr>
          <w:rFonts w:hint="cs"/>
          <w:b/>
          <w:bCs/>
          <w:rtl/>
          <w:lang w:eastAsia="he-IL"/>
        </w:rPr>
        <w:t>במהלך כהונתו</w:t>
      </w:r>
      <w:r>
        <w:rPr>
          <w:rFonts w:hint="cs"/>
          <w:rtl/>
          <w:lang w:eastAsia="he-IL"/>
        </w:rPr>
        <w:t xml:space="preserve"> כחבר הבית</w:t>
      </w:r>
      <w:r w:rsidR="00423EFF">
        <w:rPr>
          <w:rStyle w:val="ac"/>
          <w:rtl/>
          <w:lang w:eastAsia="he-IL"/>
        </w:rPr>
        <w:footnoteReference w:id="168"/>
      </w:r>
      <w:r>
        <w:rPr>
          <w:rFonts w:hint="cs"/>
          <w:rtl/>
          <w:lang w:eastAsia="he-IL"/>
        </w:rPr>
        <w:t xml:space="preserve"> </w:t>
      </w:r>
      <w:r>
        <w:rPr>
          <w:rtl/>
          <w:lang w:eastAsia="he-IL"/>
        </w:rPr>
        <w:t>–</w:t>
      </w:r>
      <w:r>
        <w:rPr>
          <w:rFonts w:hint="cs"/>
          <w:rtl/>
          <w:lang w:eastAsia="he-IL"/>
        </w:rPr>
        <w:t xml:space="preserve"> </w:t>
      </w:r>
    </w:p>
    <w:p w:rsidR="00C735A4" w:rsidRDefault="00C735A4" w:rsidP="00A44D8D">
      <w:pPr>
        <w:pStyle w:val="a4"/>
        <w:widowControl w:val="0"/>
        <w:numPr>
          <w:ilvl w:val="1"/>
          <w:numId w:val="14"/>
        </w:numPr>
        <w:ind w:left="714" w:hanging="357"/>
        <w:rPr>
          <w:lang w:eastAsia="he-IL"/>
        </w:rPr>
      </w:pPr>
      <w:r>
        <w:rPr>
          <w:rFonts w:hint="cs"/>
          <w:rtl/>
          <w:lang w:eastAsia="he-IL"/>
        </w:rPr>
        <w:t xml:space="preserve">פרטים על </w:t>
      </w:r>
      <w:r w:rsidRPr="00BD5DB3">
        <w:rPr>
          <w:rFonts w:hint="cs"/>
          <w:rtl/>
          <w:lang w:eastAsia="he-IL"/>
        </w:rPr>
        <w:t>פעילות שנעשית במקביל לכהונה תמורת תשלום</w:t>
      </w:r>
      <w:r>
        <w:rPr>
          <w:rFonts w:hint="cs"/>
          <w:rtl/>
          <w:lang w:eastAsia="he-IL"/>
        </w:rPr>
        <w:t>, בין כעצמאי ובין כשכיר, לרבות המשך של פעילות שנעשתה לפני תחילת הכהונה, ייעוץ, ייצוג,</w:t>
      </w:r>
      <w:r>
        <w:rPr>
          <w:rStyle w:val="ac"/>
          <w:rtl/>
          <w:lang w:eastAsia="he-IL"/>
        </w:rPr>
        <w:footnoteReference w:id="169"/>
      </w:r>
      <w:r>
        <w:rPr>
          <w:rFonts w:hint="cs"/>
          <w:rtl/>
          <w:lang w:eastAsia="he-IL"/>
        </w:rPr>
        <w:t xml:space="preserve"> מתן חוות דעת ופעילות של כתיבה או הרצאות.</w:t>
      </w:r>
      <w:r>
        <w:rPr>
          <w:rStyle w:val="ac"/>
          <w:rtl/>
          <w:lang w:eastAsia="he-IL"/>
        </w:rPr>
        <w:footnoteReference w:id="170"/>
      </w:r>
      <w:r>
        <w:rPr>
          <w:rFonts w:hint="cs"/>
          <w:rtl/>
          <w:lang w:eastAsia="he-IL"/>
        </w:rPr>
        <w:t xml:space="preserve"> </w:t>
      </w:r>
      <w:r w:rsidR="00A44D8D" w:rsidRPr="00642C34">
        <w:rPr>
          <w:rFonts w:hint="cs"/>
          <w:b/>
          <w:bCs/>
          <w:rtl/>
          <w:lang w:eastAsia="he-IL"/>
        </w:rPr>
        <w:t>כחריג</w:t>
      </w:r>
      <w:r w:rsidR="00A44D8D">
        <w:rPr>
          <w:rFonts w:hint="cs"/>
          <w:rtl/>
          <w:lang w:eastAsia="he-IL"/>
        </w:rPr>
        <w:t xml:space="preserve"> לכלל זה אין חובה לדווח על פעילות כחבר הממשלה הפדרלית.</w:t>
      </w:r>
    </w:p>
    <w:p w:rsidR="00C735A4" w:rsidRDefault="00C735A4" w:rsidP="00C735A4">
      <w:pPr>
        <w:pStyle w:val="a4"/>
        <w:numPr>
          <w:ilvl w:val="1"/>
          <w:numId w:val="14"/>
        </w:numPr>
        <w:ind w:left="714" w:hanging="357"/>
        <w:rPr>
          <w:lang w:eastAsia="he-IL"/>
        </w:rPr>
      </w:pPr>
      <w:r>
        <w:rPr>
          <w:rFonts w:hint="cs"/>
          <w:rtl/>
          <w:lang w:eastAsia="he-IL"/>
        </w:rPr>
        <w:t>פרטים על פעילות כחבר בגופי הנהלה או ייעוץ של חברה פרטית או ציבורית, או של איגוד, מועדון או ארגון דומה.</w:t>
      </w:r>
    </w:p>
    <w:p w:rsidR="00C735A4" w:rsidRDefault="00C735A4" w:rsidP="00C735A4">
      <w:pPr>
        <w:pStyle w:val="a4"/>
        <w:numPr>
          <w:ilvl w:val="1"/>
          <w:numId w:val="14"/>
        </w:numPr>
        <w:ind w:left="714" w:hanging="357"/>
        <w:rPr>
          <w:lang w:eastAsia="he-IL"/>
        </w:rPr>
      </w:pPr>
      <w:r>
        <w:rPr>
          <w:rFonts w:hint="cs"/>
          <w:rtl/>
          <w:lang w:eastAsia="he-IL"/>
        </w:rPr>
        <w:t>פרטים על הסכמים קיימים או חדשים שעל-פיהם לחבר הבונדסטאג ייועדו פעילויות או הטבות כספיות במהלך כהונתו או לאחריה.</w:t>
      </w:r>
    </w:p>
    <w:p w:rsidR="00C735A4" w:rsidRDefault="00C735A4" w:rsidP="00C735A4">
      <w:pPr>
        <w:pStyle w:val="a4"/>
        <w:numPr>
          <w:ilvl w:val="1"/>
          <w:numId w:val="14"/>
        </w:numPr>
        <w:ind w:left="714" w:hanging="357"/>
        <w:rPr>
          <w:lang w:eastAsia="he-IL"/>
        </w:rPr>
      </w:pPr>
      <w:r>
        <w:rPr>
          <w:rFonts w:hint="cs"/>
          <w:rtl/>
          <w:lang w:eastAsia="he-IL"/>
        </w:rPr>
        <w:t>פרטים על זכויות בחברה פרטית או בשותפות אשר מקנות השפעה כלכלית משמעותית (בהתאם להנחיות שייקבעו).</w:t>
      </w:r>
    </w:p>
    <w:p w:rsidR="00C735A4" w:rsidRDefault="00C735A4" w:rsidP="00C735A4">
      <w:pPr>
        <w:pStyle w:val="a4"/>
        <w:numPr>
          <w:ilvl w:val="1"/>
          <w:numId w:val="14"/>
        </w:numPr>
        <w:ind w:left="714" w:hanging="357"/>
        <w:rPr>
          <w:lang w:eastAsia="he-IL"/>
        </w:rPr>
      </w:pPr>
      <w:r>
        <w:rPr>
          <w:rFonts w:hint="cs"/>
          <w:rtl/>
          <w:lang w:eastAsia="he-IL"/>
        </w:rPr>
        <w:t>אין חובה לדווח על פעילות פרלמנטרית, אך יש לדווח על תפקידים במפלגות פוליטיות אם הם מבוצעים תמורת תשלום.</w:t>
      </w:r>
      <w:r>
        <w:rPr>
          <w:rStyle w:val="ac"/>
          <w:lang w:eastAsia="he-IL"/>
        </w:rPr>
        <w:footnoteReference w:id="171"/>
      </w:r>
    </w:p>
    <w:p w:rsidR="00C735A4" w:rsidRDefault="00C735A4" w:rsidP="00C735A4">
      <w:pPr>
        <w:pStyle w:val="a4"/>
        <w:rPr>
          <w:rtl/>
          <w:lang w:eastAsia="he-IL"/>
        </w:rPr>
      </w:pPr>
      <w:r>
        <w:rPr>
          <w:rFonts w:hint="cs"/>
          <w:rtl/>
          <w:lang w:eastAsia="he-IL"/>
        </w:rPr>
        <w:t xml:space="preserve">כאשר חבר הבונדסטאג מדווח על פעילות שמתבצעת במהלך כהונתו, עליו </w:t>
      </w:r>
      <w:r w:rsidRPr="008C1647">
        <w:rPr>
          <w:rFonts w:hint="cs"/>
          <w:b/>
          <w:bCs/>
          <w:rtl/>
          <w:lang w:eastAsia="he-IL"/>
        </w:rPr>
        <w:t>לדווח על סכום ההכנסה שהופקה ממנה</w:t>
      </w:r>
      <w:r>
        <w:rPr>
          <w:rFonts w:hint="cs"/>
          <w:rtl/>
          <w:lang w:eastAsia="he-IL"/>
        </w:rPr>
        <w:t xml:space="preserve"> כאשר זו עולה על אלף אירו לחודש או 10,000 אירו לשנה (ברוטו, לרבות החזרי הוצאות והכנסות בעין).</w:t>
      </w:r>
      <w:r>
        <w:rPr>
          <w:rStyle w:val="ac"/>
          <w:rtl/>
          <w:lang w:eastAsia="he-IL"/>
        </w:rPr>
        <w:footnoteReference w:id="172"/>
      </w:r>
    </w:p>
    <w:p w:rsidR="00C735A4" w:rsidRDefault="00C735A4" w:rsidP="00C735A4">
      <w:pPr>
        <w:pStyle w:val="a4"/>
        <w:rPr>
          <w:rtl/>
          <w:lang w:eastAsia="he-IL"/>
        </w:rPr>
      </w:pPr>
      <w:r>
        <w:rPr>
          <w:rFonts w:hint="cs"/>
          <w:rtl/>
          <w:lang w:eastAsia="he-IL"/>
        </w:rPr>
        <w:t xml:space="preserve">לפי הקוד, </w:t>
      </w:r>
      <w:r w:rsidRPr="00605594">
        <w:rPr>
          <w:rFonts w:hint="cs"/>
          <w:b/>
          <w:bCs/>
          <w:rtl/>
          <w:lang w:eastAsia="he-IL"/>
        </w:rPr>
        <w:t>הדיווחים של חברי הבונדסטאג יתפרסמו ברשומות ובאתר האינטרנט של הבונדסטאג</w:t>
      </w:r>
      <w:r>
        <w:rPr>
          <w:rFonts w:hint="cs"/>
          <w:rtl/>
          <w:lang w:eastAsia="he-IL"/>
        </w:rPr>
        <w:t>.</w:t>
      </w:r>
      <w:r>
        <w:rPr>
          <w:rStyle w:val="ac"/>
          <w:rtl/>
          <w:lang w:eastAsia="he-IL"/>
        </w:rPr>
        <w:footnoteReference w:id="173"/>
      </w:r>
      <w:r>
        <w:rPr>
          <w:rFonts w:hint="cs"/>
          <w:rtl/>
          <w:lang w:eastAsia="he-IL"/>
        </w:rPr>
        <w:t xml:space="preserve"> באשר לדיווח על סכומי הכנסה </w:t>
      </w:r>
      <w:r>
        <w:rPr>
          <w:rtl/>
          <w:lang w:eastAsia="he-IL"/>
        </w:rPr>
        <w:t>–</w:t>
      </w:r>
      <w:r>
        <w:rPr>
          <w:rFonts w:hint="cs"/>
          <w:rtl/>
          <w:lang w:eastAsia="he-IL"/>
        </w:rPr>
        <w:t xml:space="preserve"> אלה ישויכו לעשר מדרגות הכנסה והפרסום יכלול רק את המדרגה אליה משויך הסכום.</w:t>
      </w:r>
      <w:r>
        <w:rPr>
          <w:rStyle w:val="ac"/>
          <w:rtl/>
          <w:lang w:eastAsia="he-IL"/>
        </w:rPr>
        <w:footnoteReference w:id="174"/>
      </w:r>
      <w:r>
        <w:rPr>
          <w:rFonts w:hint="cs"/>
          <w:rtl/>
          <w:lang w:eastAsia="he-IL"/>
        </w:rPr>
        <w:t xml:space="preserve"> </w:t>
      </w:r>
    </w:p>
    <w:p w:rsidR="00C735A4" w:rsidRDefault="00C735A4" w:rsidP="00C735A4">
      <w:pPr>
        <w:pStyle w:val="a4"/>
        <w:rPr>
          <w:rtl/>
          <w:lang w:eastAsia="he-IL"/>
        </w:rPr>
      </w:pPr>
      <w:r>
        <w:rPr>
          <w:rFonts w:hint="cs"/>
          <w:rtl/>
          <w:lang w:eastAsia="he-IL"/>
        </w:rPr>
        <w:t>על חברי הבונדסטאג לנהל רישום נפרד של תרומות ומתנות שקיבלו באופן אישי ולדווח על כל תרומה או מתנה ששוויה עולה על 5,000 אירו;</w:t>
      </w:r>
      <w:r>
        <w:rPr>
          <w:rStyle w:val="ac"/>
          <w:rtl/>
          <w:lang w:eastAsia="he-IL"/>
        </w:rPr>
        <w:footnoteReference w:id="175"/>
      </w:r>
      <w:r>
        <w:rPr>
          <w:rFonts w:hint="cs"/>
          <w:rtl/>
          <w:lang w:eastAsia="he-IL"/>
        </w:rPr>
        <w:t xml:space="preserve"> תרומות ומתנות ששווין עולה על 10,000 אירו יפורסמו.</w:t>
      </w:r>
      <w:r>
        <w:rPr>
          <w:rStyle w:val="ac"/>
          <w:rtl/>
          <w:lang w:eastAsia="he-IL"/>
        </w:rPr>
        <w:footnoteReference w:id="176"/>
      </w:r>
      <w:r>
        <w:rPr>
          <w:rFonts w:hint="cs"/>
          <w:rtl/>
          <w:lang w:eastAsia="he-IL"/>
        </w:rPr>
        <w:t xml:space="preserve"> </w:t>
      </w:r>
    </w:p>
    <w:p w:rsidR="00C735A4" w:rsidRDefault="00C735A4" w:rsidP="00C735A4">
      <w:pPr>
        <w:pStyle w:val="a4"/>
        <w:rPr>
          <w:rtl/>
          <w:lang w:eastAsia="he-IL"/>
        </w:rPr>
      </w:pPr>
      <w:r>
        <w:rPr>
          <w:rFonts w:hint="cs"/>
          <w:rtl/>
          <w:lang w:eastAsia="he-IL"/>
        </w:rPr>
        <w:t>החובה למסור מידע לא תכלול מידע על צדדים שלישיים שלגביהם החבר רשאי על-פי דין לסרב למסור עדות או שלגביהם קיימת חובה שלא למסור מידע סודי. במקרים כאלה אפשר לדרוש מסירת מידע באופן שבו הזכויות האמורות לא ייפגעו (למשל באמצעות ציון הסקטור הכלכלי אליו משתייך הלקוח במקום פרטי הלקוח עצמו).</w:t>
      </w:r>
      <w:r>
        <w:rPr>
          <w:rStyle w:val="ac"/>
          <w:rtl/>
          <w:lang w:eastAsia="he-IL"/>
        </w:rPr>
        <w:footnoteReference w:id="177"/>
      </w:r>
    </w:p>
    <w:p w:rsidR="00C735A4" w:rsidRDefault="00C735A4" w:rsidP="00C735A4">
      <w:pPr>
        <w:pStyle w:val="a4"/>
        <w:rPr>
          <w:rtl/>
          <w:lang w:eastAsia="he-IL"/>
        </w:rPr>
      </w:pPr>
      <w:r>
        <w:rPr>
          <w:rFonts w:hint="cs"/>
          <w:rtl/>
          <w:lang w:eastAsia="he-IL"/>
        </w:rPr>
        <w:t>אסור לחבר הבונדסטאג לציין את חברותו בבונדסטאג במסגרת פעילותו המקצועית או העסקית.</w:t>
      </w:r>
      <w:r>
        <w:rPr>
          <w:rStyle w:val="ac"/>
          <w:rtl/>
          <w:lang w:eastAsia="he-IL"/>
        </w:rPr>
        <w:footnoteReference w:id="178"/>
      </w:r>
    </w:p>
    <w:p w:rsidR="00C735A4" w:rsidRDefault="00C735A4" w:rsidP="00C735A4">
      <w:pPr>
        <w:pStyle w:val="a4"/>
        <w:rPr>
          <w:rtl/>
          <w:lang w:eastAsia="he-IL"/>
        </w:rPr>
      </w:pPr>
      <w:r>
        <w:rPr>
          <w:rFonts w:hint="cs"/>
          <w:rtl/>
          <w:lang w:eastAsia="he-IL"/>
        </w:rPr>
        <w:t xml:space="preserve">כאשר מתעורר </w:t>
      </w:r>
      <w:r w:rsidRPr="00CA461C">
        <w:rPr>
          <w:rFonts w:hint="cs"/>
          <w:b/>
          <w:bCs/>
          <w:rtl/>
          <w:lang w:eastAsia="he-IL"/>
        </w:rPr>
        <w:t>קשר בין פעילות שחבר הבונדסטאג מקבל בגינה תמורה לבין נושא שנדון באחת מוועדות הבונדסטאג שהוא חבר בה</w:t>
      </w:r>
      <w:r>
        <w:rPr>
          <w:rFonts w:hint="cs"/>
          <w:rtl/>
          <w:lang w:eastAsia="he-IL"/>
        </w:rPr>
        <w:t xml:space="preserve">, וקשר זה אינו עולה בבירור מהמידע שמתפרסם על-פי הקוד </w:t>
      </w:r>
      <w:r>
        <w:rPr>
          <w:rtl/>
          <w:lang w:eastAsia="he-IL"/>
        </w:rPr>
        <w:t>–</w:t>
      </w:r>
      <w:r>
        <w:rPr>
          <w:rFonts w:hint="cs"/>
          <w:rtl/>
          <w:lang w:eastAsia="he-IL"/>
        </w:rPr>
        <w:t xml:space="preserve"> עליו לדווח על הקשר לפני תחילת הדיונים בוועדה.</w:t>
      </w:r>
      <w:r>
        <w:rPr>
          <w:rStyle w:val="ac"/>
          <w:rtl/>
          <w:lang w:eastAsia="he-IL"/>
        </w:rPr>
        <w:footnoteReference w:id="179"/>
      </w:r>
      <w:r>
        <w:rPr>
          <w:rFonts w:hint="cs"/>
          <w:rtl/>
          <w:lang w:eastAsia="he-IL"/>
        </w:rPr>
        <w:t xml:space="preserve"> </w:t>
      </w:r>
    </w:p>
    <w:p w:rsidR="00C735A4" w:rsidRDefault="00C735A4" w:rsidP="00C735A4">
      <w:pPr>
        <w:pStyle w:val="a4"/>
        <w:rPr>
          <w:rtl/>
          <w:lang w:eastAsia="he-IL"/>
        </w:rPr>
      </w:pPr>
      <w:r>
        <w:rPr>
          <w:rFonts w:hint="cs"/>
          <w:rtl/>
          <w:lang w:eastAsia="he-IL"/>
        </w:rPr>
        <w:t xml:space="preserve">יצוין כי לפי הקוד אם לחבר הבונדסטאג יש ספק באשר לחובות החלות עליו מכוח קוד ההתנהגות </w:t>
      </w:r>
      <w:r>
        <w:rPr>
          <w:rtl/>
          <w:lang w:eastAsia="he-IL"/>
        </w:rPr>
        <w:t>–</w:t>
      </w:r>
      <w:r>
        <w:rPr>
          <w:rFonts w:hint="cs"/>
          <w:rtl/>
          <w:lang w:eastAsia="he-IL"/>
        </w:rPr>
        <w:t xml:space="preserve"> חלה עליו חובה לבקש הבהרות על כך מיו"ר הבית.</w:t>
      </w:r>
      <w:r>
        <w:rPr>
          <w:rStyle w:val="ac"/>
          <w:rtl/>
          <w:lang w:eastAsia="he-IL"/>
        </w:rPr>
        <w:footnoteReference w:id="180"/>
      </w:r>
      <w:r>
        <w:rPr>
          <w:rFonts w:hint="cs"/>
          <w:rtl/>
          <w:lang w:eastAsia="he-IL"/>
        </w:rPr>
        <w:t xml:space="preserve"> </w:t>
      </w:r>
    </w:p>
    <w:p w:rsidR="00C735A4" w:rsidRDefault="00C735A4" w:rsidP="00C735A4">
      <w:pPr>
        <w:pStyle w:val="a4"/>
        <w:rPr>
          <w:rtl/>
          <w:lang w:eastAsia="he-IL"/>
        </w:rPr>
      </w:pPr>
      <w:r w:rsidRPr="002C673C">
        <w:rPr>
          <w:rFonts w:hint="cs"/>
          <w:b/>
          <w:bCs/>
          <w:rtl/>
          <w:lang w:eastAsia="he-IL"/>
        </w:rPr>
        <w:t>במקרה שחבר הבונדסטאג הפר את הוראות הקוד</w:t>
      </w:r>
      <w:r>
        <w:rPr>
          <w:rFonts w:hint="cs"/>
          <w:rtl/>
          <w:lang w:eastAsia="he-IL"/>
        </w:rPr>
        <w:t xml:space="preserve">, היו"ר יבקש את התייחסותו של אותו חבר ורשאי לקבל את עמדתו של יו"ר הסיעה הרלוונטית. אם לאחר בחינת העובדות מתברר שמדובר במקרה פחות חמור או מקרה של התרשלות קלה (למשל אי-עמידה במועדי הדיווח) </w:t>
      </w:r>
      <w:r>
        <w:rPr>
          <w:rtl/>
          <w:lang w:eastAsia="he-IL"/>
        </w:rPr>
        <w:t>–</w:t>
      </w:r>
      <w:r>
        <w:rPr>
          <w:rFonts w:hint="cs"/>
          <w:rtl/>
          <w:lang w:eastAsia="he-IL"/>
        </w:rPr>
        <w:t xml:space="preserve"> החבר צפוי לנזיפה. אם מדובר בהפרה חמורה של הקוד או בקבלת תשלום או מענק בעל ערך כספי בניגוד להוראות החוק </w:t>
      </w:r>
      <w:r>
        <w:rPr>
          <w:rtl/>
          <w:lang w:eastAsia="he-IL"/>
        </w:rPr>
        <w:t>–</w:t>
      </w:r>
      <w:r>
        <w:rPr>
          <w:rFonts w:hint="cs"/>
          <w:rtl/>
          <w:lang w:eastAsia="he-IL"/>
        </w:rPr>
        <w:t xml:space="preserve"> היו"ר ידווח לנשיאות וליושבי הראש של הסיעות; אם לאחר שמיעת החבר הנשיאות תקבע שארעה הפרה </w:t>
      </w:r>
      <w:r>
        <w:rPr>
          <w:rtl/>
          <w:lang w:eastAsia="he-IL"/>
        </w:rPr>
        <w:t>–</w:t>
      </w:r>
      <w:r>
        <w:rPr>
          <w:rFonts w:hint="cs"/>
          <w:rtl/>
          <w:lang w:eastAsia="he-IL"/>
        </w:rPr>
        <w:t xml:space="preserve"> הדבר יפורסם, נוסף על כל סנקציה אחרת אפשרית על-פי דין, לרבות קנס שלא יעלה על 50% ממשכורתו השנתית של החבר.</w:t>
      </w:r>
      <w:r>
        <w:rPr>
          <w:rStyle w:val="ac"/>
          <w:rtl/>
          <w:lang w:eastAsia="he-IL"/>
        </w:rPr>
        <w:footnoteReference w:id="181"/>
      </w:r>
      <w:r>
        <w:rPr>
          <w:rFonts w:hint="cs"/>
          <w:rtl/>
          <w:lang w:eastAsia="he-IL"/>
        </w:rPr>
        <w:t xml:space="preserve"> </w:t>
      </w:r>
    </w:p>
    <w:p w:rsidR="00C735A4" w:rsidRPr="00A81F3C" w:rsidRDefault="00C735A4" w:rsidP="00C735A4">
      <w:pPr>
        <w:pStyle w:val="11"/>
        <w:keepNext/>
        <w:keepLines/>
        <w:rPr>
          <w:sz w:val="26"/>
          <w:rtl/>
        </w:rPr>
      </w:pPr>
      <w:bookmarkStart w:id="7" w:name="עובדי_השירות_הציבורי"/>
      <w:bookmarkEnd w:id="7"/>
      <w:r>
        <w:rPr>
          <w:rFonts w:hint="cs"/>
          <w:sz w:val="26"/>
          <w:rtl/>
        </w:rPr>
        <w:t>עובדי השירות הציבורי</w:t>
      </w:r>
      <w:bookmarkStart w:id="8" w:name="_Ref474068829"/>
      <w:r w:rsidRPr="00510FE8">
        <w:rPr>
          <w:rStyle w:val="ac"/>
          <w:b w:val="0"/>
          <w:bCs w:val="0"/>
          <w:szCs w:val="24"/>
          <w:rtl/>
        </w:rPr>
        <w:footnoteReference w:id="182"/>
      </w:r>
      <w:bookmarkEnd w:id="8"/>
    </w:p>
    <w:p w:rsidR="00C735A4" w:rsidRDefault="00C735A4" w:rsidP="00041950">
      <w:pPr>
        <w:pStyle w:val="111"/>
        <w:rPr>
          <w:rtl/>
        </w:rPr>
      </w:pPr>
      <w:r>
        <w:rPr>
          <w:rFonts w:hint="cs"/>
          <w:rtl/>
        </w:rPr>
        <w:t>הצו בדבר מניעת שחיתות במינהל הפדרלי</w:t>
      </w:r>
    </w:p>
    <w:p w:rsidR="00C735A4" w:rsidRDefault="00C735A4" w:rsidP="00C735A4">
      <w:pPr>
        <w:pStyle w:val="a4"/>
        <w:rPr>
          <w:rtl/>
        </w:rPr>
      </w:pPr>
      <w:r>
        <w:rPr>
          <w:rFonts w:hint="cs"/>
          <w:rtl/>
        </w:rPr>
        <w:t xml:space="preserve">הממשל הפדרלי של גרמניה פרסם לראשונה ב-1988 </w:t>
      </w:r>
      <w:r w:rsidRPr="003E1D38">
        <w:rPr>
          <w:rFonts w:hint="cs"/>
          <w:b/>
          <w:bCs/>
          <w:rtl/>
        </w:rPr>
        <w:t>צו בדבר מניעת שחיתות במינהל הפדרלי</w:t>
      </w:r>
      <w:r>
        <w:rPr>
          <w:rFonts w:hint="cs"/>
          <w:b/>
          <w:bCs/>
          <w:rtl/>
        </w:rPr>
        <w:t xml:space="preserve"> </w:t>
      </w:r>
      <w:r>
        <w:rPr>
          <w:rFonts w:hint="cs"/>
          <w:rtl/>
        </w:rPr>
        <w:t xml:space="preserve">(להלן: </w:t>
      </w:r>
      <w:r w:rsidRPr="00E511D3">
        <w:rPr>
          <w:rFonts w:hint="cs"/>
          <w:b/>
          <w:bCs/>
          <w:rtl/>
        </w:rPr>
        <w:t>הצו</w:t>
      </w:r>
      <w:r>
        <w:rPr>
          <w:rFonts w:hint="cs"/>
          <w:rtl/>
        </w:rPr>
        <w:t>)</w:t>
      </w:r>
      <w:bookmarkStart w:id="9" w:name="_Ref474138388"/>
      <w:r>
        <w:rPr>
          <w:rStyle w:val="ac"/>
          <w:rtl/>
        </w:rPr>
        <w:footnoteReference w:id="183"/>
      </w:r>
      <w:bookmarkEnd w:id="9"/>
      <w:r>
        <w:rPr>
          <w:rFonts w:hint="cs"/>
          <w:rtl/>
        </w:rPr>
        <w:t xml:space="preserve"> במטרה להגביר את אמון הציבור ביושרה של השירות הציבורי; הצו עודכן ביוני 2004. הצו מפרט אמצעים אסטרטגיים למניעת שחיתות, כמו גם קוד התנהגות לעובדים והנחיות למנהלים.</w:t>
      </w:r>
    </w:p>
    <w:p w:rsidR="00C735A4" w:rsidRDefault="00C735A4" w:rsidP="00CB3CE6">
      <w:pPr>
        <w:pStyle w:val="a4"/>
        <w:rPr>
          <w:rtl/>
        </w:rPr>
      </w:pPr>
      <w:r>
        <w:rPr>
          <w:rFonts w:hint="cs"/>
          <w:rtl/>
        </w:rPr>
        <w:t>הצו חל על כל הרשויות הפדרליות ועל כל הגופים שבבעלות המדינה; כל גוף יעשה את ההתאמות הנדרשות לו בהתאם למאפייניו ולסמכויותיו. על כל רשות לנתח מעת לעת את תחומי הפעילות שבסמכותה שחשופים במיוחד לשחיתות, ובתחומי פעילות אלה יש לוודא קיומ</w:t>
      </w:r>
      <w:r w:rsidR="00440B29">
        <w:rPr>
          <w:rFonts w:hint="cs"/>
          <w:rtl/>
        </w:rPr>
        <w:t>ה</w:t>
      </w:r>
      <w:r>
        <w:rPr>
          <w:rFonts w:hint="cs"/>
          <w:rtl/>
        </w:rPr>
        <w:t xml:space="preserve"> של בקרה מוגברת; יש לבחור את העובדים בתחומים אלה ביתר זהירות ולהגביל את משך כהונתם בתפקידים אלה לחמש שנים, למעט בנסיבות מיוחדות. כל גוף ימנה ממונה למניעת שחיתות שבין תפקידיו לייעץ להנהלה, להדריך את העובדים, לבקר ולבחון אינדיקציות לשחיתות וליידע את הציבור בדבר עונשים שהוטלו על-פי חוק השירות הציבורי והחוק הפלילי.</w:t>
      </w:r>
    </w:p>
    <w:p w:rsidR="00C735A4" w:rsidRDefault="00C735A4" w:rsidP="00C735A4">
      <w:pPr>
        <w:pStyle w:val="111"/>
        <w:rPr>
          <w:rtl/>
        </w:rPr>
      </w:pPr>
      <w:r>
        <w:rPr>
          <w:rFonts w:hint="cs"/>
          <w:rtl/>
        </w:rPr>
        <w:t>קוד ההתנהגות לעובדים למניעת שחיתות</w:t>
      </w:r>
    </w:p>
    <w:p w:rsidR="00C735A4" w:rsidRDefault="00C735A4" w:rsidP="00CB3CE6">
      <w:pPr>
        <w:pStyle w:val="a4"/>
        <w:rPr>
          <w:rtl/>
        </w:rPr>
      </w:pPr>
      <w:r>
        <w:rPr>
          <w:rFonts w:hint="cs"/>
          <w:rtl/>
        </w:rPr>
        <w:t xml:space="preserve">בנספח הראשון לצו נקבע </w:t>
      </w:r>
      <w:r w:rsidRPr="00271A34">
        <w:rPr>
          <w:rFonts w:hint="cs"/>
          <w:b/>
          <w:bCs/>
          <w:rtl/>
        </w:rPr>
        <w:t>קוד ההתנהגות לעובדים למניעת שחיתות</w:t>
      </w:r>
      <w:r w:rsidRPr="00271A34">
        <w:rPr>
          <w:rFonts w:hint="cs"/>
          <w:rtl/>
        </w:rPr>
        <w:t xml:space="preserve"> (</w:t>
      </w:r>
      <w:r>
        <w:rPr>
          <w:rFonts w:hint="cs"/>
          <w:rtl/>
        </w:rPr>
        <w:t xml:space="preserve">להלן: </w:t>
      </w:r>
      <w:r w:rsidRPr="00271A34">
        <w:rPr>
          <w:rFonts w:hint="cs"/>
          <w:b/>
          <w:bCs/>
          <w:rtl/>
        </w:rPr>
        <w:t>קוד ההתנהגות</w:t>
      </w:r>
      <w:r w:rsidRPr="00271A34">
        <w:rPr>
          <w:rFonts w:hint="cs"/>
          <w:rtl/>
        </w:rPr>
        <w:t>)</w:t>
      </w:r>
      <w:r>
        <w:rPr>
          <w:rFonts w:hint="cs"/>
          <w:rtl/>
        </w:rPr>
        <w:t>,</w:t>
      </w:r>
      <w:r>
        <w:rPr>
          <w:rStyle w:val="ac"/>
          <w:rtl/>
        </w:rPr>
        <w:footnoteReference w:id="184"/>
      </w:r>
      <w:r>
        <w:rPr>
          <w:rFonts w:hint="cs"/>
          <w:rtl/>
        </w:rPr>
        <w:t xml:space="preserve"> שמטרתו ליידע את עובדי השירות הציבורי במצבים שבהם הם עשויים, שלא בכוונה, להיות מעורבים בשחיתות, לעודד אותם למלא את תפקידם בצורה נאותה וחוקית ולהזהיר אותם מפני ההשלכות של התנהגות מושחתת.</w:t>
      </w:r>
    </w:p>
    <w:p w:rsidR="00C735A4" w:rsidRDefault="00C735A4" w:rsidP="00C735A4">
      <w:pPr>
        <w:pStyle w:val="a4"/>
        <w:rPr>
          <w:rtl/>
        </w:rPr>
      </w:pPr>
      <w:r>
        <w:rPr>
          <w:rFonts w:hint="cs"/>
          <w:rtl/>
        </w:rPr>
        <w:t xml:space="preserve">אחד מתשעת הכללים הקבועים בקוד ההתנהגות הוא </w:t>
      </w:r>
      <w:r>
        <w:rPr>
          <w:rFonts w:hint="cs"/>
          <w:b/>
          <w:bCs/>
          <w:rtl/>
        </w:rPr>
        <w:t>הכלל המחייב</w:t>
      </w:r>
      <w:r w:rsidRPr="00EF71C6">
        <w:rPr>
          <w:rFonts w:hint="cs"/>
          <w:b/>
          <w:bCs/>
          <w:rtl/>
        </w:rPr>
        <w:t xml:space="preserve"> להפריד את</w:t>
      </w:r>
      <w:r>
        <w:rPr>
          <w:rFonts w:hint="cs"/>
          <w:b/>
          <w:bCs/>
          <w:rtl/>
        </w:rPr>
        <w:t xml:space="preserve"> </w:t>
      </w:r>
      <w:r w:rsidRPr="000F5F33">
        <w:rPr>
          <w:rFonts w:hint="cs"/>
          <w:b/>
          <w:bCs/>
          <w:rtl/>
        </w:rPr>
        <w:t>העבודה באופן מוחלט מהחיים הפרטיים ולבדוק האם האינטרסים הפרטיים עשויים להיות מנוגדים לחובות התפקיד</w:t>
      </w:r>
      <w:r>
        <w:rPr>
          <w:rFonts w:hint="cs"/>
          <w:rtl/>
        </w:rPr>
        <w:t xml:space="preserve">. </w:t>
      </w:r>
    </w:p>
    <w:p w:rsidR="00C735A4" w:rsidRDefault="00C735A4" w:rsidP="00C735A4">
      <w:pPr>
        <w:pStyle w:val="a4"/>
        <w:rPr>
          <w:rtl/>
        </w:rPr>
      </w:pPr>
      <w:r>
        <w:rPr>
          <w:rFonts w:hint="cs"/>
          <w:rtl/>
        </w:rPr>
        <w:t xml:space="preserve">הקוד מציין בפני העובדים כי לעתים קרובות שחיתות מתחילה במעבר מקשר רשמי לקשר אישי או פרטי. כך, כאשר יש קשר אישי עם אדם או כאשר התקבלו ממנו הטבות (כגון הנחות, הזמנות למסעדות ולאירועים וכדומה) </w:t>
      </w:r>
      <w:r>
        <w:rPr>
          <w:rtl/>
        </w:rPr>
        <w:t>–</w:t>
      </w:r>
      <w:r>
        <w:rPr>
          <w:rFonts w:hint="cs"/>
          <w:rtl/>
        </w:rPr>
        <w:t xml:space="preserve"> קשה לסרב לעשות לו טובה או להעניק לו יחס מועדף גם במסגרת התפקיד הרשמי. לכן על העובד להבהיר מראש למי שהוא מצוי עימו בקשר אישי שהוא מחויב להפריד בין חייו הפרטיים לעבודתו. על העובד לקיים הפרדה גמורה כאמור </w:t>
      </w:r>
      <w:r>
        <w:rPr>
          <w:rtl/>
        </w:rPr>
        <w:t>–</w:t>
      </w:r>
      <w:r>
        <w:rPr>
          <w:rFonts w:hint="cs"/>
          <w:rtl/>
        </w:rPr>
        <w:t xml:space="preserve"> ללא התחשבות בסיכון לשחיתות </w:t>
      </w:r>
      <w:r>
        <w:rPr>
          <w:rtl/>
        </w:rPr>
        <w:t>–</w:t>
      </w:r>
      <w:r>
        <w:rPr>
          <w:rFonts w:hint="cs"/>
          <w:rtl/>
        </w:rPr>
        <w:t xml:space="preserve"> בכל הפעילויות הרשמיות שהוא מבצע. </w:t>
      </w:r>
    </w:p>
    <w:p w:rsidR="00C735A4" w:rsidRDefault="00C735A4" w:rsidP="00C735A4">
      <w:pPr>
        <w:pStyle w:val="a4"/>
        <w:rPr>
          <w:rtl/>
        </w:rPr>
      </w:pPr>
      <w:r>
        <w:rPr>
          <w:rFonts w:hint="cs"/>
          <w:rtl/>
        </w:rPr>
        <w:t xml:space="preserve">בקוד מובהר לעובד כי הרשות </w:t>
      </w:r>
      <w:r w:rsidR="002B31DB">
        <w:rPr>
          <w:rFonts w:hint="cs"/>
          <w:rtl/>
        </w:rPr>
        <w:t>ש</w:t>
      </w:r>
      <w:r>
        <w:rPr>
          <w:rFonts w:hint="cs"/>
          <w:rtl/>
        </w:rPr>
        <w:t xml:space="preserve">בה הוא עובד ואזרחי המדינה זכאים להתנהגות הוגנת, נאותה וחסרת פניות. לכן </w:t>
      </w:r>
      <w:r w:rsidRPr="00FA215B">
        <w:rPr>
          <w:rFonts w:hint="cs"/>
          <w:b/>
          <w:bCs/>
          <w:rtl/>
        </w:rPr>
        <w:t xml:space="preserve">עליו לבדוק כל תהליך </w:t>
      </w:r>
      <w:r w:rsidR="002B31DB">
        <w:rPr>
          <w:rFonts w:hint="cs"/>
          <w:b/>
          <w:bCs/>
          <w:rtl/>
        </w:rPr>
        <w:t>ש</w:t>
      </w:r>
      <w:r w:rsidRPr="00FA215B">
        <w:rPr>
          <w:rFonts w:hint="cs"/>
          <w:b/>
          <w:bCs/>
          <w:rtl/>
        </w:rPr>
        <w:t>בו הוא מעורב ולוודא האם אינטרסים אישיים שלו, של קרוביו או של גופים שהוא מרגיש מחויב להם מעוררים ניגוד עניינים עם המחויבויות המקצועיות שלו</w:t>
      </w:r>
      <w:r>
        <w:rPr>
          <w:rFonts w:hint="cs"/>
          <w:rtl/>
        </w:rPr>
        <w:t xml:space="preserve">. על העובד להקפיד שלא ליצור אפילו מראית עין של היותו מוטה. </w:t>
      </w:r>
      <w:r w:rsidRPr="001134FE">
        <w:rPr>
          <w:rFonts w:hint="cs"/>
          <w:b/>
          <w:bCs/>
          <w:rtl/>
        </w:rPr>
        <w:t>אם עובד מזהה מצב שבו עשוי להתעורר ניגוד אינטרסים</w:t>
      </w:r>
      <w:r>
        <w:rPr>
          <w:rFonts w:hint="cs"/>
          <w:rtl/>
        </w:rPr>
        <w:t xml:space="preserve"> בין מטלה רשמית הנובעת מתפקידו לבין אינטרסים אישיים שלו או של צד שלישי שהוא מרגיש מחויב לו </w:t>
      </w:r>
      <w:r>
        <w:rPr>
          <w:rtl/>
        </w:rPr>
        <w:t>–</w:t>
      </w:r>
      <w:r>
        <w:rPr>
          <w:rFonts w:hint="cs"/>
          <w:rtl/>
        </w:rPr>
        <w:t xml:space="preserve"> </w:t>
      </w:r>
      <w:r w:rsidRPr="001134FE">
        <w:rPr>
          <w:rFonts w:hint="cs"/>
          <w:b/>
          <w:bCs/>
          <w:rtl/>
        </w:rPr>
        <w:t xml:space="preserve">עליו לדווח מיידית לממונה עליו </w:t>
      </w:r>
      <w:r>
        <w:rPr>
          <w:rFonts w:hint="cs"/>
          <w:rtl/>
        </w:rPr>
        <w:t xml:space="preserve">כדי שזה יפעל בהתאם (למשל על-ידי כך שישחרר אותו ממטלותיו בהתאם לנסיבות). </w:t>
      </w:r>
    </w:p>
    <w:p w:rsidR="00C735A4" w:rsidRDefault="00C735A4" w:rsidP="00CB3CE6">
      <w:pPr>
        <w:pStyle w:val="a4"/>
        <w:rPr>
          <w:rtl/>
        </w:rPr>
      </w:pPr>
      <w:r>
        <w:rPr>
          <w:rFonts w:hint="cs"/>
          <w:rtl/>
        </w:rPr>
        <w:t xml:space="preserve">עוד נקבע בקוד ההתנהגות כי </w:t>
      </w:r>
      <w:r w:rsidRPr="000319C4">
        <w:rPr>
          <w:rFonts w:hint="cs"/>
          <w:b/>
          <w:bCs/>
          <w:rtl/>
        </w:rPr>
        <w:t xml:space="preserve">על העובד להפריד בצורה ברורה בין </w:t>
      </w:r>
      <w:r w:rsidR="00440B29">
        <w:rPr>
          <w:rFonts w:hint="cs"/>
          <w:b/>
          <w:bCs/>
          <w:rtl/>
        </w:rPr>
        <w:t>עבודתו</w:t>
      </w:r>
      <w:r w:rsidR="00440B29" w:rsidRPr="000319C4">
        <w:rPr>
          <w:rFonts w:hint="cs"/>
          <w:b/>
          <w:bCs/>
          <w:rtl/>
        </w:rPr>
        <w:t xml:space="preserve"> </w:t>
      </w:r>
      <w:r w:rsidRPr="000319C4">
        <w:rPr>
          <w:rFonts w:hint="cs"/>
          <w:b/>
          <w:bCs/>
          <w:rtl/>
        </w:rPr>
        <w:t xml:space="preserve">בשירות הציבורי לבין </w:t>
      </w:r>
      <w:r>
        <w:rPr>
          <w:rFonts w:hint="cs"/>
          <w:b/>
          <w:bCs/>
          <w:rtl/>
        </w:rPr>
        <w:t>עיסוקים נוספים שלו</w:t>
      </w:r>
      <w:r>
        <w:rPr>
          <w:rFonts w:hint="cs"/>
          <w:rtl/>
        </w:rPr>
        <w:t xml:space="preserve">. אסור שקשרים אישיים שנוצרו במסגרת העיסוקים הנוספים ישפיעו על העבודה בשירות; אם יש ספק בכך </w:t>
      </w:r>
      <w:r>
        <w:rPr>
          <w:rtl/>
        </w:rPr>
        <w:t>–</w:t>
      </w:r>
      <w:r>
        <w:rPr>
          <w:rFonts w:hint="cs"/>
          <w:rtl/>
        </w:rPr>
        <w:t xml:space="preserve"> על העובד להפסיק את העיסוק הנוסף. </w:t>
      </w:r>
    </w:p>
    <w:p w:rsidR="00C735A4" w:rsidRDefault="00C735A4" w:rsidP="00C735A4">
      <w:pPr>
        <w:pStyle w:val="a4"/>
        <w:rPr>
          <w:rtl/>
        </w:rPr>
      </w:pPr>
      <w:r>
        <w:rPr>
          <w:rFonts w:hint="cs"/>
          <w:rtl/>
        </w:rPr>
        <w:t xml:space="preserve">בסופו של דבר, לפי הקוד, </w:t>
      </w:r>
      <w:r w:rsidRPr="000319C4">
        <w:rPr>
          <w:rFonts w:hint="cs"/>
          <w:b/>
          <w:bCs/>
          <w:rtl/>
        </w:rPr>
        <w:t xml:space="preserve">שמו הטוב של העובד </w:t>
      </w:r>
      <w:r w:rsidRPr="000319C4">
        <w:rPr>
          <w:b/>
          <w:bCs/>
          <w:rtl/>
        </w:rPr>
        <w:t>–</w:t>
      </w:r>
      <w:r w:rsidRPr="000319C4">
        <w:rPr>
          <w:rFonts w:hint="cs"/>
          <w:b/>
          <w:bCs/>
          <w:rtl/>
        </w:rPr>
        <w:t xml:space="preserve"> כמו גם שמו הטוב של כלל השירות הציבורי </w:t>
      </w:r>
      <w:r w:rsidRPr="000319C4">
        <w:rPr>
          <w:b/>
          <w:bCs/>
          <w:rtl/>
        </w:rPr>
        <w:t>–</w:t>
      </w:r>
      <w:r w:rsidRPr="000319C4">
        <w:rPr>
          <w:rFonts w:hint="cs"/>
          <w:b/>
          <w:bCs/>
          <w:rtl/>
        </w:rPr>
        <w:t xml:space="preserve"> ייפגע כתוצאה ממתן עדיפות לאינטרסים פרטיים במקרה של ניגוד אינטרסים</w:t>
      </w:r>
      <w:r>
        <w:rPr>
          <w:rFonts w:hint="cs"/>
          <w:rtl/>
        </w:rPr>
        <w:t>, והפגיעה תהיה חמורה יותר ככל שתפקידו של העובד משמעותי ובעל השפעה.</w:t>
      </w:r>
    </w:p>
    <w:p w:rsidR="00C735A4" w:rsidRDefault="00C735A4" w:rsidP="00C735A4">
      <w:pPr>
        <w:pStyle w:val="111"/>
        <w:rPr>
          <w:rtl/>
        </w:rPr>
      </w:pPr>
      <w:r>
        <w:rPr>
          <w:rFonts w:hint="cs"/>
          <w:rtl/>
        </w:rPr>
        <w:t>הנחיות למנהלים</w:t>
      </w:r>
    </w:p>
    <w:p w:rsidR="00C735A4" w:rsidRDefault="00C735A4" w:rsidP="00426035">
      <w:pPr>
        <w:pStyle w:val="a4"/>
        <w:rPr>
          <w:rtl/>
        </w:rPr>
      </w:pPr>
      <w:r>
        <w:rPr>
          <w:rFonts w:hint="cs"/>
          <w:rtl/>
        </w:rPr>
        <w:t xml:space="preserve">בנספח השני לצו נקבעו </w:t>
      </w:r>
      <w:r w:rsidRPr="000319C4">
        <w:rPr>
          <w:rFonts w:hint="cs"/>
          <w:b/>
          <w:bCs/>
          <w:rtl/>
        </w:rPr>
        <w:t>הנחיות למנהלים ולראשי רשויות ציבוריות</w:t>
      </w:r>
      <w:r>
        <w:rPr>
          <w:rFonts w:hint="cs"/>
          <w:rtl/>
        </w:rPr>
        <w:t xml:space="preserve"> (להלן</w:t>
      </w:r>
      <w:r w:rsidR="002B31DB">
        <w:rPr>
          <w:rFonts w:hint="cs"/>
          <w:rtl/>
        </w:rPr>
        <w:t xml:space="preserve"> בפרק זה</w:t>
      </w:r>
      <w:r>
        <w:rPr>
          <w:rFonts w:hint="cs"/>
          <w:rtl/>
        </w:rPr>
        <w:t>: ההנחיות).</w:t>
      </w:r>
      <w:r>
        <w:rPr>
          <w:rStyle w:val="ac"/>
          <w:rtl/>
        </w:rPr>
        <w:footnoteReference w:id="185"/>
      </w:r>
      <w:r>
        <w:rPr>
          <w:rFonts w:hint="cs"/>
          <w:rtl/>
        </w:rPr>
        <w:t xml:space="preserve"> ההנחיות נועדו להדגיש בפני מנהלים וראשי רשויות בשירות הציבורי את תפקידם הכפול במניעת שחיתות </w:t>
      </w:r>
      <w:r>
        <w:rPr>
          <w:rtl/>
        </w:rPr>
        <w:t>–</w:t>
      </w:r>
      <w:r>
        <w:rPr>
          <w:rFonts w:hint="cs"/>
          <w:rtl/>
        </w:rPr>
        <w:t xml:space="preserve"> </w:t>
      </w:r>
      <w:r w:rsidR="002B31DB">
        <w:rPr>
          <w:rFonts w:hint="cs"/>
          <w:rtl/>
        </w:rPr>
        <w:t xml:space="preserve">הן </w:t>
      </w:r>
      <w:r>
        <w:rPr>
          <w:rFonts w:hint="cs"/>
          <w:rtl/>
        </w:rPr>
        <w:t xml:space="preserve">כאחראים על העובדים הכפופים להם </w:t>
      </w:r>
      <w:r w:rsidR="002B31DB">
        <w:rPr>
          <w:rFonts w:hint="cs"/>
          <w:rtl/>
        </w:rPr>
        <w:t>והן כמי ש</w:t>
      </w:r>
      <w:r>
        <w:rPr>
          <w:rFonts w:hint="cs"/>
          <w:rtl/>
        </w:rPr>
        <w:t xml:space="preserve">מהווים דוגמה אישית עבורם. לכן, </w:t>
      </w:r>
      <w:r w:rsidRPr="00FC5B0E">
        <w:rPr>
          <w:rFonts w:hint="cs"/>
          <w:b/>
          <w:bCs/>
          <w:rtl/>
        </w:rPr>
        <w:t>על המנהלים לנהל את עובדיהם ולנקוט פעולות יזומות כדי לנטרל את</w:t>
      </w:r>
      <w:r>
        <w:rPr>
          <w:rFonts w:hint="cs"/>
          <w:rtl/>
        </w:rPr>
        <w:t xml:space="preserve"> </w:t>
      </w:r>
      <w:r w:rsidRPr="00FC5B0E">
        <w:rPr>
          <w:rFonts w:hint="cs"/>
          <w:b/>
          <w:bCs/>
          <w:rtl/>
        </w:rPr>
        <w:t>נקודות התו</w:t>
      </w:r>
      <w:r>
        <w:rPr>
          <w:rFonts w:hint="cs"/>
          <w:b/>
          <w:bCs/>
          <w:rtl/>
        </w:rPr>
        <w:t>ּ</w:t>
      </w:r>
      <w:r w:rsidRPr="00FC5B0E">
        <w:rPr>
          <w:rFonts w:hint="cs"/>
          <w:b/>
          <w:bCs/>
          <w:rtl/>
        </w:rPr>
        <w:t>רפה שע</w:t>
      </w:r>
      <w:r>
        <w:rPr>
          <w:rFonts w:hint="cs"/>
          <w:b/>
          <w:bCs/>
          <w:rtl/>
        </w:rPr>
        <w:t>לול</w:t>
      </w:r>
      <w:r w:rsidRPr="00FC5B0E">
        <w:rPr>
          <w:rFonts w:hint="cs"/>
          <w:b/>
          <w:bCs/>
          <w:rtl/>
        </w:rPr>
        <w:t>ות להוביל לשחיתות</w:t>
      </w:r>
      <w:r>
        <w:rPr>
          <w:rFonts w:hint="cs"/>
          <w:b/>
          <w:bCs/>
          <w:rtl/>
        </w:rPr>
        <w:t>,</w:t>
      </w:r>
      <w:r w:rsidRPr="00FC5B0E">
        <w:rPr>
          <w:rFonts w:hint="cs"/>
          <w:b/>
          <w:bCs/>
          <w:rtl/>
        </w:rPr>
        <w:t xml:space="preserve"> ובהן</w:t>
      </w:r>
      <w:r>
        <w:rPr>
          <w:rFonts w:hint="cs"/>
          <w:rtl/>
        </w:rPr>
        <w:t xml:space="preserve">: (1) פיקוח מינהלי לא מספק על ביצוע משימות; (2) אמון עיוור בצוות העובדים הבכיר או בבעלי תפקידים מיוחדים; (3) אופי חלש של עובדים בתחומים רגישים; (4) דוגמה אישית שלילית של מנהלים או בכירים המקבלים מתנות; (5) העדר </w:t>
      </w:r>
      <w:r w:rsidR="00440B29">
        <w:rPr>
          <w:rFonts w:hint="cs"/>
          <w:rtl/>
        </w:rPr>
        <w:t xml:space="preserve">נקיטת פעולות </w:t>
      </w:r>
      <w:r>
        <w:rPr>
          <w:rFonts w:hint="cs"/>
          <w:rtl/>
        </w:rPr>
        <w:t>לאחר גילוי מצבים בעייתיים אשר מביא להעדר הרתעה.</w:t>
      </w:r>
    </w:p>
    <w:p w:rsidR="00C735A4" w:rsidRDefault="00C735A4" w:rsidP="00C735A4">
      <w:pPr>
        <w:pStyle w:val="a4"/>
        <w:rPr>
          <w:rtl/>
        </w:rPr>
      </w:pPr>
      <w:r>
        <w:rPr>
          <w:rFonts w:hint="cs"/>
          <w:rtl/>
        </w:rPr>
        <w:t xml:space="preserve">בהנחיות מפורטים </w:t>
      </w:r>
      <w:r w:rsidRPr="00745144">
        <w:rPr>
          <w:rFonts w:hint="cs"/>
          <w:b/>
          <w:bCs/>
          <w:rtl/>
        </w:rPr>
        <w:t>האמצעים שעל המנהלים לנקוט</w:t>
      </w:r>
      <w:r>
        <w:rPr>
          <w:rFonts w:hint="cs"/>
          <w:rtl/>
        </w:rPr>
        <w:t xml:space="preserve"> כדי למנוע ולנטרל את נקודות התורפה האמורות; האמצעים הרלוונטיים לניגודי אינטרסים כוללים: </w:t>
      </w:r>
    </w:p>
    <w:p w:rsidR="00C735A4" w:rsidRDefault="002B31DB" w:rsidP="00C735A4">
      <w:pPr>
        <w:pStyle w:val="a4"/>
        <w:numPr>
          <w:ilvl w:val="0"/>
          <w:numId w:val="13"/>
        </w:numPr>
        <w:ind w:left="357" w:hanging="357"/>
      </w:pPr>
      <w:r>
        <w:rPr>
          <w:rFonts w:hint="cs"/>
          <w:rtl/>
        </w:rPr>
        <w:t xml:space="preserve">קיום </w:t>
      </w:r>
      <w:r w:rsidR="00C735A4" w:rsidRPr="00745144">
        <w:rPr>
          <w:rFonts w:hint="cs"/>
          <w:b/>
          <w:bCs/>
          <w:rtl/>
        </w:rPr>
        <w:t>שיחות קבועות עם צוות העובדים</w:t>
      </w:r>
      <w:r w:rsidR="00C735A4">
        <w:rPr>
          <w:rFonts w:hint="cs"/>
          <w:rtl/>
        </w:rPr>
        <w:t xml:space="preserve"> </w:t>
      </w:r>
      <w:r w:rsidR="00C735A4" w:rsidRPr="00745144">
        <w:rPr>
          <w:rFonts w:hint="cs"/>
          <w:b/>
          <w:bCs/>
          <w:rtl/>
        </w:rPr>
        <w:t>על חובותיהם בכל הנוגע למניעת ניגוד אינטרסים</w:t>
      </w:r>
      <w:r w:rsidR="00C735A4">
        <w:rPr>
          <w:rFonts w:hint="cs"/>
          <w:rtl/>
        </w:rPr>
        <w:t xml:space="preserve"> ולאיסור על קבלת מתנות.</w:t>
      </w:r>
    </w:p>
    <w:p w:rsidR="00C735A4" w:rsidRDefault="002B31DB" w:rsidP="00426035">
      <w:pPr>
        <w:pStyle w:val="a4"/>
        <w:numPr>
          <w:ilvl w:val="0"/>
          <w:numId w:val="13"/>
        </w:numPr>
        <w:ind w:left="357" w:hanging="357"/>
      </w:pPr>
      <w:r>
        <w:rPr>
          <w:rFonts w:hint="cs"/>
          <w:rtl/>
        </w:rPr>
        <w:t>הגדרה</w:t>
      </w:r>
      <w:r w:rsidR="00C735A4">
        <w:rPr>
          <w:rFonts w:hint="cs"/>
          <w:rtl/>
        </w:rPr>
        <w:t xml:space="preserve"> ברורה </w:t>
      </w:r>
      <w:r>
        <w:rPr>
          <w:rFonts w:hint="cs"/>
          <w:rtl/>
        </w:rPr>
        <w:t xml:space="preserve">של </w:t>
      </w:r>
      <w:r w:rsidR="00C735A4">
        <w:rPr>
          <w:rFonts w:hint="cs"/>
          <w:rtl/>
        </w:rPr>
        <w:t xml:space="preserve">היקף שיקול הדעת של כל עובד בקבלת החלטות </w:t>
      </w:r>
      <w:r>
        <w:rPr>
          <w:rFonts w:hint="cs"/>
          <w:rtl/>
        </w:rPr>
        <w:t xml:space="preserve">וקביעת  </w:t>
      </w:r>
      <w:r w:rsidR="00C735A4">
        <w:rPr>
          <w:rFonts w:hint="cs"/>
          <w:rtl/>
        </w:rPr>
        <w:t xml:space="preserve">הגבלות </w:t>
      </w:r>
      <w:r>
        <w:rPr>
          <w:rFonts w:hint="cs"/>
          <w:rtl/>
        </w:rPr>
        <w:t xml:space="preserve">שיחולו </w:t>
      </w:r>
      <w:r w:rsidR="00C735A4">
        <w:rPr>
          <w:rFonts w:hint="cs"/>
          <w:rtl/>
        </w:rPr>
        <w:t xml:space="preserve">עליו במידת הצורך. </w:t>
      </w:r>
    </w:p>
    <w:p w:rsidR="00C735A4" w:rsidRDefault="00C735A4" w:rsidP="00C735A4">
      <w:pPr>
        <w:pStyle w:val="a4"/>
        <w:numPr>
          <w:ilvl w:val="0"/>
          <w:numId w:val="13"/>
        </w:numPr>
        <w:ind w:left="357" w:hanging="357"/>
      </w:pPr>
      <w:r w:rsidRPr="00691726">
        <w:rPr>
          <w:rFonts w:hint="cs"/>
          <w:b/>
          <w:bCs/>
          <w:rtl/>
        </w:rPr>
        <w:t>בתחומי פעילות שחשופים במיוחד לשחיתות</w:t>
      </w:r>
      <w:r>
        <w:rPr>
          <w:rFonts w:hint="cs"/>
          <w:rtl/>
        </w:rPr>
        <w:t xml:space="preserve"> </w:t>
      </w:r>
      <w:r>
        <w:rPr>
          <w:rtl/>
        </w:rPr>
        <w:t>–</w:t>
      </w:r>
      <w:r>
        <w:rPr>
          <w:rFonts w:hint="cs"/>
          <w:rtl/>
        </w:rPr>
        <w:t xml:space="preserve">  </w:t>
      </w:r>
    </w:p>
    <w:p w:rsidR="00C735A4" w:rsidRDefault="00C735A4" w:rsidP="00CB3CE6">
      <w:pPr>
        <w:pStyle w:val="a4"/>
        <w:numPr>
          <w:ilvl w:val="1"/>
          <w:numId w:val="13"/>
        </w:numPr>
        <w:ind w:left="714" w:hanging="357"/>
      </w:pPr>
      <w:r>
        <w:rPr>
          <w:rFonts w:hint="cs"/>
          <w:rtl/>
        </w:rPr>
        <w:t xml:space="preserve">יש לוודא קיומם של מנגנוני בקרה מוגברת </w:t>
      </w:r>
      <w:r w:rsidR="000E6391">
        <w:rPr>
          <w:rFonts w:hint="cs"/>
          <w:rtl/>
        </w:rPr>
        <w:t xml:space="preserve">על </w:t>
      </w:r>
      <w:r>
        <w:rPr>
          <w:rFonts w:hint="cs"/>
          <w:rtl/>
        </w:rPr>
        <w:t>התהליכים המתרחשים;</w:t>
      </w:r>
    </w:p>
    <w:p w:rsidR="00C735A4" w:rsidRDefault="00C735A4" w:rsidP="00C735A4">
      <w:pPr>
        <w:pStyle w:val="a4"/>
        <w:numPr>
          <w:ilvl w:val="1"/>
          <w:numId w:val="13"/>
        </w:numPr>
        <w:ind w:left="714" w:hanging="357"/>
      </w:pPr>
      <w:r>
        <w:rPr>
          <w:rFonts w:hint="cs"/>
          <w:rtl/>
        </w:rPr>
        <w:t>יש ליצור מנגנונים לתחלופה בביצוע מטלות ובקשר עם גורמים חיצוניים בין עובדים שונים בתחום, וכן להבטיח</w:t>
      </w:r>
      <w:r w:rsidR="002B31DB">
        <w:rPr>
          <w:rFonts w:hint="cs"/>
          <w:rtl/>
        </w:rPr>
        <w:t>,</w:t>
      </w:r>
      <w:r>
        <w:rPr>
          <w:rFonts w:hint="cs"/>
          <w:rtl/>
        </w:rPr>
        <w:t xml:space="preserve"> ככלל</w:t>
      </w:r>
      <w:r w:rsidR="002B31DB">
        <w:rPr>
          <w:rFonts w:hint="cs"/>
          <w:rtl/>
        </w:rPr>
        <w:t>,</w:t>
      </w:r>
      <w:r>
        <w:rPr>
          <w:rFonts w:hint="cs"/>
          <w:rtl/>
        </w:rPr>
        <w:t xml:space="preserve"> שעובדים ישמשו בתפקידים כאלה למשך לא יותר מחמש שנים (למעט במקרים מיוחדים);</w:t>
      </w:r>
    </w:p>
    <w:p w:rsidR="00C735A4" w:rsidRDefault="00C735A4" w:rsidP="00C735A4">
      <w:pPr>
        <w:pStyle w:val="a4"/>
        <w:numPr>
          <w:ilvl w:val="1"/>
          <w:numId w:val="13"/>
        </w:numPr>
        <w:ind w:left="714" w:hanging="357"/>
      </w:pPr>
      <w:r>
        <w:rPr>
          <w:rFonts w:hint="cs"/>
          <w:rtl/>
        </w:rPr>
        <w:t xml:space="preserve">בכל הנוגע לניהול העובדים, יש לנקוט במאמצים מיוחדים, ובכלל זה: </w:t>
      </w:r>
    </w:p>
    <w:p w:rsidR="00C735A4" w:rsidRDefault="00C735A4" w:rsidP="00C735A4">
      <w:pPr>
        <w:pStyle w:val="a4"/>
        <w:numPr>
          <w:ilvl w:val="2"/>
          <w:numId w:val="13"/>
        </w:numPr>
        <w:ind w:left="1077" w:hanging="357"/>
      </w:pPr>
      <w:r w:rsidRPr="0010052B">
        <w:rPr>
          <w:rFonts w:hint="cs"/>
          <w:b/>
          <w:bCs/>
          <w:rtl/>
        </w:rPr>
        <w:t>כאשר נודע למנהל על ניגוד אינטרסים של עובד</w:t>
      </w:r>
      <w:r>
        <w:rPr>
          <w:rFonts w:hint="cs"/>
          <w:rtl/>
        </w:rPr>
        <w:t>, בשל עיסוק נוסף שלו או בשל אינטרסים של בן משפחתו, יש למצוא פתרון, למשל באמצעות שחרור העובד מהמטלות הרלוונטיות;</w:t>
      </w:r>
    </w:p>
    <w:p w:rsidR="00C735A4" w:rsidRDefault="00C735A4" w:rsidP="00C735A4">
      <w:pPr>
        <w:pStyle w:val="a4"/>
        <w:numPr>
          <w:ilvl w:val="2"/>
          <w:numId w:val="13"/>
        </w:numPr>
        <w:ind w:left="1077" w:hanging="357"/>
      </w:pPr>
      <w:r>
        <w:rPr>
          <w:rFonts w:hint="cs"/>
          <w:rtl/>
        </w:rPr>
        <w:t xml:space="preserve">כאשר נודע למנהל על חולשה אישית של עובד (למשל התמכרות, תחביבים יקרים וכדומה) או על חובות גדולים שהוא נמצא בהם </w:t>
      </w:r>
      <w:r>
        <w:rPr>
          <w:rtl/>
        </w:rPr>
        <w:t>–</w:t>
      </w:r>
      <w:r>
        <w:rPr>
          <w:rFonts w:hint="cs"/>
          <w:rtl/>
        </w:rPr>
        <w:t xml:space="preserve"> יש לגלות לכך ערנות מיוחדת (ככלל אין לאפשר לעובד שמצוי  בקשיים כלכליים לשמש בתפקיד שבו הוא חשוף להשפעה של צדדים שלישיים).</w:t>
      </w:r>
    </w:p>
    <w:p w:rsidR="00C735A4" w:rsidRDefault="00C735A4" w:rsidP="00C735A4">
      <w:pPr>
        <w:pStyle w:val="a4"/>
        <w:rPr>
          <w:rtl/>
        </w:rPr>
      </w:pPr>
      <w:r>
        <w:rPr>
          <w:rFonts w:hint="cs"/>
          <w:rtl/>
        </w:rPr>
        <w:t xml:space="preserve">עוד מפורטים בהנחיות סימני אזהרה לקיומה של שחיתות והוראות לפעולה של המנהל אם מתעורר חשד לשחיתות אצל עובדיו. </w:t>
      </w:r>
    </w:p>
    <w:p w:rsidR="00CB3CE6" w:rsidRDefault="00CB3CE6" w:rsidP="00C735A4">
      <w:pPr>
        <w:pStyle w:val="a4"/>
        <w:rPr>
          <w:rtl/>
        </w:rPr>
      </w:pPr>
    </w:p>
    <w:p w:rsidR="00DB6F6A" w:rsidRDefault="00DB6F6A" w:rsidP="00426035">
      <w:pPr>
        <w:pStyle w:val="1"/>
        <w:keepNext/>
        <w:keepLines/>
        <w:ind w:left="357" w:right="11" w:hanging="357"/>
        <w:rPr>
          <w:rtl/>
        </w:rPr>
      </w:pPr>
      <w:r>
        <w:rPr>
          <w:rFonts w:hint="cs"/>
          <w:rtl/>
        </w:rPr>
        <w:t>ספרד</w:t>
      </w:r>
      <w:r w:rsidR="00383479" w:rsidRPr="00124BC2">
        <w:rPr>
          <w:rStyle w:val="ac"/>
          <w:b w:val="0"/>
          <w:bCs w:val="0"/>
          <w:sz w:val="24"/>
          <w:szCs w:val="24"/>
          <w:rtl/>
        </w:rPr>
        <w:footnoteReference w:id="186"/>
      </w:r>
    </w:p>
    <w:p w:rsidR="00DF5166" w:rsidRDefault="000E2638" w:rsidP="004669AF">
      <w:pPr>
        <w:pStyle w:val="11"/>
        <w:rPr>
          <w:rtl/>
        </w:rPr>
      </w:pPr>
      <w:r>
        <w:rPr>
          <w:rFonts w:hint="cs"/>
          <w:rtl/>
        </w:rPr>
        <w:t>כללי</w:t>
      </w:r>
    </w:p>
    <w:p w:rsidR="00DF5166" w:rsidRDefault="000E2638" w:rsidP="00426035">
      <w:pPr>
        <w:pStyle w:val="a4"/>
        <w:rPr>
          <w:rtl/>
        </w:rPr>
      </w:pPr>
      <w:r w:rsidRPr="00DB6F6A">
        <w:rPr>
          <w:rFonts w:hint="cs"/>
          <w:b/>
          <w:bCs/>
          <w:rtl/>
        </w:rPr>
        <w:t xml:space="preserve">חוק מס' 3/2015 </w:t>
      </w:r>
      <w:r w:rsidR="008C46B8">
        <w:rPr>
          <w:rFonts w:hint="cs"/>
          <w:rtl/>
        </w:rPr>
        <w:t>(להלן</w:t>
      </w:r>
      <w:r w:rsidR="00260764">
        <w:rPr>
          <w:rFonts w:hint="cs"/>
          <w:rtl/>
        </w:rPr>
        <w:t xml:space="preserve"> בפרק זה</w:t>
      </w:r>
      <w:r w:rsidR="008C46B8">
        <w:rPr>
          <w:rFonts w:hint="cs"/>
          <w:rtl/>
        </w:rPr>
        <w:t xml:space="preserve">: </w:t>
      </w:r>
      <w:r w:rsidR="008C46B8" w:rsidRPr="008C46B8">
        <w:rPr>
          <w:rFonts w:hint="cs"/>
          <w:b/>
          <w:bCs/>
          <w:rtl/>
        </w:rPr>
        <w:t>החוק</w:t>
      </w:r>
      <w:r w:rsidR="008C46B8">
        <w:rPr>
          <w:rFonts w:hint="cs"/>
          <w:rtl/>
        </w:rPr>
        <w:t>)</w:t>
      </w:r>
      <w:r>
        <w:rPr>
          <w:rStyle w:val="ac"/>
          <w:rtl/>
        </w:rPr>
        <w:footnoteReference w:id="187"/>
      </w:r>
      <w:r w:rsidRPr="003C0796">
        <w:rPr>
          <w:rFonts w:hint="cs"/>
          <w:rtl/>
        </w:rPr>
        <w:t xml:space="preserve"> </w:t>
      </w:r>
      <w:r w:rsidR="004669AF" w:rsidRPr="003C0796">
        <w:rPr>
          <w:rFonts w:hint="cs"/>
          <w:rtl/>
        </w:rPr>
        <w:t xml:space="preserve">מסדיר את </w:t>
      </w:r>
      <w:r w:rsidR="004669AF">
        <w:rPr>
          <w:rFonts w:hint="cs"/>
          <w:rtl/>
        </w:rPr>
        <w:t>דרכי המינוי ו</w:t>
      </w:r>
      <w:r w:rsidR="00260764">
        <w:rPr>
          <w:rFonts w:hint="cs"/>
          <w:rtl/>
        </w:rPr>
        <w:t xml:space="preserve">את </w:t>
      </w:r>
      <w:r w:rsidR="004669AF" w:rsidRPr="003C0796">
        <w:rPr>
          <w:rFonts w:hint="cs"/>
          <w:rtl/>
        </w:rPr>
        <w:t>פעולותיהם של נושאי משרות בכירות במנהל הציבורי של ספרד</w:t>
      </w:r>
      <w:r w:rsidR="004669AF">
        <w:rPr>
          <w:rFonts w:hint="cs"/>
          <w:rtl/>
        </w:rPr>
        <w:t>.</w:t>
      </w:r>
      <w:r w:rsidR="008C46B8">
        <w:rPr>
          <w:rStyle w:val="ac"/>
          <w:rtl/>
        </w:rPr>
        <w:footnoteReference w:id="188"/>
      </w:r>
      <w:r w:rsidR="004669AF">
        <w:rPr>
          <w:rFonts w:hint="cs"/>
          <w:rtl/>
        </w:rPr>
        <w:t xml:space="preserve"> לפי החוק</w:t>
      </w:r>
      <w:r w:rsidR="00260764">
        <w:rPr>
          <w:rFonts w:hint="cs"/>
          <w:rtl/>
        </w:rPr>
        <w:t>,</w:t>
      </w:r>
      <w:r w:rsidR="004669AF">
        <w:rPr>
          <w:rFonts w:hint="cs"/>
          <w:rtl/>
        </w:rPr>
        <w:t xml:space="preserve"> על נושאי המשרות הכפופים לחוק </w:t>
      </w:r>
      <w:r w:rsidR="004669AF" w:rsidRPr="004669AF">
        <w:rPr>
          <w:rFonts w:hint="cs"/>
          <w:rtl/>
        </w:rPr>
        <w:t>להקדיש עצמם באופן בלעדי לתפקידם</w:t>
      </w:r>
      <w:r w:rsidR="004669AF">
        <w:rPr>
          <w:rFonts w:hint="cs"/>
          <w:rtl/>
        </w:rPr>
        <w:t>, לפעול בביצוע תפקידם למען האינטרס הציבורי ולהימנע ממצבים של ניגוד עניינים</w:t>
      </w:r>
      <w:r w:rsidR="004669AF" w:rsidRPr="00A74F6C">
        <w:rPr>
          <w:rFonts w:hint="cs"/>
          <w:rtl/>
        </w:rPr>
        <w:t xml:space="preserve">; </w:t>
      </w:r>
      <w:r w:rsidR="004669AF" w:rsidRPr="00A74F6C">
        <w:rPr>
          <w:rFonts w:hint="cs"/>
          <w:b/>
          <w:bCs/>
          <w:rtl/>
        </w:rPr>
        <w:t xml:space="preserve">אם נושא משרה נמצא במצב של ניגוד </w:t>
      </w:r>
      <w:r w:rsidR="00260764">
        <w:rPr>
          <w:rFonts w:hint="cs"/>
          <w:b/>
          <w:bCs/>
          <w:rtl/>
        </w:rPr>
        <w:t>עניינים</w:t>
      </w:r>
      <w:r w:rsidR="00260764" w:rsidRPr="00A74F6C">
        <w:rPr>
          <w:rFonts w:hint="cs"/>
          <w:b/>
          <w:bCs/>
          <w:rtl/>
        </w:rPr>
        <w:t xml:space="preserve"> </w:t>
      </w:r>
      <w:r w:rsidR="004669AF" w:rsidRPr="00A74F6C">
        <w:rPr>
          <w:rFonts w:hint="cs"/>
          <w:b/>
          <w:bCs/>
          <w:rtl/>
        </w:rPr>
        <w:t>עליו להימנע מקבלת החלטה שמושפעת ממנו</w:t>
      </w:r>
      <w:r w:rsidR="004669AF">
        <w:rPr>
          <w:rFonts w:hint="cs"/>
          <w:rtl/>
        </w:rPr>
        <w:t>.</w:t>
      </w:r>
    </w:p>
    <w:p w:rsidR="004669AF" w:rsidRPr="004669AF" w:rsidRDefault="004669AF" w:rsidP="008C46B8">
      <w:pPr>
        <w:pStyle w:val="a4"/>
        <w:rPr>
          <w:rtl/>
        </w:rPr>
      </w:pPr>
      <w:r>
        <w:rPr>
          <w:rFonts w:hint="cs"/>
          <w:rtl/>
        </w:rPr>
        <w:t xml:space="preserve">כדי לפקח על איסור ניגוד העניינים, </w:t>
      </w:r>
      <w:r w:rsidRPr="004669AF">
        <w:rPr>
          <w:rFonts w:hint="cs"/>
          <w:rtl/>
        </w:rPr>
        <w:t>נושאי המשרות הבכירות נדרשים</w:t>
      </w:r>
      <w:r w:rsidR="00A74F6C">
        <w:rPr>
          <w:rFonts w:hint="cs"/>
          <w:rtl/>
        </w:rPr>
        <w:t>, בין השאר,</w:t>
      </w:r>
      <w:r w:rsidRPr="004669AF">
        <w:rPr>
          <w:rFonts w:hint="cs"/>
          <w:rtl/>
        </w:rPr>
        <w:t xml:space="preserve"> למלא </w:t>
      </w:r>
      <w:r w:rsidRPr="004669AF">
        <w:rPr>
          <w:rFonts w:hint="cs"/>
          <w:b/>
          <w:bCs/>
          <w:rtl/>
        </w:rPr>
        <w:t>הצהרה על פעילויותיהם הכלכליות ב"מרשם הפעילויות"</w:t>
      </w:r>
      <w:r w:rsidRPr="004669AF">
        <w:rPr>
          <w:rFonts w:hint="cs"/>
          <w:rtl/>
        </w:rPr>
        <w:t xml:space="preserve"> ולפרט בה את כל הפעילויות שביצעו במסגרת קשרי עבודה, מסחר וקשרים מקצועיים במהלך השנתיים שקדמו לתחילת כהונתם בתפקיד הציבורי. </w:t>
      </w:r>
      <w:r w:rsidR="008C46B8">
        <w:rPr>
          <w:rFonts w:hint="cs"/>
          <w:rtl/>
        </w:rPr>
        <w:t>במסגרת מה שמכונה "</w:t>
      </w:r>
      <w:r w:rsidR="008C46B8" w:rsidRPr="008C46B8">
        <w:rPr>
          <w:rFonts w:hint="cs"/>
          <w:rtl/>
        </w:rPr>
        <w:t>מערכת התראה לזיהוי מוקדם של ניגודי עניינים</w:t>
      </w:r>
      <w:r w:rsidR="008C46B8">
        <w:rPr>
          <w:rFonts w:hint="cs"/>
          <w:rtl/>
        </w:rPr>
        <w:t>" ו</w:t>
      </w:r>
      <w:r w:rsidRPr="004669AF">
        <w:rPr>
          <w:rFonts w:hint="cs"/>
          <w:rtl/>
        </w:rPr>
        <w:t xml:space="preserve">על סמך ההצהרות שהוגשו, </w:t>
      </w:r>
      <w:r w:rsidRPr="00383479">
        <w:rPr>
          <w:rFonts w:hint="cs"/>
          <w:b/>
          <w:bCs/>
          <w:rtl/>
        </w:rPr>
        <w:t>המשרד לניגודי עניינים</w:t>
      </w:r>
      <w:r w:rsidRPr="004669AF">
        <w:rPr>
          <w:rFonts w:hint="cs"/>
          <w:rtl/>
        </w:rPr>
        <w:t xml:space="preserve">, </w:t>
      </w:r>
      <w:r w:rsidRPr="00383479">
        <w:rPr>
          <w:rFonts w:hint="cs"/>
          <w:b/>
          <w:bCs/>
          <w:rtl/>
        </w:rPr>
        <w:t>יודיע לנושא המשרה מהם הסוגיות והעניינים שבאופן כללי הוא צריך להימנע מלעסוק בהם</w:t>
      </w:r>
      <w:r w:rsidRPr="004669AF">
        <w:rPr>
          <w:rFonts w:hint="cs"/>
          <w:rtl/>
        </w:rPr>
        <w:t xml:space="preserve"> במסגרת כהונתו או מילוי תפקידו.</w:t>
      </w:r>
    </w:p>
    <w:p w:rsidR="00DF5166" w:rsidRPr="00DF5166" w:rsidRDefault="008C46B8" w:rsidP="004669AF">
      <w:pPr>
        <w:pStyle w:val="11"/>
        <w:rPr>
          <w:rtl/>
        </w:rPr>
      </w:pPr>
      <w:r>
        <w:rPr>
          <w:rFonts w:hint="cs"/>
          <w:rtl/>
        </w:rPr>
        <w:t>ה</w:t>
      </w:r>
      <w:r w:rsidR="000E2638">
        <w:rPr>
          <w:rFonts w:hint="cs"/>
          <w:rtl/>
        </w:rPr>
        <w:t xml:space="preserve">איסור </w:t>
      </w:r>
      <w:r>
        <w:rPr>
          <w:rFonts w:hint="cs"/>
          <w:rtl/>
        </w:rPr>
        <w:t xml:space="preserve">על </w:t>
      </w:r>
      <w:r w:rsidR="000E2638">
        <w:rPr>
          <w:rFonts w:hint="cs"/>
          <w:rtl/>
        </w:rPr>
        <w:t>ניגוד עניינים</w:t>
      </w:r>
    </w:p>
    <w:p w:rsidR="00DB6F6A" w:rsidRDefault="008C46B8" w:rsidP="008C46B8">
      <w:pPr>
        <w:pStyle w:val="a4"/>
        <w:rPr>
          <w:rtl/>
        </w:rPr>
      </w:pPr>
      <w:r>
        <w:rPr>
          <w:rFonts w:hint="cs"/>
          <w:rtl/>
        </w:rPr>
        <w:t>חוק מס' 3/2015 התקבל בספרד במרס 2015 ו</w:t>
      </w:r>
      <w:r w:rsidR="00DB6F6A" w:rsidRPr="003C0796">
        <w:rPr>
          <w:rFonts w:hint="cs"/>
          <w:rtl/>
        </w:rPr>
        <w:t xml:space="preserve">מסדיר את </w:t>
      </w:r>
      <w:r w:rsidR="00DB6F6A">
        <w:rPr>
          <w:rFonts w:hint="cs"/>
          <w:rtl/>
        </w:rPr>
        <w:t>דרכי המינוי ו</w:t>
      </w:r>
      <w:r w:rsidR="00260764">
        <w:rPr>
          <w:rFonts w:hint="cs"/>
          <w:rtl/>
        </w:rPr>
        <w:t xml:space="preserve">את </w:t>
      </w:r>
      <w:r w:rsidR="00DB6F6A" w:rsidRPr="003C0796">
        <w:rPr>
          <w:rFonts w:hint="cs"/>
          <w:rtl/>
        </w:rPr>
        <w:t xml:space="preserve">פעולותיהם של נושאי משרות בכירות במנהל הציבורי של ספרד. </w:t>
      </w:r>
      <w:r w:rsidR="00DB6F6A" w:rsidRPr="008C46B8">
        <w:rPr>
          <w:rFonts w:hint="cs"/>
          <w:b/>
          <w:bCs/>
          <w:rtl/>
        </w:rPr>
        <w:t>החוק נועד להבטיח, בין השאר, שפעולותיהם יתבצעו בתנאים מקסימליים של שקיפות, חוקיות והעדר ניגודי עניינים</w:t>
      </w:r>
      <w:r w:rsidR="00DB6F6A">
        <w:rPr>
          <w:rFonts w:hint="cs"/>
          <w:rtl/>
        </w:rPr>
        <w:t xml:space="preserve"> בין האינטרס האישי לזה</w:t>
      </w:r>
      <w:r w:rsidR="00DB6F6A" w:rsidRPr="003C0796">
        <w:rPr>
          <w:rFonts w:hint="cs"/>
          <w:rtl/>
        </w:rPr>
        <w:t xml:space="preserve"> הציבורי. </w:t>
      </w:r>
      <w:r w:rsidR="00DB6F6A">
        <w:rPr>
          <w:rFonts w:hint="cs"/>
          <w:rtl/>
        </w:rPr>
        <w:t>סעיף 1 לחוק מגדיר מיהם נושאי המשרות הבכירות שעליהם חל החוק. הללו כוללים בכירים ברמה הארצית בלבד ולא ברמת השלטון האזורי או המוניציפלי. עליהם נמנים, בין השאר, שרי ממשלה; מזכירי מדינה (</w:t>
      </w:r>
      <w:r w:rsidR="00DB6F6A" w:rsidRPr="00753462">
        <w:rPr>
          <w:lang w:val="es-ES"/>
        </w:rPr>
        <w:t>Secretarios de Estado</w:t>
      </w:r>
      <w:r w:rsidR="00DB6F6A">
        <w:rPr>
          <w:rFonts w:hint="cs"/>
          <w:rtl/>
        </w:rPr>
        <w:t xml:space="preserve">); מושלי המחוזות האוטונומיים; שגרירים וראשי משלחות דיפלומטיות קבועות בפני ארגונים בינ"ל; מנכ"לים של משרדים ממשלתיים; נשיאים, סגני נשיאים, מנכ"לים ופקידים בכירים אחרים בגופי ממשל, בחברות ובגופים שונים במגזר הציבורי המדינתי וכאלה הקשורים לממשל.   </w:t>
      </w:r>
    </w:p>
    <w:p w:rsidR="007905C6" w:rsidRDefault="00DB6F6A" w:rsidP="00426035">
      <w:pPr>
        <w:pStyle w:val="a4"/>
        <w:rPr>
          <w:rtl/>
        </w:rPr>
      </w:pPr>
      <w:r w:rsidRPr="00DB6F6A">
        <w:rPr>
          <w:rFonts w:hint="cs"/>
          <w:b/>
          <w:bCs/>
          <w:rtl/>
        </w:rPr>
        <w:t>הפרק השני של החוק</w:t>
      </w:r>
      <w:r w:rsidRPr="00DB6F6A">
        <w:rPr>
          <w:rFonts w:hint="cs"/>
          <w:rtl/>
        </w:rPr>
        <w:t xml:space="preserve"> (סעיפים 18-11)</w:t>
      </w:r>
      <w:r w:rsidRPr="00DB6F6A">
        <w:rPr>
          <w:rFonts w:hint="cs"/>
          <w:b/>
          <w:bCs/>
          <w:rtl/>
        </w:rPr>
        <w:t xml:space="preserve"> מסדיר את סוגיית ניגודי העניינים</w:t>
      </w:r>
      <w:r>
        <w:rPr>
          <w:rFonts w:hint="cs"/>
          <w:rtl/>
        </w:rPr>
        <w:t>. הסעיף הראשון בפרק זה מגדיר מהם ניגודי עניינים. נושאי משרות בכירות צריכים לפעול למען האינטרסים הציבוריים ולהימנע מכך שאינטרסים פרטיים שלהם ישפיעו באופן לא ראוי על מילוי תפקידם.</w:t>
      </w:r>
      <w:r>
        <w:rPr>
          <w:rStyle w:val="ac"/>
          <w:rFonts w:hint="cs"/>
          <w:rtl/>
        </w:rPr>
        <w:t xml:space="preserve"> </w:t>
      </w:r>
      <w:r w:rsidRPr="007905C6">
        <w:rPr>
          <w:rFonts w:hint="cs"/>
          <w:b/>
          <w:bCs/>
          <w:rtl/>
        </w:rPr>
        <w:t>נושא משרה בכירה נתון בניגוד עניינים כאשר ההחלטה שהוא עומד לאמץ יכולה להשפיע על האינטרסים האישיים, הכלכליים או המקצועיים שלו, באופן שעלול להיטיב עמם או לפגוע בהם</w:t>
      </w:r>
      <w:r>
        <w:rPr>
          <w:rFonts w:hint="cs"/>
          <w:rtl/>
        </w:rPr>
        <w:t xml:space="preserve">. אינטרסים כאמור כוללים לא רק את אלה האישיים של נושא המשרה עצמו אלא גם של בני זוג ובני משפחה קרובים; של אנשים שאיתם יש לו עניינים הנתונים </w:t>
      </w:r>
      <w:r w:rsidR="00260764">
        <w:rPr>
          <w:rFonts w:hint="cs"/>
          <w:rtl/>
        </w:rPr>
        <w:t xml:space="preserve">בהתדיינות </w:t>
      </w:r>
      <w:r>
        <w:rPr>
          <w:rFonts w:hint="cs"/>
          <w:rtl/>
        </w:rPr>
        <w:t>משפטית; של אנשים שעמם יש לו קשרי ידידות אינטימיים או יחסים של איבה גלויה; של ישויות משפטיות או חברות פרטיות שאליהן היה קשור ביחסי עבודה או קשרים מקצועיים מכל סוג שהוא במהלך השנתיים שקדמו למינויו לתפקיד הציבורי; וכן של ישויות משפטיות או חברות פרטיות שבני משפחתו קשורים אליהן ביחסי עבודה או קשרים מקצועיים מסוג כלשהו שכרוכים במילוי פונקציות או מתן שירותים של ניהול, הדרכה וייעוץ.</w:t>
      </w:r>
      <w:r>
        <w:rPr>
          <w:rStyle w:val="ac"/>
          <w:rtl/>
        </w:rPr>
        <w:footnoteReference w:id="189"/>
      </w:r>
      <w:r>
        <w:rPr>
          <w:rFonts w:hint="cs"/>
          <w:rtl/>
        </w:rPr>
        <w:t xml:space="preserve"> </w:t>
      </w:r>
    </w:p>
    <w:p w:rsidR="00753462" w:rsidRDefault="00753462" w:rsidP="00DB6F6A">
      <w:pPr>
        <w:pStyle w:val="a4"/>
        <w:rPr>
          <w:rtl/>
        </w:rPr>
      </w:pPr>
      <w:r w:rsidRPr="007905C6">
        <w:rPr>
          <w:rFonts w:hint="cs"/>
          <w:b/>
          <w:bCs/>
          <w:rtl/>
        </w:rPr>
        <w:t>החוק מחייב</w:t>
      </w:r>
      <w:r w:rsidR="00260764">
        <w:rPr>
          <w:rFonts w:hint="cs"/>
          <w:b/>
          <w:bCs/>
          <w:rtl/>
        </w:rPr>
        <w:t>,</w:t>
      </w:r>
      <w:r w:rsidRPr="007905C6">
        <w:rPr>
          <w:rFonts w:hint="cs"/>
          <w:b/>
          <w:bCs/>
          <w:rtl/>
        </w:rPr>
        <w:t xml:space="preserve"> ככלל</w:t>
      </w:r>
      <w:r w:rsidR="00260764">
        <w:rPr>
          <w:rFonts w:hint="cs"/>
          <w:b/>
          <w:bCs/>
          <w:rtl/>
        </w:rPr>
        <w:t>,</w:t>
      </w:r>
      <w:r w:rsidRPr="007905C6">
        <w:rPr>
          <w:rFonts w:hint="cs"/>
          <w:b/>
          <w:bCs/>
          <w:rtl/>
        </w:rPr>
        <w:t xml:space="preserve"> את נושאי המשרות הבכירות להקדיש עצמם באופן בלעדי לתפקידם</w:t>
      </w:r>
      <w:r>
        <w:rPr>
          <w:rFonts w:hint="cs"/>
          <w:rtl/>
        </w:rPr>
        <w:t xml:space="preserve">, מבלי לשלב את העיסוק במשרתם עם משרות, תפקידים או עיסוקים אחרים כלשהם, בין אם במגזר הציבורי ובין אם בזה הפרטי. עם זאת, </w:t>
      </w:r>
      <w:r w:rsidRPr="007905C6">
        <w:rPr>
          <w:rFonts w:hint="cs"/>
          <w:b/>
          <w:bCs/>
          <w:rtl/>
        </w:rPr>
        <w:t>לכלל האמור ישנם כמה חריגים</w:t>
      </w:r>
      <w:r>
        <w:rPr>
          <w:rFonts w:hint="cs"/>
          <w:rtl/>
        </w:rPr>
        <w:t>, כמו למשל אם מדובר, בין השאר, בעיסוקים שמבחינה מוסדית מתיישבים עם אותה משרה או אף נגזרים מכוח התפקיד; במינוי לתפקיד נוסף מטעם הממשלה עצמה; ביצירה ספרותית, אמנותית או מדעית, בפרסומים הנובעים ממנה או מתן הרצאות מזדמנות וחריגות בכנסים, סמינרים וועידות, ובלבד שכל אלה אינם תוצרים של יחסי עבודה או מתן שירותים בתשלום לגופים אחרים ואין בהם כדי לפגום במילוי התפקיד הציבורי של נושא המשרה הבכירה באופן עצמאי וללא משוא-פנים.</w:t>
      </w:r>
      <w:r>
        <w:rPr>
          <w:rStyle w:val="ac"/>
          <w:rtl/>
        </w:rPr>
        <w:footnoteReference w:id="190"/>
      </w:r>
      <w:r>
        <w:rPr>
          <w:rFonts w:hint="cs"/>
          <w:rtl/>
        </w:rPr>
        <w:t xml:space="preserve"> כמו כן, </w:t>
      </w:r>
      <w:r w:rsidRPr="00753462">
        <w:rPr>
          <w:rFonts w:hint="cs"/>
          <w:b/>
          <w:bCs/>
          <w:rtl/>
        </w:rPr>
        <w:t>לנושאי משרות בכירות</w:t>
      </w:r>
      <w:r>
        <w:rPr>
          <w:rFonts w:hint="cs"/>
          <w:rtl/>
        </w:rPr>
        <w:t xml:space="preserve">, בין אם בעצמם ובין אם באמצעות גורמים מתווכים שפועלים בשמם, </w:t>
      </w:r>
      <w:r w:rsidRPr="00753462">
        <w:rPr>
          <w:rFonts w:hint="cs"/>
          <w:b/>
          <w:bCs/>
          <w:rtl/>
        </w:rPr>
        <w:t>אסור שיהיו אחזקות ישירות או עקיפות בשיעור של למעלה מ-10% בחברות</w:t>
      </w:r>
      <w:r>
        <w:rPr>
          <w:rFonts w:hint="cs"/>
          <w:rtl/>
        </w:rPr>
        <w:t xml:space="preserve"> </w:t>
      </w:r>
      <w:r w:rsidRPr="00753462">
        <w:rPr>
          <w:rFonts w:hint="cs"/>
          <w:b/>
          <w:bCs/>
          <w:rtl/>
        </w:rPr>
        <w:t>שיש להן התקשרויות חוזיות מסוג כלשהו עם המגזר הציבורי</w:t>
      </w:r>
      <w:r>
        <w:rPr>
          <w:rFonts w:hint="cs"/>
          <w:rtl/>
        </w:rPr>
        <w:t xml:space="preserve"> ברמה המדינתית, האוטונומית או המקומית </w:t>
      </w:r>
      <w:r w:rsidRPr="00753462">
        <w:rPr>
          <w:rFonts w:hint="cs"/>
          <w:b/>
          <w:bCs/>
          <w:rtl/>
        </w:rPr>
        <w:t>או בחברות שמקבלות סובסידיות או מענקים</w:t>
      </w:r>
      <w:r>
        <w:rPr>
          <w:rFonts w:hint="cs"/>
          <w:rtl/>
        </w:rPr>
        <w:t xml:space="preserve"> ממנהל ציבורי כלשהו.</w:t>
      </w:r>
      <w:r>
        <w:rPr>
          <w:rStyle w:val="ac"/>
          <w:rtl/>
        </w:rPr>
        <w:footnoteReference w:id="191"/>
      </w:r>
      <w:r>
        <w:rPr>
          <w:rFonts w:hint="cs"/>
          <w:rtl/>
        </w:rPr>
        <w:t xml:space="preserve">     </w:t>
      </w:r>
    </w:p>
    <w:p w:rsidR="00124BC2" w:rsidRDefault="00DB6F6A" w:rsidP="0060322A">
      <w:pPr>
        <w:pStyle w:val="a4"/>
        <w:rPr>
          <w:rtl/>
        </w:rPr>
      </w:pPr>
      <w:r>
        <w:rPr>
          <w:rFonts w:hint="cs"/>
          <w:rtl/>
        </w:rPr>
        <w:t xml:space="preserve">תחת הכותרת </w:t>
      </w:r>
      <w:r w:rsidRPr="007905C6">
        <w:rPr>
          <w:rFonts w:hint="cs"/>
          <w:b/>
          <w:bCs/>
          <w:rtl/>
        </w:rPr>
        <w:t>"מערכת התראה לזיהוי מוקדם של ניגודי עניינים"</w:t>
      </w:r>
      <w:r>
        <w:rPr>
          <w:rFonts w:hint="cs"/>
          <w:rtl/>
        </w:rPr>
        <w:t xml:space="preserve">, סעיף 12 לחוק עוסק בניסיון למנוע מלכתחילה מצבים </w:t>
      </w:r>
      <w:r w:rsidR="0060322A">
        <w:rPr>
          <w:rFonts w:hint="cs"/>
          <w:rtl/>
        </w:rPr>
        <w:t>של ניגוד עניינים</w:t>
      </w:r>
      <w:r>
        <w:rPr>
          <w:rFonts w:hint="cs"/>
          <w:rtl/>
        </w:rPr>
        <w:t>. הסעיף קובע כי נושאי משרות בכירות צריכים לבצע את תפקידיהם ולהוציא לפועל את סמכויותיהם מבלי להימצא במצב של ניגוד עניינים ואם נושא משרה כאמור נמצא במצב שכזה עליו להימנע מקבלת החלטה שמושפעת ממנו.</w:t>
      </w:r>
      <w:r>
        <w:rPr>
          <w:rStyle w:val="ac"/>
          <w:rtl/>
        </w:rPr>
        <w:footnoteReference w:id="192"/>
      </w:r>
      <w:r>
        <w:rPr>
          <w:rFonts w:hint="cs"/>
          <w:rtl/>
        </w:rPr>
        <w:t xml:space="preserve"> </w:t>
      </w:r>
    </w:p>
    <w:p w:rsidR="00124BC2" w:rsidRDefault="00124BC2" w:rsidP="00124BC2">
      <w:pPr>
        <w:pStyle w:val="a4"/>
        <w:rPr>
          <w:rtl/>
        </w:rPr>
      </w:pPr>
      <w:r>
        <w:rPr>
          <w:rFonts w:hint="cs"/>
          <w:rtl/>
        </w:rPr>
        <w:t xml:space="preserve">בתוך שלושה חודשים ממועד כניסתם לתפקיד או ממועד עזיבתם אותו, על-פי העניין, </w:t>
      </w:r>
      <w:r w:rsidRPr="00DF5166">
        <w:rPr>
          <w:rFonts w:hint="cs"/>
          <w:b/>
          <w:bCs/>
          <w:rtl/>
        </w:rPr>
        <w:t xml:space="preserve">נושאי משרה בכירים צריכים להגיש ל"מרשם הפעילויות" </w:t>
      </w:r>
      <w:r w:rsidRPr="004669AF">
        <w:rPr>
          <w:rFonts w:hint="cs"/>
          <w:rtl/>
        </w:rPr>
        <w:t>(</w:t>
      </w:r>
      <w:r w:rsidRPr="004669AF">
        <w:rPr>
          <w:lang w:val="es-ES"/>
        </w:rPr>
        <w:t>Registro de Actividades</w:t>
      </w:r>
      <w:r w:rsidRPr="00124BC2">
        <w:rPr>
          <w:rFonts w:hint="cs"/>
          <w:rtl/>
        </w:rPr>
        <w:t>)</w:t>
      </w:r>
      <w:r w:rsidRPr="00DF5166">
        <w:rPr>
          <w:rFonts w:hint="cs"/>
          <w:b/>
          <w:bCs/>
          <w:rtl/>
        </w:rPr>
        <w:t xml:space="preserve"> דוח שבו הם מפרטים את העיסוקים והפעילויות הכלכליות</w:t>
      </w:r>
      <w:r>
        <w:rPr>
          <w:rFonts w:hint="cs"/>
          <w:rtl/>
        </w:rPr>
        <w:t xml:space="preserve"> שביצעו במהלך השנתיים שקדמו לכניסתם לתפקיד או את אלה שבכוונתם לבצע במהלך השנתיים שלאחר עזיבתם אותו.</w:t>
      </w:r>
      <w:r>
        <w:rPr>
          <w:rStyle w:val="ac"/>
          <w:rtl/>
        </w:rPr>
        <w:footnoteReference w:id="193"/>
      </w:r>
      <w:r>
        <w:rPr>
          <w:rFonts w:hint="cs"/>
          <w:rtl/>
        </w:rPr>
        <w:t xml:space="preserve"> </w:t>
      </w:r>
    </w:p>
    <w:p w:rsidR="00DB6F6A" w:rsidRDefault="007905C6" w:rsidP="008C46B8">
      <w:pPr>
        <w:pStyle w:val="a4"/>
        <w:rPr>
          <w:rtl/>
        </w:rPr>
      </w:pPr>
      <w:r>
        <w:rPr>
          <w:rFonts w:hint="cs"/>
          <w:rtl/>
        </w:rPr>
        <w:t xml:space="preserve">בהתאם למידע שנושא המשרה הבכיר מסר בהצהרה על פעילויותיו (או בהתאם למידע נוסף שהוא עשוי להידרש למסור), </w:t>
      </w:r>
      <w:r w:rsidR="00DB6F6A" w:rsidRPr="007905C6">
        <w:rPr>
          <w:rFonts w:hint="cs"/>
          <w:b/>
          <w:bCs/>
          <w:rtl/>
        </w:rPr>
        <w:t>המשרד לניגודי עניינים</w:t>
      </w:r>
      <w:r w:rsidR="00DB6F6A">
        <w:rPr>
          <w:rFonts w:hint="cs"/>
          <w:rtl/>
        </w:rPr>
        <w:t xml:space="preserve"> </w:t>
      </w:r>
      <w:r w:rsidR="008C46B8" w:rsidRPr="004669AF">
        <w:rPr>
          <w:rFonts w:hint="cs"/>
          <w:rtl/>
        </w:rPr>
        <w:t>(</w:t>
      </w:r>
      <w:r w:rsidR="008C46B8" w:rsidRPr="004669AF">
        <w:rPr>
          <w:lang w:val="es-ES"/>
        </w:rPr>
        <w:t>Oficina de Conflictos de Intereses</w:t>
      </w:r>
      <w:r w:rsidR="008C46B8" w:rsidRPr="004669AF">
        <w:rPr>
          <w:rFonts w:hint="cs"/>
          <w:rtl/>
        </w:rPr>
        <w:t xml:space="preserve">; ראו </w:t>
      </w:r>
      <w:hyperlink w:anchor="המשרד_לניגודי_עניינים_ספרד" w:history="1">
        <w:r w:rsidR="008C46B8" w:rsidRPr="008C46B8">
          <w:rPr>
            <w:rStyle w:val="Hyperlink"/>
            <w:rFonts w:hint="cs"/>
            <w:rtl/>
          </w:rPr>
          <w:t>להלן</w:t>
        </w:r>
      </w:hyperlink>
      <w:r w:rsidR="008C46B8" w:rsidRPr="004669AF">
        <w:rPr>
          <w:rFonts w:hint="cs"/>
          <w:rtl/>
        </w:rPr>
        <w:t>)</w:t>
      </w:r>
      <w:r w:rsidR="00DB6F6A">
        <w:rPr>
          <w:rFonts w:hint="cs"/>
          <w:rtl/>
        </w:rPr>
        <w:t xml:space="preserve">, </w:t>
      </w:r>
      <w:r w:rsidR="00DB6F6A" w:rsidRPr="007905C6">
        <w:rPr>
          <w:rFonts w:hint="cs"/>
          <w:b/>
          <w:bCs/>
          <w:rtl/>
        </w:rPr>
        <w:t>יודיע לו מהם הסוגיות והעניינים שבאופן כללי הוא צריך להימנע מלעסוק בהם במסגרת כהונתו או מילוי תפקידו</w:t>
      </w:r>
      <w:r w:rsidR="00DB6F6A">
        <w:rPr>
          <w:rFonts w:hint="cs"/>
          <w:rtl/>
        </w:rPr>
        <w:t xml:space="preserve">. יצוין שכלל זה חל לגבי נושאי משרה בכירים </w:t>
      </w:r>
      <w:r w:rsidR="002E4409">
        <w:rPr>
          <w:rFonts w:hint="cs"/>
          <w:rtl/>
        </w:rPr>
        <w:t xml:space="preserve">מסוימים (המכונים </w:t>
      </w:r>
      <w:r w:rsidR="00DB6F6A">
        <w:rPr>
          <w:rFonts w:hint="cs"/>
          <w:rtl/>
        </w:rPr>
        <w:t xml:space="preserve">בעלי </w:t>
      </w:r>
      <w:r w:rsidR="00DB6F6A" w:rsidRPr="00CB3CE6">
        <w:rPr>
          <w:lang w:val="es-ES"/>
        </w:rPr>
        <w:t>condición de autoridad</w:t>
      </w:r>
      <w:r w:rsidR="002E4409">
        <w:rPr>
          <w:rFonts w:hint="cs"/>
          <w:rtl/>
          <w:lang w:val="es-ES"/>
        </w:rPr>
        <w:t>)</w:t>
      </w:r>
      <w:r w:rsidR="00DB6F6A">
        <w:rPr>
          <w:rFonts w:hint="cs"/>
          <w:rtl/>
        </w:rPr>
        <w:t>.</w:t>
      </w:r>
      <w:r w:rsidR="000E6391">
        <w:rPr>
          <w:rStyle w:val="ac"/>
          <w:rtl/>
        </w:rPr>
        <w:footnoteReference w:id="194"/>
      </w:r>
      <w:r w:rsidR="00DB6F6A">
        <w:rPr>
          <w:rFonts w:hint="cs"/>
          <w:rtl/>
        </w:rPr>
        <w:t xml:space="preserve"> גופים וארגונים שבהם נותנים שירותים נושאי משרה בכירים</w:t>
      </w:r>
      <w:r w:rsidR="0077254E">
        <w:rPr>
          <w:rFonts w:hint="cs"/>
          <w:rtl/>
        </w:rPr>
        <w:t xml:space="preserve"> אחרים,</w:t>
      </w:r>
      <w:r w:rsidR="00DB6F6A">
        <w:rPr>
          <w:rFonts w:hint="cs"/>
          <w:rtl/>
        </w:rPr>
        <w:t xml:space="preserve"> שאין להם </w:t>
      </w:r>
      <w:r w:rsidR="00DB6F6A" w:rsidRPr="00753462">
        <w:rPr>
          <w:lang w:val="es-ES"/>
        </w:rPr>
        <w:t>condición de autoridad</w:t>
      </w:r>
      <w:r w:rsidR="0077254E">
        <w:rPr>
          <w:rFonts w:hint="cs"/>
          <w:rtl/>
        </w:rPr>
        <w:t>,</w:t>
      </w:r>
      <w:r w:rsidR="00DB6F6A">
        <w:rPr>
          <w:rFonts w:hint="cs"/>
          <w:rtl/>
        </w:rPr>
        <w:t xml:space="preserve"> צריכים אף הם, על-פי החוק, </w:t>
      </w:r>
      <w:r w:rsidR="00DB6F6A" w:rsidRPr="0060322A">
        <w:rPr>
          <w:rFonts w:hint="cs"/>
          <w:b/>
          <w:bCs/>
          <w:rtl/>
        </w:rPr>
        <w:t>להנהיג פרוצדורות מתאימות על-מנת לזהות מבעוד מועד מצבים אפשריים של ניגודי עניינים</w:t>
      </w:r>
      <w:r w:rsidR="00DB6F6A">
        <w:rPr>
          <w:rFonts w:hint="cs"/>
          <w:rtl/>
        </w:rPr>
        <w:t xml:space="preserve"> וכדי שכאשר אותם נושאי משרות נקלעים למצבים שכאלה הם יימנעו (או שניתן יהיה למנוע מהם) לקבל החלטות בעניינים אלה. על הפרוצדורות הללו ועל תוצאות יישומן נדרשים אותם גופים וארגונים לדווח מדי שנה למשרד לניגודי עניינים.</w:t>
      </w:r>
      <w:r w:rsidR="00DB6F6A">
        <w:rPr>
          <w:rStyle w:val="ac"/>
          <w:rtl/>
        </w:rPr>
        <w:footnoteReference w:id="195"/>
      </w:r>
      <w:r w:rsidR="00DB6F6A">
        <w:rPr>
          <w:rFonts w:hint="cs"/>
          <w:rtl/>
        </w:rPr>
        <w:t xml:space="preserve"> </w:t>
      </w:r>
    </w:p>
    <w:p w:rsidR="00DB6F6A" w:rsidRDefault="00DB6F6A" w:rsidP="00DB6F6A">
      <w:pPr>
        <w:pStyle w:val="a4"/>
        <w:rPr>
          <w:rtl/>
        </w:rPr>
      </w:pPr>
      <w:r w:rsidRPr="007905C6">
        <w:rPr>
          <w:rFonts w:hint="cs"/>
          <w:b/>
          <w:bCs/>
          <w:rtl/>
        </w:rPr>
        <w:t xml:space="preserve">הימנעות נושא המשרה הבכירה מטיפול או מקבלת החלטה בנושא מסוים בשל ניגוד עניינים תירשם בכתב ותדווח לממונים </w:t>
      </w:r>
      <w:r>
        <w:rPr>
          <w:rFonts w:hint="cs"/>
          <w:rtl/>
        </w:rPr>
        <w:t xml:space="preserve">עליו או לגוף שמינה אותו לתפקיד. </w:t>
      </w:r>
      <w:r w:rsidRPr="007905C6">
        <w:rPr>
          <w:rFonts w:hint="cs"/>
          <w:b/>
          <w:bCs/>
          <w:rtl/>
        </w:rPr>
        <w:t>בתוך חודש ימים נושא המשרה הבכירה נדרש לדווח על כך גם למרשם הפעילויות</w:t>
      </w:r>
      <w:r>
        <w:rPr>
          <w:rFonts w:hint="cs"/>
          <w:rtl/>
        </w:rPr>
        <w:t xml:space="preserve">, שבו תתועד אותה הימנעות. במקרה שההימנעות מהצבעה או מהחלטה </w:t>
      </w:r>
      <w:proofErr w:type="spellStart"/>
      <w:r>
        <w:rPr>
          <w:rFonts w:hint="cs"/>
          <w:rtl/>
        </w:rPr>
        <w:t>היתה</w:t>
      </w:r>
      <w:proofErr w:type="spellEnd"/>
      <w:r>
        <w:rPr>
          <w:rFonts w:hint="cs"/>
          <w:rtl/>
        </w:rPr>
        <w:t xml:space="preserve"> במסגרת ישיבה של גוף קולגיאלי שבו חבר נושא המשרה הבכירה, רישום הדבר בפרוטוקול של אותה ישיבה מהווה תחליף לדיווח על כך לממונים על אותו נושא משרה או לגוף שמינה אותו לתפקיד. עם זאת, המזכיר של אותו גוף קולגיאלי צריך לדווח על כך למרשם הפעילויות.</w:t>
      </w:r>
      <w:r>
        <w:rPr>
          <w:rStyle w:val="ac"/>
          <w:rtl/>
        </w:rPr>
        <w:footnoteReference w:id="196"/>
      </w:r>
      <w:r>
        <w:rPr>
          <w:rFonts w:hint="cs"/>
          <w:rtl/>
        </w:rPr>
        <w:t xml:space="preserve"> בכל מקרה, נושא המשרה הבכירה רשאי </w:t>
      </w:r>
      <w:r w:rsidR="00260764">
        <w:rPr>
          <w:rFonts w:hint="cs"/>
          <w:rtl/>
        </w:rPr>
        <w:t xml:space="preserve">לפנות </w:t>
      </w:r>
      <w:r>
        <w:rPr>
          <w:rFonts w:hint="cs"/>
          <w:rtl/>
        </w:rPr>
        <w:t>מצדו</w:t>
      </w:r>
      <w:r w:rsidR="00260764">
        <w:rPr>
          <w:rFonts w:hint="cs"/>
          <w:rtl/>
        </w:rPr>
        <w:t>,</w:t>
      </w:r>
      <w:r>
        <w:rPr>
          <w:rFonts w:hint="cs"/>
          <w:rtl/>
        </w:rPr>
        <w:t xml:space="preserve"> בכל עת</w:t>
      </w:r>
      <w:r w:rsidR="00260764">
        <w:rPr>
          <w:rFonts w:hint="cs"/>
          <w:rtl/>
        </w:rPr>
        <w:t>,</w:t>
      </w:r>
      <w:r>
        <w:rPr>
          <w:rFonts w:hint="cs"/>
          <w:rtl/>
        </w:rPr>
        <w:t xml:space="preserve"> לפנות למשרד לניגודי עניינים כדי להיוועץ בשאלת כשירותו לעסוק בנושא מסוים.</w:t>
      </w:r>
      <w:r>
        <w:rPr>
          <w:rStyle w:val="ac"/>
          <w:rtl/>
        </w:rPr>
        <w:footnoteReference w:id="197"/>
      </w:r>
      <w:r>
        <w:rPr>
          <w:rFonts w:hint="cs"/>
          <w:rtl/>
        </w:rPr>
        <w:t xml:space="preserve"> </w:t>
      </w:r>
    </w:p>
    <w:p w:rsidR="00124BC2" w:rsidRDefault="00DB6F6A" w:rsidP="00124BC2">
      <w:pPr>
        <w:pStyle w:val="a4"/>
        <w:rPr>
          <w:rtl/>
        </w:rPr>
      </w:pPr>
      <w:r>
        <w:rPr>
          <w:rFonts w:hint="cs"/>
          <w:rtl/>
        </w:rPr>
        <w:t xml:space="preserve">בדומה לאמור לעיל בנוגע למרשם הפעילויות, בתוך שלושה חודשים ממועד כניסתם לתפקיד או ממועד עזיבתם אותו, על-פי העניין, </w:t>
      </w:r>
      <w:r w:rsidRPr="000E2638">
        <w:rPr>
          <w:rFonts w:hint="cs"/>
          <w:b/>
          <w:bCs/>
          <w:rtl/>
        </w:rPr>
        <w:t>נושאי משרה בכירים צריכים להגיש ל"מרשם הזכויות והנכסים הכלכליים"</w:t>
      </w:r>
      <w:r>
        <w:rPr>
          <w:rFonts w:hint="cs"/>
          <w:rtl/>
        </w:rPr>
        <w:t xml:space="preserve"> (</w:t>
      </w:r>
      <w:r w:rsidRPr="00753462">
        <w:rPr>
          <w:lang w:val="es-ES"/>
        </w:rPr>
        <w:t>Registro de Bienes y Derechos Patrimoniales</w:t>
      </w:r>
      <w:r>
        <w:rPr>
          <w:rFonts w:hint="cs"/>
          <w:rtl/>
        </w:rPr>
        <w:t>) אישור על ההצהרה השנתית האחרונה שהגישו</w:t>
      </w:r>
      <w:r>
        <w:t xml:space="preserve"> </w:t>
      </w:r>
      <w:r>
        <w:rPr>
          <w:rFonts w:hint="cs"/>
          <w:rtl/>
        </w:rPr>
        <w:t xml:space="preserve">בנוגע למס על רכושם, </w:t>
      </w:r>
      <w:r w:rsidR="00124BC2">
        <w:rPr>
          <w:rFonts w:hint="cs"/>
          <w:rtl/>
        </w:rPr>
        <w:t>או הצהרה שוות ערך, וכן הצהרה על מס ההכנסה ששילמו</w:t>
      </w:r>
      <w:r w:rsidR="00124BC2" w:rsidRPr="00124BC2">
        <w:rPr>
          <w:rFonts w:hint="cs"/>
          <w:rtl/>
        </w:rPr>
        <w:t xml:space="preserve"> </w:t>
      </w:r>
      <w:r w:rsidR="00124BC2">
        <w:rPr>
          <w:rFonts w:hint="cs"/>
          <w:rtl/>
        </w:rPr>
        <w:t>במועד תחילת תפקידם הציבורי ובמועד סיומו, וכך גם מדי שנה לאורך תקופת כהונתם.</w:t>
      </w:r>
      <w:r>
        <w:rPr>
          <w:rStyle w:val="ac"/>
          <w:rtl/>
        </w:rPr>
        <w:footnoteReference w:id="198"/>
      </w:r>
      <w:r>
        <w:rPr>
          <w:rFonts w:hint="cs"/>
          <w:rtl/>
        </w:rPr>
        <w:t xml:space="preserve"> </w:t>
      </w:r>
    </w:p>
    <w:p w:rsidR="00DB6F6A" w:rsidRDefault="00A74F6C" w:rsidP="000E2638">
      <w:pPr>
        <w:pStyle w:val="11"/>
        <w:rPr>
          <w:rtl/>
        </w:rPr>
      </w:pPr>
      <w:r>
        <w:rPr>
          <w:rFonts w:hint="cs"/>
          <w:rtl/>
        </w:rPr>
        <w:t>אמצעים ל</w:t>
      </w:r>
      <w:r w:rsidR="000E2638">
        <w:rPr>
          <w:rFonts w:hint="cs"/>
          <w:rtl/>
        </w:rPr>
        <w:t>פיקוח</w:t>
      </w:r>
      <w:r>
        <w:rPr>
          <w:rFonts w:hint="cs"/>
          <w:rtl/>
        </w:rPr>
        <w:t xml:space="preserve"> ולאכיפה </w:t>
      </w:r>
    </w:p>
    <w:p w:rsidR="00DB6F6A" w:rsidRDefault="00DB6F6A" w:rsidP="00426035">
      <w:pPr>
        <w:pStyle w:val="a4"/>
        <w:rPr>
          <w:rtl/>
        </w:rPr>
      </w:pPr>
      <w:bookmarkStart w:id="10" w:name="המשרד_לניגודי_עניינים_ספרד"/>
      <w:bookmarkEnd w:id="10"/>
      <w:r>
        <w:rPr>
          <w:rFonts w:hint="cs"/>
          <w:rtl/>
        </w:rPr>
        <w:t xml:space="preserve">חלקו השלישי של החוק (סעיפים 24-19) עוסק </w:t>
      </w:r>
      <w:r w:rsidRPr="008C46B8">
        <w:rPr>
          <w:rFonts w:hint="cs"/>
          <w:b/>
          <w:bCs/>
          <w:rtl/>
        </w:rPr>
        <w:t>במנגנוני הבקרה והפיקוח על נושאי משרה בכירים</w:t>
      </w:r>
      <w:r>
        <w:rPr>
          <w:rFonts w:hint="cs"/>
          <w:rtl/>
        </w:rPr>
        <w:t xml:space="preserve"> ובראשם </w:t>
      </w:r>
      <w:r w:rsidRPr="008C46B8">
        <w:rPr>
          <w:rFonts w:hint="cs"/>
          <w:b/>
          <w:bCs/>
          <w:rtl/>
        </w:rPr>
        <w:t>המשרד לניגודי עניינים</w:t>
      </w:r>
      <w:r>
        <w:rPr>
          <w:rFonts w:hint="cs"/>
          <w:rtl/>
        </w:rPr>
        <w:t xml:space="preserve"> </w:t>
      </w:r>
      <w:r w:rsidR="008C46B8">
        <w:rPr>
          <w:rtl/>
        </w:rPr>
        <w:t>–</w:t>
      </w:r>
      <w:r>
        <w:rPr>
          <w:rFonts w:hint="cs"/>
          <w:rtl/>
        </w:rPr>
        <w:t xml:space="preserve"> גוף</w:t>
      </w:r>
      <w:r w:rsidR="008C46B8">
        <w:rPr>
          <w:rFonts w:hint="cs"/>
          <w:rtl/>
        </w:rPr>
        <w:t xml:space="preserve"> </w:t>
      </w:r>
      <w:r>
        <w:rPr>
          <w:rFonts w:hint="cs"/>
          <w:rtl/>
        </w:rPr>
        <w:t>אוטונומי המשויך למשרד האוצר והמנהלים הציבוריים (</w:t>
      </w:r>
      <w:r w:rsidRPr="00753462">
        <w:rPr>
          <w:lang w:val="es-ES"/>
        </w:rPr>
        <w:t>Ministerio de Hacienda y Administraciones Públicas</w:t>
      </w:r>
      <w:r>
        <w:rPr>
          <w:rFonts w:hint="cs"/>
          <w:rtl/>
        </w:rPr>
        <w:t>). מנהל המשרד לניגודי עניינים מתמנה לתפקידו בידי הממשלה, על-פי הצעת השר הממונה על משרד האוצר והמנהלים הציבוריים ולאחר שהמועמד לתפקיד הופיע בפני הוועדה המתאימה של בית הנבחרים.</w:t>
      </w:r>
      <w:r>
        <w:rPr>
          <w:rStyle w:val="ac"/>
          <w:rtl/>
        </w:rPr>
        <w:footnoteReference w:id="199"/>
      </w:r>
      <w:r>
        <w:rPr>
          <w:rFonts w:hint="cs"/>
          <w:rtl/>
        </w:rPr>
        <w:t xml:space="preserve"> במסגרת תפקידיו אחראי המשרד לניגודי עניינים, בין השאר, על הכנת הדוחות וקבלת הדיווחים הנדרשים על-פי חוק זה; על בחינת התאמתם של נושאי המשרות הבכירות לעיסוק בתחומים שונים מטעמים של ניגוד עניינים; ועל ניהול "מרשם הפעילויות" ו"מרשם הזכויות והנכסים הכלכליים" של אותם נושאי משרות.</w:t>
      </w:r>
      <w:r>
        <w:rPr>
          <w:rStyle w:val="ac"/>
          <w:rtl/>
        </w:rPr>
        <w:footnoteReference w:id="200"/>
      </w:r>
      <w:r>
        <w:rPr>
          <w:rFonts w:hint="cs"/>
          <w:rtl/>
        </w:rPr>
        <w:t xml:space="preserve"> על כל הסוכנויות, הארגונים והגופים הציבוריים, כמו גם חברות וגופים פרטיים, חלה חובה לשתף פעולה עם המשרד לניגודי עניינים במטרה לאתר הפרות של ההוראות המפורטות בחוק זה. החוק מדגיש במיוחד את </w:t>
      </w:r>
      <w:r w:rsidR="00260764">
        <w:rPr>
          <w:rFonts w:hint="cs"/>
          <w:rtl/>
        </w:rPr>
        <w:t xml:space="preserve">סמכותו </w:t>
      </w:r>
      <w:r>
        <w:rPr>
          <w:rFonts w:hint="cs"/>
          <w:rtl/>
        </w:rPr>
        <w:t>של המשרד לניגודי עניינים לפנות בבקשות מידע לרשויות הביטוח הלאומי כדי לאמת את מצב התעסוקה של מי שסיימו לכהן בתפקיד ציבורי בכיר.</w:t>
      </w:r>
      <w:r>
        <w:rPr>
          <w:rStyle w:val="ac"/>
          <w:rtl/>
        </w:rPr>
        <w:footnoteReference w:id="201"/>
      </w:r>
      <w:r>
        <w:rPr>
          <w:rFonts w:hint="cs"/>
          <w:rtl/>
        </w:rPr>
        <w:t xml:space="preserve"> </w:t>
      </w:r>
    </w:p>
    <w:p w:rsidR="00DB6F6A" w:rsidRDefault="00DB6F6A" w:rsidP="00CB3CE6">
      <w:pPr>
        <w:pStyle w:val="a4"/>
        <w:rPr>
          <w:rtl/>
        </w:rPr>
      </w:pPr>
      <w:r>
        <w:rPr>
          <w:rFonts w:hint="cs"/>
          <w:rtl/>
        </w:rPr>
        <w:t xml:space="preserve">באשר למרשמים האמורים שמנוהלים בידי המשרד לניגודי עניינים, יצוין כי בעוד </w:t>
      </w:r>
      <w:r w:rsidRPr="005B43F3">
        <w:rPr>
          <w:rFonts w:hint="cs"/>
          <w:b/>
          <w:bCs/>
          <w:rtl/>
        </w:rPr>
        <w:t>שמרשם הפעילויות הוא מרשם בעל אופי ציבורי</w:t>
      </w:r>
      <w:r>
        <w:rPr>
          <w:rFonts w:hint="cs"/>
          <w:rtl/>
        </w:rPr>
        <w:t xml:space="preserve">, </w:t>
      </w:r>
      <w:r w:rsidRPr="005B43F3">
        <w:rPr>
          <w:rFonts w:hint="cs"/>
          <w:b/>
          <w:bCs/>
          <w:rtl/>
        </w:rPr>
        <w:t>מרשם הזכויות והנכסים הכלכליים הוא מרשם חסוי</w:t>
      </w:r>
      <w:r>
        <w:rPr>
          <w:rFonts w:hint="cs"/>
          <w:rtl/>
        </w:rPr>
        <w:t>, שהגישה אליו מוגבלת, פרט למי שנוגע בדבר, רק למספר גורמים המנויים בחוק (שני בתי הפרלמנט, ועדות חקירה פרלמנטריות, בתי המשפט ומשרד התובע הכללי).</w:t>
      </w:r>
      <w:r>
        <w:rPr>
          <w:rStyle w:val="ac"/>
          <w:rtl/>
        </w:rPr>
        <w:footnoteReference w:id="202"/>
      </w:r>
      <w:r>
        <w:rPr>
          <w:rFonts w:hint="cs"/>
          <w:rtl/>
        </w:rPr>
        <w:t xml:space="preserve"> עם זאת, תוכן הצהרותיהם של שרי הממשלה, מזכירי המדינה ושאר נושאי המשרה הבכירים בנוגע לזכויותיהם ונכסיהם הכלכליים </w:t>
      </w:r>
      <w:r w:rsidRPr="00CB3CE6">
        <w:rPr>
          <w:rtl/>
        </w:rPr>
        <w:t xml:space="preserve">(הצהרות </w:t>
      </w:r>
      <w:r w:rsidRPr="00CB3CE6">
        <w:rPr>
          <w:rFonts w:hint="eastAsia"/>
          <w:rtl/>
        </w:rPr>
        <w:t>הון</w:t>
      </w:r>
      <w:r w:rsidRPr="00CB3CE6">
        <w:rPr>
          <w:rtl/>
        </w:rPr>
        <w:t>)</w:t>
      </w:r>
      <w:r>
        <w:rPr>
          <w:rFonts w:hint="cs"/>
          <w:rtl/>
        </w:rPr>
        <w:t xml:space="preserve"> יתפרסם ברשומות בהתאם לחוק. באשר לנכסים, הצהרה מקיפה על מצבם הפיננסי של אותם נושאי משרות תתפרסם תוך השמטת הנתונים המתייחסים למיקום הנכסים ותוך שמירת פרטיותם וביטחונם של בעליהם.</w:t>
      </w:r>
      <w:r>
        <w:rPr>
          <w:rStyle w:val="ac"/>
          <w:rtl/>
        </w:rPr>
        <w:footnoteReference w:id="203"/>
      </w:r>
      <w:r>
        <w:rPr>
          <w:rFonts w:hint="cs"/>
          <w:rtl/>
        </w:rPr>
        <w:t xml:space="preserve"> </w:t>
      </w:r>
    </w:p>
    <w:p w:rsidR="00DB6F6A" w:rsidRDefault="00DB6F6A" w:rsidP="00DB6F6A">
      <w:pPr>
        <w:pStyle w:val="a4"/>
        <w:rPr>
          <w:rtl/>
        </w:rPr>
      </w:pPr>
      <w:r>
        <w:rPr>
          <w:rFonts w:hint="cs"/>
          <w:rtl/>
        </w:rPr>
        <w:t xml:space="preserve">כדי להבטיח את שקיפות פעולותיו, </w:t>
      </w:r>
      <w:r w:rsidRPr="00A74F6C">
        <w:rPr>
          <w:rFonts w:hint="cs"/>
          <w:b/>
          <w:bCs/>
          <w:rtl/>
        </w:rPr>
        <w:t>כל חצי שנה המשרד לניגודי עניינים יגיש לממשלה דוח</w:t>
      </w:r>
      <w:r>
        <w:rPr>
          <w:rFonts w:hint="cs"/>
          <w:rtl/>
        </w:rPr>
        <w:t xml:space="preserve">, שיועבר לבית הנבחרים, על מילוי חובות ההצהרה האמורות של אותם נושאי משרה בכירים ועל הפרות הוראות החוק הרלוונטיות שבוצעו על-ידם, תוך ציון האחראים לכך. הדוח יפרט כמה הצהרות התקבלו מכל נושא משרה בכיר, את הפניות שהופנו אליו לגבי הצהרות שלא התקבלו ממנו ויצוינו בו פרטיהם של אותם נושאי משרות שלא מילאו אחר חובותיהם האמורות. במידה שננקטו נגדם הליכי סנקציות, העתק ההחלטה על כך יישלח לנשיאות בית הנבחרים. הדוח האמור יכלול גם מידע נוסף בנוגע לכל האמור לעיל, שבו </w:t>
      </w:r>
      <w:r w:rsidRPr="00891D39">
        <w:rPr>
          <w:rFonts w:hint="cs"/>
          <w:u w:val="single"/>
          <w:rtl/>
        </w:rPr>
        <w:t>לא</w:t>
      </w:r>
      <w:r>
        <w:rPr>
          <w:rFonts w:hint="cs"/>
          <w:rtl/>
        </w:rPr>
        <w:t xml:space="preserve"> יצוינו פרטיהם האישיים של נושאי המשרות הרלוונטיים ומידע נוסף זה יתפרסם ברשומות.</w:t>
      </w:r>
      <w:r>
        <w:rPr>
          <w:rStyle w:val="ac"/>
          <w:rtl/>
        </w:rPr>
        <w:footnoteReference w:id="204"/>
      </w:r>
    </w:p>
    <w:p w:rsidR="00DB6F6A" w:rsidRDefault="00DB6F6A" w:rsidP="00426035">
      <w:pPr>
        <w:pStyle w:val="a4"/>
        <w:rPr>
          <w:rtl/>
        </w:rPr>
      </w:pPr>
      <w:r>
        <w:rPr>
          <w:rFonts w:hint="cs"/>
          <w:rtl/>
        </w:rPr>
        <w:t>עם סיום כהונתם, המשרד לניגודי עניינים יבחן את מצבם הפיננסי של נושאי המשרה הבכירים כדי לוודא שאכן מ</w:t>
      </w:r>
      <w:r w:rsidR="00260764">
        <w:rPr>
          <w:rFonts w:hint="cs"/>
          <w:rtl/>
        </w:rPr>
        <w:t>י</w:t>
      </w:r>
      <w:r>
        <w:rPr>
          <w:rFonts w:hint="cs"/>
          <w:rtl/>
        </w:rPr>
        <w:t xml:space="preserve">לאו את כל חובותיהם על-פי </w:t>
      </w:r>
      <w:r w:rsidR="00260764">
        <w:rPr>
          <w:rFonts w:hint="cs"/>
          <w:rtl/>
        </w:rPr>
        <w:t>ה</w:t>
      </w:r>
      <w:r>
        <w:rPr>
          <w:rFonts w:hint="cs"/>
          <w:rtl/>
        </w:rPr>
        <w:t>חוק וכדי לבדוק אם לא התעשרו שלא כדין במהלך כהונתם בתפקיד, כאשר לצורך זה יילקחו בחשבון הכנסותיהם מהמשרה שבה החזיקו וההתפתחות שחלה במצבם הכלכלי לאורך תקופה זו.</w:t>
      </w:r>
      <w:r>
        <w:rPr>
          <w:rStyle w:val="ac"/>
          <w:rtl/>
        </w:rPr>
        <w:footnoteReference w:id="205"/>
      </w:r>
      <w:r>
        <w:rPr>
          <w:rFonts w:hint="cs"/>
          <w:rtl/>
        </w:rPr>
        <w:t xml:space="preserve"> בהתאם לכך, בתוך שלושה חודשים ממועד סיום כהונתו של נושא המשרה, המשרד לניגודי עניינים יכין דוח על מצבו הכלכלי. נושא המשרה שמצבו הכלכלי נתון לבדיקה כאמור צריך למסור למשרד לניגודי עניינים את כל המידע שנדרש ממנו לשם הכנת הדוח בעניינו. עוד בטרם אישורו הסופי של הדוח תינתן לנושא המשרה הזדמנות לקרוא אותו ובתוך 15 ימים ממועד קבלתו הוא יוכל להגיב על תוכנו אם ברצונו לעשות זאת. לאחר מכן הדוח יאושר סופית ויימסר לנושא המשרה. אם מהנתונים והעובדות שנבדקו בדוח עולות אינדיקציות להתעשרות שלא כדין, המשרד לניגודי עניינים יוכל לבקש מרשויות המס את שיתוף הפעולה שלה</w:t>
      </w:r>
      <w:r w:rsidR="0077254E">
        <w:rPr>
          <w:rFonts w:hint="cs"/>
          <w:rtl/>
        </w:rPr>
        <w:t>ן</w:t>
      </w:r>
      <w:r>
        <w:rPr>
          <w:rFonts w:hint="cs"/>
          <w:rtl/>
        </w:rPr>
        <w:t xml:space="preserve"> לצורך הבהרת המידע הרלוונטי. אם בעקבות הליך זה מתעורר חשד לעבירות מנהליות או פליליות, המידע האמור יועבר לרשויות המוסמכות שיוכלו לנקוט בהליכים המתאימים. מדי חצי שנה המשרד לניגודי עניינים ידווח לממשלה על פעולותיו אלה.</w:t>
      </w:r>
      <w:r>
        <w:rPr>
          <w:rStyle w:val="ac"/>
          <w:rtl/>
        </w:rPr>
        <w:footnoteReference w:id="206"/>
      </w:r>
      <w:r>
        <w:rPr>
          <w:rFonts w:hint="cs"/>
          <w:rtl/>
        </w:rPr>
        <w:t xml:space="preserve">        </w:t>
      </w:r>
    </w:p>
    <w:p w:rsidR="00DB6F6A" w:rsidRDefault="00DB6F6A" w:rsidP="00426035">
      <w:pPr>
        <w:pStyle w:val="a4"/>
        <w:rPr>
          <w:rtl/>
        </w:rPr>
      </w:pPr>
      <w:r>
        <w:rPr>
          <w:rFonts w:hint="cs"/>
          <w:rtl/>
        </w:rPr>
        <w:t xml:space="preserve">חלקו הרביעי והאחרון של החוק עוסק </w:t>
      </w:r>
      <w:r w:rsidRPr="00A74F6C">
        <w:rPr>
          <w:rFonts w:hint="cs"/>
          <w:b/>
          <w:bCs/>
          <w:rtl/>
        </w:rPr>
        <w:t xml:space="preserve">במשטר הסנקציות שניתן לנקוט בהן בגין הפרת </w:t>
      </w:r>
      <w:r w:rsidR="00260764">
        <w:rPr>
          <w:rFonts w:hint="cs"/>
          <w:b/>
          <w:bCs/>
          <w:rtl/>
        </w:rPr>
        <w:t>הוראותיו</w:t>
      </w:r>
      <w:r>
        <w:rPr>
          <w:rFonts w:hint="cs"/>
          <w:rtl/>
        </w:rPr>
        <w:t>. הפרות אלה נחלקות לשלוש קטגוריות: הפרות חמורות מאד (למשל, מתן הצהרות כוזבות), הפרות חמורות (למשל, השמטה מכוונת של נתונים ומסמכים שהיו אמורים להימסר על-פי הוראות החוק) והפרות קלות.</w:t>
      </w:r>
      <w:r>
        <w:rPr>
          <w:rStyle w:val="ac"/>
          <w:rtl/>
        </w:rPr>
        <w:footnoteReference w:id="207"/>
      </w:r>
      <w:r>
        <w:rPr>
          <w:rFonts w:hint="cs"/>
          <w:rtl/>
        </w:rPr>
        <w:t xml:space="preserve"> הפרות חמורות או חמורות מאד יגררו עמן הצהרה שתתפרסם ברשומות על כך שנושא המשרה לא מילא אחר הוראות החוק. בנוסף, הפרה חמורה מאד של החוק תגרור את פיטוריו של נושא המשרה (אלא אם כן הוא כבר סיים את תפקידו); בחלק מן המקרים הוא יאבד את זכותו לקבל פיצויים עם סיום עבודתו הציבורית וכן הוא יידרש להחזיר כספים ששולמו לו שלא כדין בנוגע לאותם פיצויים. בצד כל אלה, היבטים פליליים של הפרות הוראות החוק יועברו לטיפול רשויות התביעה המוסמכות. כמו כן, נושאי משרה בכירים שביצעו הפרות חמורות או חמורות מאד של הוראות </w:t>
      </w:r>
      <w:r w:rsidR="00260764">
        <w:rPr>
          <w:rFonts w:hint="cs"/>
          <w:rtl/>
        </w:rPr>
        <w:t>ה</w:t>
      </w:r>
      <w:r>
        <w:rPr>
          <w:rFonts w:hint="cs"/>
          <w:rtl/>
        </w:rPr>
        <w:t xml:space="preserve">חוק לא יוכלו להתמנות למשרות בכירות לתקופה של בין </w:t>
      </w:r>
      <w:r w:rsidR="00A74F6C">
        <w:rPr>
          <w:rFonts w:hint="cs"/>
          <w:rtl/>
        </w:rPr>
        <w:t xml:space="preserve">חמש לעשר </w:t>
      </w:r>
      <w:r>
        <w:rPr>
          <w:rFonts w:hint="cs"/>
          <w:rtl/>
        </w:rPr>
        <w:t xml:space="preserve">שנים. הסנקציה </w:t>
      </w:r>
      <w:r w:rsidR="00426035">
        <w:rPr>
          <w:rFonts w:hint="cs"/>
          <w:rtl/>
        </w:rPr>
        <w:t xml:space="preserve">בגין </w:t>
      </w:r>
      <w:r>
        <w:rPr>
          <w:rFonts w:hint="cs"/>
          <w:rtl/>
        </w:rPr>
        <w:t>הפרה קלה של החוק היא נזיפה או אזהרה.</w:t>
      </w:r>
      <w:r>
        <w:rPr>
          <w:rStyle w:val="ac"/>
          <w:rtl/>
        </w:rPr>
        <w:footnoteReference w:id="208"/>
      </w:r>
      <w:r>
        <w:rPr>
          <w:rFonts w:hint="cs"/>
          <w:rtl/>
        </w:rPr>
        <w:t xml:space="preserve"> </w:t>
      </w:r>
    </w:p>
    <w:p w:rsidR="00DB6F6A" w:rsidRDefault="00DB6F6A" w:rsidP="00C735A4">
      <w:pPr>
        <w:pStyle w:val="a4"/>
        <w:rPr>
          <w:rtl/>
        </w:rPr>
      </w:pPr>
    </w:p>
    <w:p w:rsidR="005B69A4" w:rsidRDefault="00D44771" w:rsidP="005B69A4">
      <w:pPr>
        <w:pStyle w:val="1"/>
        <w:ind w:left="357" w:right="11" w:hanging="357"/>
        <w:rPr>
          <w:sz w:val="22"/>
          <w:rtl/>
          <w:lang w:eastAsia="en-US"/>
        </w:rPr>
      </w:pPr>
      <w:r w:rsidRPr="00D44771">
        <w:rPr>
          <w:sz w:val="22"/>
          <w:rtl/>
          <w:lang w:eastAsia="en-US"/>
        </w:rPr>
        <w:t>צרפת</w:t>
      </w:r>
      <w:r w:rsidR="00955378" w:rsidRPr="00955378">
        <w:rPr>
          <w:rStyle w:val="ac"/>
          <w:b w:val="0"/>
          <w:bCs w:val="0"/>
          <w:sz w:val="18"/>
          <w:szCs w:val="24"/>
          <w:rtl/>
          <w:lang w:eastAsia="en-US"/>
        </w:rPr>
        <w:footnoteReference w:id="209"/>
      </w:r>
    </w:p>
    <w:p w:rsidR="005B69A4" w:rsidRDefault="005B69A4" w:rsidP="00F05C5A">
      <w:pPr>
        <w:pStyle w:val="a4"/>
        <w:rPr>
          <w:rtl/>
        </w:rPr>
      </w:pPr>
      <w:r>
        <w:rPr>
          <w:rFonts w:hint="cs"/>
          <w:rtl/>
        </w:rPr>
        <w:t>בצרפת כ-14,000 נבחרי ציבור ועובדי ציבור בכירים מחויבים להגיש הצהרות על האינטרסים הפרטיים והציבוריים שלהם</w:t>
      </w:r>
      <w:r w:rsidR="00F05C5A">
        <w:rPr>
          <w:rFonts w:hint="cs"/>
          <w:rtl/>
        </w:rPr>
        <w:t xml:space="preserve"> לרשות ייעודי</w:t>
      </w:r>
      <w:r w:rsidR="00F05C5A">
        <w:rPr>
          <w:rFonts w:hint="eastAsia"/>
          <w:rtl/>
        </w:rPr>
        <w:t>ת</w:t>
      </w:r>
      <w:r w:rsidR="00F05C5A">
        <w:rPr>
          <w:rFonts w:hint="cs"/>
          <w:rtl/>
        </w:rPr>
        <w:t xml:space="preserve"> שבין תפקידיה לבדוק את ההצהרות</w:t>
      </w:r>
      <w:r>
        <w:rPr>
          <w:rFonts w:hint="cs"/>
          <w:rtl/>
        </w:rPr>
        <w:t xml:space="preserve">. ההצהרות של נבחרי הציבור מתפרסמות לציבור. </w:t>
      </w:r>
    </w:p>
    <w:p w:rsidR="0066504F" w:rsidRPr="0066504F" w:rsidRDefault="00955378" w:rsidP="0066504F">
      <w:pPr>
        <w:pStyle w:val="11"/>
        <w:rPr>
          <w:sz w:val="26"/>
          <w:rtl/>
        </w:rPr>
      </w:pPr>
      <w:r>
        <w:rPr>
          <w:rFonts w:hint="cs"/>
          <w:sz w:val="26"/>
          <w:rtl/>
        </w:rPr>
        <w:t>רקע</w:t>
      </w:r>
    </w:p>
    <w:p w:rsidR="00D44771" w:rsidRPr="004F275F" w:rsidRDefault="00D70EAB" w:rsidP="004F275F">
      <w:pPr>
        <w:pStyle w:val="a4"/>
        <w:rPr>
          <w:rtl/>
        </w:rPr>
      </w:pPr>
      <w:r w:rsidRPr="004F275F">
        <w:rPr>
          <w:rFonts w:hint="cs"/>
          <w:rtl/>
        </w:rPr>
        <w:t xml:space="preserve">עד שנת 1988 תחום היושרה הציבורית בדין הצרפתי הוסדר רק במישור הפלילי במסגרת עבירות כגון שחיתות, שוחד וכדומה. בשנה זו נחקקו </w:t>
      </w:r>
      <w:r w:rsidR="0033175B" w:rsidRPr="004F275F">
        <w:rPr>
          <w:rFonts w:hint="cs"/>
          <w:rtl/>
        </w:rPr>
        <w:t>הסדרים להגברת ה</w:t>
      </w:r>
      <w:r w:rsidRPr="004F275F">
        <w:rPr>
          <w:rFonts w:hint="cs"/>
          <w:rtl/>
        </w:rPr>
        <w:t xml:space="preserve">שקיפות של מידע בדבר אישי ציבור והוטלה חובה על חברי הממשלה ונבחרי ציבור ברשויות המקומיות לדווח על הונם לנציבות לשקיפות </w:t>
      </w:r>
      <w:r w:rsidR="004F275F" w:rsidRPr="004F275F">
        <w:rPr>
          <w:rFonts w:hint="cs"/>
          <w:rtl/>
        </w:rPr>
        <w:t>פיננסית</w:t>
      </w:r>
      <w:r w:rsidRPr="004F275F">
        <w:rPr>
          <w:rFonts w:hint="cs"/>
          <w:rtl/>
        </w:rPr>
        <w:t xml:space="preserve"> של החיים הציבוריים</w:t>
      </w:r>
      <w:r w:rsidR="00C24AA3" w:rsidRPr="004F275F">
        <w:rPr>
          <w:rFonts w:hint="cs"/>
          <w:rtl/>
        </w:rPr>
        <w:t xml:space="preserve"> (להלן: הנציבות)</w:t>
      </w:r>
      <w:r w:rsidRPr="004F275F">
        <w:rPr>
          <w:rFonts w:hint="cs"/>
          <w:rtl/>
        </w:rPr>
        <w:t>.</w:t>
      </w:r>
      <w:r w:rsidRPr="004F275F">
        <w:rPr>
          <w:rStyle w:val="ac"/>
          <w:rtl/>
        </w:rPr>
        <w:footnoteReference w:id="210"/>
      </w:r>
      <w:r w:rsidRPr="004F275F">
        <w:rPr>
          <w:rFonts w:hint="cs"/>
          <w:rtl/>
        </w:rPr>
        <w:t xml:space="preserve"> ב-1995 הורחבה חובת הדיווח והוחלה גם על חברי הפרלמנט ועל בעלי תפקידים בכירים נוספים. </w:t>
      </w:r>
    </w:p>
    <w:p w:rsidR="00D70EAB" w:rsidRDefault="00C24AA3" w:rsidP="00426035">
      <w:pPr>
        <w:pStyle w:val="a4"/>
        <w:rPr>
          <w:rtl/>
        </w:rPr>
      </w:pPr>
      <w:r w:rsidRPr="004F275F">
        <w:rPr>
          <w:rFonts w:hint="cs"/>
          <w:rtl/>
        </w:rPr>
        <w:t xml:space="preserve">ב-2011 </w:t>
      </w:r>
      <w:r w:rsidR="0033175B" w:rsidRPr="004F275F">
        <w:rPr>
          <w:rFonts w:hint="cs"/>
          <w:rtl/>
        </w:rPr>
        <w:t>הורחבה</w:t>
      </w:r>
      <w:r w:rsidRPr="004F275F">
        <w:rPr>
          <w:rFonts w:hint="cs"/>
          <w:rtl/>
        </w:rPr>
        <w:t xml:space="preserve"> סמכות הנציבות</w:t>
      </w:r>
      <w:r w:rsidR="0033175B" w:rsidRPr="004F275F">
        <w:rPr>
          <w:rFonts w:hint="cs"/>
          <w:rtl/>
        </w:rPr>
        <w:t xml:space="preserve"> בחקיקה,</w:t>
      </w:r>
      <w:r w:rsidRPr="004F275F">
        <w:rPr>
          <w:rFonts w:hint="cs"/>
          <w:rtl/>
        </w:rPr>
        <w:t xml:space="preserve"> הוקנתה לה הסמכות לקבל את דוחות המס של בעלי התפקידים המדווחים, ואף נקבעו בחוק סנקציות פליליות על דיווח </w:t>
      </w:r>
      <w:r w:rsidR="0033175B" w:rsidRPr="004F275F">
        <w:rPr>
          <w:rFonts w:hint="cs"/>
          <w:rtl/>
        </w:rPr>
        <w:t>כוזב או חלקי</w:t>
      </w:r>
      <w:r w:rsidRPr="004F275F">
        <w:rPr>
          <w:rFonts w:hint="cs"/>
          <w:rtl/>
        </w:rPr>
        <w:t xml:space="preserve">. </w:t>
      </w:r>
      <w:r w:rsidR="00D70EAB" w:rsidRPr="004F275F">
        <w:rPr>
          <w:rFonts w:hint="cs"/>
          <w:rtl/>
        </w:rPr>
        <w:t xml:space="preserve">בשנים 2012-2011 הוגשו שני דוחות </w:t>
      </w:r>
      <w:r w:rsidR="0033175B" w:rsidRPr="004F275F">
        <w:rPr>
          <w:rFonts w:hint="cs"/>
          <w:rtl/>
        </w:rPr>
        <w:t xml:space="preserve">שהמליצו על רפורמה בדיני השקיפות, ובכלל זה על כך שבעלי התפקידים הכפופים לחוק יידרשו למסור גם מידע על האינטרסים שלהם, </w:t>
      </w:r>
      <w:r w:rsidRPr="004F275F">
        <w:rPr>
          <w:rFonts w:hint="cs"/>
          <w:rtl/>
        </w:rPr>
        <w:t>וזאת במטרה למנוע ניגודי אינטרסים.</w:t>
      </w:r>
      <w:r>
        <w:rPr>
          <w:rFonts w:hint="cs"/>
          <w:rtl/>
        </w:rPr>
        <w:t xml:space="preserve"> </w:t>
      </w:r>
    </w:p>
    <w:p w:rsidR="0033175B" w:rsidRDefault="0033175B" w:rsidP="00155F5E">
      <w:pPr>
        <w:pStyle w:val="a4"/>
        <w:rPr>
          <w:rtl/>
        </w:rPr>
      </w:pPr>
      <w:r>
        <w:rPr>
          <w:rFonts w:hint="cs"/>
          <w:rtl/>
        </w:rPr>
        <w:t xml:space="preserve">על רקע דוחות אלה נחקקו בצרפת </w:t>
      </w:r>
      <w:r w:rsidR="004F1669">
        <w:rPr>
          <w:rFonts w:hint="cs"/>
          <w:rtl/>
        </w:rPr>
        <w:t>בנובמבר 2013 שני חוקים המכונים "</w:t>
      </w:r>
      <w:r w:rsidR="004F1669" w:rsidRPr="004F1669">
        <w:rPr>
          <w:rFonts w:hint="cs"/>
          <w:b/>
          <w:bCs/>
          <w:rtl/>
        </w:rPr>
        <w:t>חוקי השקיפות בחיים הציבוריים</w:t>
      </w:r>
      <w:r w:rsidR="004F1669">
        <w:rPr>
          <w:rFonts w:hint="cs"/>
          <w:rtl/>
        </w:rPr>
        <w:t>"</w:t>
      </w:r>
      <w:r w:rsidR="00D175DB">
        <w:rPr>
          <w:rFonts w:hint="cs"/>
          <w:rtl/>
        </w:rPr>
        <w:t xml:space="preserve"> (להלן: </w:t>
      </w:r>
      <w:r w:rsidR="00D175DB" w:rsidRPr="00D175DB">
        <w:rPr>
          <w:rFonts w:hint="cs"/>
          <w:b/>
          <w:bCs/>
          <w:rtl/>
        </w:rPr>
        <w:t>חוקי השקיפות</w:t>
      </w:r>
      <w:r w:rsidR="00D175DB">
        <w:rPr>
          <w:rFonts w:hint="cs"/>
          <w:b/>
          <w:bCs/>
          <w:rtl/>
        </w:rPr>
        <w:t xml:space="preserve"> החדשים</w:t>
      </w:r>
      <w:r w:rsidR="00D175DB">
        <w:rPr>
          <w:rFonts w:hint="cs"/>
          <w:rtl/>
        </w:rPr>
        <w:t>)</w:t>
      </w:r>
      <w:r w:rsidR="00945411">
        <w:rPr>
          <w:rFonts w:hint="cs"/>
          <w:rtl/>
        </w:rPr>
        <w:t>,</w:t>
      </w:r>
      <w:r w:rsidR="004F1669">
        <w:rPr>
          <w:rStyle w:val="ac"/>
          <w:rtl/>
        </w:rPr>
        <w:footnoteReference w:id="211"/>
      </w:r>
      <w:r w:rsidR="00945411">
        <w:rPr>
          <w:rFonts w:hint="cs"/>
          <w:rtl/>
        </w:rPr>
        <w:t xml:space="preserve"> במטרה ליישם אסטרטגיה מקיפה שתתן מענה לדרישות של ממשל פתוח ודמוקרטיה מודרנית.</w:t>
      </w:r>
      <w:r w:rsidR="00713B0C">
        <w:rPr>
          <w:rFonts w:hint="cs"/>
          <w:rtl/>
        </w:rPr>
        <w:t xml:space="preserve"> </w:t>
      </w:r>
      <w:r w:rsidR="004B76CC">
        <w:rPr>
          <w:rFonts w:hint="cs"/>
          <w:rtl/>
        </w:rPr>
        <w:t xml:space="preserve">חוקים אלה מגדירים לראשונה ניגוד עניינים (וראו בהרחבה </w:t>
      </w:r>
      <w:hyperlink w:anchor="הגדרת_ניגוד_עניינים" w:history="1">
        <w:r w:rsidR="004B76CC" w:rsidRPr="004B76CC">
          <w:rPr>
            <w:rStyle w:val="Hyperlink"/>
            <w:rFonts w:hint="cs"/>
            <w:rtl/>
          </w:rPr>
          <w:t>להלן</w:t>
        </w:r>
      </w:hyperlink>
      <w:r w:rsidR="004B76CC">
        <w:rPr>
          <w:rFonts w:hint="cs"/>
          <w:rtl/>
        </w:rPr>
        <w:t xml:space="preserve">) וקובעים חובה על נבחרי ועובדי ציבור להגיש הצהרה בדבר האינטרסים שלהם (כפי שיפורט </w:t>
      </w:r>
      <w:hyperlink w:anchor="הצהרת_האינטרסים" w:history="1">
        <w:r w:rsidR="004B76CC" w:rsidRPr="004B76CC">
          <w:rPr>
            <w:rStyle w:val="Hyperlink"/>
            <w:rFonts w:hint="cs"/>
            <w:rtl/>
          </w:rPr>
          <w:t>להלן</w:t>
        </w:r>
      </w:hyperlink>
      <w:r w:rsidR="004B76CC">
        <w:rPr>
          <w:rFonts w:hint="cs"/>
          <w:rtl/>
        </w:rPr>
        <w:t>).</w:t>
      </w:r>
    </w:p>
    <w:p w:rsidR="00155F5E" w:rsidRDefault="00155F5E" w:rsidP="00155F5E">
      <w:pPr>
        <w:pStyle w:val="a4"/>
        <w:rPr>
          <w:rtl/>
        </w:rPr>
      </w:pPr>
      <w:r>
        <w:rPr>
          <w:rFonts w:hint="cs"/>
          <w:rtl/>
        </w:rPr>
        <w:t xml:space="preserve">ב-2016 נחקק </w:t>
      </w:r>
      <w:r w:rsidRPr="00155F5E">
        <w:rPr>
          <w:rFonts w:hint="cs"/>
          <w:b/>
          <w:bCs/>
          <w:rtl/>
        </w:rPr>
        <w:t>החוק בדבר האתיקה, הזכויות והחובות של עובדי ציבור</w:t>
      </w:r>
      <w:r>
        <w:rPr>
          <w:rFonts w:hint="cs"/>
          <w:rtl/>
        </w:rPr>
        <w:t>;</w:t>
      </w:r>
      <w:r>
        <w:rPr>
          <w:rStyle w:val="ac"/>
          <w:rtl/>
        </w:rPr>
        <w:footnoteReference w:id="212"/>
      </w:r>
      <w:r>
        <w:rPr>
          <w:rFonts w:hint="cs"/>
          <w:rtl/>
        </w:rPr>
        <w:t xml:space="preserve"> חוק זה מתקן, בין השאר, חקיקה קודמת הנוגעת לזכויות ולחובות של עובדי ציבור,</w:t>
      </w:r>
      <w:r>
        <w:rPr>
          <w:rStyle w:val="ac"/>
          <w:rtl/>
        </w:rPr>
        <w:footnoteReference w:id="213"/>
      </w:r>
      <w:r>
        <w:rPr>
          <w:rFonts w:hint="cs"/>
          <w:rtl/>
        </w:rPr>
        <w:t xml:space="preserve"> </w:t>
      </w:r>
      <w:r w:rsidR="00597ADB">
        <w:rPr>
          <w:rFonts w:hint="cs"/>
          <w:rtl/>
        </w:rPr>
        <w:t>ו</w:t>
      </w:r>
      <w:r>
        <w:rPr>
          <w:rFonts w:hint="cs"/>
          <w:rtl/>
        </w:rPr>
        <w:t>קובע עבורם כללי אתיקה ואיסור על ניגוד עניינים.</w:t>
      </w:r>
    </w:p>
    <w:p w:rsidR="005B69A4" w:rsidRPr="005B69A4" w:rsidRDefault="005B69A4" w:rsidP="009E7AD2">
      <w:pPr>
        <w:pStyle w:val="11"/>
        <w:keepNext/>
        <w:keepLines/>
        <w:rPr>
          <w:sz w:val="26"/>
          <w:rtl/>
        </w:rPr>
      </w:pPr>
      <w:bookmarkStart w:id="11" w:name="הגדרת_ניגוד_עניינים"/>
      <w:bookmarkEnd w:id="11"/>
      <w:r w:rsidRPr="005B69A4">
        <w:rPr>
          <w:rFonts w:hint="cs"/>
          <w:sz w:val="26"/>
          <w:rtl/>
        </w:rPr>
        <w:t>ניגוד עניינים</w:t>
      </w:r>
    </w:p>
    <w:p w:rsidR="00295CEC" w:rsidRPr="00041950" w:rsidRDefault="00295CEC" w:rsidP="009F1253">
      <w:pPr>
        <w:pStyle w:val="a4"/>
        <w:rPr>
          <w:rtl/>
        </w:rPr>
      </w:pPr>
      <w:r w:rsidRPr="00155F5E">
        <w:rPr>
          <w:rFonts w:hint="cs"/>
          <w:rtl/>
        </w:rPr>
        <w:t>בחוק</w:t>
      </w:r>
      <w:r w:rsidR="00155F5E" w:rsidRPr="00155F5E">
        <w:rPr>
          <w:rFonts w:hint="cs"/>
          <w:rtl/>
        </w:rPr>
        <w:t>ים מ-2013 ומ-2016</w:t>
      </w:r>
      <w:r w:rsidR="00270AB2">
        <w:rPr>
          <w:rFonts w:hint="cs"/>
          <w:b/>
          <w:bCs/>
          <w:rtl/>
        </w:rPr>
        <w:t xml:space="preserve"> </w:t>
      </w:r>
      <w:r w:rsidR="00270AB2" w:rsidRPr="00270AB2">
        <w:rPr>
          <w:rFonts w:hint="cs"/>
          <w:rtl/>
        </w:rPr>
        <w:t>(שייקראו יחד בפרק זה:</w:t>
      </w:r>
      <w:r w:rsidR="00270AB2">
        <w:rPr>
          <w:rFonts w:hint="cs"/>
          <w:b/>
          <w:bCs/>
          <w:rtl/>
        </w:rPr>
        <w:t xml:space="preserve"> החקיקה החדשה</w:t>
      </w:r>
      <w:r w:rsidR="00270AB2" w:rsidRPr="00FF374A">
        <w:rPr>
          <w:rFonts w:hint="cs"/>
          <w:rtl/>
        </w:rPr>
        <w:t>)</w:t>
      </w:r>
      <w:r w:rsidR="00FF374A" w:rsidRPr="00FF374A">
        <w:rPr>
          <w:rFonts w:hint="cs"/>
          <w:rtl/>
        </w:rPr>
        <w:t>,</w:t>
      </w:r>
      <w:r w:rsidR="003A2CFD" w:rsidRPr="00FF374A">
        <w:rPr>
          <w:rFonts w:hint="cs"/>
          <w:rtl/>
        </w:rPr>
        <w:t xml:space="preserve"> </w:t>
      </w:r>
      <w:r w:rsidR="003A2CFD">
        <w:rPr>
          <w:rFonts w:hint="cs"/>
          <w:b/>
          <w:bCs/>
          <w:rtl/>
        </w:rPr>
        <w:t xml:space="preserve">נקבעה לראשונה הגדרה של המושג </w:t>
      </w:r>
      <w:r w:rsidR="001C5FD5">
        <w:rPr>
          <w:rFonts w:hint="cs"/>
          <w:b/>
          <w:bCs/>
          <w:rtl/>
        </w:rPr>
        <w:t>"</w:t>
      </w:r>
      <w:r w:rsidRPr="00041950">
        <w:rPr>
          <w:rFonts w:hint="cs"/>
          <w:b/>
          <w:bCs/>
          <w:rtl/>
        </w:rPr>
        <w:t>ניגוד עניינים</w:t>
      </w:r>
      <w:r w:rsidR="001C5FD5" w:rsidRPr="00041950">
        <w:rPr>
          <w:rFonts w:hint="cs"/>
          <w:b/>
          <w:bCs/>
          <w:rtl/>
        </w:rPr>
        <w:t xml:space="preserve">" </w:t>
      </w:r>
      <w:r w:rsidR="001C5FD5" w:rsidRPr="00041950">
        <w:rPr>
          <w:rFonts w:hint="cs"/>
          <w:rtl/>
        </w:rPr>
        <w:t>(</w:t>
      </w:r>
      <w:r w:rsidR="001C5FD5" w:rsidRPr="00041950">
        <w:rPr>
          <w:lang w:val="fr-FR"/>
        </w:rPr>
        <w:t>un conflit d'intérêts</w:t>
      </w:r>
      <w:r w:rsidR="001C5FD5" w:rsidRPr="00041950">
        <w:rPr>
          <w:rFonts w:hint="cs"/>
          <w:rtl/>
        </w:rPr>
        <w:t>)</w:t>
      </w:r>
      <w:r w:rsidR="00FF374A" w:rsidRPr="00041950">
        <w:rPr>
          <w:rFonts w:hint="cs"/>
          <w:rtl/>
        </w:rPr>
        <w:t>.</w:t>
      </w:r>
      <w:r w:rsidR="003A2CFD" w:rsidRPr="00041950">
        <w:rPr>
          <w:rStyle w:val="ac"/>
          <w:rtl/>
        </w:rPr>
        <w:footnoteReference w:id="214"/>
      </w:r>
      <w:r w:rsidR="003A2CFD" w:rsidRPr="00041950">
        <w:rPr>
          <w:rFonts w:hint="cs"/>
          <w:rtl/>
        </w:rPr>
        <w:t xml:space="preserve"> לפי ההגדרה, ניגוד עניינים </w:t>
      </w:r>
      <w:r w:rsidRPr="00041950">
        <w:rPr>
          <w:rFonts w:hint="cs"/>
          <w:rtl/>
        </w:rPr>
        <w:t>הוא מצב שבו אינטרס פרטי או</w:t>
      </w:r>
      <w:r w:rsidR="0033175B" w:rsidRPr="00041950">
        <w:rPr>
          <w:rFonts w:hint="cs"/>
          <w:rtl/>
        </w:rPr>
        <w:t xml:space="preserve"> ציבורי של אדם</w:t>
      </w:r>
      <w:r w:rsidRPr="00041950">
        <w:rPr>
          <w:rFonts w:hint="cs"/>
          <w:rtl/>
        </w:rPr>
        <w:t xml:space="preserve"> </w:t>
      </w:r>
      <w:r w:rsidR="004F275F" w:rsidRPr="00041950">
        <w:rPr>
          <w:rFonts w:hint="cs"/>
          <w:rtl/>
        </w:rPr>
        <w:t>מנוגד ל</w:t>
      </w:r>
      <w:r w:rsidRPr="00041950">
        <w:rPr>
          <w:rFonts w:hint="cs"/>
          <w:rtl/>
        </w:rPr>
        <w:t>אינטרס ציבורי</w:t>
      </w:r>
      <w:r w:rsidR="0077254E">
        <w:rPr>
          <w:rFonts w:hint="cs"/>
          <w:rtl/>
        </w:rPr>
        <w:t xml:space="preserve"> אחר</w:t>
      </w:r>
      <w:r w:rsidRPr="00041950">
        <w:rPr>
          <w:rFonts w:hint="cs"/>
          <w:rtl/>
        </w:rPr>
        <w:t xml:space="preserve"> </w:t>
      </w:r>
      <w:r w:rsidR="009F1253" w:rsidRPr="00041950">
        <w:rPr>
          <w:rFonts w:hint="cs"/>
          <w:rtl/>
        </w:rPr>
        <w:t>(</w:t>
      </w:r>
      <w:r w:rsidR="009F1253" w:rsidRPr="00041950">
        <w:t>a situation in which a private or public interest interferes with a public interest</w:t>
      </w:r>
      <w:r w:rsidR="009F1253" w:rsidRPr="00041950">
        <w:rPr>
          <w:rFonts w:hint="cs"/>
          <w:rtl/>
        </w:rPr>
        <w:t xml:space="preserve">) </w:t>
      </w:r>
      <w:r w:rsidR="0033175B" w:rsidRPr="00041950">
        <w:rPr>
          <w:rFonts w:hint="cs"/>
          <w:rtl/>
        </w:rPr>
        <w:t>כך שהדבר עשוי לה</w:t>
      </w:r>
      <w:r w:rsidRPr="00041950">
        <w:rPr>
          <w:rFonts w:hint="cs"/>
          <w:rtl/>
        </w:rPr>
        <w:t xml:space="preserve">שפיע או </w:t>
      </w:r>
      <w:r w:rsidR="0033175B" w:rsidRPr="00041950">
        <w:rPr>
          <w:rFonts w:hint="cs"/>
          <w:rtl/>
        </w:rPr>
        <w:t>להיתפס כמ</w:t>
      </w:r>
      <w:r w:rsidRPr="00041950">
        <w:rPr>
          <w:rFonts w:hint="cs"/>
          <w:rtl/>
        </w:rPr>
        <w:t xml:space="preserve">שפיע על ביצוע </w:t>
      </w:r>
      <w:r w:rsidR="0033175B" w:rsidRPr="00041950">
        <w:rPr>
          <w:rFonts w:hint="cs"/>
          <w:rtl/>
        </w:rPr>
        <w:t>תפקידו</w:t>
      </w:r>
      <w:r w:rsidRPr="00041950">
        <w:rPr>
          <w:rFonts w:hint="cs"/>
          <w:rtl/>
        </w:rPr>
        <w:t xml:space="preserve"> באופן עצמאי</w:t>
      </w:r>
      <w:r w:rsidR="0077254E">
        <w:rPr>
          <w:rFonts w:hint="cs"/>
          <w:rtl/>
        </w:rPr>
        <w:t>,</w:t>
      </w:r>
      <w:r w:rsidRPr="00041950">
        <w:rPr>
          <w:rFonts w:hint="cs"/>
          <w:rtl/>
        </w:rPr>
        <w:t xml:space="preserve"> חסר פניות ואובייקטיבי. להגדרה זו יש שלושה מרכיבים מרכזיים:</w:t>
      </w:r>
      <w:r w:rsidR="00D175DB" w:rsidRPr="00041950">
        <w:rPr>
          <w:rStyle w:val="ac"/>
          <w:rtl/>
        </w:rPr>
        <w:footnoteReference w:id="215"/>
      </w:r>
    </w:p>
    <w:p w:rsidR="00295CEC" w:rsidRPr="00041950" w:rsidRDefault="00295CEC" w:rsidP="00A85EFC">
      <w:pPr>
        <w:pStyle w:val="a4"/>
        <w:numPr>
          <w:ilvl w:val="0"/>
          <w:numId w:val="7"/>
        </w:numPr>
        <w:ind w:left="357" w:hanging="357"/>
      </w:pPr>
      <w:r w:rsidRPr="00041950">
        <w:rPr>
          <w:rFonts w:hint="cs"/>
          <w:b/>
          <w:bCs/>
          <w:rtl/>
        </w:rPr>
        <w:t>לבעל התפקיד הציבורי יש אינטרס</w:t>
      </w:r>
      <w:r w:rsidRPr="00041950">
        <w:rPr>
          <w:rFonts w:hint="cs"/>
          <w:rtl/>
        </w:rPr>
        <w:t xml:space="preserve"> </w:t>
      </w:r>
      <w:r w:rsidRPr="00041950">
        <w:rPr>
          <w:rtl/>
        </w:rPr>
        <w:t>–</w:t>
      </w:r>
      <w:r w:rsidRPr="00041950">
        <w:rPr>
          <w:rFonts w:hint="cs"/>
          <w:rtl/>
        </w:rPr>
        <w:t xml:space="preserve"> האינטרס יכול להיות ישיר (למשל פעילות מקצועית נוספת שלו) או עקיף (למשל פעילות מקצועית של בן או בת הזוג), פרטי (למשל מניות שבבעלותו) או ציבורי (למשל תפקיד ציבורי אחר), חומרי (למשל שכר) או </w:t>
      </w:r>
      <w:r w:rsidR="0033175B" w:rsidRPr="00041950">
        <w:rPr>
          <w:rFonts w:hint="cs"/>
          <w:rtl/>
        </w:rPr>
        <w:t>מופשט</w:t>
      </w:r>
      <w:r w:rsidRPr="00041950">
        <w:rPr>
          <w:rFonts w:hint="cs"/>
          <w:rtl/>
        </w:rPr>
        <w:t xml:space="preserve"> (למשל פעילות התנדבותית או מעמד של כבוד).</w:t>
      </w:r>
    </w:p>
    <w:p w:rsidR="00295CEC" w:rsidRPr="00041950" w:rsidRDefault="00295CEC" w:rsidP="009F1253">
      <w:pPr>
        <w:pStyle w:val="a4"/>
        <w:numPr>
          <w:ilvl w:val="0"/>
          <w:numId w:val="7"/>
        </w:numPr>
        <w:ind w:left="357" w:hanging="357"/>
      </w:pPr>
      <w:r w:rsidRPr="00041950">
        <w:rPr>
          <w:rFonts w:hint="cs"/>
          <w:b/>
          <w:bCs/>
          <w:rtl/>
        </w:rPr>
        <w:t xml:space="preserve">האינטרס הזה </w:t>
      </w:r>
      <w:r w:rsidR="004F275F" w:rsidRPr="00041950">
        <w:rPr>
          <w:rFonts w:hint="cs"/>
          <w:b/>
          <w:bCs/>
          <w:rtl/>
        </w:rPr>
        <w:t>מנוגד ל</w:t>
      </w:r>
      <w:r w:rsidRPr="00041950">
        <w:rPr>
          <w:rFonts w:hint="cs"/>
          <w:b/>
          <w:bCs/>
          <w:rtl/>
        </w:rPr>
        <w:t>אינטרס הציבורי</w:t>
      </w:r>
      <w:r w:rsidRPr="00041950">
        <w:rPr>
          <w:rFonts w:hint="cs"/>
          <w:rtl/>
        </w:rPr>
        <w:t xml:space="preserve">, כלומר </w:t>
      </w:r>
      <w:r w:rsidR="000B1408" w:rsidRPr="00041950">
        <w:rPr>
          <w:rFonts w:hint="cs"/>
          <w:rtl/>
        </w:rPr>
        <w:t>ל</w:t>
      </w:r>
      <w:r w:rsidRPr="00041950">
        <w:rPr>
          <w:rFonts w:hint="cs"/>
          <w:rtl/>
        </w:rPr>
        <w:t xml:space="preserve">ביצוע </w:t>
      </w:r>
      <w:r w:rsidR="000B1408" w:rsidRPr="00041950">
        <w:rPr>
          <w:rFonts w:hint="cs"/>
          <w:rtl/>
        </w:rPr>
        <w:t xml:space="preserve">תפקידו </w:t>
      </w:r>
      <w:r w:rsidRPr="00041950">
        <w:rPr>
          <w:rFonts w:hint="cs"/>
          <w:rtl/>
        </w:rPr>
        <w:t xml:space="preserve">הציבורי </w:t>
      </w:r>
      <w:r w:rsidRPr="00041950">
        <w:rPr>
          <w:rtl/>
        </w:rPr>
        <w:t>–</w:t>
      </w:r>
      <w:r w:rsidRPr="00041950">
        <w:rPr>
          <w:rFonts w:hint="cs"/>
          <w:rtl/>
        </w:rPr>
        <w:t xml:space="preserve"> </w:t>
      </w:r>
      <w:r w:rsidR="004F275F" w:rsidRPr="00041950">
        <w:rPr>
          <w:rFonts w:hint="cs"/>
          <w:rtl/>
        </w:rPr>
        <w:t>מה ש</w:t>
      </w:r>
      <w:r w:rsidRPr="00041950">
        <w:rPr>
          <w:rFonts w:hint="cs"/>
          <w:rtl/>
        </w:rPr>
        <w:t>עשוי</w:t>
      </w:r>
      <w:r w:rsidR="004F275F" w:rsidRPr="00041950">
        <w:rPr>
          <w:rFonts w:hint="cs"/>
          <w:rtl/>
        </w:rPr>
        <w:t xml:space="preserve"> לבוא לידי ביטוי</w:t>
      </w:r>
      <w:r w:rsidRPr="00041950">
        <w:rPr>
          <w:rFonts w:hint="cs"/>
          <w:rtl/>
        </w:rPr>
        <w:t xml:space="preserve"> במימד </w:t>
      </w:r>
      <w:r w:rsidR="004F275F" w:rsidRPr="00041950">
        <w:rPr>
          <w:rFonts w:hint="cs"/>
          <w:rtl/>
        </w:rPr>
        <w:t>ה</w:t>
      </w:r>
      <w:r w:rsidRPr="00041950">
        <w:rPr>
          <w:rFonts w:hint="cs"/>
          <w:rtl/>
        </w:rPr>
        <w:t xml:space="preserve">מקצועי, במימד </w:t>
      </w:r>
      <w:r w:rsidR="004F275F" w:rsidRPr="00041950">
        <w:rPr>
          <w:rFonts w:hint="cs"/>
          <w:rtl/>
        </w:rPr>
        <w:t>ה</w:t>
      </w:r>
      <w:r w:rsidRPr="00041950">
        <w:rPr>
          <w:rFonts w:hint="cs"/>
          <w:rtl/>
        </w:rPr>
        <w:t>גיאוגרפי (אינטרס שקיים באזור או מיקום מסוים) או במימד הזמן (אינטרסים שהיו בעבר).</w:t>
      </w:r>
    </w:p>
    <w:p w:rsidR="00295CEC" w:rsidRDefault="009F1253" w:rsidP="009F1253">
      <w:pPr>
        <w:pStyle w:val="a4"/>
        <w:numPr>
          <w:ilvl w:val="0"/>
          <w:numId w:val="7"/>
        </w:numPr>
        <w:ind w:left="357" w:hanging="357"/>
      </w:pPr>
      <w:r>
        <w:rPr>
          <w:rFonts w:hint="cs"/>
          <w:b/>
          <w:bCs/>
          <w:rtl/>
        </w:rPr>
        <w:t>ניגוד האינטרסים</w:t>
      </w:r>
      <w:r w:rsidR="00295CEC" w:rsidRPr="00D175DB">
        <w:rPr>
          <w:rFonts w:hint="cs"/>
          <w:b/>
          <w:bCs/>
          <w:rtl/>
        </w:rPr>
        <w:t xml:space="preserve"> </w:t>
      </w:r>
      <w:r w:rsidR="000B1408">
        <w:rPr>
          <w:rFonts w:hint="cs"/>
          <w:b/>
          <w:bCs/>
          <w:rtl/>
        </w:rPr>
        <w:t>עשוי להשפיע</w:t>
      </w:r>
      <w:r>
        <w:rPr>
          <w:rFonts w:hint="cs"/>
          <w:b/>
          <w:bCs/>
          <w:rtl/>
        </w:rPr>
        <w:t>,</w:t>
      </w:r>
      <w:r w:rsidR="000B1408">
        <w:rPr>
          <w:rFonts w:hint="cs"/>
          <w:b/>
          <w:bCs/>
          <w:rtl/>
        </w:rPr>
        <w:t xml:space="preserve"> או להיתפס כ</w:t>
      </w:r>
      <w:r>
        <w:rPr>
          <w:rFonts w:hint="cs"/>
          <w:b/>
          <w:bCs/>
          <w:rtl/>
        </w:rPr>
        <w:t>משפיע,</w:t>
      </w:r>
      <w:r w:rsidR="000B1408">
        <w:rPr>
          <w:rFonts w:hint="cs"/>
          <w:b/>
          <w:bCs/>
          <w:rtl/>
        </w:rPr>
        <w:t xml:space="preserve"> </w:t>
      </w:r>
      <w:r w:rsidR="00295CEC" w:rsidRPr="00D175DB">
        <w:rPr>
          <w:rFonts w:hint="cs"/>
          <w:b/>
          <w:bCs/>
          <w:rtl/>
        </w:rPr>
        <w:t xml:space="preserve">על ביצוע </w:t>
      </w:r>
      <w:r w:rsidR="000B1408">
        <w:rPr>
          <w:rFonts w:hint="cs"/>
          <w:b/>
          <w:bCs/>
          <w:rtl/>
        </w:rPr>
        <w:t>תפקידו</w:t>
      </w:r>
      <w:r w:rsidR="00295CEC" w:rsidRPr="00D175DB">
        <w:rPr>
          <w:rFonts w:hint="cs"/>
          <w:b/>
          <w:bCs/>
          <w:rtl/>
        </w:rPr>
        <w:t xml:space="preserve"> של בעל התפקיד באופן עצמאי, חסר פניות ואובייקטיבי </w:t>
      </w:r>
      <w:r w:rsidR="00295CEC">
        <w:rPr>
          <w:rtl/>
        </w:rPr>
        <w:t>–</w:t>
      </w:r>
      <w:r w:rsidR="00295CEC">
        <w:rPr>
          <w:rFonts w:hint="cs"/>
          <w:rtl/>
        </w:rPr>
        <w:t xml:space="preserve"> מכאן שעוצמת ההפרעה תיבחן בכל מקרה לגופו, ורק אם </w:t>
      </w:r>
      <w:r>
        <w:rPr>
          <w:rFonts w:hint="cs"/>
          <w:rtl/>
        </w:rPr>
        <w:t>הניגוד</w:t>
      </w:r>
      <w:r w:rsidR="00295CEC">
        <w:rPr>
          <w:rFonts w:hint="cs"/>
          <w:rtl/>
        </w:rPr>
        <w:t xml:space="preserve"> חזק די</w:t>
      </w:r>
      <w:r>
        <w:rPr>
          <w:rFonts w:hint="cs"/>
          <w:rtl/>
        </w:rPr>
        <w:t>ו</w:t>
      </w:r>
      <w:r w:rsidR="00295CEC">
        <w:rPr>
          <w:rFonts w:hint="cs"/>
          <w:rtl/>
        </w:rPr>
        <w:t xml:space="preserve"> שה</w:t>
      </w:r>
      <w:r>
        <w:rPr>
          <w:rFonts w:hint="cs"/>
          <w:rtl/>
        </w:rPr>
        <w:t>ו</w:t>
      </w:r>
      <w:r w:rsidR="00295CEC">
        <w:rPr>
          <w:rFonts w:hint="cs"/>
          <w:rtl/>
        </w:rPr>
        <w:t>א מעורר ספק סביר באשר ליכ</w:t>
      </w:r>
      <w:r w:rsidR="0077254E">
        <w:rPr>
          <w:rFonts w:hint="cs"/>
          <w:rtl/>
        </w:rPr>
        <w:t>ו</w:t>
      </w:r>
      <w:r w:rsidR="00295CEC">
        <w:rPr>
          <w:rFonts w:hint="cs"/>
          <w:rtl/>
        </w:rPr>
        <w:t xml:space="preserve">לתו של בעל התפקיד למלא את תפקידו באופן עצמאי, חסר פניות ואובייקטיבי </w:t>
      </w:r>
      <w:r w:rsidR="00295CEC">
        <w:rPr>
          <w:rtl/>
        </w:rPr>
        <w:t>–</w:t>
      </w:r>
      <w:r w:rsidR="00295CEC">
        <w:rPr>
          <w:rFonts w:hint="cs"/>
          <w:rtl/>
        </w:rPr>
        <w:t xml:space="preserve"> יהיה בכך ניגוד עניינים.  </w:t>
      </w:r>
    </w:p>
    <w:p w:rsidR="00270AB2" w:rsidRPr="00CE27D3" w:rsidRDefault="00270AB2" w:rsidP="00270AB2">
      <w:pPr>
        <w:pStyle w:val="a4"/>
        <w:rPr>
          <w:rtl/>
        </w:rPr>
      </w:pPr>
      <w:r>
        <w:rPr>
          <w:rFonts w:hint="cs"/>
          <w:rtl/>
        </w:rPr>
        <w:t xml:space="preserve">לפי החקיקה החדשה, כל בעלי התפקידים אשר כפופים לחוק (אשר יפורטו </w:t>
      </w:r>
      <w:hyperlink w:anchor="בעלי_תפקידים_החייבים_הצהרת_אינטרסים" w:history="1">
        <w:r w:rsidRPr="004F275F">
          <w:rPr>
            <w:rStyle w:val="Hyperlink"/>
            <w:rFonts w:hint="cs"/>
            <w:rtl/>
          </w:rPr>
          <w:t>להלן</w:t>
        </w:r>
      </w:hyperlink>
      <w:r>
        <w:rPr>
          <w:rFonts w:hint="cs"/>
          <w:rtl/>
        </w:rPr>
        <w:t>, ובהם חברי הממשלה, נבחרי ציבור ועובדי ציבור) מחויבים לבצע את תפקידם בכובד ראש, בהגינות, ביושר, בניטרליות ובשוויוניות.</w:t>
      </w:r>
      <w:r w:rsidRPr="00270AB2">
        <w:rPr>
          <w:rStyle w:val="ac"/>
          <w:rtl/>
        </w:rPr>
        <w:t xml:space="preserve"> </w:t>
      </w:r>
      <w:r>
        <w:rPr>
          <w:rStyle w:val="ac"/>
          <w:rtl/>
        </w:rPr>
        <w:footnoteReference w:id="216"/>
      </w:r>
      <w:r>
        <w:rPr>
          <w:rFonts w:hint="cs"/>
          <w:rtl/>
        </w:rPr>
        <w:t xml:space="preserve"> </w:t>
      </w:r>
      <w:r w:rsidRPr="005B69A4">
        <w:rPr>
          <w:rFonts w:hint="cs"/>
          <w:b/>
          <w:bCs/>
          <w:rtl/>
        </w:rPr>
        <w:t>עליהם לוודא שהם מונעים כל מצב של ניגוד עניינים או מביאים לסיומו המיידי</w:t>
      </w:r>
      <w:r>
        <w:rPr>
          <w:rFonts w:hint="cs"/>
          <w:rtl/>
        </w:rPr>
        <w:t xml:space="preserve">; כך, </w:t>
      </w:r>
      <w:r w:rsidRPr="00FF6069">
        <w:rPr>
          <w:rFonts w:hint="cs"/>
          <w:rtl/>
        </w:rPr>
        <w:t xml:space="preserve">כאשר בעל תפקיד ציבורי הכפוף לחוק מוצא את עצמו </w:t>
      </w:r>
      <w:r w:rsidRPr="00533922">
        <w:rPr>
          <w:rFonts w:hint="cs"/>
          <w:b/>
          <w:bCs/>
          <w:rtl/>
        </w:rPr>
        <w:t>במצב של ניגוד עניינים</w:t>
      </w:r>
      <w:r>
        <w:rPr>
          <w:rFonts w:hint="cs"/>
          <w:rtl/>
        </w:rPr>
        <w:t xml:space="preserve"> כהגדרתו בחוק </w:t>
      </w:r>
      <w:r>
        <w:rPr>
          <w:rtl/>
        </w:rPr>
        <w:t>–</w:t>
      </w:r>
      <w:r w:rsidRPr="00533922">
        <w:rPr>
          <w:rFonts w:hint="cs"/>
          <w:b/>
          <w:bCs/>
          <w:rtl/>
        </w:rPr>
        <w:t xml:space="preserve"> עליו להימנע מעיסוק בעניין </w:t>
      </w:r>
      <w:r>
        <w:rPr>
          <w:rFonts w:hint="cs"/>
          <w:rtl/>
        </w:rPr>
        <w:t xml:space="preserve">ולהעביר את הטיפול בו לאחר. </w:t>
      </w:r>
      <w:r w:rsidRPr="00CE27D3">
        <w:rPr>
          <w:rFonts w:hint="cs"/>
          <w:rtl/>
          <w:lang w:val="x-none"/>
        </w:rPr>
        <w:t xml:space="preserve">לגבי בעלי תפקידים ספציפיים </w:t>
      </w:r>
      <w:r>
        <w:rPr>
          <w:rFonts w:hint="cs"/>
          <w:rtl/>
          <w:lang w:val="x-none"/>
        </w:rPr>
        <w:t xml:space="preserve">נקבעו בחוק </w:t>
      </w:r>
      <w:r w:rsidRPr="00CE27D3">
        <w:rPr>
          <w:rFonts w:hint="cs"/>
          <w:rtl/>
          <w:lang w:val="x-none"/>
        </w:rPr>
        <w:t>ההוראות האלה:</w:t>
      </w:r>
      <w:r>
        <w:rPr>
          <w:rStyle w:val="ac"/>
          <w:rtl/>
        </w:rPr>
        <w:footnoteReference w:id="217"/>
      </w:r>
    </w:p>
    <w:p w:rsidR="00270AB2" w:rsidRPr="00CE27D3" w:rsidRDefault="00270AB2" w:rsidP="00A85EFC">
      <w:pPr>
        <w:pStyle w:val="a4"/>
        <w:numPr>
          <w:ilvl w:val="0"/>
          <w:numId w:val="8"/>
        </w:numPr>
        <w:ind w:left="357" w:hanging="357"/>
        <w:rPr>
          <w:lang w:val="x-none"/>
        </w:rPr>
      </w:pPr>
      <w:r w:rsidRPr="00CE27D3">
        <w:rPr>
          <w:rFonts w:hint="cs"/>
          <w:rtl/>
          <w:lang w:val="x-none"/>
        </w:rPr>
        <w:t xml:space="preserve">חברים בגופי הנהלה יימנעו </w:t>
      </w:r>
      <w:r w:rsidR="005B69A4">
        <w:rPr>
          <w:rFonts w:hint="cs"/>
          <w:rtl/>
          <w:lang w:val="x-none"/>
        </w:rPr>
        <w:t>מלהשתתף בישיבות של גופים אלה</w:t>
      </w:r>
      <w:r w:rsidRPr="00CE27D3">
        <w:rPr>
          <w:rFonts w:hint="cs"/>
          <w:rtl/>
          <w:lang w:val="x-none"/>
        </w:rPr>
        <w:t>; מי שממלא תפקיד ספציפי בגוף כזה יוחלף בהתאם להוראות החלות באותו הגוף.</w:t>
      </w:r>
    </w:p>
    <w:p w:rsidR="00270AB2" w:rsidRPr="00CE27D3" w:rsidRDefault="00270AB2" w:rsidP="00A85EFC">
      <w:pPr>
        <w:pStyle w:val="a4"/>
        <w:numPr>
          <w:ilvl w:val="0"/>
          <w:numId w:val="8"/>
        </w:numPr>
        <w:ind w:left="357" w:hanging="357"/>
        <w:rPr>
          <w:lang w:val="x-none"/>
        </w:rPr>
      </w:pPr>
      <w:r w:rsidRPr="00CE27D3">
        <w:rPr>
          <w:rFonts w:hint="cs"/>
          <w:rtl/>
          <w:lang w:val="x-none"/>
        </w:rPr>
        <w:t>מי שנושא משרה ביצועית יוחלף על ידי ממלא מקום; יש להימנע מלתת הנחיות לממלא המקום בנושאים הרלוונטיים.</w:t>
      </w:r>
    </w:p>
    <w:p w:rsidR="00270AB2" w:rsidRPr="00CE27D3" w:rsidRDefault="00270AB2" w:rsidP="00A85EFC">
      <w:pPr>
        <w:pStyle w:val="a4"/>
        <w:numPr>
          <w:ilvl w:val="0"/>
          <w:numId w:val="8"/>
        </w:numPr>
        <w:ind w:left="357" w:hanging="357"/>
        <w:rPr>
          <w:lang w:val="x-none"/>
        </w:rPr>
      </w:pPr>
      <w:r w:rsidRPr="00CE27D3">
        <w:rPr>
          <w:rFonts w:hint="cs"/>
          <w:rtl/>
          <w:lang w:val="x-none"/>
        </w:rPr>
        <w:t>מי שהוקנתה לו סמכות לחייב את הרשות יימנע מלעשות שימוש בסמכות זו.</w:t>
      </w:r>
    </w:p>
    <w:p w:rsidR="00270AB2" w:rsidRDefault="00270AB2" w:rsidP="00A85EFC">
      <w:pPr>
        <w:pStyle w:val="a4"/>
        <w:numPr>
          <w:ilvl w:val="0"/>
          <w:numId w:val="8"/>
        </w:numPr>
        <w:ind w:left="357" w:hanging="357"/>
        <w:rPr>
          <w:lang w:val="x-none"/>
        </w:rPr>
      </w:pPr>
      <w:r w:rsidRPr="00CE27D3">
        <w:rPr>
          <w:rFonts w:hint="cs"/>
          <w:rtl/>
          <w:lang w:val="x-none"/>
        </w:rPr>
        <w:t>מי שכפוף לממונה ישיר יעביר את העניין לממונה עליו, אשר יעביר את העניין לאדם אחר הכפוף לו.</w:t>
      </w:r>
    </w:p>
    <w:p w:rsidR="005B69A4" w:rsidRPr="00CE27D3" w:rsidRDefault="005B69A4" w:rsidP="00A85EFC">
      <w:pPr>
        <w:pStyle w:val="a4"/>
        <w:numPr>
          <w:ilvl w:val="0"/>
          <w:numId w:val="8"/>
        </w:numPr>
        <w:ind w:left="357" w:hanging="357"/>
        <w:rPr>
          <w:lang w:val="x-none"/>
        </w:rPr>
      </w:pPr>
      <w:r>
        <w:rPr>
          <w:rFonts w:hint="cs"/>
          <w:rtl/>
          <w:lang w:val="x-none"/>
        </w:rPr>
        <w:t xml:space="preserve">מי שמפעיל סמכויות שיפוטיות יוחלף בהתאם להוראות הגוף השיפוטי בו הוא פועל. </w:t>
      </w:r>
    </w:p>
    <w:p w:rsidR="00270AB2" w:rsidRDefault="00BB1060" w:rsidP="00041950">
      <w:pPr>
        <w:pStyle w:val="a4"/>
        <w:rPr>
          <w:rtl/>
        </w:rPr>
      </w:pPr>
      <w:r w:rsidRPr="00041950">
        <w:rPr>
          <w:rFonts w:hint="cs"/>
          <w:rtl/>
        </w:rPr>
        <w:t xml:space="preserve">נוסף על כך, </w:t>
      </w:r>
      <w:r w:rsidRPr="00041950">
        <w:rPr>
          <w:rFonts w:hint="cs"/>
          <w:b/>
          <w:bCs/>
          <w:rtl/>
        </w:rPr>
        <w:t>בקוד האתי של חברי הממשלה</w:t>
      </w:r>
      <w:r w:rsidR="003F586E" w:rsidRPr="00041950">
        <w:rPr>
          <w:rStyle w:val="ac"/>
          <w:rtl/>
        </w:rPr>
        <w:footnoteReference w:id="218"/>
      </w:r>
      <w:r w:rsidRPr="00041950">
        <w:rPr>
          <w:rFonts w:hint="cs"/>
          <w:rtl/>
        </w:rPr>
        <w:t xml:space="preserve"> נקבע</w:t>
      </w:r>
      <w:r w:rsidR="00597ADB">
        <w:rPr>
          <w:rFonts w:hint="cs"/>
          <w:rtl/>
        </w:rPr>
        <w:t>,</w:t>
      </w:r>
      <w:r w:rsidRPr="00041950">
        <w:rPr>
          <w:rFonts w:hint="cs"/>
          <w:rtl/>
        </w:rPr>
        <w:t xml:space="preserve"> בין השאר</w:t>
      </w:r>
      <w:r w:rsidR="00597ADB">
        <w:rPr>
          <w:rFonts w:hint="cs"/>
          <w:rtl/>
        </w:rPr>
        <w:t>,</w:t>
      </w:r>
      <w:r w:rsidRPr="00041950">
        <w:rPr>
          <w:rFonts w:hint="cs"/>
          <w:rtl/>
        </w:rPr>
        <w:t xml:space="preserve"> כי על חברי הממשלה לפעול למען האינטרס הציבורי, להפגין חוסר פניות גמור ולמנוע כל חשד לעניין אישי בפעילותם. לפי הקוד האתי על כל חבר בממשלה</w:t>
      </w:r>
      <w:r w:rsidR="00481473" w:rsidRPr="00041950">
        <w:rPr>
          <w:rFonts w:hint="cs"/>
          <w:rtl/>
        </w:rPr>
        <w:t xml:space="preserve"> להפקיד את נכסיו בנאמנות </w:t>
      </w:r>
      <w:r w:rsidRPr="00041950">
        <w:rPr>
          <w:rFonts w:hint="cs"/>
          <w:rtl/>
        </w:rPr>
        <w:t>שבמסגרתה אין לו יכולת להשפיע על ניהול הנכסים</w:t>
      </w:r>
      <w:r w:rsidR="00481473" w:rsidRPr="00041950">
        <w:rPr>
          <w:rFonts w:hint="cs"/>
          <w:rtl/>
        </w:rPr>
        <w:t xml:space="preserve"> (נאמנות עיוורת</w:t>
      </w:r>
      <w:r w:rsidRPr="00041950">
        <w:rPr>
          <w:rFonts w:hint="cs"/>
          <w:rtl/>
        </w:rPr>
        <w:t xml:space="preserve">), להימנע מלקחת חלק בכל גוף, לרבות גופים שלא למטרת רווח, שתחום עיסוקו בתחום האחריות של משרדו ולהימנע לחלוטין </w:t>
      </w:r>
      <w:r w:rsidR="003F586E" w:rsidRPr="00041950">
        <w:rPr>
          <w:rFonts w:hint="cs"/>
          <w:rtl/>
        </w:rPr>
        <w:t>מהתערבות בכל עניין הנוגע לבני משפחתו.</w:t>
      </w:r>
      <w:r w:rsidR="003F586E">
        <w:rPr>
          <w:rFonts w:hint="cs"/>
          <w:rtl/>
        </w:rPr>
        <w:t xml:space="preserve"> </w:t>
      </w:r>
      <w:r>
        <w:rPr>
          <w:rFonts w:hint="cs"/>
          <w:rtl/>
        </w:rPr>
        <w:t xml:space="preserve"> </w:t>
      </w:r>
    </w:p>
    <w:p w:rsidR="0066504F" w:rsidRPr="0066504F" w:rsidRDefault="0066504F" w:rsidP="0066504F">
      <w:pPr>
        <w:pStyle w:val="11"/>
        <w:ind w:right="0"/>
        <w:rPr>
          <w:sz w:val="26"/>
          <w:rtl/>
        </w:rPr>
      </w:pPr>
      <w:r w:rsidRPr="0066504F">
        <w:rPr>
          <w:rFonts w:hint="cs"/>
          <w:sz w:val="26"/>
          <w:rtl/>
        </w:rPr>
        <w:t>הרשות הגבוהה לעניין השקיפות של החיים הציבוריים (</w:t>
      </w:r>
      <w:r w:rsidRPr="0066504F">
        <w:rPr>
          <w:szCs w:val="24"/>
        </w:rPr>
        <w:t>HATVP</w:t>
      </w:r>
      <w:r w:rsidRPr="0066504F">
        <w:rPr>
          <w:rFonts w:hint="cs"/>
          <w:sz w:val="26"/>
          <w:rtl/>
        </w:rPr>
        <w:t>)</w:t>
      </w:r>
    </w:p>
    <w:p w:rsidR="00945411" w:rsidRDefault="000B1408" w:rsidP="00AB56FE">
      <w:pPr>
        <w:pStyle w:val="a4"/>
        <w:rPr>
          <w:rtl/>
        </w:rPr>
      </w:pPr>
      <w:r>
        <w:rPr>
          <w:rFonts w:hint="cs"/>
          <w:rtl/>
        </w:rPr>
        <w:t>מכוח חוקי השקיפות</w:t>
      </w:r>
      <w:r w:rsidR="00270AB2">
        <w:rPr>
          <w:rFonts w:hint="cs"/>
          <w:rtl/>
        </w:rPr>
        <w:t xml:space="preserve"> החדשים</w:t>
      </w:r>
      <w:r>
        <w:rPr>
          <w:rFonts w:hint="cs"/>
          <w:rtl/>
        </w:rPr>
        <w:t xml:space="preserve">, הוקמה בראשית 2014 </w:t>
      </w:r>
      <w:r w:rsidRPr="004F1669">
        <w:rPr>
          <w:rFonts w:hint="cs"/>
          <w:b/>
          <w:bCs/>
          <w:rtl/>
        </w:rPr>
        <w:t>הרשות הגבוהה ל</w:t>
      </w:r>
      <w:r>
        <w:rPr>
          <w:rFonts w:hint="cs"/>
          <w:b/>
          <w:bCs/>
          <w:rtl/>
        </w:rPr>
        <w:t>עניין ה</w:t>
      </w:r>
      <w:r w:rsidRPr="004F1669">
        <w:rPr>
          <w:rFonts w:hint="cs"/>
          <w:b/>
          <w:bCs/>
          <w:rtl/>
        </w:rPr>
        <w:t>שקיפות של החיים הציבוריים</w:t>
      </w:r>
      <w:r w:rsidRPr="004F1669">
        <w:rPr>
          <w:rFonts w:hint="cs"/>
          <w:rtl/>
        </w:rPr>
        <w:t xml:space="preserve"> (</w:t>
      </w:r>
      <w:r>
        <w:rPr>
          <w:rFonts w:hint="cs"/>
          <w:rtl/>
        </w:rPr>
        <w:t xml:space="preserve">המכונה בראשי תיבות בצרפתית </w:t>
      </w:r>
      <w:r w:rsidRPr="009F0773">
        <w:rPr>
          <w:rFonts w:hint="cs"/>
        </w:rPr>
        <w:t>HATVP</w:t>
      </w:r>
      <w:r w:rsidRPr="004F1669">
        <w:rPr>
          <w:rFonts w:hint="cs"/>
          <w:rtl/>
        </w:rPr>
        <w:t>)</w:t>
      </w:r>
      <w:r w:rsidRPr="004F1669">
        <w:rPr>
          <w:vertAlign w:val="superscript"/>
          <w:rtl/>
        </w:rPr>
        <w:footnoteReference w:id="219"/>
      </w:r>
      <w:r>
        <w:rPr>
          <w:rFonts w:hint="cs"/>
          <w:rtl/>
        </w:rPr>
        <w:t xml:space="preserve"> (להלן: </w:t>
      </w:r>
      <w:r w:rsidRPr="009F0773">
        <w:rPr>
          <w:rFonts w:hint="cs"/>
          <w:b/>
          <w:bCs/>
          <w:rtl/>
        </w:rPr>
        <w:t>הרשות</w:t>
      </w:r>
      <w:r w:rsidRPr="009F0773">
        <w:rPr>
          <w:rFonts w:hint="cs"/>
          <w:rtl/>
        </w:rPr>
        <w:t xml:space="preserve"> או </w:t>
      </w:r>
      <w:r w:rsidRPr="004F1669">
        <w:rPr>
          <w:rFonts w:hint="cs"/>
          <w:b/>
          <w:bCs/>
        </w:rPr>
        <w:t>HATVP</w:t>
      </w:r>
      <w:r>
        <w:rPr>
          <w:rFonts w:hint="cs"/>
          <w:rtl/>
        </w:rPr>
        <w:t>)</w:t>
      </w:r>
      <w:r>
        <w:rPr>
          <w:rStyle w:val="ac"/>
          <w:rtl/>
        </w:rPr>
        <w:footnoteReference w:id="220"/>
      </w:r>
      <w:r>
        <w:rPr>
          <w:rFonts w:hint="cs"/>
          <w:rtl/>
        </w:rPr>
        <w:t xml:space="preserve"> </w:t>
      </w:r>
      <w:r>
        <w:rPr>
          <w:rtl/>
        </w:rPr>
        <w:t>–</w:t>
      </w:r>
      <w:r>
        <w:rPr>
          <w:rFonts w:hint="cs"/>
          <w:rtl/>
        </w:rPr>
        <w:t xml:space="preserve"> </w:t>
      </w:r>
      <w:r w:rsidRPr="00FB3201">
        <w:rPr>
          <w:rtl/>
        </w:rPr>
        <w:t>רשות מינהלית עצמאית</w:t>
      </w:r>
      <w:r w:rsidR="00AB56FE">
        <w:rPr>
          <w:rStyle w:val="ac"/>
          <w:rtl/>
        </w:rPr>
        <w:footnoteReference w:id="221"/>
      </w:r>
      <w:r w:rsidRPr="00FF6069">
        <w:rPr>
          <w:rFonts w:hint="cs"/>
          <w:rtl/>
        </w:rPr>
        <w:t xml:space="preserve"> </w:t>
      </w:r>
      <w:r>
        <w:rPr>
          <w:rFonts w:hint="cs"/>
          <w:rtl/>
        </w:rPr>
        <w:t>אשר החליפה למעשה את הנציבות</w:t>
      </w:r>
      <w:r w:rsidRPr="00FB3201">
        <w:rPr>
          <w:rtl/>
        </w:rPr>
        <w:t>.</w:t>
      </w:r>
      <w:r>
        <w:rPr>
          <w:rStyle w:val="ac"/>
          <w:rtl/>
        </w:rPr>
        <w:footnoteReference w:id="222"/>
      </w:r>
      <w:r w:rsidRPr="00FB3201">
        <w:rPr>
          <w:rtl/>
        </w:rPr>
        <w:t xml:space="preserve"> </w:t>
      </w:r>
      <w:r>
        <w:rPr>
          <w:rFonts w:hint="cs"/>
          <w:rtl/>
        </w:rPr>
        <w:t xml:space="preserve">הקמת הרשות מבטאת </w:t>
      </w:r>
      <w:r w:rsidR="009A4BC5">
        <w:rPr>
          <w:rFonts w:hint="cs"/>
          <w:rtl/>
        </w:rPr>
        <w:t xml:space="preserve">את </w:t>
      </w:r>
      <w:r w:rsidR="00945411">
        <w:rPr>
          <w:rFonts w:hint="cs"/>
          <w:rtl/>
        </w:rPr>
        <w:t xml:space="preserve">תפיסת העולם </w:t>
      </w:r>
      <w:r w:rsidR="009A4BC5">
        <w:rPr>
          <w:rFonts w:hint="cs"/>
          <w:rtl/>
        </w:rPr>
        <w:t>שעוגנה בחוק ועל-</w:t>
      </w:r>
      <w:r>
        <w:rPr>
          <w:rFonts w:hint="cs"/>
          <w:rtl/>
        </w:rPr>
        <w:t xml:space="preserve">פיה </w:t>
      </w:r>
      <w:r w:rsidR="00945411">
        <w:rPr>
          <w:rFonts w:hint="cs"/>
          <w:rtl/>
        </w:rPr>
        <w:t xml:space="preserve">הפיקוח </w:t>
      </w:r>
      <w:r w:rsidR="00D175DB">
        <w:rPr>
          <w:rFonts w:hint="cs"/>
          <w:rtl/>
        </w:rPr>
        <w:t xml:space="preserve">והבקרה </w:t>
      </w:r>
      <w:r w:rsidR="00945411">
        <w:rPr>
          <w:rFonts w:hint="cs"/>
          <w:rtl/>
        </w:rPr>
        <w:t>על היושרה הציבורית צריכים להיות מוקנים לרשות ע</w:t>
      </w:r>
      <w:r w:rsidR="00955378">
        <w:rPr>
          <w:rFonts w:hint="cs"/>
          <w:rtl/>
        </w:rPr>
        <w:t xml:space="preserve">צמאית ואפקטיבית. </w:t>
      </w:r>
      <w:r w:rsidR="00FF6069">
        <w:rPr>
          <w:rFonts w:hint="cs"/>
          <w:rtl/>
        </w:rPr>
        <w:t xml:space="preserve">הרשות </w:t>
      </w:r>
      <w:r w:rsidR="00FB3201" w:rsidRPr="00FB3201">
        <w:rPr>
          <w:rtl/>
        </w:rPr>
        <w:t>אחראית על קידום</w:t>
      </w:r>
      <w:r w:rsidR="00FB3201">
        <w:rPr>
          <w:rFonts w:hint="cs"/>
          <w:rtl/>
        </w:rPr>
        <w:t xml:space="preserve"> </w:t>
      </w:r>
      <w:r w:rsidR="009F0773">
        <w:rPr>
          <w:rFonts w:hint="cs"/>
          <w:rtl/>
        </w:rPr>
        <w:t>היושרה</w:t>
      </w:r>
      <w:r w:rsidR="00FB3201">
        <w:rPr>
          <w:rFonts w:hint="cs"/>
          <w:rtl/>
        </w:rPr>
        <w:t xml:space="preserve"> והשקיפות </w:t>
      </w:r>
      <w:r w:rsidR="00FB3201" w:rsidRPr="00FB3201">
        <w:rPr>
          <w:rtl/>
        </w:rPr>
        <w:t>של אישי ציבור</w:t>
      </w:r>
      <w:r w:rsidR="00C24AA3">
        <w:rPr>
          <w:rFonts w:hint="cs"/>
          <w:rtl/>
        </w:rPr>
        <w:t>,</w:t>
      </w:r>
      <w:r w:rsidR="00FF6069">
        <w:rPr>
          <w:rFonts w:hint="cs"/>
          <w:rtl/>
        </w:rPr>
        <w:t xml:space="preserve"> </w:t>
      </w:r>
      <w:r w:rsidR="00FF6069" w:rsidRPr="00AB56FE">
        <w:rPr>
          <w:rFonts w:hint="cs"/>
          <w:b/>
          <w:bCs/>
          <w:rtl/>
        </w:rPr>
        <w:t>ובין תפקידיה</w:t>
      </w:r>
      <w:r w:rsidR="00FF6069">
        <w:rPr>
          <w:rFonts w:hint="cs"/>
          <w:rtl/>
        </w:rPr>
        <w:t xml:space="preserve"> לאכוף מחויבויות אתיות, </w:t>
      </w:r>
      <w:r w:rsidR="00FF6069" w:rsidRPr="00AB56FE">
        <w:rPr>
          <w:rFonts w:hint="cs"/>
          <w:b/>
          <w:bCs/>
          <w:rtl/>
        </w:rPr>
        <w:t>למנוע ניגודי עניינים</w:t>
      </w:r>
      <w:r w:rsidR="00FF6069">
        <w:rPr>
          <w:rFonts w:hint="cs"/>
          <w:rtl/>
        </w:rPr>
        <w:t>, ל</w:t>
      </w:r>
      <w:r w:rsidR="00AB56FE">
        <w:rPr>
          <w:rFonts w:hint="cs"/>
          <w:rtl/>
        </w:rPr>
        <w:t>ייעץ</w:t>
      </w:r>
      <w:r w:rsidR="00FF6069">
        <w:rPr>
          <w:rFonts w:hint="cs"/>
          <w:rtl/>
        </w:rPr>
        <w:t xml:space="preserve"> לבעלי תפקידים ציבוריים בכירים ולקדם את השקיפות בחיים הציבוריים.</w:t>
      </w:r>
      <w:r w:rsidR="00C24AA3">
        <w:rPr>
          <w:rFonts w:hint="cs"/>
          <w:rtl/>
        </w:rPr>
        <w:t xml:space="preserve"> </w:t>
      </w:r>
    </w:p>
    <w:p w:rsidR="005C2BFC" w:rsidRDefault="0066504F" w:rsidP="00426035">
      <w:pPr>
        <w:pStyle w:val="a4"/>
        <w:rPr>
          <w:rtl/>
        </w:rPr>
      </w:pPr>
      <w:bookmarkStart w:id="12" w:name="בעלי_תפקידים_החייבים_הצהרת_אינטרסים"/>
      <w:bookmarkEnd w:id="12"/>
      <w:r w:rsidRPr="0066504F">
        <w:rPr>
          <w:rFonts w:hint="cs"/>
          <w:rtl/>
        </w:rPr>
        <w:t>לפי הוראות החוק,</w:t>
      </w:r>
      <w:r>
        <w:rPr>
          <w:rFonts w:hint="cs"/>
          <w:b/>
          <w:bCs/>
          <w:rtl/>
        </w:rPr>
        <w:t xml:space="preserve"> </w:t>
      </w:r>
      <w:r w:rsidR="009F0773" w:rsidRPr="00CE2A6B">
        <w:rPr>
          <w:rFonts w:hint="cs"/>
          <w:b/>
          <w:bCs/>
          <w:rtl/>
        </w:rPr>
        <w:t>למעלה מ</w:t>
      </w:r>
      <w:r w:rsidR="00FB3201" w:rsidRPr="00CE2A6B">
        <w:rPr>
          <w:b/>
          <w:bCs/>
          <w:rtl/>
        </w:rPr>
        <w:t>-</w:t>
      </w:r>
      <w:r w:rsidR="00FB3201" w:rsidRPr="00CE2A6B">
        <w:rPr>
          <w:rFonts w:hint="cs"/>
          <w:b/>
          <w:bCs/>
          <w:rtl/>
        </w:rPr>
        <w:t>1</w:t>
      </w:r>
      <w:r w:rsidR="009F0773" w:rsidRPr="00CE2A6B">
        <w:rPr>
          <w:rFonts w:hint="cs"/>
          <w:b/>
          <w:bCs/>
          <w:rtl/>
        </w:rPr>
        <w:t>4</w:t>
      </w:r>
      <w:r w:rsidR="00FB3201" w:rsidRPr="00CE2A6B">
        <w:rPr>
          <w:b/>
          <w:bCs/>
          <w:rtl/>
        </w:rPr>
        <w:t xml:space="preserve">,000 </w:t>
      </w:r>
      <w:r w:rsidR="00CC3854" w:rsidRPr="00AB56FE">
        <w:rPr>
          <w:rFonts w:hint="cs"/>
          <w:rtl/>
        </w:rPr>
        <w:t>נושאי משרה ובעלי</w:t>
      </w:r>
      <w:r w:rsidR="00BE4844" w:rsidRPr="00AB56FE">
        <w:rPr>
          <w:rFonts w:hint="cs"/>
          <w:rtl/>
        </w:rPr>
        <w:t xml:space="preserve"> </w:t>
      </w:r>
      <w:r w:rsidR="00CC3854" w:rsidRPr="00AB56FE">
        <w:rPr>
          <w:rFonts w:hint="cs"/>
          <w:rtl/>
        </w:rPr>
        <w:t>ה</w:t>
      </w:r>
      <w:r w:rsidR="00BE4844" w:rsidRPr="00AB56FE">
        <w:rPr>
          <w:rFonts w:hint="cs"/>
          <w:rtl/>
        </w:rPr>
        <w:t xml:space="preserve">תפקידים </w:t>
      </w:r>
      <w:r w:rsidR="00BE4844" w:rsidRPr="00AB56FE">
        <w:rPr>
          <w:rtl/>
        </w:rPr>
        <w:t>הבכירים ביותר</w:t>
      </w:r>
      <w:r w:rsidR="00BE4844" w:rsidRPr="00AB56FE">
        <w:rPr>
          <w:rFonts w:hint="cs"/>
          <w:rtl/>
        </w:rPr>
        <w:t xml:space="preserve"> בשירות הציבורי </w:t>
      </w:r>
      <w:r w:rsidRPr="00AB56FE">
        <w:rPr>
          <w:rFonts w:hint="cs"/>
          <w:rtl/>
        </w:rPr>
        <w:t xml:space="preserve">של צרפת </w:t>
      </w:r>
      <w:r w:rsidR="00BE4844" w:rsidRPr="00AB56FE">
        <w:rPr>
          <w:rtl/>
        </w:rPr>
        <w:t>–</w:t>
      </w:r>
      <w:r w:rsidR="00BE4844" w:rsidRPr="00AB56FE">
        <w:rPr>
          <w:rFonts w:hint="cs"/>
          <w:rtl/>
        </w:rPr>
        <w:t xml:space="preserve"> </w:t>
      </w:r>
      <w:r w:rsidR="00FB3201" w:rsidRPr="00CE2A6B">
        <w:rPr>
          <w:rFonts w:hint="cs"/>
          <w:b/>
          <w:bCs/>
          <w:rtl/>
        </w:rPr>
        <w:t xml:space="preserve">נבחרי ציבור </w:t>
      </w:r>
      <w:r w:rsidR="00BE4844">
        <w:rPr>
          <w:rFonts w:hint="cs"/>
          <w:b/>
          <w:bCs/>
          <w:rtl/>
        </w:rPr>
        <w:t xml:space="preserve">ועובדי </w:t>
      </w:r>
      <w:r w:rsidR="00FB3201" w:rsidRPr="00CE2A6B">
        <w:rPr>
          <w:b/>
          <w:bCs/>
          <w:rtl/>
        </w:rPr>
        <w:t>ציבור</w:t>
      </w:r>
      <w:r w:rsidR="00444DDB">
        <w:rPr>
          <w:rStyle w:val="ac"/>
          <w:rtl/>
        </w:rPr>
        <w:footnoteReference w:id="223"/>
      </w:r>
      <w:r>
        <w:rPr>
          <w:rFonts w:hint="cs"/>
          <w:b/>
          <w:bCs/>
          <w:rtl/>
        </w:rPr>
        <w:t xml:space="preserve"> </w:t>
      </w:r>
      <w:r w:rsidRPr="00AB56FE">
        <w:rPr>
          <w:rtl/>
        </w:rPr>
        <w:t>–</w:t>
      </w:r>
      <w:r w:rsidRPr="00AB56FE">
        <w:rPr>
          <w:rFonts w:hint="cs"/>
          <w:rtl/>
        </w:rPr>
        <w:t xml:space="preserve"> </w:t>
      </w:r>
      <w:r>
        <w:rPr>
          <w:rFonts w:hint="cs"/>
          <w:b/>
          <w:bCs/>
          <w:rtl/>
        </w:rPr>
        <w:t xml:space="preserve">מחויבים בהגשת </w:t>
      </w:r>
      <w:r w:rsidRPr="00CE2A6B">
        <w:rPr>
          <w:b/>
          <w:bCs/>
          <w:rtl/>
        </w:rPr>
        <w:t xml:space="preserve">הצהרות הון </w:t>
      </w:r>
      <w:r w:rsidRPr="00CE2A6B">
        <w:rPr>
          <w:rFonts w:hint="cs"/>
          <w:b/>
          <w:bCs/>
          <w:rtl/>
        </w:rPr>
        <w:t>וה</w:t>
      </w:r>
      <w:r>
        <w:rPr>
          <w:rFonts w:hint="cs"/>
          <w:b/>
          <w:bCs/>
          <w:rtl/>
        </w:rPr>
        <w:t>צהרות בדבר ה</w:t>
      </w:r>
      <w:r w:rsidRPr="00CE2A6B">
        <w:rPr>
          <w:b/>
          <w:bCs/>
          <w:rtl/>
        </w:rPr>
        <w:t>אינטרסים</w:t>
      </w:r>
      <w:r>
        <w:rPr>
          <w:rFonts w:hint="cs"/>
          <w:b/>
          <w:bCs/>
          <w:rtl/>
        </w:rPr>
        <w:t xml:space="preserve"> שלהם לרשות</w:t>
      </w:r>
      <w:r>
        <w:rPr>
          <w:rFonts w:hint="cs"/>
          <w:rtl/>
        </w:rPr>
        <w:t>, אשר מתוקף תפקידה אמונה על בדיקת ההצהרות</w:t>
      </w:r>
      <w:r w:rsidRPr="0066504F">
        <w:rPr>
          <w:rFonts w:hint="cs"/>
          <w:rtl/>
        </w:rPr>
        <w:t>.</w:t>
      </w:r>
      <w:r w:rsidRPr="00CE2A6B">
        <w:rPr>
          <w:b/>
          <w:bCs/>
          <w:rtl/>
        </w:rPr>
        <w:t xml:space="preserve"> </w:t>
      </w:r>
      <w:r>
        <w:rPr>
          <w:rFonts w:hint="cs"/>
          <w:rtl/>
        </w:rPr>
        <w:t>הצהרת האינטרסים כוללת מידע על האינטרסים של בעל התפקיד שנובעים מפעילויותיו, תפקידיו וקשריו ומטרתה למנוע ניגודי אינטרסים של בעל התפקיד</w:t>
      </w:r>
      <w:r w:rsidR="00FF6069">
        <w:rPr>
          <w:rFonts w:hint="cs"/>
          <w:rtl/>
        </w:rPr>
        <w:t xml:space="preserve"> (וראו בהרחבה </w:t>
      </w:r>
      <w:hyperlink w:anchor="הצהרת_האינטרסים" w:history="1">
        <w:r w:rsidR="00FF6069" w:rsidRPr="00FF6069">
          <w:rPr>
            <w:rStyle w:val="Hyperlink"/>
            <w:rFonts w:hint="cs"/>
            <w:rtl/>
          </w:rPr>
          <w:t>להלן</w:t>
        </w:r>
      </w:hyperlink>
      <w:r w:rsidR="00FF6069">
        <w:rPr>
          <w:rFonts w:hint="cs"/>
          <w:rtl/>
        </w:rPr>
        <w:t>)</w:t>
      </w:r>
      <w:r>
        <w:rPr>
          <w:rFonts w:hint="cs"/>
          <w:rtl/>
        </w:rPr>
        <w:t>.</w:t>
      </w:r>
    </w:p>
    <w:p w:rsidR="004F1669" w:rsidRDefault="00CE2A6B" w:rsidP="005C2BFC">
      <w:pPr>
        <w:pStyle w:val="a4"/>
        <w:rPr>
          <w:rtl/>
        </w:rPr>
      </w:pPr>
      <w:r>
        <w:rPr>
          <w:rFonts w:hint="cs"/>
          <w:rtl/>
        </w:rPr>
        <w:t>נוסף על כך</w:t>
      </w:r>
      <w:r w:rsidR="003F586E">
        <w:rPr>
          <w:rFonts w:hint="cs"/>
          <w:rtl/>
        </w:rPr>
        <w:t>,</w:t>
      </w:r>
      <w:r>
        <w:rPr>
          <w:rFonts w:hint="cs"/>
          <w:rtl/>
        </w:rPr>
        <w:t xml:space="preserve"> הרשות מייעצת לבעלי התפקידים האמורים בשאלות אתיות שמתעוררות במהלך ביצוע תפקידיהם הציבוריים ופועלת להגברת המודעות והידע של בעלי </w:t>
      </w:r>
      <w:r w:rsidR="00CC3854">
        <w:rPr>
          <w:rFonts w:hint="cs"/>
          <w:rtl/>
        </w:rPr>
        <w:t>ה</w:t>
      </w:r>
      <w:r>
        <w:rPr>
          <w:rFonts w:hint="cs"/>
          <w:rtl/>
        </w:rPr>
        <w:t xml:space="preserve">תפקידים ושל האזרחים במטרה ליצור תרבות של יושרה במגזר הציבורי. </w:t>
      </w:r>
    </w:p>
    <w:p w:rsidR="009A4BC5" w:rsidRDefault="009A4BC5" w:rsidP="009A4BC5">
      <w:pPr>
        <w:pStyle w:val="a4"/>
        <w:rPr>
          <w:rtl/>
        </w:rPr>
      </w:pPr>
      <w:r w:rsidRPr="0066631C">
        <w:rPr>
          <w:rFonts w:hint="cs"/>
          <w:b/>
          <w:bCs/>
          <w:rtl/>
        </w:rPr>
        <w:t>אם מתוך הצהרת האינטרסים של בעל תפקיד ציבורי מסוים</w:t>
      </w:r>
      <w:r>
        <w:rPr>
          <w:rFonts w:hint="cs"/>
          <w:b/>
          <w:bCs/>
          <w:rtl/>
        </w:rPr>
        <w:t xml:space="preserve"> הרשות סבורה ש</w:t>
      </w:r>
      <w:r w:rsidRPr="0066631C">
        <w:rPr>
          <w:rFonts w:hint="cs"/>
          <w:b/>
          <w:bCs/>
          <w:rtl/>
        </w:rPr>
        <w:t>עולה מצב של ניגוד עניים</w:t>
      </w:r>
      <w:r>
        <w:rPr>
          <w:rFonts w:hint="cs"/>
          <w:rtl/>
        </w:rPr>
        <w:t>, באפשרותה לפעול בשני מסלולים:</w:t>
      </w:r>
      <w:r>
        <w:rPr>
          <w:rStyle w:val="ac"/>
          <w:rtl/>
        </w:rPr>
        <w:footnoteReference w:id="224"/>
      </w:r>
    </w:p>
    <w:p w:rsidR="009A4BC5" w:rsidRDefault="009A4BC5" w:rsidP="00CB3CE6">
      <w:pPr>
        <w:pStyle w:val="a4"/>
        <w:numPr>
          <w:ilvl w:val="0"/>
          <w:numId w:val="6"/>
        </w:numPr>
        <w:ind w:left="357" w:hanging="357"/>
        <w:rPr>
          <w:rtl/>
        </w:rPr>
      </w:pPr>
      <w:r w:rsidRPr="0066631C">
        <w:rPr>
          <w:rFonts w:hint="cs"/>
          <w:b/>
          <w:bCs/>
          <w:rtl/>
        </w:rPr>
        <w:t xml:space="preserve">מסלול </w:t>
      </w:r>
      <w:r w:rsidR="0077254E">
        <w:rPr>
          <w:rFonts w:hint="cs"/>
          <w:b/>
          <w:bCs/>
          <w:rtl/>
        </w:rPr>
        <w:t>מניעתי</w:t>
      </w:r>
      <w:r w:rsidR="0077254E">
        <w:rPr>
          <w:rFonts w:hint="cs"/>
          <w:rtl/>
        </w:rPr>
        <w:t xml:space="preserve"> </w:t>
      </w:r>
      <w:r>
        <w:rPr>
          <w:rtl/>
        </w:rPr>
        <w:t>–</w:t>
      </w:r>
      <w:r>
        <w:rPr>
          <w:rFonts w:hint="cs"/>
          <w:rtl/>
        </w:rPr>
        <w:t xml:space="preserve"> הרשות תפנה לבעל התפקיד ותיידע אותו כי אינטרס מסוים שלו עשוי להעמיד אותו במצב של ניגוד עניינים; בעל התפקיד יוכל לקבל ייעוץ על ההתאמות הנדרשות כדי למנוע את המצב. יצוין כי ברוב המקרים </w:t>
      </w:r>
      <w:r w:rsidRPr="00994073">
        <w:rPr>
          <w:rFonts w:hint="cs"/>
          <w:b/>
          <w:bCs/>
          <w:rtl/>
        </w:rPr>
        <w:t>מניעת ניגוד העניינים תיעשה באמצעות התאמת האופן שבו בעל התפקיד מבצע את תפקידו</w:t>
      </w:r>
      <w:r>
        <w:rPr>
          <w:rFonts w:hint="cs"/>
          <w:rtl/>
        </w:rPr>
        <w:t>, למשל על-ידי הימנעות מביצוע פעולות מסוימות או האצלת סמכות לכפופים לו. במקרים נדירים יידרש בעל התפקיד לזנוח את האינטרס הפרטי (באופן קבוע או זמני, למשל באמצעות העברת הניהול הפיננסי שלו לאחר, ללא יכולת השפעה).</w:t>
      </w:r>
    </w:p>
    <w:p w:rsidR="009A4BC5" w:rsidRDefault="009A4BC5" w:rsidP="00A85EFC">
      <w:pPr>
        <w:pStyle w:val="a4"/>
        <w:numPr>
          <w:ilvl w:val="0"/>
          <w:numId w:val="6"/>
        </w:numPr>
        <w:ind w:left="357" w:hanging="357"/>
        <w:rPr>
          <w:rtl/>
        </w:rPr>
      </w:pPr>
      <w:r w:rsidRPr="0066631C">
        <w:rPr>
          <w:rFonts w:hint="cs"/>
          <w:b/>
          <w:bCs/>
          <w:rtl/>
        </w:rPr>
        <w:t>מסלול אכיפה</w:t>
      </w:r>
      <w:r>
        <w:rPr>
          <w:rFonts w:hint="cs"/>
          <w:rtl/>
        </w:rPr>
        <w:t xml:space="preserve"> </w:t>
      </w:r>
      <w:r>
        <w:rPr>
          <w:rtl/>
        </w:rPr>
        <w:t>–</w:t>
      </w:r>
      <w:r>
        <w:rPr>
          <w:rFonts w:hint="cs"/>
          <w:rtl/>
        </w:rPr>
        <w:t xml:space="preserve"> במקרים מסוימים (בעיקר כאשר מדובר בהסתרה רצונית של מידע או בסירוב לפעול על פי הייעוץ שניתן), </w:t>
      </w:r>
      <w:r w:rsidRPr="00994073">
        <w:rPr>
          <w:rFonts w:hint="cs"/>
          <w:b/>
          <w:bCs/>
          <w:rtl/>
        </w:rPr>
        <w:t>הרשות רשאית להוצי</w:t>
      </w:r>
      <w:r w:rsidRPr="00994073">
        <w:rPr>
          <w:rFonts w:hint="eastAsia"/>
          <w:b/>
          <w:bCs/>
          <w:rtl/>
        </w:rPr>
        <w:t>א</w:t>
      </w:r>
      <w:r w:rsidRPr="00994073">
        <w:rPr>
          <w:rFonts w:hint="cs"/>
          <w:b/>
          <w:bCs/>
          <w:rtl/>
        </w:rPr>
        <w:t xml:space="preserve"> צו כנגד בעל התפקיד</w:t>
      </w:r>
      <w:r>
        <w:rPr>
          <w:rFonts w:hint="cs"/>
          <w:rtl/>
        </w:rPr>
        <w:t xml:space="preserve"> (למעט כנגד ראש הממשלה, חברי הממשלה וחברי הפרלמנט) המורה לו להפסיק את הפעילות היוצרת את ניגוד הענייני</w:t>
      </w:r>
      <w:r>
        <w:rPr>
          <w:rFonts w:hint="eastAsia"/>
          <w:rtl/>
        </w:rPr>
        <w:t>ם</w:t>
      </w:r>
      <w:r>
        <w:rPr>
          <w:rFonts w:hint="cs"/>
          <w:rtl/>
        </w:rPr>
        <w:t>. הרשות רשאית לפרסם את הצו לאחר חודש.</w:t>
      </w:r>
      <w:r>
        <w:rPr>
          <w:rStyle w:val="ac"/>
          <w:rtl/>
        </w:rPr>
        <w:footnoteReference w:id="225"/>
      </w:r>
      <w:r>
        <w:rPr>
          <w:rFonts w:hint="cs"/>
          <w:rtl/>
        </w:rPr>
        <w:t xml:space="preserve"> אם המצב נמשך הרשות תעביר את התיק לרשויות התביעה למסלול אכיפה פלילי. </w:t>
      </w:r>
      <w:r w:rsidRPr="00994073">
        <w:rPr>
          <w:rFonts w:hint="cs"/>
          <w:b/>
          <w:bCs/>
          <w:rtl/>
        </w:rPr>
        <w:t xml:space="preserve">הסנקציה </w:t>
      </w:r>
      <w:r w:rsidR="002D54A1" w:rsidRPr="002D54A1">
        <w:rPr>
          <w:rFonts w:hint="cs"/>
          <w:rtl/>
        </w:rPr>
        <w:t xml:space="preserve">על אי הגשת ההצהרה או על דיווח </w:t>
      </w:r>
      <w:r w:rsidR="002D54A1">
        <w:rPr>
          <w:rFonts w:hint="cs"/>
          <w:rtl/>
        </w:rPr>
        <w:t xml:space="preserve">חלקי או </w:t>
      </w:r>
      <w:r w:rsidR="002D54A1" w:rsidRPr="002D54A1">
        <w:rPr>
          <w:rFonts w:hint="cs"/>
          <w:rtl/>
        </w:rPr>
        <w:t xml:space="preserve">כוזב </w:t>
      </w:r>
      <w:r w:rsidRPr="00994073">
        <w:rPr>
          <w:rFonts w:hint="cs"/>
          <w:b/>
          <w:bCs/>
          <w:rtl/>
        </w:rPr>
        <w:t xml:space="preserve">היא מאסר עד </w:t>
      </w:r>
      <w:r w:rsidR="002D54A1">
        <w:rPr>
          <w:rFonts w:hint="cs"/>
          <w:b/>
          <w:bCs/>
          <w:rtl/>
        </w:rPr>
        <w:t>שלוש שנים וקנס של 45</w:t>
      </w:r>
      <w:r w:rsidRPr="00994073">
        <w:rPr>
          <w:rFonts w:hint="cs"/>
          <w:b/>
          <w:bCs/>
          <w:rtl/>
        </w:rPr>
        <w:t>,000 אירו</w:t>
      </w:r>
      <w:r>
        <w:rPr>
          <w:rFonts w:hint="cs"/>
          <w:rtl/>
        </w:rPr>
        <w:t xml:space="preserve">. </w:t>
      </w:r>
    </w:p>
    <w:p w:rsidR="0066504F" w:rsidRPr="0066504F" w:rsidRDefault="0066504F" w:rsidP="009E7AD2">
      <w:pPr>
        <w:pStyle w:val="11"/>
        <w:keepNext/>
        <w:keepLines/>
        <w:rPr>
          <w:rtl/>
        </w:rPr>
      </w:pPr>
      <w:bookmarkStart w:id="13" w:name="הצהרת_האינטרסים"/>
      <w:bookmarkEnd w:id="13"/>
      <w:r w:rsidRPr="0066504F">
        <w:rPr>
          <w:rFonts w:hint="cs"/>
          <w:rtl/>
        </w:rPr>
        <w:t>הצהרת האינטרסים</w:t>
      </w:r>
    </w:p>
    <w:p w:rsidR="0068194C" w:rsidRDefault="00BE4844" w:rsidP="009E7AD2">
      <w:pPr>
        <w:pStyle w:val="a4"/>
        <w:rPr>
          <w:rtl/>
        </w:rPr>
      </w:pPr>
      <w:r w:rsidRPr="0068194C">
        <w:rPr>
          <w:rFonts w:hint="cs"/>
          <w:b/>
          <w:bCs/>
          <w:rtl/>
        </w:rPr>
        <w:t xml:space="preserve">ההצהרה בעניין האינטרסים מוגשת </w:t>
      </w:r>
      <w:r w:rsidR="00794992">
        <w:rPr>
          <w:rFonts w:hint="cs"/>
          <w:b/>
          <w:bCs/>
          <w:rtl/>
        </w:rPr>
        <w:t xml:space="preserve">לרשות </w:t>
      </w:r>
      <w:r w:rsidRPr="0068194C">
        <w:rPr>
          <w:rFonts w:hint="cs"/>
          <w:b/>
          <w:bCs/>
          <w:rtl/>
        </w:rPr>
        <w:t>בתחילת תקופת הכהונה במשרה או בתפקיד</w:t>
      </w:r>
      <w:r w:rsidR="0068194C">
        <w:rPr>
          <w:rFonts w:hint="cs"/>
          <w:rtl/>
        </w:rPr>
        <w:t>,</w:t>
      </w:r>
      <w:r>
        <w:rPr>
          <w:rFonts w:hint="cs"/>
          <w:rtl/>
        </w:rPr>
        <w:t xml:space="preserve"> </w:t>
      </w:r>
      <w:r w:rsidR="0068194C">
        <w:rPr>
          <w:rFonts w:hint="cs"/>
          <w:rtl/>
        </w:rPr>
        <w:t>תוך חודשיים ממועד הבחירה או המינוי לתפקיד.</w:t>
      </w:r>
      <w:r w:rsidR="00DD1919">
        <w:rPr>
          <w:rStyle w:val="ac"/>
          <w:rtl/>
        </w:rPr>
        <w:footnoteReference w:id="226"/>
      </w:r>
      <w:r w:rsidR="0068194C">
        <w:rPr>
          <w:rFonts w:hint="cs"/>
          <w:rtl/>
        </w:rPr>
        <w:t xml:space="preserve"> אם חל שינוי מהותי באינטרסים יש להגיש הצהרה מתקנת תוך חודשיים ממועד השינוי (לחברי הממשלה </w:t>
      </w:r>
      <w:r w:rsidR="0068194C">
        <w:rPr>
          <w:rtl/>
        </w:rPr>
        <w:t>–</w:t>
      </w:r>
      <w:r w:rsidR="0068194C">
        <w:rPr>
          <w:rFonts w:hint="cs"/>
          <w:rtl/>
        </w:rPr>
        <w:t xml:space="preserve"> תוך חודש).</w:t>
      </w:r>
      <w:r w:rsidR="009A4BC5" w:rsidRPr="009A4BC5">
        <w:rPr>
          <w:rFonts w:hint="cs"/>
          <w:rtl/>
        </w:rPr>
        <w:t xml:space="preserve"> </w:t>
      </w:r>
      <w:r w:rsidR="009A4BC5">
        <w:rPr>
          <w:rFonts w:hint="cs"/>
          <w:rtl/>
        </w:rPr>
        <w:t>נוסף על כך, על מגיש ההצהרה להעבירה לגורם הרלוונטי בהתאם לגוף הציבורי אליו הוא משתייך.</w:t>
      </w:r>
      <w:r w:rsidR="009A4BC5" w:rsidRPr="00E00D89">
        <w:rPr>
          <w:rStyle w:val="ac"/>
          <w:rtl/>
        </w:rPr>
        <w:footnoteReference w:id="227"/>
      </w:r>
    </w:p>
    <w:p w:rsidR="001444B9" w:rsidRDefault="00551D91" w:rsidP="009A4BC5">
      <w:pPr>
        <w:pStyle w:val="a4"/>
        <w:rPr>
          <w:rtl/>
        </w:rPr>
      </w:pPr>
      <w:r w:rsidRPr="00551D91">
        <w:rPr>
          <w:rFonts w:hint="cs"/>
          <w:b/>
          <w:bCs/>
          <w:rtl/>
        </w:rPr>
        <w:t xml:space="preserve">ההצהרה </w:t>
      </w:r>
      <w:r w:rsidR="0068194C">
        <w:rPr>
          <w:rFonts w:hint="cs"/>
          <w:b/>
          <w:bCs/>
          <w:rtl/>
        </w:rPr>
        <w:t>ת</w:t>
      </w:r>
      <w:r w:rsidRPr="00551D91">
        <w:rPr>
          <w:rFonts w:hint="cs"/>
          <w:b/>
          <w:bCs/>
          <w:rtl/>
        </w:rPr>
        <w:t xml:space="preserve">כלול </w:t>
      </w:r>
      <w:r w:rsidR="001444B9">
        <w:rPr>
          <w:rFonts w:hint="cs"/>
          <w:rtl/>
        </w:rPr>
        <w:t xml:space="preserve">מידע על האינטרסים של בעל התפקיד וכן את התמורה שקיבל בעבור כל פעילות. </w:t>
      </w:r>
      <w:r w:rsidR="001444B9" w:rsidRPr="004B6465">
        <w:rPr>
          <w:rFonts w:hint="cs"/>
          <w:b/>
          <w:bCs/>
          <w:rtl/>
        </w:rPr>
        <w:t xml:space="preserve">על ההצהרה לכלול, בין השאר, </w:t>
      </w:r>
      <w:r w:rsidR="009A4BC5">
        <w:rPr>
          <w:rFonts w:hint="cs"/>
          <w:b/>
          <w:bCs/>
          <w:rtl/>
        </w:rPr>
        <w:t xml:space="preserve">את כל הפרטיים הרלוונטיים לגבי </w:t>
      </w:r>
      <w:r w:rsidR="001444B9" w:rsidRPr="004B6465">
        <w:rPr>
          <w:rFonts w:hint="cs"/>
          <w:b/>
          <w:bCs/>
          <w:rtl/>
        </w:rPr>
        <w:t>הפעילויות האלה</w:t>
      </w:r>
      <w:r w:rsidR="001444B9">
        <w:rPr>
          <w:rFonts w:hint="cs"/>
          <w:rtl/>
        </w:rPr>
        <w:t>:</w:t>
      </w:r>
      <w:r w:rsidR="001444B9">
        <w:rPr>
          <w:rStyle w:val="ac"/>
          <w:rtl/>
        </w:rPr>
        <w:footnoteReference w:id="228"/>
      </w:r>
      <w:r w:rsidR="001444B9">
        <w:rPr>
          <w:rFonts w:hint="cs"/>
          <w:rtl/>
        </w:rPr>
        <w:t xml:space="preserve"> </w:t>
      </w:r>
    </w:p>
    <w:p w:rsidR="00C06C0E" w:rsidRDefault="00C06C0E" w:rsidP="00A85EFC">
      <w:pPr>
        <w:pStyle w:val="a4"/>
        <w:numPr>
          <w:ilvl w:val="0"/>
          <w:numId w:val="9"/>
        </w:numPr>
        <w:ind w:left="357" w:hanging="357"/>
      </w:pPr>
      <w:r>
        <w:rPr>
          <w:rFonts w:hint="cs"/>
          <w:rtl/>
        </w:rPr>
        <w:t xml:space="preserve">פעילות מקצועית </w:t>
      </w:r>
      <w:r w:rsidR="001444B9">
        <w:rPr>
          <w:rFonts w:hint="cs"/>
          <w:rtl/>
        </w:rPr>
        <w:t xml:space="preserve">שבוצעה תמורת תשלום בעת המינוי </w:t>
      </w:r>
      <w:r>
        <w:rPr>
          <w:rFonts w:hint="cs"/>
          <w:rtl/>
        </w:rPr>
        <w:t>ובחמש השנים החולפות;</w:t>
      </w:r>
    </w:p>
    <w:p w:rsidR="00C06C0E" w:rsidRDefault="00C06C0E" w:rsidP="00A85EFC">
      <w:pPr>
        <w:pStyle w:val="a4"/>
        <w:numPr>
          <w:ilvl w:val="0"/>
          <w:numId w:val="9"/>
        </w:numPr>
        <w:ind w:left="357" w:hanging="357"/>
      </w:pPr>
      <w:r>
        <w:rPr>
          <w:rFonts w:hint="cs"/>
          <w:rtl/>
        </w:rPr>
        <w:t xml:space="preserve">פעילות </w:t>
      </w:r>
      <w:r w:rsidR="001444B9">
        <w:rPr>
          <w:rFonts w:hint="cs"/>
          <w:rtl/>
        </w:rPr>
        <w:t>בתחום ה</w:t>
      </w:r>
      <w:r>
        <w:rPr>
          <w:rFonts w:hint="cs"/>
          <w:rtl/>
        </w:rPr>
        <w:t xml:space="preserve">ייעוץ </w:t>
      </w:r>
      <w:r w:rsidR="001444B9">
        <w:rPr>
          <w:rFonts w:hint="cs"/>
          <w:rtl/>
        </w:rPr>
        <w:t xml:space="preserve">בעת המינוי </w:t>
      </w:r>
      <w:r>
        <w:rPr>
          <w:rFonts w:hint="cs"/>
          <w:rtl/>
        </w:rPr>
        <w:t>ובחמש השנים החולפות;</w:t>
      </w:r>
    </w:p>
    <w:p w:rsidR="001444B9" w:rsidRDefault="001444B9" w:rsidP="00A85EFC">
      <w:pPr>
        <w:pStyle w:val="a4"/>
        <w:numPr>
          <w:ilvl w:val="0"/>
          <w:numId w:val="9"/>
        </w:numPr>
        <w:ind w:left="357" w:hanging="357"/>
      </w:pPr>
      <w:r>
        <w:rPr>
          <w:rFonts w:hint="cs"/>
          <w:rtl/>
        </w:rPr>
        <w:t>מעורבות בגופים מנהלים של ארגונים, תאגידים, חברות או שותפויות, פרטיים או ציבוריים, בעת המינוי ובחמש השנים החולפות;</w:t>
      </w:r>
    </w:p>
    <w:p w:rsidR="001444B9" w:rsidRDefault="001444B9" w:rsidP="00A85EFC">
      <w:pPr>
        <w:pStyle w:val="a4"/>
        <w:numPr>
          <w:ilvl w:val="0"/>
          <w:numId w:val="9"/>
        </w:numPr>
        <w:ind w:left="357" w:hanging="357"/>
      </w:pPr>
      <w:r>
        <w:rPr>
          <w:rFonts w:hint="cs"/>
          <w:rtl/>
        </w:rPr>
        <w:t>החזקה ישירה בהון של תאגיד, חברה או שותפות בעת המינוי;</w:t>
      </w:r>
    </w:p>
    <w:p w:rsidR="001444B9" w:rsidRDefault="001444B9" w:rsidP="00A85EFC">
      <w:pPr>
        <w:pStyle w:val="a4"/>
        <w:numPr>
          <w:ilvl w:val="0"/>
          <w:numId w:val="9"/>
        </w:numPr>
        <w:ind w:left="357" w:hanging="357"/>
      </w:pPr>
      <w:r>
        <w:rPr>
          <w:rFonts w:hint="cs"/>
          <w:rtl/>
        </w:rPr>
        <w:t>פעילות מקצועית של בן או בת הזוג של המצהיר בעת המינוי;</w:t>
      </w:r>
    </w:p>
    <w:p w:rsidR="001444B9" w:rsidRDefault="001444B9" w:rsidP="00A85EFC">
      <w:pPr>
        <w:pStyle w:val="a4"/>
        <w:numPr>
          <w:ilvl w:val="0"/>
          <w:numId w:val="9"/>
        </w:numPr>
        <w:ind w:left="357" w:hanging="357"/>
      </w:pPr>
      <w:r>
        <w:rPr>
          <w:rFonts w:hint="cs"/>
          <w:rtl/>
        </w:rPr>
        <w:t>פעילות התנדבותית שעשויה להביא לניגוד עניינים;</w:t>
      </w:r>
    </w:p>
    <w:p w:rsidR="001444B9" w:rsidRDefault="001444B9" w:rsidP="00A85EFC">
      <w:pPr>
        <w:pStyle w:val="a4"/>
        <w:numPr>
          <w:ilvl w:val="0"/>
          <w:numId w:val="9"/>
        </w:numPr>
        <w:ind w:left="357" w:hanging="357"/>
      </w:pPr>
      <w:r>
        <w:rPr>
          <w:rFonts w:hint="cs"/>
          <w:rtl/>
        </w:rPr>
        <w:t>תפקידים ומשרות שהמצהיר נבחר אליהם והחזיק</w:t>
      </w:r>
      <w:r w:rsidR="00DD1919">
        <w:rPr>
          <w:rFonts w:hint="cs"/>
          <w:rtl/>
        </w:rPr>
        <w:t xml:space="preserve"> בהם בעת המינוי;</w:t>
      </w:r>
    </w:p>
    <w:p w:rsidR="00DD1919" w:rsidRDefault="00DD1919" w:rsidP="00A85EFC">
      <w:pPr>
        <w:pStyle w:val="a4"/>
        <w:numPr>
          <w:ilvl w:val="0"/>
          <w:numId w:val="9"/>
        </w:numPr>
        <w:ind w:left="357" w:hanging="357"/>
      </w:pPr>
      <w:r w:rsidRPr="004B6465">
        <w:rPr>
          <w:rFonts w:hint="cs"/>
          <w:b/>
          <w:bCs/>
          <w:rtl/>
        </w:rPr>
        <w:t xml:space="preserve">חברי </w:t>
      </w:r>
      <w:r w:rsidR="00282359">
        <w:rPr>
          <w:rFonts w:hint="cs"/>
          <w:b/>
          <w:bCs/>
          <w:rtl/>
        </w:rPr>
        <w:t>ה</w:t>
      </w:r>
      <w:r w:rsidRPr="004B6465">
        <w:rPr>
          <w:rFonts w:hint="cs"/>
          <w:b/>
          <w:bCs/>
          <w:rtl/>
        </w:rPr>
        <w:t>פרלמנט</w:t>
      </w:r>
      <w:r>
        <w:rPr>
          <w:rFonts w:hint="cs"/>
          <w:rtl/>
        </w:rPr>
        <w:t xml:space="preserve"> </w:t>
      </w:r>
      <w:r w:rsidR="00282359">
        <w:rPr>
          <w:rFonts w:hint="cs"/>
          <w:rtl/>
        </w:rPr>
        <w:t xml:space="preserve">(משני הבתים) </w:t>
      </w:r>
      <w:r w:rsidR="00E00D89">
        <w:rPr>
          <w:rFonts w:hint="cs"/>
          <w:rtl/>
        </w:rPr>
        <w:t xml:space="preserve">נדרשים להצהיר, נוסף על האמור לעיל, גם </w:t>
      </w:r>
      <w:r>
        <w:rPr>
          <w:rFonts w:hint="cs"/>
          <w:rtl/>
        </w:rPr>
        <w:t>על העוזרים או היועצים המועסקים על-</w:t>
      </w:r>
      <w:r w:rsidR="009A1733">
        <w:rPr>
          <w:rFonts w:hint="cs"/>
          <w:rtl/>
        </w:rPr>
        <w:t>י</w:t>
      </w:r>
      <w:r>
        <w:rPr>
          <w:rFonts w:hint="cs"/>
          <w:rtl/>
        </w:rPr>
        <w:t>דם</w:t>
      </w:r>
      <w:r w:rsidR="009A1733">
        <w:rPr>
          <w:rFonts w:hint="cs"/>
          <w:rtl/>
        </w:rPr>
        <w:t xml:space="preserve"> ועל כל פעילות שבכוונת</w:t>
      </w:r>
      <w:r w:rsidR="004B6465">
        <w:rPr>
          <w:rFonts w:hint="cs"/>
          <w:rtl/>
        </w:rPr>
        <w:t>ם</w:t>
      </w:r>
      <w:r w:rsidR="009A1733">
        <w:rPr>
          <w:rFonts w:hint="cs"/>
          <w:rtl/>
        </w:rPr>
        <w:t xml:space="preserve"> להמשיך לעסוק בה בזמן כהונת</w:t>
      </w:r>
      <w:r w:rsidR="004B6465">
        <w:rPr>
          <w:rFonts w:hint="cs"/>
          <w:rtl/>
        </w:rPr>
        <w:t>ם</w:t>
      </w:r>
      <w:r w:rsidR="009A1733">
        <w:rPr>
          <w:rFonts w:hint="cs"/>
          <w:rtl/>
        </w:rPr>
        <w:t>.</w:t>
      </w:r>
      <w:r w:rsidR="009A1733">
        <w:rPr>
          <w:rStyle w:val="ac"/>
          <w:rtl/>
        </w:rPr>
        <w:footnoteReference w:id="229"/>
      </w:r>
    </w:p>
    <w:p w:rsidR="00A44D8D" w:rsidRDefault="00D913B6" w:rsidP="00CB3CE6">
      <w:pPr>
        <w:pStyle w:val="a4"/>
        <w:rPr>
          <w:b/>
          <w:bCs/>
          <w:rtl/>
        </w:rPr>
      </w:pPr>
      <w:r w:rsidRPr="00D913B6">
        <w:rPr>
          <w:rFonts w:hint="cs"/>
          <w:b/>
          <w:bCs/>
          <w:rtl/>
        </w:rPr>
        <w:t>הרשות מפרסמת באתר האינטרנט שלה</w:t>
      </w:r>
      <w:r>
        <w:rPr>
          <w:rFonts w:hint="cs"/>
          <w:rtl/>
        </w:rPr>
        <w:t xml:space="preserve"> </w:t>
      </w:r>
      <w:r w:rsidRPr="00282359">
        <w:rPr>
          <w:rFonts w:hint="cs"/>
          <w:b/>
          <w:bCs/>
          <w:rtl/>
        </w:rPr>
        <w:t>את הצהרות האינטרסים של חברי הממשלה, חברי הפרלמנט משני הבתים, חברי הפרלמנט האירופי ונבחרי ציבור בר</w:t>
      </w:r>
      <w:r w:rsidR="00282359" w:rsidRPr="00282359">
        <w:rPr>
          <w:rFonts w:hint="cs"/>
          <w:b/>
          <w:bCs/>
          <w:rtl/>
        </w:rPr>
        <w:t>מה המחוזית ו</w:t>
      </w:r>
      <w:r w:rsidRPr="00282359">
        <w:rPr>
          <w:rFonts w:hint="cs"/>
          <w:b/>
          <w:bCs/>
          <w:rtl/>
        </w:rPr>
        <w:t>המקומית</w:t>
      </w:r>
      <w:r>
        <w:rPr>
          <w:rFonts w:hint="cs"/>
          <w:rtl/>
        </w:rPr>
        <w:t xml:space="preserve">; מההצהרות יושמטו פרטים אישיים ובהם שם בן או בת הזוג, פרטי התקשרות (כתובת, מספר טלפון ודוא"ל), פרטי בנק והערות שהמצהיר הפנה רק לעיני הרשות. </w:t>
      </w:r>
    </w:p>
    <w:p w:rsidR="009A1733" w:rsidRPr="00D913B6" w:rsidRDefault="00D913B6" w:rsidP="00CB3CE6">
      <w:pPr>
        <w:pStyle w:val="a4"/>
        <w:rPr>
          <w:rtl/>
        </w:rPr>
      </w:pPr>
      <w:r w:rsidRPr="00D913B6">
        <w:rPr>
          <w:rFonts w:hint="cs"/>
          <w:b/>
          <w:bCs/>
          <w:rtl/>
        </w:rPr>
        <w:t xml:space="preserve">הצהרות </w:t>
      </w:r>
      <w:r>
        <w:rPr>
          <w:rFonts w:hint="cs"/>
          <w:b/>
          <w:bCs/>
          <w:rtl/>
        </w:rPr>
        <w:t xml:space="preserve">האינטרסים </w:t>
      </w:r>
      <w:r w:rsidRPr="00D913B6">
        <w:rPr>
          <w:rFonts w:hint="cs"/>
          <w:b/>
          <w:bCs/>
          <w:rtl/>
        </w:rPr>
        <w:t>של יתר בעלי התפקידים אינן מתפרסמות</w:t>
      </w:r>
      <w:r w:rsidR="009A4BC5">
        <w:rPr>
          <w:rFonts w:hint="cs"/>
          <w:rtl/>
        </w:rPr>
        <w:t xml:space="preserve"> </w:t>
      </w:r>
      <w:r w:rsidR="009A4BC5" w:rsidRPr="009A4BC5">
        <w:rPr>
          <w:rFonts w:hint="cs"/>
          <w:b/>
          <w:bCs/>
          <w:rtl/>
        </w:rPr>
        <w:t>לציבור</w:t>
      </w:r>
      <w:r w:rsidRPr="00D913B6">
        <w:rPr>
          <w:rFonts w:hint="cs"/>
          <w:rtl/>
        </w:rPr>
        <w:t>.</w:t>
      </w:r>
      <w:r w:rsidRPr="000E6E2F">
        <w:rPr>
          <w:rStyle w:val="ac"/>
          <w:rtl/>
        </w:rPr>
        <w:footnoteReference w:id="230"/>
      </w:r>
      <w:r>
        <w:rPr>
          <w:rFonts w:hint="cs"/>
          <w:b/>
          <w:bCs/>
          <w:rtl/>
        </w:rPr>
        <w:t xml:space="preserve"> </w:t>
      </w:r>
    </w:p>
    <w:p w:rsidR="00B67460" w:rsidRDefault="00B67460" w:rsidP="00CE2A6B">
      <w:pPr>
        <w:pStyle w:val="a4"/>
        <w:rPr>
          <w:rtl/>
          <w:lang w:val="x-none"/>
        </w:rPr>
      </w:pPr>
    </w:p>
    <w:p w:rsidR="00C735A4" w:rsidRDefault="00C735A4" w:rsidP="00C735A4">
      <w:pPr>
        <w:pStyle w:val="1"/>
        <w:keepNext/>
        <w:keepLines/>
        <w:ind w:left="357" w:right="11" w:hanging="357"/>
        <w:rPr>
          <w:rtl/>
        </w:rPr>
      </w:pPr>
      <w:r>
        <w:rPr>
          <w:rFonts w:hint="cs"/>
          <w:rtl/>
        </w:rPr>
        <w:t>שבדיה</w:t>
      </w:r>
    </w:p>
    <w:p w:rsidR="00C735A4" w:rsidRDefault="00C735A4" w:rsidP="00C735A4">
      <w:pPr>
        <w:pStyle w:val="a4"/>
        <w:rPr>
          <w:rtl/>
        </w:rPr>
      </w:pPr>
      <w:r>
        <w:rPr>
          <w:rFonts w:hint="cs"/>
          <w:rtl/>
        </w:rPr>
        <w:t>כפי שיוצג להלן, הטיפול בניגודי עניינים בשבדיה מבוסס על מכלול של מקורות חקיקתיים מסוגים שונים שעוסקים כל אחד בתחומו בחלקי ההסדרה הספציפיים שרלוונטיים להם. כך, בין היתר, כחלק ממכלול ההסדרה נקבעו בשבדיה הוראות בדבר הגדרת המונח "ניגוד עניינים" בחקיקה פרוצדוראלית-מנהלית, כמו גם איסורים פליליים רלוונטיים בחוק העונשין, הוראות בדבר דיווח ושקיפות ואף הוראות נקודתיות שעוסקות בהיבטים ספציפיים של ההסדרה, כגון: קבלת מתנות, טיסות של נושאי משרה ועוד.</w:t>
      </w:r>
      <w:r>
        <w:rPr>
          <w:rFonts w:hint="cs"/>
        </w:rPr>
        <w:t xml:space="preserve"> </w:t>
      </w:r>
      <w:r>
        <w:rPr>
          <w:rFonts w:hint="cs"/>
          <w:rtl/>
        </w:rPr>
        <w:t xml:space="preserve">יחד עם זאת, </w:t>
      </w:r>
      <w:r w:rsidRPr="008178CB">
        <w:rPr>
          <w:rFonts w:hint="cs"/>
          <w:b/>
          <w:bCs/>
          <w:rtl/>
        </w:rPr>
        <w:t xml:space="preserve">לא נמצאו במדינה זו הוראות מפורטות </w:t>
      </w:r>
      <w:r>
        <w:rPr>
          <w:rFonts w:hint="cs"/>
          <w:b/>
          <w:bCs/>
          <w:rtl/>
        </w:rPr>
        <w:t xml:space="preserve">בחקיקה </w:t>
      </w:r>
      <w:r w:rsidRPr="008178CB">
        <w:rPr>
          <w:rFonts w:hint="cs"/>
          <w:b/>
          <w:bCs/>
          <w:rtl/>
        </w:rPr>
        <w:t>בדבר הסדרי ניגודי עניינים</w:t>
      </w:r>
      <w:r>
        <w:rPr>
          <w:rFonts w:hint="cs"/>
          <w:b/>
          <w:bCs/>
          <w:rtl/>
        </w:rPr>
        <w:t>, וככל הנראה רבדים אלה של ההסדרה נכללים בהתקשרויות ובהסכמים פרטניים</w:t>
      </w:r>
      <w:r>
        <w:rPr>
          <w:rFonts w:hint="cs"/>
          <w:rtl/>
        </w:rPr>
        <w:t>.</w:t>
      </w:r>
      <w:r>
        <w:rPr>
          <w:rStyle w:val="ac"/>
          <w:rtl/>
        </w:rPr>
        <w:footnoteReference w:id="231"/>
      </w:r>
      <w:r>
        <w:rPr>
          <w:rFonts w:hint="cs"/>
          <w:rtl/>
        </w:rPr>
        <w:t xml:space="preserve"> להלן יוצגו המקורות המרכזיים שנמצאו והוראותיהם הרלוונטיות.</w:t>
      </w:r>
    </w:p>
    <w:p w:rsidR="00C735A4" w:rsidRPr="00DE1FE7" w:rsidRDefault="00C735A4" w:rsidP="00C735A4">
      <w:pPr>
        <w:pStyle w:val="11"/>
        <w:keepNext/>
        <w:keepLines/>
        <w:numPr>
          <w:ilvl w:val="1"/>
          <w:numId w:val="1"/>
        </w:numPr>
        <w:spacing w:before="120"/>
        <w:rPr>
          <w:sz w:val="26"/>
          <w:rtl/>
        </w:rPr>
      </w:pPr>
      <w:r w:rsidRPr="00DE1FE7">
        <w:rPr>
          <w:rFonts w:hint="cs"/>
          <w:sz w:val="26"/>
          <w:rtl/>
        </w:rPr>
        <w:t>הוראות החוק הבסיסי</w:t>
      </w:r>
    </w:p>
    <w:p w:rsidR="00C735A4" w:rsidRDefault="00C735A4" w:rsidP="00C735A4">
      <w:pPr>
        <w:pStyle w:val="a4"/>
        <w:rPr>
          <w:rtl/>
        </w:rPr>
      </w:pPr>
      <w:r>
        <w:rPr>
          <w:rFonts w:hint="cs"/>
          <w:rtl/>
        </w:rPr>
        <w:t>עקרונות היסוד של פעילות המדינה והרשויות השונות בשבדיה קבועות בחוק הבסיסי (</w:t>
      </w:r>
      <w:r>
        <w:t>basic law</w:t>
      </w:r>
      <w:r>
        <w:rPr>
          <w:rFonts w:hint="cs"/>
          <w:rtl/>
        </w:rPr>
        <w:t>),</w:t>
      </w:r>
      <w:r>
        <w:rPr>
          <w:rStyle w:val="ac"/>
          <w:rtl/>
        </w:rPr>
        <w:footnoteReference w:id="232"/>
      </w:r>
      <w:r>
        <w:rPr>
          <w:rFonts w:hint="cs"/>
          <w:rtl/>
        </w:rPr>
        <w:t xml:space="preserve"> שעוסק בדרך הפעולה של הממשלה.</w:t>
      </w:r>
      <w:r>
        <w:rPr>
          <w:rStyle w:val="ac"/>
          <w:rtl/>
        </w:rPr>
        <w:footnoteReference w:id="233"/>
      </w:r>
      <w:r>
        <w:rPr>
          <w:rFonts w:hint="cs"/>
          <w:rtl/>
        </w:rPr>
        <w:t xml:space="preserve"> בחוק זה קבועה </w:t>
      </w:r>
      <w:r>
        <w:rPr>
          <w:rFonts w:hint="cs"/>
          <w:b/>
          <w:bCs/>
          <w:rtl/>
        </w:rPr>
        <w:t>הוראה</w:t>
      </w:r>
      <w:r w:rsidRPr="00E256B7">
        <w:rPr>
          <w:rFonts w:hint="cs"/>
          <w:b/>
          <w:bCs/>
          <w:rtl/>
        </w:rPr>
        <w:t xml:space="preserve"> כללית בדבר התנהלות</w:t>
      </w:r>
      <w:r>
        <w:rPr>
          <w:rFonts w:hint="cs"/>
          <w:b/>
          <w:bCs/>
          <w:rtl/>
        </w:rPr>
        <w:t xml:space="preserve"> </w:t>
      </w:r>
      <w:r w:rsidRPr="00E256B7">
        <w:rPr>
          <w:rFonts w:hint="cs"/>
          <w:b/>
          <w:bCs/>
          <w:rtl/>
        </w:rPr>
        <w:t xml:space="preserve">רשויות </w:t>
      </w:r>
      <w:r>
        <w:rPr>
          <w:rFonts w:hint="cs"/>
          <w:b/>
          <w:bCs/>
          <w:rtl/>
        </w:rPr>
        <w:t xml:space="preserve">המדינה </w:t>
      </w:r>
      <w:r w:rsidRPr="00E256B7">
        <w:rPr>
          <w:rFonts w:hint="cs"/>
          <w:b/>
          <w:bCs/>
          <w:rtl/>
        </w:rPr>
        <w:t>שנועדה למנוע שחיתות ועבירות מנהליות אחרות</w:t>
      </w:r>
      <w:r>
        <w:rPr>
          <w:rFonts w:hint="cs"/>
          <w:rtl/>
        </w:rPr>
        <w:t xml:space="preserve">. לפי הוראה זו, כל רשות מנהלית או גוף אחר בשבדיה שמבצע פעולה ציבורית </w:t>
      </w:r>
      <w:r w:rsidRPr="00E256B7">
        <w:rPr>
          <w:rFonts w:hint="cs"/>
          <w:b/>
          <w:bCs/>
          <w:rtl/>
        </w:rPr>
        <w:t>נדרש לפעול בשוויון בפני החוק, באובייקטיביות וללא משוא פנים</w:t>
      </w:r>
      <w:r>
        <w:rPr>
          <w:rFonts w:hint="cs"/>
          <w:rtl/>
        </w:rPr>
        <w:t>.</w:t>
      </w:r>
      <w:r>
        <w:rPr>
          <w:rStyle w:val="ac"/>
          <w:rtl/>
        </w:rPr>
        <w:footnoteReference w:id="234"/>
      </w:r>
      <w:r>
        <w:rPr>
          <w:rFonts w:hint="cs"/>
          <w:rtl/>
        </w:rPr>
        <w:t xml:space="preserve"> מכוחה של נורמה כללית ובסיסית זו נקבעו הוראות פרטניות בדברי החקיקה בשבדיה שעוסקים בהיבטים שונים של הסדרת ניגודי עניינים והיא נחשבת כהוראה המרכזית שמעגנת את עקרון היסוד בטיפול בתחום זה.</w:t>
      </w:r>
      <w:r>
        <w:rPr>
          <w:rStyle w:val="ac"/>
          <w:rtl/>
        </w:rPr>
        <w:footnoteReference w:id="235"/>
      </w:r>
    </w:p>
    <w:p w:rsidR="00C735A4" w:rsidRPr="00B53374" w:rsidRDefault="00C735A4" w:rsidP="00C735A4">
      <w:pPr>
        <w:pStyle w:val="11"/>
        <w:keepNext/>
        <w:keepLines/>
        <w:numPr>
          <w:ilvl w:val="1"/>
          <w:numId w:val="1"/>
        </w:numPr>
        <w:spacing w:before="120"/>
        <w:rPr>
          <w:sz w:val="26"/>
          <w:rtl/>
        </w:rPr>
      </w:pPr>
      <w:r w:rsidRPr="00B53374">
        <w:rPr>
          <w:rFonts w:hint="cs"/>
          <w:sz w:val="26"/>
          <w:rtl/>
        </w:rPr>
        <w:t xml:space="preserve">חוק הפרוצדורה המנהלית </w:t>
      </w:r>
    </w:p>
    <w:p w:rsidR="00C735A4" w:rsidRDefault="00C735A4" w:rsidP="00C735A4">
      <w:pPr>
        <w:pStyle w:val="a4"/>
        <w:rPr>
          <w:rtl/>
        </w:rPr>
      </w:pPr>
      <w:r>
        <w:rPr>
          <w:rFonts w:hint="cs"/>
          <w:rtl/>
        </w:rPr>
        <w:t>חוק הפרוצדורה המנהלית</w:t>
      </w:r>
      <w:r>
        <w:rPr>
          <w:rStyle w:val="ac"/>
          <w:rtl/>
        </w:rPr>
        <w:footnoteReference w:id="236"/>
      </w:r>
      <w:r>
        <w:rPr>
          <w:rFonts w:hint="cs"/>
          <w:rtl/>
        </w:rPr>
        <w:t xml:space="preserve"> (להלן: החוק) חל על הטיפול בעניינים שונים בידי הרשויות המנהליות </w:t>
      </w:r>
      <w:r>
        <w:rPr>
          <w:rtl/>
        </w:rPr>
        <w:br/>
      </w:r>
      <w:r>
        <w:rPr>
          <w:rFonts w:hint="cs"/>
          <w:rtl/>
        </w:rPr>
        <w:t>(</w:t>
      </w:r>
      <w:r>
        <w:t>the administrative authorities</w:t>
      </w:r>
      <w:r>
        <w:rPr>
          <w:rFonts w:hint="cs"/>
          <w:rtl/>
        </w:rPr>
        <w:t>) ובתי המשפט בשבדיה.</w:t>
      </w:r>
      <w:r>
        <w:rPr>
          <w:rStyle w:val="ac"/>
          <w:rtl/>
        </w:rPr>
        <w:footnoteReference w:id="237"/>
      </w:r>
      <w:r>
        <w:rPr>
          <w:rFonts w:hint="cs"/>
          <w:rtl/>
        </w:rPr>
        <w:t xml:space="preserve"> כך, החוק עוסק בהוראות שנוגעות לדרכי הפעלת הסמכויות השלטוניות של רשויות המדינה (בעיקר הפרוצדור</w:t>
      </w:r>
      <w:r w:rsidR="00260764">
        <w:rPr>
          <w:rFonts w:hint="cs"/>
          <w:rtl/>
        </w:rPr>
        <w:t>לי</w:t>
      </w:r>
      <w:r>
        <w:rPr>
          <w:rFonts w:hint="cs"/>
          <w:rtl/>
        </w:rPr>
        <w:t xml:space="preserve">ות), לזכויותיהם של מי שעניינם נדון בפני הרשויות, לאפשרויות הערעור על החלטות שלטוניות מסוגים שונים וכדומה. בתוך כך, </w:t>
      </w:r>
      <w:r w:rsidRPr="00C6637C">
        <w:rPr>
          <w:rFonts w:hint="cs"/>
          <w:b/>
          <w:bCs/>
          <w:rtl/>
        </w:rPr>
        <w:t xml:space="preserve">קבועה בחוק </w:t>
      </w:r>
      <w:r>
        <w:rPr>
          <w:rFonts w:hint="cs"/>
          <w:b/>
          <w:bCs/>
          <w:rtl/>
        </w:rPr>
        <w:t xml:space="preserve">גם </w:t>
      </w:r>
      <w:r w:rsidRPr="00C6637C">
        <w:rPr>
          <w:rFonts w:hint="cs"/>
          <w:b/>
          <w:bCs/>
          <w:rtl/>
        </w:rPr>
        <w:t>רשימת המקרים שבהם אדם ייחשב כ</w:t>
      </w:r>
      <w:r>
        <w:rPr>
          <w:rFonts w:hint="cs"/>
          <w:b/>
          <w:bCs/>
          <w:rtl/>
        </w:rPr>
        <w:t>פסול</w:t>
      </w:r>
      <w:r>
        <w:rPr>
          <w:rFonts w:hint="cs"/>
          <w:rtl/>
        </w:rPr>
        <w:t xml:space="preserve"> </w:t>
      </w:r>
      <w:r w:rsidRPr="00C6637C">
        <w:rPr>
          <w:rFonts w:hint="cs"/>
          <w:b/>
          <w:bCs/>
          <w:rtl/>
        </w:rPr>
        <w:t>מלעסוק בעניין כלשהו</w:t>
      </w:r>
      <w:r>
        <w:rPr>
          <w:rFonts w:hint="cs"/>
          <w:rtl/>
        </w:rPr>
        <w:t xml:space="preserve"> (</w:t>
      </w:r>
      <w:r>
        <w:t>disqualified</w:t>
      </w:r>
      <w:r>
        <w:rPr>
          <w:rFonts w:hint="cs"/>
          <w:rtl/>
        </w:rPr>
        <w:t>).</w:t>
      </w:r>
      <w:r>
        <w:rPr>
          <w:rStyle w:val="ac"/>
          <w:rtl/>
        </w:rPr>
        <w:footnoteReference w:id="238"/>
      </w:r>
      <w:r>
        <w:rPr>
          <w:rFonts w:hint="cs"/>
          <w:rtl/>
        </w:rPr>
        <w:t xml:space="preserve"> יחד עם זאת, בחוק לא קבועות סנקציות עונשיות בגין פעולות של אדם למרות שהוא נחשב כפסול, אלא קבועה </w:t>
      </w:r>
      <w:r w:rsidRPr="00A66A6B">
        <w:rPr>
          <w:rFonts w:hint="cs"/>
          <w:b/>
          <w:bCs/>
          <w:rtl/>
        </w:rPr>
        <w:t xml:space="preserve">הוראה </w:t>
      </w:r>
      <w:r>
        <w:rPr>
          <w:rFonts w:hint="cs"/>
          <w:b/>
          <w:bCs/>
          <w:rtl/>
        </w:rPr>
        <w:t xml:space="preserve">כללית </w:t>
      </w:r>
      <w:r w:rsidRPr="00A66A6B">
        <w:rPr>
          <w:rFonts w:hint="cs"/>
          <w:b/>
          <w:bCs/>
          <w:rtl/>
        </w:rPr>
        <w:t>שאוסרת על</w:t>
      </w:r>
      <w:r>
        <w:rPr>
          <w:rFonts w:hint="cs"/>
          <w:b/>
          <w:bCs/>
          <w:rtl/>
        </w:rPr>
        <w:t xml:space="preserve"> אדם כזה </w:t>
      </w:r>
      <w:r w:rsidRPr="00A66A6B">
        <w:rPr>
          <w:rFonts w:hint="cs"/>
          <w:b/>
          <w:bCs/>
          <w:rtl/>
        </w:rPr>
        <w:t>לטפל בנושאים שבהם הוא מנוע מלטפל</w:t>
      </w:r>
      <w:r>
        <w:rPr>
          <w:rFonts w:hint="cs"/>
          <w:rtl/>
        </w:rPr>
        <w:t xml:space="preserve"> (ההוראות </w:t>
      </w:r>
      <w:proofErr w:type="spellStart"/>
      <w:r>
        <w:rPr>
          <w:rFonts w:hint="cs"/>
          <w:rtl/>
        </w:rPr>
        <w:t>העונשיות</w:t>
      </w:r>
      <w:proofErr w:type="spellEnd"/>
      <w:r>
        <w:rPr>
          <w:rFonts w:hint="cs"/>
          <w:rtl/>
        </w:rPr>
        <w:t xml:space="preserve"> שעשויות להיות רלוונטיות קבועות בחוק העונשין שיוצג בהמשך).</w:t>
      </w:r>
    </w:p>
    <w:p w:rsidR="00C735A4" w:rsidRDefault="00C735A4" w:rsidP="00C735A4">
      <w:pPr>
        <w:pStyle w:val="a4"/>
        <w:rPr>
          <w:rtl/>
        </w:rPr>
      </w:pPr>
      <w:r>
        <w:rPr>
          <w:rFonts w:hint="cs"/>
          <w:rtl/>
        </w:rPr>
        <w:t>בחוק נקבעו המקרים שלהלן שמהווים עילה לפסילת אדם מטיפול בנושא כלשהו:</w:t>
      </w:r>
      <w:r>
        <w:rPr>
          <w:rStyle w:val="ac"/>
          <w:rtl/>
        </w:rPr>
        <w:footnoteReference w:id="239"/>
      </w:r>
    </w:p>
    <w:p w:rsidR="00C735A4" w:rsidRDefault="00C735A4" w:rsidP="001A69E0">
      <w:pPr>
        <w:pStyle w:val="a4"/>
        <w:numPr>
          <w:ilvl w:val="0"/>
          <w:numId w:val="9"/>
        </w:numPr>
        <w:ind w:left="357" w:hanging="357"/>
      </w:pPr>
      <w:r>
        <w:rPr>
          <w:rFonts w:hint="cs"/>
          <w:rtl/>
        </w:rPr>
        <w:t>אם העניין נוגע לו, או לבת או בן הזוג שלו, או להוריו, ילדיו, אחיו או אחיותיו, או לכל אדם אחר שאותו אדם קרוב בקרבה קרובה אליו (</w:t>
      </w:r>
      <w:r>
        <w:t>closely related to him</w:t>
      </w:r>
      <w:r>
        <w:rPr>
          <w:rFonts w:hint="cs"/>
          <w:rtl/>
        </w:rPr>
        <w:t>), או לחילופין אם הוא או אדם שקרוב אליו יכול לצפות ליתרון או לנזק משמעותיים (</w:t>
      </w:r>
      <w:r>
        <w:t>extraordinary advantage or detriment</w:t>
      </w:r>
      <w:r>
        <w:rPr>
          <w:rFonts w:hint="cs"/>
          <w:rtl/>
        </w:rPr>
        <w:t>) כתוצאה מאותו העניין.</w:t>
      </w:r>
    </w:p>
    <w:p w:rsidR="00C735A4" w:rsidRDefault="00C735A4" w:rsidP="001A69E0">
      <w:pPr>
        <w:pStyle w:val="a4"/>
        <w:numPr>
          <w:ilvl w:val="0"/>
          <w:numId w:val="9"/>
        </w:numPr>
        <w:ind w:left="357" w:hanging="357"/>
      </w:pPr>
      <w:r>
        <w:rPr>
          <w:rFonts w:hint="cs"/>
          <w:rtl/>
        </w:rPr>
        <w:t>אם אותו אדם, או כל אדם שקרוב קרבה קרובה אליו, הוא הנציג המשפטי של אדם אחר שהעניין נוגע אליו, או של כל אדם שיכול לצפות ליתרון או לנזק משמעותיים כתוצאה מאותו העניין.</w:t>
      </w:r>
    </w:p>
    <w:p w:rsidR="00C735A4" w:rsidRDefault="00C735A4" w:rsidP="001A69E0">
      <w:pPr>
        <w:pStyle w:val="a4"/>
        <w:numPr>
          <w:ilvl w:val="0"/>
          <w:numId w:val="9"/>
        </w:numPr>
        <w:ind w:left="357" w:hanging="357"/>
      </w:pPr>
      <w:r>
        <w:rPr>
          <w:rFonts w:hint="cs"/>
          <w:rtl/>
        </w:rPr>
        <w:t>אם עניין הופך כעת להיות תחת סמכותו של אותו אדם, והוא נטל חלק בעבר בקבלת החלטה סופית בנוגע לאותו נושא מבחינה מהותית.</w:t>
      </w:r>
    </w:p>
    <w:p w:rsidR="00C735A4" w:rsidRDefault="00C735A4" w:rsidP="001A69E0">
      <w:pPr>
        <w:pStyle w:val="a4"/>
        <w:numPr>
          <w:ilvl w:val="0"/>
          <w:numId w:val="9"/>
        </w:numPr>
        <w:ind w:left="357" w:hanging="357"/>
      </w:pPr>
      <w:r>
        <w:rPr>
          <w:rFonts w:hint="cs"/>
          <w:rtl/>
        </w:rPr>
        <w:t>אם הוא ייצג אדם בעבור תשלום בנוגע לאותו עניין מהותי, או אם הוא סייע בייצוג כאמור.</w:t>
      </w:r>
    </w:p>
    <w:p w:rsidR="00C735A4" w:rsidRDefault="00C735A4" w:rsidP="00426035">
      <w:pPr>
        <w:pStyle w:val="a4"/>
        <w:numPr>
          <w:ilvl w:val="0"/>
          <w:numId w:val="9"/>
        </w:numPr>
        <w:ind w:left="357" w:hanging="357"/>
      </w:pPr>
      <w:r>
        <w:rPr>
          <w:rFonts w:hint="cs"/>
          <w:rtl/>
        </w:rPr>
        <w:t xml:space="preserve">אם ישנן נסיבות מיוחדות אחרות שסביר להניח </w:t>
      </w:r>
      <w:r w:rsidR="009C4249">
        <w:rPr>
          <w:rFonts w:hint="cs"/>
          <w:rtl/>
        </w:rPr>
        <w:t>ש</w:t>
      </w:r>
      <w:r>
        <w:rPr>
          <w:rFonts w:hint="cs"/>
          <w:rtl/>
        </w:rPr>
        <w:t>יערער</w:t>
      </w:r>
      <w:r w:rsidR="009C4249">
        <w:rPr>
          <w:rFonts w:hint="cs"/>
          <w:rtl/>
        </w:rPr>
        <w:t>ו</w:t>
      </w:r>
      <w:r>
        <w:rPr>
          <w:rFonts w:hint="cs"/>
          <w:rtl/>
        </w:rPr>
        <w:t xml:space="preserve"> את האמון </w:t>
      </w:r>
      <w:r w:rsidR="00260764">
        <w:rPr>
          <w:rFonts w:hint="cs"/>
          <w:rtl/>
        </w:rPr>
        <w:t xml:space="preserve">בטיפולו </w:t>
      </w:r>
      <w:r>
        <w:rPr>
          <w:rFonts w:hint="cs"/>
          <w:rtl/>
        </w:rPr>
        <w:t>באותו עניין.</w:t>
      </w:r>
    </w:p>
    <w:p w:rsidR="00C735A4" w:rsidRDefault="00C735A4" w:rsidP="00426035">
      <w:pPr>
        <w:pStyle w:val="a4"/>
        <w:rPr>
          <w:rtl/>
        </w:rPr>
      </w:pPr>
      <w:r>
        <w:rPr>
          <w:rFonts w:hint="cs"/>
          <w:rtl/>
        </w:rPr>
        <w:t>כמו כן, נקבע בחוק, כי למרות שאדם נפסל מלטפל בעניין כלשהו</w:t>
      </w:r>
      <w:r w:rsidR="00260764">
        <w:rPr>
          <w:rFonts w:hint="cs"/>
          <w:rtl/>
        </w:rPr>
        <w:t>,</w:t>
      </w:r>
      <w:r>
        <w:rPr>
          <w:rFonts w:hint="cs"/>
          <w:rtl/>
        </w:rPr>
        <w:t xml:space="preserve"> הוא עדיין יהיה רשאי לבצע את הפעולות שנדרשות לצורך הטיפול, אם הן לא יכולות להינקט בידי אדם אחר ויש דחיפות </w:t>
      </w:r>
      <w:r w:rsidR="00260764">
        <w:rPr>
          <w:rFonts w:hint="cs"/>
          <w:rtl/>
        </w:rPr>
        <w:t>בכך</w:t>
      </w:r>
      <w:r>
        <w:rPr>
          <w:rFonts w:hint="cs"/>
          <w:rtl/>
        </w:rPr>
        <w:t>.</w:t>
      </w:r>
      <w:r>
        <w:rPr>
          <w:rStyle w:val="ac"/>
          <w:rtl/>
        </w:rPr>
        <w:footnoteReference w:id="240"/>
      </w:r>
      <w:r>
        <w:rPr>
          <w:rFonts w:hint="cs"/>
          <w:rtl/>
        </w:rPr>
        <w:t xml:space="preserve"> עוד נקבע בחוק כי </w:t>
      </w:r>
      <w:r w:rsidRPr="00B02089">
        <w:rPr>
          <w:rFonts w:hint="cs"/>
          <w:b/>
          <w:bCs/>
          <w:rtl/>
        </w:rPr>
        <w:t>כל אדם שיודע על נסיבות שעשוית להביא ל"</w:t>
      </w:r>
      <w:r>
        <w:rPr>
          <w:rFonts w:hint="cs"/>
          <w:b/>
          <w:bCs/>
          <w:rtl/>
        </w:rPr>
        <w:t>פסילה</w:t>
      </w:r>
      <w:r w:rsidRPr="00B02089">
        <w:rPr>
          <w:rFonts w:hint="cs"/>
          <w:b/>
          <w:bCs/>
          <w:rtl/>
        </w:rPr>
        <w:t>" נדרש לגלות אות</w:t>
      </w:r>
      <w:r>
        <w:rPr>
          <w:rFonts w:hint="cs"/>
          <w:b/>
          <w:bCs/>
          <w:rtl/>
        </w:rPr>
        <w:t xml:space="preserve">ן ביוזמתו </w:t>
      </w:r>
      <w:r w:rsidRPr="00DA31B7">
        <w:rPr>
          <w:rFonts w:hint="cs"/>
          <w:rtl/>
        </w:rPr>
        <w:t>(</w:t>
      </w:r>
      <w:r>
        <w:t>on his own motion</w:t>
      </w:r>
      <w:r>
        <w:rPr>
          <w:rFonts w:hint="cs"/>
          <w:rtl/>
        </w:rPr>
        <w:t>).</w:t>
      </w:r>
      <w:r>
        <w:rPr>
          <w:rStyle w:val="ac"/>
          <w:rtl/>
        </w:rPr>
        <w:footnoteReference w:id="241"/>
      </w:r>
      <w:r>
        <w:rPr>
          <w:rFonts w:hint="cs"/>
          <w:rtl/>
        </w:rPr>
        <w:t xml:space="preserve"> יחד עם זאת, בחוק לא נקבעו הוראות ספציפיות בדבר צורת הדיווח, הגורמים שמטפלים בדיווחים אלה, </w:t>
      </w:r>
      <w:r w:rsidR="006C5684">
        <w:rPr>
          <w:rFonts w:hint="cs"/>
          <w:rtl/>
        </w:rPr>
        <w:t xml:space="preserve">האפשרות </w:t>
      </w:r>
      <w:r>
        <w:rPr>
          <w:rFonts w:hint="cs"/>
          <w:rtl/>
        </w:rPr>
        <w:t xml:space="preserve">לפרסום של הדיווחים או אפשרויות השימוש בהם. </w:t>
      </w:r>
    </w:p>
    <w:p w:rsidR="00C735A4" w:rsidRPr="00F43FFF" w:rsidRDefault="00C735A4" w:rsidP="00C735A4">
      <w:pPr>
        <w:pStyle w:val="11"/>
        <w:keepNext/>
        <w:keepLines/>
        <w:numPr>
          <w:ilvl w:val="1"/>
          <w:numId w:val="1"/>
        </w:numPr>
        <w:spacing w:before="120"/>
        <w:rPr>
          <w:sz w:val="26"/>
          <w:rtl/>
        </w:rPr>
      </w:pPr>
      <w:r w:rsidRPr="00F43FFF">
        <w:rPr>
          <w:sz w:val="26"/>
          <w:rtl/>
        </w:rPr>
        <w:t>רישום אינטרסים כלכליים והתחייבויות של חברי הפרלמנט</w:t>
      </w:r>
    </w:p>
    <w:p w:rsidR="00C735A4" w:rsidRDefault="00C735A4" w:rsidP="00426035">
      <w:pPr>
        <w:pStyle w:val="a4"/>
        <w:rPr>
          <w:rtl/>
        </w:rPr>
      </w:pPr>
      <w:r>
        <w:rPr>
          <w:rFonts w:hint="cs"/>
          <w:rtl/>
        </w:rPr>
        <w:t>החוק בדבר רישום אינטרסים כלכליים והתחייבויות של חברי הפרלמנט</w:t>
      </w:r>
      <w:r>
        <w:rPr>
          <w:rStyle w:val="ac"/>
          <w:rtl/>
        </w:rPr>
        <w:footnoteReference w:id="242"/>
      </w:r>
      <w:r>
        <w:rPr>
          <w:rFonts w:hint="cs"/>
          <w:rtl/>
        </w:rPr>
        <w:t xml:space="preserve"> (להלן: חוק הרישום) קובע כי </w:t>
      </w:r>
      <w:r w:rsidRPr="00E0755C">
        <w:rPr>
          <w:rtl/>
        </w:rPr>
        <w:t xml:space="preserve">חברי הפרלמנט </w:t>
      </w:r>
      <w:r>
        <w:rPr>
          <w:rFonts w:hint="cs"/>
          <w:rtl/>
        </w:rPr>
        <w:t xml:space="preserve">בשבדיה </w:t>
      </w:r>
      <w:r w:rsidRPr="00B75EF5">
        <w:rPr>
          <w:rFonts w:hint="cs"/>
          <w:b/>
          <w:bCs/>
          <w:u w:val="single"/>
          <w:rtl/>
        </w:rPr>
        <w:t>רשאים</w:t>
      </w:r>
      <w:r w:rsidRPr="00B75EF5">
        <w:rPr>
          <w:b/>
          <w:bCs/>
          <w:rtl/>
        </w:rPr>
        <w:t xml:space="preserve"> לספק הצהרות כלכליות שיועברו לרשם מיוחד</w:t>
      </w:r>
      <w:r>
        <w:rPr>
          <w:rFonts w:hint="cs"/>
          <w:rtl/>
        </w:rPr>
        <w:t xml:space="preserve"> </w:t>
      </w:r>
      <w:r w:rsidRPr="00B75EF5">
        <w:rPr>
          <w:rFonts w:hint="cs"/>
          <w:b/>
          <w:bCs/>
          <w:rtl/>
        </w:rPr>
        <w:t>בפרלמנט</w:t>
      </w:r>
      <w:r w:rsidRPr="00E0755C">
        <w:rPr>
          <w:rtl/>
        </w:rPr>
        <w:t>.</w:t>
      </w:r>
      <w:r>
        <w:rPr>
          <w:rFonts w:hint="cs"/>
          <w:rtl/>
        </w:rPr>
        <w:t xml:space="preserve"> יחד עם זאת, בספרות המקצועית מובהר כי הוראה זו היא </w:t>
      </w:r>
      <w:r w:rsidRPr="00B75EF5">
        <w:rPr>
          <w:rFonts w:hint="cs"/>
          <w:b/>
          <w:bCs/>
          <w:rtl/>
        </w:rPr>
        <w:t xml:space="preserve">הוראה וולונטרית </w:t>
      </w:r>
      <w:r>
        <w:rPr>
          <w:rFonts w:hint="cs"/>
          <w:b/>
          <w:bCs/>
          <w:rtl/>
        </w:rPr>
        <w:t>שאינה יוצרת</w:t>
      </w:r>
      <w:r w:rsidRPr="00B75EF5">
        <w:rPr>
          <w:rFonts w:hint="cs"/>
          <w:b/>
          <w:bCs/>
          <w:rtl/>
        </w:rPr>
        <w:t xml:space="preserve"> חובה </w:t>
      </w:r>
      <w:r>
        <w:rPr>
          <w:rFonts w:hint="cs"/>
          <w:b/>
          <w:bCs/>
          <w:rtl/>
        </w:rPr>
        <w:t xml:space="preserve">על חברי הפרלמנט </w:t>
      </w:r>
      <w:r w:rsidRPr="00B75EF5">
        <w:rPr>
          <w:rFonts w:hint="cs"/>
          <w:b/>
          <w:bCs/>
          <w:rtl/>
        </w:rPr>
        <w:t>מכוח החוק לעשות כן</w:t>
      </w:r>
      <w:r>
        <w:rPr>
          <w:rFonts w:hint="cs"/>
          <w:rtl/>
        </w:rPr>
        <w:t>.</w:t>
      </w:r>
      <w:r w:rsidRPr="00E0755C">
        <w:rPr>
          <w:rtl/>
        </w:rPr>
        <w:t xml:space="preserve"> </w:t>
      </w:r>
      <w:r>
        <w:rPr>
          <w:rFonts w:hint="cs"/>
          <w:rtl/>
        </w:rPr>
        <w:t xml:space="preserve">בכל מקרה, אם ניתנו </w:t>
      </w:r>
      <w:r w:rsidRPr="00E0755C">
        <w:rPr>
          <w:rtl/>
        </w:rPr>
        <w:t xml:space="preserve">הצהרות </w:t>
      </w:r>
      <w:r>
        <w:rPr>
          <w:rFonts w:hint="cs"/>
          <w:rtl/>
        </w:rPr>
        <w:t>מסוג זה בידי חברי פרלמנט</w:t>
      </w:r>
      <w:r w:rsidR="006C5684">
        <w:rPr>
          <w:rFonts w:hint="cs"/>
          <w:rtl/>
        </w:rPr>
        <w:t>, עליהן</w:t>
      </w:r>
      <w:r w:rsidRPr="00E0755C">
        <w:rPr>
          <w:rtl/>
        </w:rPr>
        <w:t xml:space="preserve"> לכלול פירוט מלא של נכסיהם</w:t>
      </w:r>
      <w:r>
        <w:rPr>
          <w:rFonts w:hint="cs"/>
          <w:rtl/>
        </w:rPr>
        <w:t xml:space="preserve"> של חברי הפרלמנט</w:t>
      </w:r>
      <w:r w:rsidRPr="00E0755C">
        <w:rPr>
          <w:rtl/>
        </w:rPr>
        <w:t xml:space="preserve">, כמו גם דיווח על כל פעילות שעשויה להניב להם </w:t>
      </w:r>
      <w:r w:rsidR="006C5684">
        <w:rPr>
          <w:rFonts w:hint="cs"/>
          <w:rtl/>
        </w:rPr>
        <w:t>תועלת</w:t>
      </w:r>
      <w:r w:rsidR="006C5684" w:rsidRPr="00E0755C">
        <w:rPr>
          <w:rtl/>
        </w:rPr>
        <w:t xml:space="preserve"> </w:t>
      </w:r>
      <w:r w:rsidRPr="00E0755C">
        <w:rPr>
          <w:rtl/>
        </w:rPr>
        <w:t xml:space="preserve">כלכלית. </w:t>
      </w:r>
      <w:r>
        <w:rPr>
          <w:rFonts w:hint="cs"/>
          <w:rtl/>
        </w:rPr>
        <w:t>ה</w:t>
      </w:r>
      <w:r w:rsidRPr="00E0755C">
        <w:rPr>
          <w:rtl/>
        </w:rPr>
        <w:t xml:space="preserve">הצהרות לא כוללות מידע בדבר בני זוג או ילדים </w:t>
      </w:r>
      <w:r>
        <w:rPr>
          <w:rFonts w:hint="cs"/>
          <w:rtl/>
        </w:rPr>
        <w:t>של הגורם המדווח, ו</w:t>
      </w:r>
      <w:r w:rsidRPr="00E0755C">
        <w:rPr>
          <w:rtl/>
        </w:rPr>
        <w:t xml:space="preserve">המרשם </w:t>
      </w:r>
      <w:r>
        <w:rPr>
          <w:rFonts w:hint="cs"/>
          <w:rtl/>
        </w:rPr>
        <w:t xml:space="preserve">של ההצהרות הכלכליות יהיה </w:t>
      </w:r>
      <w:r w:rsidRPr="00E0755C">
        <w:rPr>
          <w:rtl/>
        </w:rPr>
        <w:t>פתוח לעיון הציבור</w:t>
      </w:r>
      <w:r>
        <w:rPr>
          <w:rFonts w:hint="cs"/>
          <w:rtl/>
        </w:rPr>
        <w:t xml:space="preserve">. </w:t>
      </w:r>
      <w:r w:rsidRPr="00E0755C">
        <w:rPr>
          <w:rtl/>
        </w:rPr>
        <w:t xml:space="preserve">כמו כן, נקבע </w:t>
      </w:r>
      <w:r>
        <w:rPr>
          <w:rFonts w:hint="cs"/>
          <w:rtl/>
        </w:rPr>
        <w:t xml:space="preserve">בחוק הרישום ובכללי האתיקה של חברי הפרלמנט </w:t>
      </w:r>
      <w:r w:rsidRPr="00E0755C">
        <w:rPr>
          <w:rtl/>
        </w:rPr>
        <w:t xml:space="preserve">כי </w:t>
      </w:r>
      <w:r>
        <w:rPr>
          <w:rFonts w:hint="cs"/>
          <w:rtl/>
        </w:rPr>
        <w:t>עליהם</w:t>
      </w:r>
      <w:r w:rsidRPr="00E0755C">
        <w:rPr>
          <w:rtl/>
        </w:rPr>
        <w:t xml:space="preserve"> </w:t>
      </w:r>
      <w:r>
        <w:rPr>
          <w:rFonts w:hint="cs"/>
          <w:rtl/>
        </w:rPr>
        <w:t xml:space="preserve">להימנע מדיון בנושאים שקשורים לאדם </w:t>
      </w:r>
      <w:r w:rsidRPr="00E0755C">
        <w:rPr>
          <w:rtl/>
        </w:rPr>
        <w:t xml:space="preserve">שיש להם קשרים אישיים קרובים </w:t>
      </w:r>
      <w:r>
        <w:rPr>
          <w:rFonts w:hint="cs"/>
          <w:rtl/>
        </w:rPr>
        <w:t>עמו</w:t>
      </w:r>
      <w:r w:rsidRPr="00E0755C">
        <w:rPr>
          <w:rtl/>
        </w:rPr>
        <w:t>.</w:t>
      </w:r>
      <w:r>
        <w:rPr>
          <w:rStyle w:val="ac"/>
          <w:rtl/>
        </w:rPr>
        <w:footnoteReference w:id="243"/>
      </w:r>
    </w:p>
    <w:p w:rsidR="00C735A4" w:rsidRDefault="00C735A4" w:rsidP="00CB3CE6">
      <w:pPr>
        <w:pStyle w:val="a4"/>
        <w:rPr>
          <w:rtl/>
        </w:rPr>
      </w:pPr>
      <w:r>
        <w:rPr>
          <w:rFonts w:hint="cs"/>
          <w:rtl/>
        </w:rPr>
        <w:t xml:space="preserve">יוער, כי בספרות המקצועית נטען כי הסיבה לכך שאין חובה מכוח חוק לספק את המידע האמור נובעת מהתמריץ </w:t>
      </w:r>
      <w:r w:rsidR="009C4249">
        <w:rPr>
          <w:rFonts w:hint="cs"/>
          <w:rtl/>
        </w:rPr>
        <w:t xml:space="preserve">השלילי </w:t>
      </w:r>
      <w:r>
        <w:rPr>
          <w:rFonts w:hint="cs"/>
          <w:rtl/>
        </w:rPr>
        <w:t>עבור חברי הפרלמנט. כך, בשיטה הוולונטרית חבר פרלמנט שלא חושף את הפרטים הרלוונטיים עשוי להיחשב כמי שמסתיר מידע מהציבור וכתוצאה מכך אמון הציבור באותו חבר פרלמנט יהיה נמוך יותר והוא לא י</w:t>
      </w:r>
      <w:r w:rsidR="006C5684">
        <w:rPr>
          <w:rFonts w:hint="cs"/>
          <w:rtl/>
        </w:rPr>
        <w:t>י</w:t>
      </w:r>
      <w:r>
        <w:rPr>
          <w:rFonts w:hint="cs"/>
          <w:rtl/>
        </w:rPr>
        <w:t>בחר בשנית.</w:t>
      </w:r>
      <w:r>
        <w:rPr>
          <w:rStyle w:val="ac"/>
          <w:rtl/>
        </w:rPr>
        <w:footnoteReference w:id="244"/>
      </w:r>
    </w:p>
    <w:p w:rsidR="00C735A4" w:rsidRPr="006C63EB" w:rsidRDefault="00C735A4" w:rsidP="00C735A4">
      <w:pPr>
        <w:pStyle w:val="11"/>
        <w:numPr>
          <w:ilvl w:val="1"/>
          <w:numId w:val="1"/>
        </w:numPr>
        <w:spacing w:before="120"/>
        <w:rPr>
          <w:sz w:val="26"/>
          <w:rtl/>
        </w:rPr>
      </w:pPr>
      <w:r w:rsidRPr="006C63EB">
        <w:rPr>
          <w:rFonts w:hint="cs"/>
          <w:sz w:val="26"/>
          <w:rtl/>
        </w:rPr>
        <w:t>הוראות נוספות</w:t>
      </w:r>
    </w:p>
    <w:p w:rsidR="00C735A4" w:rsidRDefault="00C735A4" w:rsidP="00C735A4">
      <w:pPr>
        <w:pStyle w:val="a4"/>
        <w:rPr>
          <w:rtl/>
        </w:rPr>
      </w:pPr>
      <w:r w:rsidRPr="00565DFD">
        <w:rPr>
          <w:rFonts w:hint="cs"/>
          <w:rtl/>
        </w:rPr>
        <w:t xml:space="preserve">בספרות המקצועית מצוין </w:t>
      </w:r>
      <w:r>
        <w:rPr>
          <w:rFonts w:hint="cs"/>
          <w:rtl/>
        </w:rPr>
        <w:t xml:space="preserve">כי ההסדרה בשבדיה מבוססת גם על ההתקשרויות וההסכמים האישיים עם נושאי משרה בשירות הציבורי, כמו גם </w:t>
      </w:r>
      <w:r w:rsidRPr="00565DFD">
        <w:rPr>
          <w:rFonts w:hint="cs"/>
          <w:rtl/>
        </w:rPr>
        <w:t xml:space="preserve">כי במקורות שונים </w:t>
      </w:r>
      <w:r>
        <w:rPr>
          <w:rFonts w:hint="cs"/>
          <w:rtl/>
        </w:rPr>
        <w:t>אחרים עשויות להיות</w:t>
      </w:r>
      <w:r w:rsidRPr="00565DFD">
        <w:rPr>
          <w:rFonts w:hint="cs"/>
          <w:rtl/>
        </w:rPr>
        <w:t xml:space="preserve"> קבועות הוראות </w:t>
      </w:r>
      <w:r>
        <w:rPr>
          <w:rFonts w:hint="cs"/>
          <w:rtl/>
        </w:rPr>
        <w:t>בדבר ה</w:t>
      </w:r>
      <w:r w:rsidRPr="00565DFD">
        <w:rPr>
          <w:rFonts w:hint="cs"/>
          <w:rtl/>
        </w:rPr>
        <w:t xml:space="preserve">הסדרה של </w:t>
      </w:r>
      <w:r>
        <w:rPr>
          <w:rFonts w:hint="cs"/>
          <w:rtl/>
        </w:rPr>
        <w:t xml:space="preserve">היבטים ספציפיים של </w:t>
      </w:r>
      <w:r w:rsidRPr="00565DFD">
        <w:rPr>
          <w:rFonts w:hint="cs"/>
          <w:rtl/>
        </w:rPr>
        <w:t xml:space="preserve">ניגודי עניינים </w:t>
      </w:r>
      <w:r>
        <w:rPr>
          <w:rFonts w:hint="cs"/>
          <w:rtl/>
        </w:rPr>
        <w:t xml:space="preserve">(בין המקורות שצוינו נכללים: </w:t>
      </w:r>
      <w:r w:rsidRPr="00565DFD">
        <w:rPr>
          <w:rtl/>
        </w:rPr>
        <w:t xml:space="preserve">הנחיות האתיקה של נושאי משרה בממשלה, </w:t>
      </w:r>
      <w:r w:rsidRPr="00565DFD">
        <w:rPr>
          <w:rFonts w:hint="cs"/>
          <w:rtl/>
        </w:rPr>
        <w:t>ה</w:t>
      </w:r>
      <w:r w:rsidRPr="00565DFD">
        <w:rPr>
          <w:rtl/>
        </w:rPr>
        <w:t xml:space="preserve">צו בדבר טיסות של נציגי ממשלה, </w:t>
      </w:r>
      <w:r w:rsidRPr="00565DFD">
        <w:rPr>
          <w:rFonts w:hint="cs"/>
          <w:rtl/>
        </w:rPr>
        <w:t xml:space="preserve">ההוראות בדבר </w:t>
      </w:r>
      <w:r w:rsidRPr="00565DFD">
        <w:rPr>
          <w:rtl/>
        </w:rPr>
        <w:t>מרשם בעלות של אמצעים פיננסי</w:t>
      </w:r>
      <w:r w:rsidR="006C5684">
        <w:rPr>
          <w:rFonts w:hint="cs"/>
          <w:rtl/>
        </w:rPr>
        <w:t>י</w:t>
      </w:r>
      <w:r w:rsidRPr="00565DFD">
        <w:rPr>
          <w:rtl/>
        </w:rPr>
        <w:t>ם של חברי הממשלה ועוד</w:t>
      </w:r>
      <w:r>
        <w:rPr>
          <w:rFonts w:hint="cs"/>
          <w:rtl/>
        </w:rPr>
        <w:t>)</w:t>
      </w:r>
      <w:r w:rsidRPr="00565DFD">
        <w:rPr>
          <w:rFonts w:hint="cs"/>
          <w:rtl/>
        </w:rPr>
        <w:t>.</w:t>
      </w:r>
      <w:r w:rsidRPr="00565DFD">
        <w:rPr>
          <w:rStyle w:val="ac"/>
          <w:rtl/>
        </w:rPr>
        <w:footnoteReference w:id="245"/>
      </w:r>
      <w:r w:rsidRPr="00565DFD">
        <w:rPr>
          <w:rFonts w:hint="cs"/>
          <w:rtl/>
        </w:rPr>
        <w:t xml:space="preserve"> </w:t>
      </w:r>
      <w:r>
        <w:rPr>
          <w:rFonts w:hint="cs"/>
          <w:rtl/>
        </w:rPr>
        <w:t xml:space="preserve">ברי, כי </w:t>
      </w:r>
      <w:r w:rsidRPr="00565DFD">
        <w:rPr>
          <w:rFonts w:hint="cs"/>
          <w:rtl/>
        </w:rPr>
        <w:t>הוראות שונות אלה יכולות להשלים את ההסדרה שתוארה לעיל.</w:t>
      </w:r>
    </w:p>
    <w:p w:rsidR="00C735A4" w:rsidRDefault="00C735A4" w:rsidP="00C735A4">
      <w:pPr>
        <w:pStyle w:val="a4"/>
        <w:rPr>
          <w:rtl/>
        </w:rPr>
      </w:pPr>
    </w:p>
    <w:p w:rsidR="00C735A4" w:rsidRDefault="00C735A4" w:rsidP="00A44D8D">
      <w:pPr>
        <w:pStyle w:val="1"/>
        <w:ind w:left="357" w:right="11" w:hanging="357"/>
        <w:rPr>
          <w:rtl/>
        </w:rPr>
      </w:pPr>
      <w:r>
        <w:rPr>
          <w:rFonts w:hint="cs"/>
          <w:rtl/>
        </w:rPr>
        <w:t>יוון</w:t>
      </w:r>
    </w:p>
    <w:p w:rsidR="00C735A4" w:rsidRPr="00D831B1" w:rsidRDefault="00C735A4" w:rsidP="00C735A4">
      <w:pPr>
        <w:pStyle w:val="a4"/>
        <w:rPr>
          <w:rtl/>
        </w:rPr>
      </w:pPr>
      <w:r w:rsidRPr="00D831B1">
        <w:rPr>
          <w:rFonts w:hint="cs"/>
          <w:rtl/>
        </w:rPr>
        <w:t>ביוון ההסדרה של פעילות עובדי הציבור נעשית בקוד עובדי הציבור שעוגן כחוק (להלן</w:t>
      </w:r>
      <w:r w:rsidR="006C5684">
        <w:rPr>
          <w:rFonts w:hint="cs"/>
          <w:rtl/>
        </w:rPr>
        <w:t xml:space="preserve"> בפרק זה</w:t>
      </w:r>
      <w:r w:rsidRPr="00D831B1">
        <w:rPr>
          <w:rFonts w:hint="cs"/>
          <w:rtl/>
        </w:rPr>
        <w:t>: הקוד).</w:t>
      </w:r>
      <w:r w:rsidRPr="00D831B1">
        <w:rPr>
          <w:rStyle w:val="ac"/>
          <w:rtl/>
        </w:rPr>
        <w:footnoteReference w:id="246"/>
      </w:r>
      <w:r w:rsidRPr="00D831B1">
        <w:rPr>
          <w:rFonts w:hint="cs"/>
        </w:rPr>
        <w:t xml:space="preserve"> </w:t>
      </w:r>
      <w:r w:rsidRPr="00D831B1">
        <w:rPr>
          <w:rFonts w:hint="cs"/>
          <w:rtl/>
        </w:rPr>
        <w:t>הקוד חל על כל עובדי המדינה (תאגידים ויחידים), לרבות עובדים בממשל המקומי.</w:t>
      </w:r>
      <w:r w:rsidRPr="00D831B1">
        <w:rPr>
          <w:rStyle w:val="ac"/>
          <w:rtl/>
        </w:rPr>
        <w:footnoteReference w:id="247"/>
      </w:r>
      <w:r w:rsidRPr="00D831B1">
        <w:rPr>
          <w:rFonts w:hint="cs"/>
          <w:rtl/>
        </w:rPr>
        <w:t xml:space="preserve"> ההוראה המרכזית בקוד שעוסקת בניגודי עניינים קובעת איסור על הימצאות בניגוד עניינים כדלקמן: עובד ציבור לא יהיה רשאי להכריע בנושא או להשתתף בפעולות </w:t>
      </w:r>
      <w:r w:rsidR="009C4249">
        <w:rPr>
          <w:rFonts w:hint="cs"/>
          <w:rtl/>
        </w:rPr>
        <w:t>ש</w:t>
      </w:r>
      <w:r w:rsidRPr="00D831B1">
        <w:rPr>
          <w:rFonts w:hint="cs"/>
          <w:rtl/>
        </w:rPr>
        <w:t>נוגע</w:t>
      </w:r>
      <w:r w:rsidR="009C4249">
        <w:rPr>
          <w:rFonts w:hint="cs"/>
          <w:rtl/>
        </w:rPr>
        <w:t>ות</w:t>
      </w:r>
      <w:r w:rsidRPr="00D831B1">
        <w:rPr>
          <w:rFonts w:hint="cs"/>
          <w:rtl/>
        </w:rPr>
        <w:t xml:space="preserve"> לאותו הנושא, בין אם לבדו ובין אם יחד עם עובדים אחרים, אם יש לו, או לבן או בת זוגו, או לקרוב משפחה אחר שקרוב אליו בקרבת דם עד לדרגה שלישית, או לאדם אחר שמהווה חבר קרוב או לחילופין אויב שלו, אינטרס משמעותי בתוצאות המקרה.</w:t>
      </w:r>
      <w:r w:rsidRPr="00D831B1">
        <w:rPr>
          <w:rStyle w:val="ac"/>
          <w:rtl/>
        </w:rPr>
        <w:footnoteReference w:id="248"/>
      </w:r>
      <w:r w:rsidRPr="00D831B1">
        <w:rPr>
          <w:rFonts w:hint="cs"/>
          <w:rtl/>
        </w:rPr>
        <w:t xml:space="preserve"> </w:t>
      </w:r>
    </w:p>
    <w:p w:rsidR="00C735A4" w:rsidRDefault="00C735A4" w:rsidP="00E55106">
      <w:pPr>
        <w:pStyle w:val="a4"/>
        <w:rPr>
          <w:rtl/>
        </w:rPr>
      </w:pPr>
      <w:r w:rsidRPr="00D831B1">
        <w:rPr>
          <w:rFonts w:hint="cs"/>
          <w:rtl/>
        </w:rPr>
        <w:t>הפרה של הוראה זו תחשב עילה לביטול הפעולה שבוצעה. כמו כן, נקבע כי עובדי ציבור שנשואים, או שהם בעלי קרבת דם עד לדרגה שלישית, לא יוכלו להשתתף באותו "גוף קולקטיבי" (</w:t>
      </w:r>
      <w:r w:rsidRPr="00D831B1">
        <w:t>collective body</w:t>
      </w:r>
      <w:r w:rsidRPr="00D831B1">
        <w:rPr>
          <w:rFonts w:hint="cs"/>
          <w:rtl/>
        </w:rPr>
        <w:t>).</w:t>
      </w:r>
      <w:r w:rsidRPr="00D831B1">
        <w:rPr>
          <w:rStyle w:val="ac"/>
          <w:rtl/>
        </w:rPr>
        <w:footnoteReference w:id="249"/>
      </w:r>
      <w:r w:rsidRPr="00D831B1">
        <w:rPr>
          <w:rFonts w:hint="cs"/>
          <w:rtl/>
        </w:rPr>
        <w:t xml:space="preserve"> מעבר לכך, גורמים שלטוניים שונים (הנשיא, שר הפנים, או כל שר אחר שרשאי לעשות כן) רשאים להורות בצו, לאחר היוועצות עם ארגון העובדים הרלוונטי (</w:t>
      </w:r>
      <w:r w:rsidRPr="00E55106">
        <w:rPr>
          <w:spacing w:val="-2"/>
        </w:rPr>
        <w:t>relevant trade union</w:t>
      </w:r>
      <w:r w:rsidRPr="00D831B1">
        <w:rPr>
          <w:rFonts w:hint="cs"/>
          <w:rtl/>
        </w:rPr>
        <w:t>), כי עובד לא יעבוד כעובד ציבור במקום מגוריו או במקום המגורים של בן או בת הזוג שלו.</w:t>
      </w:r>
      <w:r w:rsidRPr="00D831B1">
        <w:rPr>
          <w:rStyle w:val="ac"/>
          <w:rtl/>
        </w:rPr>
        <w:footnoteReference w:id="250"/>
      </w:r>
      <w:r>
        <w:rPr>
          <w:rFonts w:hint="cs"/>
          <w:rtl/>
        </w:rPr>
        <w:t xml:space="preserve"> </w:t>
      </w:r>
    </w:p>
    <w:p w:rsidR="00C735A4" w:rsidRDefault="00C735A4" w:rsidP="00A44D8D">
      <w:pPr>
        <w:pStyle w:val="a4"/>
        <w:rPr>
          <w:rtl/>
        </w:rPr>
      </w:pPr>
    </w:p>
    <w:p w:rsidR="00C735A4" w:rsidRDefault="00C735A4" w:rsidP="00A44D8D">
      <w:pPr>
        <w:pStyle w:val="1"/>
        <w:ind w:left="357" w:right="11" w:hanging="357"/>
        <w:rPr>
          <w:rtl/>
        </w:rPr>
      </w:pPr>
      <w:r>
        <w:rPr>
          <w:rFonts w:hint="cs"/>
          <w:rtl/>
        </w:rPr>
        <w:t>דנמרק</w:t>
      </w:r>
    </w:p>
    <w:p w:rsidR="00290A0A" w:rsidRPr="00E55106" w:rsidRDefault="00C735A4" w:rsidP="00E55106">
      <w:pPr>
        <w:pStyle w:val="a4"/>
      </w:pPr>
      <w:r>
        <w:rPr>
          <w:rFonts w:hint="cs"/>
          <w:rtl/>
        </w:rPr>
        <w:t>חלק זה מבוסס על תשובת הפרלמנט בדנמרק שהועבר באמצעות המרכז האירופי למחקר ולתיעוד (</w:t>
      </w:r>
      <w:r>
        <w:rPr>
          <w:rFonts w:hint="cs"/>
        </w:rPr>
        <w:t>ECPRD</w:t>
      </w:r>
      <w:r>
        <w:rPr>
          <w:rFonts w:hint="cs"/>
          <w:rtl/>
        </w:rPr>
        <w:t>).</w:t>
      </w:r>
      <w:r>
        <w:rPr>
          <w:rStyle w:val="ac"/>
          <w:rtl/>
        </w:rPr>
        <w:footnoteReference w:id="251"/>
      </w:r>
      <w:r>
        <w:rPr>
          <w:rFonts w:hint="cs"/>
          <w:rtl/>
        </w:rPr>
        <w:t xml:space="preserve"> תשובת הפרלמנט</w:t>
      </w:r>
      <w:r w:rsidR="009B13B2">
        <w:rPr>
          <w:rFonts w:hint="cs"/>
          <w:rtl/>
        </w:rPr>
        <w:t xml:space="preserve"> התמקדה ברבדי ההסדרה בדנמרק שעוסקים </w:t>
      </w:r>
      <w:r>
        <w:rPr>
          <w:rFonts w:hint="cs"/>
          <w:rtl/>
        </w:rPr>
        <w:t>בחברי הפרלמנט בלבד.</w:t>
      </w:r>
      <w:r>
        <w:rPr>
          <w:rStyle w:val="ac"/>
          <w:rtl/>
        </w:rPr>
        <w:footnoteReference w:id="252"/>
      </w:r>
      <w:r>
        <w:rPr>
          <w:rFonts w:hint="cs"/>
          <w:rtl/>
        </w:rPr>
        <w:t xml:space="preserve"> </w:t>
      </w:r>
      <w:r w:rsidR="009B13B2">
        <w:rPr>
          <w:rFonts w:hint="cs"/>
          <w:rtl/>
        </w:rPr>
        <w:t xml:space="preserve">לפי התשובה, </w:t>
      </w:r>
      <w:r>
        <w:rPr>
          <w:rFonts w:hint="cs"/>
          <w:rtl/>
        </w:rPr>
        <w:t xml:space="preserve">בהסדרה נקבע כי חברי הפרלמנט שאינם שרים </w:t>
      </w:r>
      <w:r w:rsidR="00620987">
        <w:rPr>
          <w:rFonts w:hint="cs"/>
          <w:rtl/>
        </w:rPr>
        <w:t>חייבים</w:t>
      </w:r>
      <w:r>
        <w:rPr>
          <w:rFonts w:hint="cs"/>
          <w:rtl/>
        </w:rPr>
        <w:t xml:space="preserve"> </w:t>
      </w:r>
      <w:r w:rsidR="00250944">
        <w:rPr>
          <w:rFonts w:hint="cs"/>
          <w:rtl/>
        </w:rPr>
        <w:t xml:space="preserve">לדווח על </w:t>
      </w:r>
      <w:r>
        <w:rPr>
          <w:rFonts w:hint="cs"/>
          <w:rtl/>
        </w:rPr>
        <w:t xml:space="preserve">האינטרסים הכלכליים שלהם </w:t>
      </w:r>
      <w:r w:rsidR="00250944">
        <w:rPr>
          <w:rFonts w:hint="cs"/>
          <w:rtl/>
        </w:rPr>
        <w:t xml:space="preserve">ועל </w:t>
      </w:r>
      <w:r>
        <w:rPr>
          <w:rFonts w:hint="cs"/>
          <w:rtl/>
        </w:rPr>
        <w:t>המקצוע האזרחי שלהם בהתאם לכללים שנקבעו בידי הוועדה שאחראית על תקנון הפרלמנט (</w:t>
      </w:r>
      <w:r>
        <w:t>Standing Orders Committee</w:t>
      </w:r>
      <w:r>
        <w:rPr>
          <w:rFonts w:hint="cs"/>
          <w:rtl/>
        </w:rPr>
        <w:t>).</w:t>
      </w:r>
      <w:r>
        <w:rPr>
          <w:rStyle w:val="ac"/>
          <w:rtl/>
        </w:rPr>
        <w:footnoteReference w:id="253"/>
      </w:r>
      <w:r>
        <w:rPr>
          <w:rFonts w:hint="cs"/>
          <w:rtl/>
        </w:rPr>
        <w:t xml:space="preserve"> כך, חברי פרלמנט </w:t>
      </w:r>
      <w:r w:rsidR="00620987">
        <w:rPr>
          <w:rFonts w:hint="cs"/>
          <w:rtl/>
        </w:rPr>
        <w:t xml:space="preserve">נדרשים </w:t>
      </w:r>
      <w:r>
        <w:rPr>
          <w:rFonts w:hint="cs"/>
          <w:rtl/>
        </w:rPr>
        <w:t>לדווח על האינטרסים שלהלן:</w:t>
      </w:r>
      <w:r>
        <w:rPr>
          <w:rStyle w:val="ac"/>
          <w:rtl/>
        </w:rPr>
        <w:footnoteReference w:id="254"/>
      </w:r>
      <w:r>
        <w:rPr>
          <w:rFonts w:hint="cs"/>
          <w:rtl/>
        </w:rPr>
        <w:t xml:space="preserve"> </w:t>
      </w:r>
      <w:r w:rsidRPr="00452715">
        <w:rPr>
          <w:rFonts w:hint="cs"/>
          <w:rtl/>
        </w:rPr>
        <w:t>הכנס</w:t>
      </w:r>
      <w:r>
        <w:rPr>
          <w:rFonts w:hint="cs"/>
          <w:rtl/>
        </w:rPr>
        <w:t xml:space="preserve">ה מפעילות לצורכי רווח או העסקה או מתן שירותים שלא קשורים לעבודה בפרלמנט; </w:t>
      </w:r>
      <w:r w:rsidRPr="00452715">
        <w:rPr>
          <w:rFonts w:hint="cs"/>
          <w:rtl/>
        </w:rPr>
        <w:t>מתנות, טיסות לחו"ל ותמיכ</w:t>
      </w:r>
      <w:r>
        <w:rPr>
          <w:rFonts w:hint="cs"/>
          <w:rtl/>
        </w:rPr>
        <w:t>ות</w:t>
      </w:r>
      <w:r w:rsidRPr="00452715">
        <w:rPr>
          <w:rFonts w:hint="cs"/>
          <w:rtl/>
        </w:rPr>
        <w:t xml:space="preserve"> אחר</w:t>
      </w:r>
      <w:r>
        <w:rPr>
          <w:rFonts w:hint="cs"/>
          <w:rtl/>
        </w:rPr>
        <w:t>ו</w:t>
      </w:r>
      <w:r w:rsidRPr="00452715">
        <w:rPr>
          <w:rFonts w:hint="cs"/>
          <w:rtl/>
        </w:rPr>
        <w:t>ת</w:t>
      </w:r>
      <w:r>
        <w:rPr>
          <w:rFonts w:hint="cs"/>
          <w:rtl/>
        </w:rPr>
        <w:t>;</w:t>
      </w:r>
      <w:r w:rsidRPr="00452715">
        <w:rPr>
          <w:rFonts w:hint="cs"/>
          <w:rtl/>
        </w:rPr>
        <w:t xml:space="preserve"> </w:t>
      </w:r>
      <w:r>
        <w:rPr>
          <w:rFonts w:hint="cs"/>
          <w:rtl/>
        </w:rPr>
        <w:t>החזקות בחברות שעולות על הרף שקבוע בכללים; הסכמים עם מעסיקים קודמים או עתידיים שרלוונטיים בתקופת הכהונה כחברי פרלמנט</w:t>
      </w:r>
      <w:r w:rsidRPr="00452715">
        <w:rPr>
          <w:rFonts w:hint="cs"/>
          <w:rtl/>
        </w:rPr>
        <w:t>.</w:t>
      </w:r>
      <w:r>
        <w:rPr>
          <w:rFonts w:hint="cs"/>
          <w:rtl/>
        </w:rPr>
        <w:t xml:space="preserve"> הדיווח צריך להתקבל בתוך חודש ממועד תחילת הכהונה של חבר הפרלמנט. הרישום נעשה על גבי טפסים מיוחדים באמצעות עובד ציבור שקיבל הסמכה לשמש כרשם בידי הפרלמנט. פרטיהם של חברי פרלמנט שלא יצייתו להוראות האמורות </w:t>
      </w:r>
      <w:r w:rsidR="00FE7D9F">
        <w:rPr>
          <w:rFonts w:hint="cs"/>
          <w:rtl/>
        </w:rPr>
        <w:t>מפורסמים</w:t>
      </w:r>
      <w:r>
        <w:rPr>
          <w:rFonts w:hint="cs"/>
          <w:rtl/>
        </w:rPr>
        <w:t xml:space="preserve"> באתר האינטרנט של הפרלמנט בדנמרק.</w:t>
      </w:r>
    </w:p>
    <w:sectPr w:rsidR="00290A0A" w:rsidRPr="00E55106" w:rsidSect="009C3CF0">
      <w:footerReference w:type="even" r:id="rId9"/>
      <w:footerReference w:type="default" r:id="rId10"/>
      <w:pgSz w:w="11906" w:h="16838" w:code="9"/>
      <w:pgMar w:top="1247" w:right="1758" w:bottom="1418" w:left="1259" w:header="709" w:footer="397" w:gutter="0"/>
      <w:pgNumType w:start="0"/>
      <w:cols w:space="708"/>
      <w:formProt w:val="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343D" w:rsidRDefault="00E1343D">
      <w:r>
        <w:separator/>
      </w:r>
    </w:p>
  </w:endnote>
  <w:endnote w:type="continuationSeparator" w:id="0">
    <w:p w:rsidR="00E1343D" w:rsidRDefault="00E13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avid">
    <w:panose1 w:val="00000000000000000000"/>
    <w:charset w:val="B1"/>
    <w:family w:val="swiss"/>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iriam">
    <w:panose1 w:val="00000000000000000000"/>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TUR">
    <w:altName w:val="Arial"/>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FrankRuehl">
    <w:panose1 w:val="00000000000000000000"/>
    <w:charset w:val="00"/>
    <w:family w:val="swiss"/>
    <w:pitch w:val="variable"/>
    <w:sig w:usb0="00000803" w:usb1="00000000" w:usb2="00000000" w:usb3="00000000" w:csb0="00000021" w:csb1="00000000"/>
  </w:font>
  <w:font w:name="Trebuchet MS">
    <w:panose1 w:val="020B0603020202020204"/>
    <w:charset w:val="00"/>
    <w:family w:val="swiss"/>
    <w:pitch w:val="variable"/>
    <w:sig w:usb0="00000687" w:usb1="00000000" w:usb2="00000000" w:usb3="00000000" w:csb0="0000009F" w:csb1="00000000"/>
  </w:font>
  <w:font w:name="Guttman Keren">
    <w:altName w:val="Segoe UI Semilight"/>
    <w:panose1 w:val="02010401010101010101"/>
    <w:charset w:val="B1"/>
    <w:family w:val="auto"/>
    <w:pitch w:val="variable"/>
    <w:sig w:usb0="00000800" w:usb1="40000000" w:usb2="00000000" w:usb3="00000000" w:csb0="00000020" w:csb1="00000000"/>
  </w:font>
  <w:font w:name="Guttman Mantova">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106" w:rsidRDefault="00E55106" w:rsidP="00D50559">
    <w:pPr>
      <w:pStyle w:val="af"/>
      <w:framePr w:wrap="around" w:vAnchor="text" w:hAnchor="text" w:y="1"/>
      <w:rPr>
        <w:rStyle w:val="ae"/>
      </w:rPr>
    </w:pPr>
    <w:r>
      <w:rPr>
        <w:rStyle w:val="ae"/>
        <w:rtl/>
      </w:rPr>
      <w:fldChar w:fldCharType="begin"/>
    </w:r>
    <w:r>
      <w:rPr>
        <w:rStyle w:val="ae"/>
      </w:rPr>
      <w:instrText xml:space="preserve">PAGE  </w:instrText>
    </w:r>
    <w:r>
      <w:rPr>
        <w:rStyle w:val="ae"/>
        <w:rtl/>
      </w:rPr>
      <w:fldChar w:fldCharType="end"/>
    </w:r>
  </w:p>
  <w:p w:rsidR="00E55106" w:rsidRDefault="00E55106" w:rsidP="00DA289E">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106" w:rsidRPr="00236E36" w:rsidRDefault="00E55106" w:rsidP="00A44D8D">
    <w:pPr>
      <w:pStyle w:val="ad"/>
      <w:tabs>
        <w:tab w:val="clear" w:pos="8306"/>
      </w:tabs>
      <w:spacing w:after="0" w:line="240" w:lineRule="auto"/>
      <w:jc w:val="right"/>
      <w:rPr>
        <w:color w:val="002060"/>
        <w:sz w:val="16"/>
        <w:szCs w:val="16"/>
        <w:rtl/>
        <w:lang w:eastAsia="en-US"/>
      </w:rPr>
    </w:pPr>
    <w:r w:rsidRPr="00236E36">
      <w:rPr>
        <w:color w:val="002060"/>
        <w:sz w:val="16"/>
        <w:szCs w:val="16"/>
        <w:rtl/>
        <w:lang w:eastAsia="en-US"/>
      </w:rPr>
      <w:t>עמוד</w:t>
    </w:r>
    <w:r w:rsidRPr="00236E36">
      <w:rPr>
        <w:color w:val="002060"/>
        <w:sz w:val="16"/>
        <w:szCs w:val="16"/>
        <w:lang w:eastAsia="en-US"/>
      </w:rPr>
      <w:t xml:space="preserve"> </w:t>
    </w:r>
    <w:r w:rsidRPr="00236E36">
      <w:rPr>
        <w:color w:val="002060"/>
        <w:sz w:val="16"/>
        <w:szCs w:val="16"/>
        <w:lang w:eastAsia="en-US"/>
      </w:rPr>
      <w:fldChar w:fldCharType="begin"/>
    </w:r>
    <w:r w:rsidRPr="00236E36">
      <w:rPr>
        <w:color w:val="002060"/>
        <w:sz w:val="16"/>
        <w:szCs w:val="16"/>
        <w:lang w:eastAsia="en-US"/>
      </w:rPr>
      <w:instrText xml:space="preserve"> PAGE </w:instrText>
    </w:r>
    <w:r w:rsidRPr="00236E36">
      <w:rPr>
        <w:color w:val="002060"/>
        <w:sz w:val="16"/>
        <w:szCs w:val="16"/>
        <w:lang w:eastAsia="en-US"/>
      </w:rPr>
      <w:fldChar w:fldCharType="separate"/>
    </w:r>
    <w:r w:rsidR="00483239">
      <w:rPr>
        <w:noProof/>
        <w:color w:val="002060"/>
        <w:sz w:val="16"/>
        <w:szCs w:val="16"/>
        <w:rtl/>
        <w:lang w:eastAsia="en-US"/>
      </w:rPr>
      <w:t>19</w:t>
    </w:r>
    <w:r w:rsidRPr="00236E36">
      <w:rPr>
        <w:color w:val="002060"/>
        <w:sz w:val="16"/>
        <w:szCs w:val="16"/>
        <w:lang w:eastAsia="en-US"/>
      </w:rPr>
      <w:fldChar w:fldCharType="end"/>
    </w:r>
    <w:r w:rsidRPr="00236E36">
      <w:rPr>
        <w:color w:val="002060"/>
        <w:sz w:val="16"/>
        <w:szCs w:val="16"/>
        <w:lang w:eastAsia="en-US"/>
      </w:rPr>
      <w:t xml:space="preserve"> </w:t>
    </w:r>
    <w:r w:rsidRPr="00236E36">
      <w:rPr>
        <w:color w:val="002060"/>
        <w:sz w:val="16"/>
        <w:szCs w:val="16"/>
        <w:rtl/>
        <w:lang w:eastAsia="en-US"/>
      </w:rPr>
      <w:t>מתוך</w:t>
    </w:r>
    <w:r w:rsidRPr="00236E36">
      <w:rPr>
        <w:rFonts w:hint="cs"/>
        <w:color w:val="002060"/>
        <w:sz w:val="16"/>
        <w:szCs w:val="16"/>
        <w:rtl/>
        <w:lang w:eastAsia="en-US"/>
      </w:rPr>
      <w:t xml:space="preserve"> </w:t>
    </w:r>
    <w:r w:rsidR="00A44D8D">
      <w:rPr>
        <w:rFonts w:hint="cs"/>
        <w:color w:val="002060"/>
        <w:sz w:val="16"/>
        <w:szCs w:val="16"/>
        <w:rtl/>
        <w:lang w:eastAsia="en-US"/>
      </w:rPr>
      <w:t>43</w:t>
    </w:r>
  </w:p>
  <w:p w:rsidR="00E55106" w:rsidRPr="00210B1C" w:rsidRDefault="00E55106" w:rsidP="00210B1C">
    <w:pPr>
      <w:pStyle w:val="ad"/>
      <w:tabs>
        <w:tab w:val="clear" w:pos="8306"/>
      </w:tabs>
      <w:spacing w:after="0" w:line="240" w:lineRule="auto"/>
      <w:jc w:val="center"/>
      <w:rPr>
        <w:color w:val="002060"/>
        <w:szCs w:val="16"/>
        <w:rtl/>
        <w:lang w:eastAsia="en-US"/>
      </w:rPr>
    </w:pPr>
    <w:r>
      <w:rPr>
        <w:rFonts w:hint="cs"/>
        <w:color w:val="002060"/>
        <w:sz w:val="16"/>
        <w:szCs w:val="16"/>
        <w:rtl/>
        <w:lang w:eastAsia="en-US"/>
      </w:rPr>
      <w:t xml:space="preserve">הכנסת </w:t>
    </w:r>
    <w:r>
      <w:rPr>
        <w:color w:val="002060"/>
        <w:sz w:val="16"/>
        <w:szCs w:val="16"/>
        <w:rtl/>
        <w:lang w:eastAsia="en-US"/>
      </w:rPr>
      <w:t>–</w:t>
    </w:r>
    <w:r>
      <w:rPr>
        <w:rFonts w:hint="cs"/>
        <w:color w:val="002060"/>
        <w:sz w:val="16"/>
        <w:szCs w:val="16"/>
        <w:rtl/>
        <w:lang w:eastAsia="en-US"/>
      </w:rPr>
      <w:t xml:space="preserve"> </w:t>
    </w:r>
    <w:r w:rsidRPr="00210B1C">
      <w:rPr>
        <w:rFonts w:hint="cs"/>
        <w:color w:val="002060"/>
        <w:sz w:val="16"/>
        <w:szCs w:val="16"/>
        <w:rtl/>
        <w:lang w:eastAsia="en-US"/>
      </w:rPr>
      <w:t>הלשכה המשפטית</w:t>
    </w:r>
    <w:r>
      <w:rPr>
        <w:rFonts w:hint="cs"/>
        <w:color w:val="002060"/>
        <w:sz w:val="16"/>
        <w:szCs w:val="16"/>
        <w:rtl/>
        <w:lang w:eastAsia="en-US"/>
      </w:rPr>
      <w:t xml:space="preserve"> </w:t>
    </w:r>
    <w:r w:rsidRPr="00210B1C">
      <w:rPr>
        <w:color w:val="002060"/>
        <w:sz w:val="16"/>
        <w:szCs w:val="16"/>
        <w:rtl/>
        <w:lang w:eastAsia="en-US"/>
      </w:rPr>
      <w:t>–</w:t>
    </w:r>
    <w:r w:rsidRPr="00210B1C">
      <w:rPr>
        <w:rFonts w:hint="cs"/>
        <w:color w:val="002060"/>
        <w:sz w:val="16"/>
        <w:szCs w:val="16"/>
        <w:rtl/>
        <w:lang w:eastAsia="en-US"/>
      </w:rPr>
      <w:t xml:space="preserve"> תחום חקיקה ומחקר משפטי</w:t>
    </w:r>
  </w:p>
  <w:p w:rsidR="00E55106" w:rsidRDefault="00E55106" w:rsidP="009D00C4">
    <w:pPr>
      <w:spacing w:before="0" w:after="0" w:line="240" w:lineRule="auto"/>
      <w:jc w:val="left"/>
      <w:rPr>
        <w:rtl/>
        <w:lang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343D" w:rsidRDefault="00E1343D">
      <w:r>
        <w:separator/>
      </w:r>
    </w:p>
  </w:footnote>
  <w:footnote w:type="continuationSeparator" w:id="0">
    <w:p w:rsidR="00E1343D" w:rsidRDefault="00E1343D">
      <w:r>
        <w:continuationSeparator/>
      </w:r>
    </w:p>
  </w:footnote>
  <w:footnote w:id="1">
    <w:p w:rsidR="00E55106" w:rsidRPr="00426658" w:rsidRDefault="00E55106" w:rsidP="00EE650F">
      <w:pPr>
        <w:pStyle w:val="aa"/>
        <w:bidi w:val="0"/>
        <w:jc w:val="both"/>
        <w:rPr>
          <w:lang w:val="en-US"/>
        </w:rPr>
      </w:pPr>
      <w:r>
        <w:rPr>
          <w:rStyle w:val="ac"/>
        </w:rPr>
        <w:footnoteRef/>
      </w:r>
      <w:r>
        <w:rPr>
          <w:rtl/>
        </w:rPr>
        <w:t xml:space="preserve"> </w:t>
      </w:r>
      <w:r w:rsidRPr="007D42D8">
        <w:rPr>
          <w:lang w:val="en-US"/>
        </w:rPr>
        <w:t xml:space="preserve">OECD, Managing Conflict of Interest in the Public Service </w:t>
      </w:r>
      <w:r>
        <w:rPr>
          <w:lang w:val="en-US"/>
        </w:rPr>
        <w:t>–</w:t>
      </w:r>
      <w:r w:rsidRPr="007D42D8">
        <w:rPr>
          <w:lang w:val="en-US"/>
        </w:rPr>
        <w:t xml:space="preserve"> OECD Guidelines and Country Experiences (2003)</w:t>
      </w:r>
      <w:r>
        <w:rPr>
          <w:lang w:val="en-US"/>
        </w:rPr>
        <w:t>, pp 22-23.</w:t>
      </w:r>
    </w:p>
  </w:footnote>
  <w:footnote w:id="2">
    <w:p w:rsidR="00E55106" w:rsidRDefault="00E55106" w:rsidP="00DD69C4">
      <w:pPr>
        <w:pStyle w:val="aa"/>
        <w:jc w:val="both"/>
        <w:rPr>
          <w:rtl/>
          <w:lang w:val="en-US"/>
        </w:rPr>
      </w:pPr>
      <w:r>
        <w:rPr>
          <w:rStyle w:val="ac"/>
        </w:rPr>
        <w:footnoteRef/>
      </w:r>
      <w:r>
        <w:rPr>
          <w:rtl/>
        </w:rPr>
        <w:t xml:space="preserve"> </w:t>
      </w:r>
      <w:r>
        <w:rPr>
          <w:rFonts w:hint="cs"/>
          <w:rtl/>
        </w:rPr>
        <w:t>להגדרות המילוניות השונות, ראו:</w:t>
      </w:r>
      <w:r>
        <w:rPr>
          <w:rFonts w:hint="cs"/>
          <w:rtl/>
          <w:lang w:val="en-US"/>
        </w:rPr>
        <w:t xml:space="preserve"> </w:t>
      </w:r>
      <w:r w:rsidRPr="00AD380E">
        <w:rPr>
          <w:b/>
          <w:bCs/>
          <w:rtl/>
          <w:lang w:val="en-US"/>
        </w:rPr>
        <w:t>מעות - אגרון הכלכלה, המינהל והעסקים</w:t>
      </w:r>
      <w:r w:rsidRPr="00AD380E">
        <w:rPr>
          <w:rtl/>
          <w:lang w:val="en-US"/>
        </w:rPr>
        <w:t xml:space="preserve"> </w:t>
      </w:r>
      <w:r>
        <w:rPr>
          <w:rFonts w:hint="cs"/>
          <w:rtl/>
          <w:lang w:val="en-US"/>
        </w:rPr>
        <w:t>(</w:t>
      </w:r>
      <w:r w:rsidRPr="00AD380E">
        <w:rPr>
          <w:rtl/>
          <w:lang w:val="en-US"/>
        </w:rPr>
        <w:t xml:space="preserve">עורך ראשי: איתן </w:t>
      </w:r>
      <w:proofErr w:type="spellStart"/>
      <w:r w:rsidRPr="00AD380E">
        <w:rPr>
          <w:rtl/>
          <w:lang w:val="en-US"/>
        </w:rPr>
        <w:t>אבניאון</w:t>
      </w:r>
      <w:proofErr w:type="spellEnd"/>
      <w:r>
        <w:rPr>
          <w:rFonts w:hint="cs"/>
          <w:rtl/>
          <w:lang w:val="en-US"/>
        </w:rPr>
        <w:t>)</w:t>
      </w:r>
      <w:r w:rsidRPr="00AD380E">
        <w:rPr>
          <w:rtl/>
          <w:lang w:val="en-US"/>
        </w:rPr>
        <w:t>.</w:t>
      </w:r>
      <w:r>
        <w:rPr>
          <w:rFonts w:hint="cs"/>
          <w:rtl/>
          <w:lang w:val="en-US"/>
        </w:rPr>
        <w:t xml:space="preserve"> כמו כן, ראו:</w:t>
      </w:r>
    </w:p>
    <w:p w:rsidR="00E55106" w:rsidRPr="00AD380E" w:rsidRDefault="00E55106" w:rsidP="00DD69C4">
      <w:pPr>
        <w:pStyle w:val="aa"/>
        <w:bidi w:val="0"/>
        <w:jc w:val="both"/>
        <w:rPr>
          <w:lang w:val="en-US"/>
        </w:rPr>
      </w:pPr>
      <w:r>
        <w:rPr>
          <w:lang w:val="en-US"/>
        </w:rPr>
        <w:tab/>
      </w:r>
      <w:r w:rsidRPr="007D42D8">
        <w:rPr>
          <w:lang w:val="en-US"/>
        </w:rPr>
        <w:t>OECD, Managing Conflict of Interest in the Public Service - OECD Guidelines and Country Experiences (2003)</w:t>
      </w:r>
      <w:r>
        <w:rPr>
          <w:lang w:val="en-US"/>
        </w:rPr>
        <w:t xml:space="preserve">, pp 24-25. </w:t>
      </w:r>
      <w:r w:rsidRPr="00AD380E">
        <w:rPr>
          <w:lang w:val="en-US"/>
        </w:rPr>
        <w:t>Definition of “a conflict of interest”</w:t>
      </w:r>
      <w:r>
        <w:rPr>
          <w:lang w:val="en-US"/>
        </w:rPr>
        <w:t xml:space="preserve">, </w:t>
      </w:r>
      <w:r w:rsidRPr="00AD380E">
        <w:rPr>
          <w:lang w:val="en-US"/>
        </w:rPr>
        <w:t xml:space="preserve">Cambridge Advanced Learner’s Dictionary &amp; Thesaurus </w:t>
      </w:r>
      <w:r>
        <w:rPr>
          <w:lang w:val="en-US"/>
        </w:rPr>
        <w:t>(</w:t>
      </w:r>
      <w:r w:rsidRPr="00AD380E">
        <w:rPr>
          <w:lang w:val="en-US"/>
        </w:rPr>
        <w:t>Cambridge University Press</w:t>
      </w:r>
      <w:r>
        <w:rPr>
          <w:lang w:val="en-US"/>
        </w:rPr>
        <w:t xml:space="preserve">, 2017), </w:t>
      </w:r>
      <w:r w:rsidRPr="003A7CDE">
        <w:rPr>
          <w:lang w:val="en-US"/>
        </w:rPr>
        <w:t>Merriam-Webster: Dictionary and Thesaurus</w:t>
      </w:r>
      <w:r>
        <w:rPr>
          <w:lang w:val="en-US"/>
        </w:rPr>
        <w:t xml:space="preserve"> (</w:t>
      </w:r>
      <w:r w:rsidRPr="003A7CDE">
        <w:rPr>
          <w:lang w:val="en-US"/>
        </w:rPr>
        <w:t>Merriam-Webster</w:t>
      </w:r>
      <w:r>
        <w:rPr>
          <w:lang w:val="en-US"/>
        </w:rPr>
        <w:t xml:space="preserve">, 2017). </w:t>
      </w:r>
      <w:r>
        <w:rPr>
          <w:lang w:val="en-US"/>
        </w:rPr>
        <w:tab/>
      </w:r>
    </w:p>
  </w:footnote>
  <w:footnote w:id="3">
    <w:p w:rsidR="00E55106" w:rsidRDefault="00E55106" w:rsidP="00DD69C4">
      <w:pPr>
        <w:pStyle w:val="aa"/>
        <w:jc w:val="both"/>
        <w:rPr>
          <w:rtl/>
        </w:rPr>
      </w:pPr>
      <w:r>
        <w:rPr>
          <w:rStyle w:val="ac"/>
        </w:rPr>
        <w:footnoteRef/>
      </w:r>
      <w:r>
        <w:rPr>
          <w:rtl/>
        </w:rPr>
        <w:t xml:space="preserve"> </w:t>
      </w:r>
      <w:r w:rsidRPr="00803419">
        <w:rPr>
          <w:rtl/>
        </w:rPr>
        <w:t xml:space="preserve">דפנה </w:t>
      </w:r>
      <w:proofErr w:type="spellStart"/>
      <w:r w:rsidRPr="00803419">
        <w:rPr>
          <w:rtl/>
        </w:rPr>
        <w:t>ברק־ארז</w:t>
      </w:r>
      <w:proofErr w:type="spellEnd"/>
      <w:r w:rsidRPr="00803419">
        <w:rPr>
          <w:rtl/>
        </w:rPr>
        <w:t xml:space="preserve">, דורון נבות, מרדכי </w:t>
      </w:r>
      <w:proofErr w:type="spellStart"/>
      <w:r w:rsidRPr="00803419">
        <w:rPr>
          <w:rtl/>
        </w:rPr>
        <w:t>קרמניצר</w:t>
      </w:r>
      <w:proofErr w:type="spellEnd"/>
      <w:r w:rsidRPr="00803419">
        <w:rPr>
          <w:rtl/>
        </w:rPr>
        <w:t xml:space="preserve">, </w:t>
      </w:r>
      <w:r>
        <w:rPr>
          <w:rFonts w:hint="cs"/>
          <w:rtl/>
        </w:rPr>
        <w:t>"</w:t>
      </w:r>
      <w:r w:rsidRPr="00803419">
        <w:rPr>
          <w:rtl/>
        </w:rPr>
        <w:t>מבוא: ניגוד עניינים במרחב הציבורי</w:t>
      </w:r>
      <w:r>
        <w:rPr>
          <w:rFonts w:hint="cs"/>
          <w:rtl/>
        </w:rPr>
        <w:t>"</w:t>
      </w:r>
      <w:r w:rsidRPr="00803419">
        <w:rPr>
          <w:rtl/>
        </w:rPr>
        <w:t xml:space="preserve">, </w:t>
      </w:r>
      <w:r w:rsidRPr="00803419">
        <w:rPr>
          <w:i/>
          <w:iCs/>
          <w:rtl/>
        </w:rPr>
        <w:t>בתוך</w:t>
      </w:r>
      <w:r w:rsidRPr="00803419">
        <w:rPr>
          <w:rtl/>
        </w:rPr>
        <w:t xml:space="preserve"> </w:t>
      </w:r>
      <w:r w:rsidRPr="008E5509">
        <w:rPr>
          <w:b/>
          <w:bCs/>
          <w:rtl/>
        </w:rPr>
        <w:t>ניגוד עניינים במרחב הציבורי: משפט, תרבות, אתיקה, פוליטיקה</w:t>
      </w:r>
      <w:r w:rsidRPr="00803419">
        <w:rPr>
          <w:rtl/>
        </w:rPr>
        <w:t xml:space="preserve"> (המכון הישראלי לדמוקרטיה</w:t>
      </w:r>
      <w:r>
        <w:rPr>
          <w:rFonts w:hint="cs"/>
          <w:rtl/>
        </w:rPr>
        <w:t>,</w:t>
      </w:r>
      <w:r w:rsidRPr="00803419">
        <w:rPr>
          <w:rtl/>
        </w:rPr>
        <w:t xml:space="preserve"> </w:t>
      </w:r>
      <w:r>
        <w:rPr>
          <w:rFonts w:hint="cs"/>
          <w:rtl/>
        </w:rPr>
        <w:t>2009</w:t>
      </w:r>
      <w:r w:rsidRPr="00803419">
        <w:rPr>
          <w:rtl/>
        </w:rPr>
        <w:t>)</w:t>
      </w:r>
      <w:r>
        <w:rPr>
          <w:rFonts w:hint="cs"/>
          <w:rtl/>
        </w:rPr>
        <w:t>, עמודים 11-10.</w:t>
      </w:r>
    </w:p>
  </w:footnote>
  <w:footnote w:id="4">
    <w:p w:rsidR="00E55106" w:rsidRPr="008E5509" w:rsidRDefault="00E55106" w:rsidP="00DD69C4">
      <w:pPr>
        <w:pStyle w:val="aa"/>
        <w:bidi w:val="0"/>
        <w:jc w:val="both"/>
        <w:rPr>
          <w:lang w:val="en-US"/>
        </w:rPr>
      </w:pPr>
      <w:r>
        <w:rPr>
          <w:rStyle w:val="ac"/>
        </w:rPr>
        <w:footnoteRef/>
      </w:r>
      <w:r>
        <w:rPr>
          <w:rtl/>
        </w:rPr>
        <w:t xml:space="preserve"> </w:t>
      </w:r>
      <w:r w:rsidRPr="007D42D8">
        <w:rPr>
          <w:lang w:val="en-US"/>
        </w:rPr>
        <w:t>OECD, Managing Conflict of Interest in the Public Service - OECD Guidelines and Country Experiences (2003)</w:t>
      </w:r>
      <w:r>
        <w:rPr>
          <w:lang w:val="en-US"/>
        </w:rPr>
        <w:t>, page 25.</w:t>
      </w:r>
    </w:p>
  </w:footnote>
  <w:footnote w:id="5">
    <w:p w:rsidR="00E55106" w:rsidRPr="00000A70" w:rsidRDefault="00E55106" w:rsidP="00DD69C4">
      <w:pPr>
        <w:pStyle w:val="aa"/>
        <w:jc w:val="both"/>
        <w:rPr>
          <w:rtl/>
          <w:lang w:val="en-US"/>
        </w:rPr>
      </w:pPr>
      <w:r>
        <w:rPr>
          <w:rStyle w:val="ac"/>
        </w:rPr>
        <w:footnoteRef/>
      </w:r>
      <w:r>
        <w:rPr>
          <w:rtl/>
        </w:rPr>
        <w:t xml:space="preserve"> </w:t>
      </w:r>
      <w:r w:rsidRPr="00803419">
        <w:rPr>
          <w:rtl/>
        </w:rPr>
        <w:t xml:space="preserve">דפנה </w:t>
      </w:r>
      <w:proofErr w:type="spellStart"/>
      <w:r w:rsidRPr="00803419">
        <w:rPr>
          <w:rtl/>
        </w:rPr>
        <w:t>ברק־ארז</w:t>
      </w:r>
      <w:proofErr w:type="spellEnd"/>
      <w:r w:rsidRPr="00803419">
        <w:rPr>
          <w:rtl/>
        </w:rPr>
        <w:t xml:space="preserve">, דורון נבות, מרדכי </w:t>
      </w:r>
      <w:proofErr w:type="spellStart"/>
      <w:r w:rsidRPr="00803419">
        <w:rPr>
          <w:rtl/>
        </w:rPr>
        <w:t>קרמניצר</w:t>
      </w:r>
      <w:proofErr w:type="spellEnd"/>
      <w:r w:rsidRPr="00803419">
        <w:rPr>
          <w:rtl/>
        </w:rPr>
        <w:t xml:space="preserve">, </w:t>
      </w:r>
      <w:r>
        <w:rPr>
          <w:rFonts w:hint="cs"/>
          <w:rtl/>
        </w:rPr>
        <w:t>"</w:t>
      </w:r>
      <w:r w:rsidRPr="00803419">
        <w:rPr>
          <w:rtl/>
        </w:rPr>
        <w:t>מבוא: ניגוד עניינים במרחב הציבורי</w:t>
      </w:r>
      <w:r>
        <w:rPr>
          <w:rFonts w:hint="cs"/>
          <w:rtl/>
        </w:rPr>
        <w:t>"</w:t>
      </w:r>
      <w:r w:rsidRPr="00803419">
        <w:rPr>
          <w:rtl/>
        </w:rPr>
        <w:t xml:space="preserve">, </w:t>
      </w:r>
      <w:r w:rsidRPr="00803419">
        <w:rPr>
          <w:i/>
          <w:iCs/>
          <w:rtl/>
        </w:rPr>
        <w:t>בתוך</w:t>
      </w:r>
      <w:r w:rsidRPr="00803419">
        <w:rPr>
          <w:rtl/>
        </w:rPr>
        <w:t xml:space="preserve"> </w:t>
      </w:r>
      <w:r w:rsidRPr="008E5509">
        <w:rPr>
          <w:b/>
          <w:bCs/>
          <w:rtl/>
        </w:rPr>
        <w:t>ניגוד עניינים במרחב הציבורי: משפט, תרבות, אתיקה, פוליטיקה</w:t>
      </w:r>
      <w:r w:rsidRPr="00803419">
        <w:rPr>
          <w:rtl/>
        </w:rPr>
        <w:t xml:space="preserve"> (המכון הישראלי לדמוקרטיה</w:t>
      </w:r>
      <w:r>
        <w:rPr>
          <w:rFonts w:hint="cs"/>
          <w:rtl/>
        </w:rPr>
        <w:t>,</w:t>
      </w:r>
      <w:r w:rsidRPr="00803419">
        <w:rPr>
          <w:rtl/>
        </w:rPr>
        <w:t xml:space="preserve"> </w:t>
      </w:r>
      <w:r>
        <w:rPr>
          <w:rFonts w:hint="cs"/>
          <w:rtl/>
        </w:rPr>
        <w:t>2009</w:t>
      </w:r>
      <w:r w:rsidRPr="00803419">
        <w:rPr>
          <w:rtl/>
        </w:rPr>
        <w:t>)</w:t>
      </w:r>
      <w:r>
        <w:rPr>
          <w:rFonts w:hint="cs"/>
          <w:rtl/>
        </w:rPr>
        <w:t>,</w:t>
      </w:r>
      <w:r>
        <w:rPr>
          <w:rFonts w:hint="cs"/>
          <w:rtl/>
          <w:lang w:val="en-US"/>
        </w:rPr>
        <w:t>, עמודים 12-11.</w:t>
      </w:r>
    </w:p>
  </w:footnote>
  <w:footnote w:id="6">
    <w:p w:rsidR="00E55106" w:rsidRPr="00ED431A" w:rsidRDefault="00E55106" w:rsidP="00DD69C4">
      <w:pPr>
        <w:pStyle w:val="aa"/>
        <w:bidi w:val="0"/>
        <w:jc w:val="both"/>
        <w:rPr>
          <w:lang w:val="en-US"/>
        </w:rPr>
      </w:pPr>
      <w:r>
        <w:rPr>
          <w:rStyle w:val="ac"/>
        </w:rPr>
        <w:footnoteRef/>
      </w:r>
      <w:r>
        <w:rPr>
          <w:rtl/>
        </w:rPr>
        <w:t xml:space="preserve"> </w:t>
      </w:r>
      <w:r w:rsidRPr="007D42D8">
        <w:rPr>
          <w:lang w:val="en-US"/>
        </w:rPr>
        <w:t>OECD, Managing Conflict of Interest in the Public Service - OECD Guidelines and Country Experiences (2003)</w:t>
      </w:r>
      <w:r>
        <w:rPr>
          <w:lang w:val="en-US"/>
        </w:rPr>
        <w:t>, pp 22-23.</w:t>
      </w:r>
    </w:p>
  </w:footnote>
  <w:footnote w:id="7">
    <w:p w:rsidR="00E55106" w:rsidRPr="00F03CA3" w:rsidRDefault="00E55106" w:rsidP="008C68EC">
      <w:pPr>
        <w:pStyle w:val="aa"/>
        <w:bidi w:val="0"/>
        <w:rPr>
          <w:lang w:val="en-US"/>
        </w:rPr>
      </w:pPr>
      <w:r>
        <w:rPr>
          <w:rStyle w:val="ac"/>
        </w:rPr>
        <w:footnoteRef/>
      </w:r>
      <w:r>
        <w:rPr>
          <w:rtl/>
        </w:rPr>
        <w:t xml:space="preserve"> </w:t>
      </w:r>
      <w:r>
        <w:rPr>
          <w:lang w:val="en-US"/>
        </w:rPr>
        <w:t>T</w:t>
      </w:r>
      <w:r w:rsidRPr="00567921">
        <w:rPr>
          <w:lang w:val="en-US"/>
        </w:rPr>
        <w:t>he European Commission Bureau of European Policy Advisers, Regulating Conflicts of Interest for Holders of Public Office in the European Union - A Comparative Study of the Rules and Standards of Professional Ethics for the Holders of Public Office in the EU-27 and EU Institutions (2007)</w:t>
      </w:r>
      <w:r w:rsidRPr="006D0476">
        <w:rPr>
          <w:lang w:val="en-US"/>
        </w:rPr>
        <w:t xml:space="preserve">, </w:t>
      </w:r>
      <w:r>
        <w:rPr>
          <w:lang w:val="en-US"/>
        </w:rPr>
        <w:t xml:space="preserve">pp 7-10. </w:t>
      </w:r>
    </w:p>
  </w:footnote>
  <w:footnote w:id="8">
    <w:p w:rsidR="00E55106" w:rsidRDefault="00E55106" w:rsidP="00DD69C4">
      <w:pPr>
        <w:pStyle w:val="aa"/>
        <w:jc w:val="both"/>
      </w:pPr>
      <w:r>
        <w:rPr>
          <w:rStyle w:val="ac"/>
        </w:rPr>
        <w:footnoteRef/>
      </w:r>
      <w:r>
        <w:rPr>
          <w:rtl/>
        </w:rPr>
        <w:t xml:space="preserve"> </w:t>
      </w:r>
      <w:proofErr w:type="spellStart"/>
      <w:r>
        <w:rPr>
          <w:rFonts w:hint="cs"/>
          <w:rtl/>
        </w:rPr>
        <w:t>טנה</w:t>
      </w:r>
      <w:proofErr w:type="spellEnd"/>
      <w:r>
        <w:rPr>
          <w:rFonts w:hint="cs"/>
          <w:rtl/>
        </w:rPr>
        <w:t xml:space="preserve"> </w:t>
      </w:r>
      <w:proofErr w:type="spellStart"/>
      <w:r>
        <w:rPr>
          <w:rFonts w:hint="cs"/>
          <w:rtl/>
        </w:rPr>
        <w:t>שפניץ</w:t>
      </w:r>
      <w:proofErr w:type="spellEnd"/>
      <w:r>
        <w:rPr>
          <w:rFonts w:hint="cs"/>
          <w:rtl/>
        </w:rPr>
        <w:t xml:space="preserve">, </w:t>
      </w:r>
      <w:r w:rsidRPr="008E5509">
        <w:rPr>
          <w:rFonts w:hint="cs"/>
          <w:b/>
          <w:bCs/>
          <w:rtl/>
        </w:rPr>
        <w:t>ניגוד עניינים במגזר הציבורי למעשה ולהלכה</w:t>
      </w:r>
      <w:r>
        <w:rPr>
          <w:rFonts w:hint="cs"/>
          <w:rtl/>
        </w:rPr>
        <w:t xml:space="preserve"> (נבו הוצאה לאור, 2013), עמודים 34-33.</w:t>
      </w:r>
    </w:p>
  </w:footnote>
  <w:footnote w:id="9">
    <w:p w:rsidR="00E55106" w:rsidRPr="00191E39" w:rsidRDefault="00E55106" w:rsidP="00DD69C4">
      <w:pPr>
        <w:pStyle w:val="aa"/>
        <w:jc w:val="both"/>
        <w:rPr>
          <w:b/>
          <w:bCs/>
          <w:rtl/>
          <w:lang w:val="en-US"/>
        </w:rPr>
      </w:pPr>
      <w:r>
        <w:rPr>
          <w:rStyle w:val="ac"/>
        </w:rPr>
        <w:footnoteRef/>
      </w:r>
      <w:r>
        <w:rPr>
          <w:rtl/>
        </w:rPr>
        <w:t xml:space="preserve"> </w:t>
      </w:r>
      <w:r>
        <w:rPr>
          <w:rFonts w:hint="cs"/>
          <w:rtl/>
          <w:lang w:val="en-US"/>
        </w:rPr>
        <w:t xml:space="preserve">שם, עמודים 39, 498-493. ראו גם: "עריכת הסדרים למניעת ניגוד עניינים בשירות המדינה", </w:t>
      </w:r>
      <w:r>
        <w:rPr>
          <w:rFonts w:hint="cs"/>
          <w:b/>
          <w:bCs/>
          <w:rtl/>
          <w:lang w:val="en-US"/>
        </w:rPr>
        <w:t>הנחיות היועץ המשפטי לממשלה</w:t>
      </w:r>
      <w:r w:rsidRPr="00443863">
        <w:rPr>
          <w:rFonts w:hint="cs"/>
          <w:rtl/>
          <w:lang w:val="en-US"/>
        </w:rPr>
        <w:t xml:space="preserve">, </w:t>
      </w:r>
      <w:r>
        <w:rPr>
          <w:rFonts w:hint="cs"/>
          <w:rtl/>
          <w:lang w:val="en-US"/>
        </w:rPr>
        <w:t>3-2,1.1555 (</w:t>
      </w:r>
      <w:proofErr w:type="spellStart"/>
      <w:r>
        <w:rPr>
          <w:rFonts w:hint="cs"/>
          <w:rtl/>
          <w:lang w:val="en-US"/>
        </w:rPr>
        <w:t>התשס"ו</w:t>
      </w:r>
      <w:proofErr w:type="spellEnd"/>
      <w:r>
        <w:rPr>
          <w:rFonts w:hint="cs"/>
          <w:rtl/>
          <w:lang w:val="en-US"/>
        </w:rPr>
        <w:t>)</w:t>
      </w:r>
      <w:r w:rsidRPr="00443863">
        <w:rPr>
          <w:rFonts w:hint="cs"/>
          <w:rtl/>
          <w:lang w:val="en-US"/>
        </w:rPr>
        <w:t>.</w:t>
      </w:r>
    </w:p>
  </w:footnote>
  <w:footnote w:id="10">
    <w:p w:rsidR="00E55106" w:rsidRPr="00EB2AB7" w:rsidRDefault="00E55106" w:rsidP="00731DAB">
      <w:pPr>
        <w:pStyle w:val="aa"/>
        <w:bidi w:val="0"/>
        <w:jc w:val="both"/>
        <w:rPr>
          <w:lang w:val="en-US"/>
        </w:rPr>
      </w:pPr>
      <w:r>
        <w:rPr>
          <w:rStyle w:val="ac"/>
        </w:rPr>
        <w:footnoteRef/>
      </w:r>
      <w:r>
        <w:rPr>
          <w:rtl/>
        </w:rPr>
        <w:t xml:space="preserve"> </w:t>
      </w:r>
      <w:r>
        <w:rPr>
          <w:lang w:val="en-US"/>
        </w:rPr>
        <w:t>T</w:t>
      </w:r>
      <w:r w:rsidRPr="00567921">
        <w:rPr>
          <w:lang w:val="en-US"/>
        </w:rPr>
        <w:t>he European Commission Bureau of European Policy Advisers, Regulating Conflicts of Interest for Holders of Public Office in the European Union - A Comparative Study of the Rules and Standards of Professional Ethics for the Holders of Public Office in the EU-27 and EU Institutions (2007)</w:t>
      </w:r>
      <w:r w:rsidRPr="006D0476">
        <w:rPr>
          <w:lang w:val="en-US"/>
        </w:rPr>
        <w:t xml:space="preserve">, </w:t>
      </w:r>
      <w:r>
        <w:rPr>
          <w:lang w:val="en-US"/>
        </w:rPr>
        <w:t xml:space="preserve">pp 320-324. </w:t>
      </w:r>
      <w:r w:rsidRPr="00EB2AB7">
        <w:rPr>
          <w:lang w:val="en-US"/>
        </w:rPr>
        <w:t xml:space="preserve">National Audit Office, </w:t>
      </w:r>
      <w:r w:rsidRPr="00CA3E4D">
        <w:rPr>
          <w:lang w:val="en-US"/>
        </w:rPr>
        <w:t>Report by the Comptroller and Auditor General - Conflicts of interest (January 2015), pp</w:t>
      </w:r>
      <w:r>
        <w:rPr>
          <w:lang w:val="en-US"/>
        </w:rPr>
        <w:t xml:space="preserve"> 17-21. </w:t>
      </w:r>
    </w:p>
  </w:footnote>
  <w:footnote w:id="11">
    <w:p w:rsidR="00E55106" w:rsidRDefault="00E55106" w:rsidP="00731DAB">
      <w:pPr>
        <w:pStyle w:val="aa"/>
        <w:jc w:val="both"/>
        <w:rPr>
          <w:rtl/>
        </w:rPr>
      </w:pPr>
      <w:r>
        <w:rPr>
          <w:rStyle w:val="ac"/>
        </w:rPr>
        <w:footnoteRef/>
      </w:r>
      <w:r>
        <w:rPr>
          <w:rtl/>
        </w:rPr>
        <w:t xml:space="preserve"> </w:t>
      </w:r>
      <w:r>
        <w:rPr>
          <w:rFonts w:hint="cs"/>
          <w:rtl/>
        </w:rPr>
        <w:t>כפי שיוסבר להלן, יועצים מיוחדים הם מינויים אישיים מטעם שרים בבריטניה.</w:t>
      </w:r>
    </w:p>
  </w:footnote>
  <w:footnote w:id="12">
    <w:p w:rsidR="00E55106" w:rsidRPr="00BC4E8C" w:rsidRDefault="00E55106" w:rsidP="00731DAB">
      <w:pPr>
        <w:pStyle w:val="aa"/>
        <w:bidi w:val="0"/>
        <w:jc w:val="both"/>
        <w:rPr>
          <w:lang w:val="en-US"/>
        </w:rPr>
      </w:pPr>
      <w:r>
        <w:rPr>
          <w:rStyle w:val="ac"/>
        </w:rPr>
        <w:footnoteRef/>
      </w:r>
      <w:r>
        <w:rPr>
          <w:rtl/>
        </w:rPr>
        <w:t xml:space="preserve"> </w:t>
      </w:r>
      <w:r w:rsidRPr="00744F50">
        <w:rPr>
          <w:lang w:val="en-US"/>
        </w:rPr>
        <w:t>Constitutional Reform and Governance Act 2010</w:t>
      </w:r>
      <w:r>
        <w:rPr>
          <w:lang w:val="en-US"/>
        </w:rPr>
        <w:t xml:space="preserve"> (c. 25).</w:t>
      </w:r>
    </w:p>
  </w:footnote>
  <w:footnote w:id="13">
    <w:p w:rsidR="00E55106" w:rsidRPr="00744F50" w:rsidRDefault="00E55106" w:rsidP="00731DAB">
      <w:pPr>
        <w:pStyle w:val="aa"/>
        <w:bidi w:val="0"/>
        <w:jc w:val="both"/>
        <w:rPr>
          <w:lang w:val="en-US"/>
        </w:rPr>
      </w:pPr>
      <w:r>
        <w:rPr>
          <w:rStyle w:val="ac"/>
        </w:rPr>
        <w:footnoteRef/>
      </w:r>
      <w:r>
        <w:rPr>
          <w:rtl/>
        </w:rPr>
        <w:t xml:space="preserve"> </w:t>
      </w:r>
      <w:r>
        <w:rPr>
          <w:lang w:val="en-US"/>
        </w:rPr>
        <w:t>Ibid, Part I, chapter 1.</w:t>
      </w:r>
    </w:p>
  </w:footnote>
  <w:footnote w:id="14">
    <w:p w:rsidR="00E55106" w:rsidRDefault="00E55106" w:rsidP="00731DAB">
      <w:pPr>
        <w:pStyle w:val="aa"/>
        <w:jc w:val="both"/>
        <w:rPr>
          <w:rtl/>
        </w:rPr>
      </w:pPr>
      <w:r>
        <w:rPr>
          <w:rStyle w:val="ac"/>
        </w:rPr>
        <w:footnoteRef/>
      </w:r>
      <w:r>
        <w:rPr>
          <w:rtl/>
        </w:rPr>
        <w:t xml:space="preserve"> </w:t>
      </w:r>
      <w:r w:rsidRPr="00066A1E">
        <w:rPr>
          <w:rFonts w:hint="cs"/>
          <w:rtl/>
          <w:lang w:val="en-US"/>
        </w:rPr>
        <w:t>המונח</w:t>
      </w:r>
      <w:r>
        <w:rPr>
          <w:rFonts w:hint="cs"/>
          <w:rtl/>
        </w:rPr>
        <w:t xml:space="preserve"> עובדי ציבור (</w:t>
      </w:r>
      <w:r>
        <w:t>civil servants</w:t>
      </w:r>
      <w:r>
        <w:rPr>
          <w:rFonts w:hint="cs"/>
          <w:rtl/>
        </w:rPr>
        <w:t>) הוא מונח שלפי החוק צריך להיגזר מהגדרת התחולה שמתייחסת ל"שירות ציבורי". ראו:</w:t>
      </w:r>
    </w:p>
    <w:p w:rsidR="00E55106" w:rsidRPr="00066A1E" w:rsidRDefault="00E55106" w:rsidP="00731DAB">
      <w:pPr>
        <w:pStyle w:val="aa"/>
        <w:bidi w:val="0"/>
        <w:jc w:val="both"/>
        <w:rPr>
          <w:lang w:val="en-US"/>
        </w:rPr>
      </w:pPr>
      <w:r>
        <w:rPr>
          <w:lang w:val="en-US"/>
        </w:rPr>
        <w:t xml:space="preserve">  Ibid, Section 1(4).</w:t>
      </w:r>
    </w:p>
  </w:footnote>
  <w:footnote w:id="15">
    <w:p w:rsidR="00E55106" w:rsidRDefault="00E55106" w:rsidP="00731DAB">
      <w:pPr>
        <w:pStyle w:val="aa"/>
        <w:bidi w:val="0"/>
        <w:jc w:val="both"/>
        <w:rPr>
          <w:lang w:val="en-US"/>
        </w:rPr>
      </w:pPr>
      <w:r>
        <w:rPr>
          <w:rStyle w:val="ac"/>
        </w:rPr>
        <w:footnoteRef/>
      </w:r>
      <w:r>
        <w:rPr>
          <w:rtl/>
        </w:rPr>
        <w:t xml:space="preserve"> </w:t>
      </w:r>
      <w:r>
        <w:rPr>
          <w:lang w:val="en-US"/>
        </w:rPr>
        <w:t>Ibid, Section 1.</w:t>
      </w:r>
    </w:p>
    <w:p w:rsidR="00E55106" w:rsidRPr="00DB3684" w:rsidRDefault="00E55106" w:rsidP="00731DAB">
      <w:pPr>
        <w:pStyle w:val="aa"/>
        <w:jc w:val="both"/>
        <w:rPr>
          <w:rtl/>
          <w:lang w:val="en-US"/>
        </w:rPr>
      </w:pPr>
      <w:r>
        <w:rPr>
          <w:rtl/>
          <w:lang w:val="en-US"/>
        </w:rPr>
        <w:tab/>
      </w:r>
      <w:r>
        <w:rPr>
          <w:rFonts w:hint="cs"/>
          <w:rtl/>
          <w:lang w:val="en-US"/>
        </w:rPr>
        <w:t>יוער, כי בחוק קבועות גם מגבלות נוספות על תחולתו ביחס להתקשרויות לקבלת שירותים מחוץ לשטח בריטניה,</w:t>
      </w:r>
      <w:r w:rsidRPr="00FC54BA">
        <w:rPr>
          <w:rFonts w:hint="cs"/>
          <w:rtl/>
          <w:lang w:val="en-US"/>
        </w:rPr>
        <w:t xml:space="preserve"> </w:t>
      </w:r>
      <w:r>
        <w:rPr>
          <w:rFonts w:hint="cs"/>
          <w:rtl/>
          <w:lang w:val="en-US"/>
        </w:rPr>
        <w:t xml:space="preserve">או מינויים לתפקידים במדינות זרות. </w:t>
      </w:r>
    </w:p>
  </w:footnote>
  <w:footnote w:id="16">
    <w:p w:rsidR="00E55106" w:rsidRPr="00066A1E" w:rsidRDefault="00E55106" w:rsidP="00731DAB">
      <w:pPr>
        <w:pStyle w:val="aa"/>
        <w:bidi w:val="0"/>
        <w:jc w:val="both"/>
        <w:rPr>
          <w:lang w:val="en-US"/>
        </w:rPr>
      </w:pPr>
      <w:r>
        <w:rPr>
          <w:rStyle w:val="ac"/>
        </w:rPr>
        <w:footnoteRef/>
      </w:r>
      <w:r>
        <w:rPr>
          <w:rtl/>
        </w:rPr>
        <w:t xml:space="preserve"> </w:t>
      </w:r>
      <w:r w:rsidRPr="00744F50">
        <w:rPr>
          <w:lang w:val="en-US"/>
        </w:rPr>
        <w:t>Constitutional Reform and Governance Act 2010</w:t>
      </w:r>
      <w:r>
        <w:rPr>
          <w:lang w:val="en-US"/>
        </w:rPr>
        <w:t>, Section 2.</w:t>
      </w:r>
    </w:p>
  </w:footnote>
  <w:footnote w:id="17">
    <w:p w:rsidR="00E55106" w:rsidRPr="00066A1E" w:rsidRDefault="00E55106" w:rsidP="00731DAB">
      <w:pPr>
        <w:pStyle w:val="aa"/>
        <w:bidi w:val="0"/>
        <w:jc w:val="both"/>
        <w:rPr>
          <w:lang w:val="en-US"/>
        </w:rPr>
      </w:pPr>
      <w:r>
        <w:rPr>
          <w:rStyle w:val="ac"/>
        </w:rPr>
        <w:footnoteRef/>
      </w:r>
      <w:r>
        <w:rPr>
          <w:rtl/>
        </w:rPr>
        <w:t xml:space="preserve"> </w:t>
      </w:r>
      <w:r>
        <w:rPr>
          <w:lang w:val="en-US"/>
        </w:rPr>
        <w:t>Ibid, Subsections 2(2)-2(4), &amp; Section 11.</w:t>
      </w:r>
    </w:p>
  </w:footnote>
  <w:footnote w:id="18">
    <w:p w:rsidR="00E55106" w:rsidRPr="004A13E8" w:rsidRDefault="00E55106" w:rsidP="00731DAB">
      <w:pPr>
        <w:pStyle w:val="aa"/>
        <w:bidi w:val="0"/>
        <w:jc w:val="both"/>
        <w:rPr>
          <w:lang w:val="en-US"/>
        </w:rPr>
      </w:pPr>
      <w:r>
        <w:rPr>
          <w:rStyle w:val="ac"/>
        </w:rPr>
        <w:footnoteRef/>
      </w:r>
      <w:r>
        <w:rPr>
          <w:rtl/>
        </w:rPr>
        <w:t xml:space="preserve"> </w:t>
      </w:r>
      <w:r>
        <w:rPr>
          <w:lang w:val="en-US"/>
        </w:rPr>
        <w:t>Ibid, Section 3-4.</w:t>
      </w:r>
    </w:p>
  </w:footnote>
  <w:footnote w:id="19">
    <w:p w:rsidR="00E55106" w:rsidRDefault="00E55106" w:rsidP="00731DAB">
      <w:pPr>
        <w:pStyle w:val="aa"/>
        <w:bidi w:val="0"/>
        <w:jc w:val="both"/>
        <w:rPr>
          <w:lang w:val="en-US"/>
        </w:rPr>
      </w:pPr>
      <w:r>
        <w:rPr>
          <w:rStyle w:val="ac"/>
        </w:rPr>
        <w:footnoteRef/>
      </w:r>
      <w:r>
        <w:rPr>
          <w:rtl/>
        </w:rPr>
        <w:t xml:space="preserve"> </w:t>
      </w:r>
      <w:r>
        <w:rPr>
          <w:lang w:val="en-US"/>
        </w:rPr>
        <w:t>Ibid, Subsection 5(1).</w:t>
      </w:r>
    </w:p>
    <w:p w:rsidR="00E55106" w:rsidRPr="004A13E8" w:rsidRDefault="00E55106" w:rsidP="00731DAB">
      <w:pPr>
        <w:pStyle w:val="aa"/>
        <w:jc w:val="both"/>
        <w:rPr>
          <w:rtl/>
          <w:lang w:val="en-US"/>
        </w:rPr>
      </w:pPr>
      <w:r>
        <w:rPr>
          <w:rtl/>
          <w:lang w:val="en-US"/>
        </w:rPr>
        <w:tab/>
      </w:r>
      <w:r>
        <w:rPr>
          <w:rFonts w:hint="cs"/>
          <w:rtl/>
          <w:lang w:val="en-US"/>
        </w:rPr>
        <w:t xml:space="preserve">יוער, כי בבריטניה קבועים שלושה קודי התנהגות לפי המדינות שמרכיבות את בריטניה: אנגליה, </w:t>
      </w:r>
      <w:proofErr w:type="spellStart"/>
      <w:r>
        <w:rPr>
          <w:rFonts w:hint="cs"/>
          <w:rtl/>
          <w:lang w:val="en-US"/>
        </w:rPr>
        <w:t>ווילס</w:t>
      </w:r>
      <w:proofErr w:type="spellEnd"/>
      <w:r>
        <w:rPr>
          <w:rFonts w:hint="cs"/>
          <w:rtl/>
          <w:lang w:val="en-US"/>
        </w:rPr>
        <w:t xml:space="preserve"> וסקוטלנד. </w:t>
      </w:r>
    </w:p>
  </w:footnote>
  <w:footnote w:id="20">
    <w:p w:rsidR="00E55106" w:rsidRPr="004A13E8" w:rsidRDefault="00E55106" w:rsidP="00731DAB">
      <w:pPr>
        <w:pStyle w:val="aa"/>
        <w:bidi w:val="0"/>
        <w:jc w:val="both"/>
        <w:rPr>
          <w:lang w:val="en-US"/>
        </w:rPr>
      </w:pPr>
      <w:r>
        <w:rPr>
          <w:rStyle w:val="ac"/>
        </w:rPr>
        <w:footnoteRef/>
      </w:r>
      <w:r>
        <w:rPr>
          <w:rtl/>
        </w:rPr>
        <w:t xml:space="preserve"> </w:t>
      </w:r>
      <w:r w:rsidRPr="00744F50">
        <w:rPr>
          <w:lang w:val="en-US"/>
        </w:rPr>
        <w:t>Constitutional Reform and Governance Act 2010</w:t>
      </w:r>
      <w:r>
        <w:rPr>
          <w:lang w:val="en-US"/>
        </w:rPr>
        <w:t>, Subsections 5(5) &amp; 5(8).</w:t>
      </w:r>
    </w:p>
  </w:footnote>
  <w:footnote w:id="21">
    <w:p w:rsidR="00E55106" w:rsidRPr="00C710CC" w:rsidRDefault="00E55106" w:rsidP="00731DAB">
      <w:pPr>
        <w:pStyle w:val="aa"/>
        <w:bidi w:val="0"/>
        <w:jc w:val="both"/>
        <w:rPr>
          <w:lang w:val="en-US"/>
        </w:rPr>
      </w:pPr>
      <w:r>
        <w:rPr>
          <w:rStyle w:val="ac"/>
        </w:rPr>
        <w:footnoteRef/>
      </w:r>
      <w:r>
        <w:rPr>
          <w:rtl/>
        </w:rPr>
        <w:t xml:space="preserve"> </w:t>
      </w:r>
      <w:r>
        <w:rPr>
          <w:lang w:val="en-US"/>
        </w:rPr>
        <w:t>Ibid, Section 6.</w:t>
      </w:r>
    </w:p>
  </w:footnote>
  <w:footnote w:id="22">
    <w:p w:rsidR="00E55106" w:rsidRPr="005A588D" w:rsidRDefault="00E55106" w:rsidP="00731DAB">
      <w:pPr>
        <w:pStyle w:val="aa"/>
        <w:bidi w:val="0"/>
        <w:jc w:val="both"/>
        <w:rPr>
          <w:lang w:val="en-US"/>
        </w:rPr>
      </w:pPr>
      <w:r>
        <w:rPr>
          <w:rStyle w:val="ac"/>
        </w:rPr>
        <w:footnoteRef/>
      </w:r>
      <w:r>
        <w:rPr>
          <w:rtl/>
        </w:rPr>
        <w:t xml:space="preserve"> </w:t>
      </w:r>
      <w:r>
        <w:rPr>
          <w:lang w:val="en-US"/>
        </w:rPr>
        <w:t>Ibid, Subsection 7(2).</w:t>
      </w:r>
    </w:p>
  </w:footnote>
  <w:footnote w:id="23">
    <w:p w:rsidR="00E55106" w:rsidRPr="005A588D" w:rsidRDefault="00E55106" w:rsidP="00731DAB">
      <w:pPr>
        <w:pStyle w:val="aa"/>
        <w:bidi w:val="0"/>
        <w:jc w:val="both"/>
        <w:rPr>
          <w:lang w:val="en-US"/>
        </w:rPr>
      </w:pPr>
      <w:r>
        <w:rPr>
          <w:rStyle w:val="ac"/>
        </w:rPr>
        <w:footnoteRef/>
      </w:r>
      <w:r>
        <w:rPr>
          <w:rtl/>
        </w:rPr>
        <w:t xml:space="preserve"> </w:t>
      </w:r>
      <w:r>
        <w:rPr>
          <w:lang w:val="en-US"/>
        </w:rPr>
        <w:t>Ibid, Subsection 7(4).</w:t>
      </w:r>
    </w:p>
  </w:footnote>
  <w:footnote w:id="24">
    <w:p w:rsidR="00E55106" w:rsidRPr="00D114BF" w:rsidRDefault="00E55106" w:rsidP="00731DAB">
      <w:pPr>
        <w:pStyle w:val="aa"/>
        <w:bidi w:val="0"/>
        <w:jc w:val="both"/>
        <w:rPr>
          <w:lang w:val="en-US"/>
        </w:rPr>
      </w:pPr>
      <w:r>
        <w:rPr>
          <w:rStyle w:val="ac"/>
        </w:rPr>
        <w:footnoteRef/>
      </w:r>
      <w:r>
        <w:rPr>
          <w:rtl/>
        </w:rPr>
        <w:t xml:space="preserve"> </w:t>
      </w:r>
      <w:r>
        <w:rPr>
          <w:lang w:val="en-US"/>
        </w:rPr>
        <w:t>Ibid, Section 15.</w:t>
      </w:r>
    </w:p>
  </w:footnote>
  <w:footnote w:id="25">
    <w:p w:rsidR="00E55106" w:rsidRPr="00D114BF" w:rsidRDefault="00E55106" w:rsidP="00731DAB">
      <w:pPr>
        <w:pStyle w:val="aa"/>
        <w:bidi w:val="0"/>
        <w:jc w:val="both"/>
        <w:rPr>
          <w:lang w:val="en-US"/>
        </w:rPr>
      </w:pPr>
      <w:r>
        <w:rPr>
          <w:rStyle w:val="ac"/>
        </w:rPr>
        <w:footnoteRef/>
      </w:r>
      <w:r>
        <w:rPr>
          <w:rtl/>
        </w:rPr>
        <w:t xml:space="preserve"> </w:t>
      </w:r>
      <w:r>
        <w:rPr>
          <w:lang w:val="en-US"/>
        </w:rPr>
        <w:t>Ibid, Subsection 8(1).</w:t>
      </w:r>
    </w:p>
  </w:footnote>
  <w:footnote w:id="26">
    <w:p w:rsidR="00E55106" w:rsidRDefault="00E55106" w:rsidP="00731DAB">
      <w:pPr>
        <w:pStyle w:val="aa"/>
        <w:bidi w:val="0"/>
        <w:jc w:val="both"/>
        <w:rPr>
          <w:lang w:val="en-US"/>
        </w:rPr>
      </w:pPr>
      <w:r>
        <w:rPr>
          <w:rStyle w:val="ac"/>
        </w:rPr>
        <w:footnoteRef/>
      </w:r>
      <w:r>
        <w:rPr>
          <w:rtl/>
        </w:rPr>
        <w:t xml:space="preserve"> </w:t>
      </w:r>
      <w:r>
        <w:rPr>
          <w:lang w:val="en-US"/>
        </w:rPr>
        <w:t>Ibid, Section 7, Subsections 8(2)-8(11).</w:t>
      </w:r>
    </w:p>
    <w:p w:rsidR="00E55106" w:rsidRPr="00D114BF" w:rsidRDefault="00E55106" w:rsidP="00731DAB">
      <w:pPr>
        <w:pStyle w:val="aa"/>
        <w:bidi w:val="0"/>
        <w:jc w:val="both"/>
        <w:rPr>
          <w:lang w:val="en-US"/>
        </w:rPr>
      </w:pPr>
      <w:r>
        <w:rPr>
          <w:lang w:val="en-US"/>
        </w:rPr>
        <w:tab/>
        <w:t xml:space="preserve">See also </w:t>
      </w:r>
      <w:r w:rsidRPr="009F3147">
        <w:rPr>
          <w:lang w:val="en-US"/>
        </w:rPr>
        <w:t xml:space="preserve">Statutory guidance - The Civil Service code (updated March 2015), available </w:t>
      </w:r>
      <w:hyperlink r:id="rId1" w:history="1">
        <w:r w:rsidRPr="009F3147">
          <w:rPr>
            <w:rStyle w:val="Hyperlink"/>
            <w:lang w:val="en-US"/>
          </w:rPr>
          <w:t>online</w:t>
        </w:r>
      </w:hyperlink>
      <w:r>
        <w:rPr>
          <w:lang w:val="en-US"/>
        </w:rPr>
        <w:t>, last entry 1.2.17.</w:t>
      </w:r>
    </w:p>
  </w:footnote>
  <w:footnote w:id="27">
    <w:p w:rsidR="00E55106" w:rsidRPr="005E393E" w:rsidRDefault="00E55106" w:rsidP="00731DAB">
      <w:pPr>
        <w:pStyle w:val="aa"/>
        <w:bidi w:val="0"/>
        <w:jc w:val="both"/>
        <w:rPr>
          <w:lang w:val="en-US"/>
        </w:rPr>
      </w:pPr>
      <w:r>
        <w:rPr>
          <w:rStyle w:val="ac"/>
        </w:rPr>
        <w:footnoteRef/>
      </w:r>
      <w:r>
        <w:rPr>
          <w:rtl/>
        </w:rPr>
        <w:t xml:space="preserve"> </w:t>
      </w:r>
      <w:r w:rsidRPr="00744F50">
        <w:rPr>
          <w:lang w:val="en-US"/>
        </w:rPr>
        <w:t>Constitutional Reform and Governance Act 2010</w:t>
      </w:r>
      <w:r>
        <w:rPr>
          <w:lang w:val="en-US"/>
        </w:rPr>
        <w:t>, Section 9.</w:t>
      </w:r>
    </w:p>
  </w:footnote>
  <w:footnote w:id="28">
    <w:p w:rsidR="00E55106" w:rsidRDefault="00E55106" w:rsidP="00E94D98">
      <w:pPr>
        <w:pStyle w:val="aa"/>
        <w:bidi w:val="0"/>
        <w:jc w:val="both"/>
        <w:rPr>
          <w:lang w:val="en-US"/>
        </w:rPr>
      </w:pPr>
      <w:r>
        <w:rPr>
          <w:rStyle w:val="ac"/>
        </w:rPr>
        <w:footnoteRef/>
      </w:r>
      <w:r>
        <w:rPr>
          <w:rtl/>
        </w:rPr>
        <w:t xml:space="preserve"> </w:t>
      </w:r>
      <w:r w:rsidRPr="00744F50">
        <w:rPr>
          <w:lang w:val="en-US"/>
        </w:rPr>
        <w:t>Constitutional Reform and Governance Act 2010</w:t>
      </w:r>
      <w:r>
        <w:rPr>
          <w:lang w:val="en-US"/>
        </w:rPr>
        <w:t>, Section 11.</w:t>
      </w:r>
    </w:p>
    <w:p w:rsidR="00E55106" w:rsidRPr="00AE1909" w:rsidRDefault="00E55106" w:rsidP="00E94D98">
      <w:pPr>
        <w:pStyle w:val="aa"/>
        <w:ind w:left="0" w:firstLine="0"/>
        <w:jc w:val="both"/>
        <w:rPr>
          <w:rtl/>
          <w:lang w:val="en-US"/>
        </w:rPr>
      </w:pPr>
      <w:r>
        <w:rPr>
          <w:rFonts w:hint="cs"/>
          <w:rtl/>
          <w:lang w:val="en-US"/>
        </w:rPr>
        <w:t>יוער כי בחוק זה גם נקבע כי גיוס עובדים לשירות הציבורי צריך להיות על בסיס קריטריון של מצוינות ובאמצעות תחרות הוגנת ופתוחה (סעיף 10 לחוק). הוראות דומות קבועות גם בסעיפים 6-1 לעקרונות (ראו לעיל).</w:t>
      </w:r>
    </w:p>
  </w:footnote>
  <w:footnote w:id="29">
    <w:p w:rsidR="00E55106" w:rsidRPr="007B3BD5" w:rsidRDefault="00E55106" w:rsidP="00E94D98">
      <w:pPr>
        <w:pStyle w:val="aa"/>
        <w:bidi w:val="0"/>
        <w:jc w:val="both"/>
        <w:rPr>
          <w:lang w:val="en-US"/>
        </w:rPr>
      </w:pPr>
      <w:r>
        <w:rPr>
          <w:rStyle w:val="ac"/>
        </w:rPr>
        <w:footnoteRef/>
      </w:r>
      <w:r>
        <w:rPr>
          <w:rtl/>
        </w:rPr>
        <w:t xml:space="preserve"> </w:t>
      </w:r>
      <w:r w:rsidRPr="007B3BD5">
        <w:t>Civil Service Commission, Recruitment Principles 2015 (April)</w:t>
      </w:r>
      <w:r>
        <w:rPr>
          <w:lang w:val="en-US"/>
        </w:rPr>
        <w:t>.</w:t>
      </w:r>
    </w:p>
  </w:footnote>
  <w:footnote w:id="30">
    <w:p w:rsidR="00E55106" w:rsidRDefault="00E55106" w:rsidP="00E94D98">
      <w:pPr>
        <w:pStyle w:val="aa"/>
        <w:jc w:val="both"/>
        <w:rPr>
          <w:rtl/>
        </w:rPr>
      </w:pPr>
      <w:r>
        <w:rPr>
          <w:rStyle w:val="ac"/>
        </w:rPr>
        <w:footnoteRef/>
      </w:r>
      <w:r>
        <w:rPr>
          <w:rtl/>
        </w:rPr>
        <w:t xml:space="preserve"> </w:t>
      </w:r>
      <w:r>
        <w:rPr>
          <w:rFonts w:hint="cs"/>
          <w:rtl/>
        </w:rPr>
        <w:t xml:space="preserve">יוער, כי גם ביחס לחברי הפאנל נקבעו הוראות שנועדו למנוע ניגודי עניינים. כך חברי הפאנל נדרשים </w:t>
      </w:r>
      <w:r w:rsidRPr="00E02122">
        <w:rPr>
          <w:rtl/>
        </w:rPr>
        <w:t xml:space="preserve">להצהיר על ניגודי עניינים, לרבות אם יש להם ידע מוקדם על מועמד כלשהו. </w:t>
      </w:r>
      <w:r w:rsidRPr="00CB3CE6">
        <w:rPr>
          <w:b/>
          <w:bCs/>
          <w:rtl/>
        </w:rPr>
        <w:t>המחלקה הממנה נדרשת בהתאם לכללי ההתנהגות שלה</w:t>
      </w:r>
      <w:r w:rsidRPr="00E02122">
        <w:rPr>
          <w:rtl/>
        </w:rPr>
        <w:t xml:space="preserve"> (</w:t>
      </w:r>
      <w:r>
        <w:rPr>
          <w:lang w:val="en-US"/>
        </w:rPr>
        <w:t>rules of conduct</w:t>
      </w:r>
      <w:r w:rsidRPr="00E02122">
        <w:rPr>
          <w:rtl/>
        </w:rPr>
        <w:t xml:space="preserve">) </w:t>
      </w:r>
      <w:r w:rsidRPr="00CB3CE6">
        <w:rPr>
          <w:b/>
          <w:bCs/>
          <w:rtl/>
        </w:rPr>
        <w:t>כיצד יש לטפל בניגוד העניינים ובכל מקרה חייב להיות תיעוד של ניגוד העניינים ודרך הטיפול שנבחרה</w:t>
      </w:r>
      <w:r w:rsidRPr="00E02122">
        <w:rPr>
          <w:rtl/>
        </w:rPr>
        <w:t>.</w:t>
      </w:r>
      <w:r>
        <w:rPr>
          <w:rFonts w:hint="cs"/>
          <w:rtl/>
        </w:rPr>
        <w:t xml:space="preserve"> להרחבה ראו:</w:t>
      </w:r>
    </w:p>
    <w:p w:rsidR="00E55106" w:rsidRPr="00E02122" w:rsidRDefault="00E55106" w:rsidP="00E94D98">
      <w:pPr>
        <w:pStyle w:val="aa"/>
        <w:bidi w:val="0"/>
        <w:jc w:val="both"/>
        <w:rPr>
          <w:lang w:val="en-US"/>
        </w:rPr>
      </w:pPr>
      <w:r>
        <w:rPr>
          <w:lang w:val="en-US"/>
        </w:rPr>
        <w:tab/>
      </w:r>
      <w:r w:rsidRPr="007B3BD5">
        <w:t>Recruitment Principles 2015</w:t>
      </w:r>
      <w:r>
        <w:rPr>
          <w:lang w:val="en-US"/>
        </w:rPr>
        <w:t>, Section 11.</w:t>
      </w:r>
    </w:p>
  </w:footnote>
  <w:footnote w:id="31">
    <w:p w:rsidR="00E55106" w:rsidRPr="007B3BD5" w:rsidRDefault="00E55106" w:rsidP="00E94D98">
      <w:pPr>
        <w:pStyle w:val="aa"/>
        <w:bidi w:val="0"/>
        <w:jc w:val="both"/>
        <w:rPr>
          <w:lang w:val="en-US"/>
        </w:rPr>
      </w:pPr>
      <w:r>
        <w:rPr>
          <w:rStyle w:val="ac"/>
        </w:rPr>
        <w:footnoteRef/>
      </w:r>
      <w:r>
        <w:rPr>
          <w:rtl/>
        </w:rPr>
        <w:t xml:space="preserve"> </w:t>
      </w:r>
      <w:r>
        <w:rPr>
          <w:lang w:val="en-US"/>
        </w:rPr>
        <w:t>Ibid, Sections 7-31.</w:t>
      </w:r>
    </w:p>
  </w:footnote>
  <w:footnote w:id="32">
    <w:p w:rsidR="00E55106" w:rsidRPr="007B3BD5" w:rsidRDefault="00E55106" w:rsidP="00E94D98">
      <w:pPr>
        <w:pStyle w:val="aa"/>
        <w:bidi w:val="0"/>
        <w:jc w:val="both"/>
        <w:rPr>
          <w:lang w:val="en-US"/>
        </w:rPr>
      </w:pPr>
      <w:r>
        <w:rPr>
          <w:rStyle w:val="ac"/>
        </w:rPr>
        <w:footnoteRef/>
      </w:r>
      <w:r>
        <w:rPr>
          <w:rtl/>
        </w:rPr>
        <w:t xml:space="preserve"> </w:t>
      </w:r>
      <w:r>
        <w:rPr>
          <w:lang w:val="en-US"/>
        </w:rPr>
        <w:t>Ibid, Sections 32-41.</w:t>
      </w:r>
    </w:p>
  </w:footnote>
  <w:footnote w:id="33">
    <w:p w:rsidR="00E55106" w:rsidRDefault="00E55106" w:rsidP="00E94D98">
      <w:pPr>
        <w:pStyle w:val="aa"/>
        <w:jc w:val="both"/>
        <w:rPr>
          <w:rtl/>
        </w:rPr>
      </w:pPr>
      <w:r>
        <w:rPr>
          <w:rStyle w:val="ac"/>
        </w:rPr>
        <w:footnoteRef/>
      </w:r>
      <w:r>
        <w:rPr>
          <w:rtl/>
        </w:rPr>
        <w:t xml:space="preserve"> </w:t>
      </w:r>
      <w:r w:rsidRPr="00F74E33">
        <w:rPr>
          <w:rtl/>
        </w:rPr>
        <w:t>בקצרה יוער, כי פאנל יכול להיות מורכב משני אנשים או יותר</w:t>
      </w:r>
      <w:r>
        <w:rPr>
          <w:rFonts w:hint="cs"/>
          <w:rtl/>
        </w:rPr>
        <w:t>, וכי</w:t>
      </w:r>
      <w:r w:rsidRPr="00F74E33">
        <w:rPr>
          <w:rtl/>
        </w:rPr>
        <w:t xml:space="preserve"> ראש הפאנל חייב להיות עובד מדינה או במשרות בכירות בידי אחד הנציבים מהנציבות</w:t>
      </w:r>
      <w:r>
        <w:rPr>
          <w:rFonts w:hint="cs"/>
          <w:rtl/>
        </w:rPr>
        <w:t>. ראו סעיפים 9-8, וכן סעיפים 47-42 לעקרונות.</w:t>
      </w:r>
    </w:p>
  </w:footnote>
  <w:footnote w:id="34">
    <w:p w:rsidR="00E55106" w:rsidRPr="00F74E33" w:rsidRDefault="00E55106" w:rsidP="00E94D98">
      <w:pPr>
        <w:pStyle w:val="aa"/>
        <w:bidi w:val="0"/>
        <w:jc w:val="both"/>
        <w:rPr>
          <w:lang w:val="en-US"/>
        </w:rPr>
      </w:pPr>
      <w:r>
        <w:rPr>
          <w:rStyle w:val="ac"/>
        </w:rPr>
        <w:footnoteRef/>
      </w:r>
      <w:r>
        <w:rPr>
          <w:rtl/>
        </w:rPr>
        <w:t xml:space="preserve"> </w:t>
      </w:r>
      <w:r w:rsidRPr="007B3BD5">
        <w:t>Recruitment Principles</w:t>
      </w:r>
      <w:r>
        <w:rPr>
          <w:lang w:val="en-US"/>
        </w:rPr>
        <w:t xml:space="preserve"> 2015, Section 32.</w:t>
      </w:r>
    </w:p>
  </w:footnote>
  <w:footnote w:id="35">
    <w:p w:rsidR="00E55106" w:rsidRPr="003D192C" w:rsidRDefault="00E55106" w:rsidP="00E94D98">
      <w:pPr>
        <w:pStyle w:val="aa"/>
        <w:bidi w:val="0"/>
        <w:jc w:val="both"/>
        <w:rPr>
          <w:lang w:val="en-US"/>
        </w:rPr>
      </w:pPr>
      <w:r>
        <w:rPr>
          <w:rStyle w:val="ac"/>
        </w:rPr>
        <w:footnoteRef/>
      </w:r>
      <w:r>
        <w:rPr>
          <w:rtl/>
        </w:rPr>
        <w:t xml:space="preserve"> </w:t>
      </w:r>
      <w:r>
        <w:rPr>
          <w:lang w:val="en-US"/>
        </w:rPr>
        <w:t>Ibid, Section 33.</w:t>
      </w:r>
    </w:p>
  </w:footnote>
  <w:footnote w:id="36">
    <w:p w:rsidR="00E55106" w:rsidRPr="006D104A" w:rsidRDefault="00E55106" w:rsidP="00E94D98">
      <w:pPr>
        <w:pStyle w:val="aa"/>
        <w:bidi w:val="0"/>
        <w:jc w:val="both"/>
        <w:rPr>
          <w:lang w:val="en-US"/>
        </w:rPr>
      </w:pPr>
      <w:r>
        <w:rPr>
          <w:rStyle w:val="ac"/>
        </w:rPr>
        <w:footnoteRef/>
      </w:r>
      <w:r>
        <w:rPr>
          <w:rtl/>
        </w:rPr>
        <w:t xml:space="preserve"> </w:t>
      </w:r>
      <w:r>
        <w:rPr>
          <w:lang w:val="en-US"/>
        </w:rPr>
        <w:t>Ibid, Section 34.</w:t>
      </w:r>
    </w:p>
  </w:footnote>
  <w:footnote w:id="37">
    <w:p w:rsidR="00E55106" w:rsidRPr="002D0399" w:rsidRDefault="00E55106" w:rsidP="00E94D98">
      <w:pPr>
        <w:pStyle w:val="aa"/>
        <w:bidi w:val="0"/>
        <w:jc w:val="both"/>
        <w:rPr>
          <w:lang w:val="en-US"/>
        </w:rPr>
      </w:pPr>
      <w:r>
        <w:rPr>
          <w:rStyle w:val="ac"/>
        </w:rPr>
        <w:footnoteRef/>
      </w:r>
      <w:r>
        <w:rPr>
          <w:rtl/>
        </w:rPr>
        <w:t xml:space="preserve"> </w:t>
      </w:r>
      <w:r>
        <w:rPr>
          <w:lang w:val="en-US"/>
        </w:rPr>
        <w:t>Ibid, Section 35.</w:t>
      </w:r>
    </w:p>
  </w:footnote>
  <w:footnote w:id="38">
    <w:p w:rsidR="00E55106" w:rsidRPr="002D0399" w:rsidRDefault="00E55106" w:rsidP="00E94D98">
      <w:pPr>
        <w:pStyle w:val="aa"/>
        <w:bidi w:val="0"/>
        <w:jc w:val="both"/>
        <w:rPr>
          <w:lang w:val="en-US"/>
        </w:rPr>
      </w:pPr>
      <w:r>
        <w:rPr>
          <w:rStyle w:val="ac"/>
        </w:rPr>
        <w:footnoteRef/>
      </w:r>
      <w:r>
        <w:rPr>
          <w:rtl/>
        </w:rPr>
        <w:t xml:space="preserve"> </w:t>
      </w:r>
      <w:r>
        <w:rPr>
          <w:lang w:val="en-US"/>
        </w:rPr>
        <w:t>Ibid, Sections 36-39.</w:t>
      </w:r>
    </w:p>
  </w:footnote>
  <w:footnote w:id="39">
    <w:p w:rsidR="00E55106" w:rsidRPr="00B001B8" w:rsidRDefault="00E55106" w:rsidP="00731DAB">
      <w:pPr>
        <w:pStyle w:val="aa"/>
        <w:bidi w:val="0"/>
        <w:jc w:val="both"/>
        <w:rPr>
          <w:lang w:val="en-US"/>
        </w:rPr>
      </w:pPr>
      <w:r>
        <w:rPr>
          <w:rStyle w:val="ac"/>
        </w:rPr>
        <w:footnoteRef/>
      </w:r>
      <w:r>
        <w:rPr>
          <w:rtl/>
        </w:rPr>
        <w:t xml:space="preserve"> </w:t>
      </w:r>
      <w:r w:rsidRPr="002A7B3D">
        <w:rPr>
          <w:lang w:val="en-US"/>
        </w:rPr>
        <w:t>Civil Service Code</w:t>
      </w:r>
      <w:r>
        <w:rPr>
          <w:lang w:val="en-US"/>
        </w:rPr>
        <w:t>.</w:t>
      </w:r>
    </w:p>
  </w:footnote>
  <w:footnote w:id="40">
    <w:p w:rsidR="00E55106" w:rsidRPr="00B52F42" w:rsidRDefault="00E55106" w:rsidP="00731DAB">
      <w:pPr>
        <w:pStyle w:val="aa"/>
        <w:bidi w:val="0"/>
        <w:jc w:val="both"/>
        <w:rPr>
          <w:lang w:val="en-US"/>
        </w:rPr>
      </w:pPr>
      <w:r>
        <w:rPr>
          <w:rStyle w:val="ac"/>
        </w:rPr>
        <w:footnoteRef/>
      </w:r>
      <w:r>
        <w:rPr>
          <w:rtl/>
        </w:rPr>
        <w:t xml:space="preserve"> </w:t>
      </w:r>
      <w:r w:rsidRPr="009F3147">
        <w:rPr>
          <w:lang w:val="en-US"/>
        </w:rPr>
        <w:t xml:space="preserve">Statutory guidance - The Civil Service code (updated March 2015), available </w:t>
      </w:r>
      <w:hyperlink r:id="rId2" w:history="1">
        <w:r w:rsidRPr="009F3147">
          <w:rPr>
            <w:rStyle w:val="Hyperlink"/>
            <w:lang w:val="en-US"/>
          </w:rPr>
          <w:t>online</w:t>
        </w:r>
      </w:hyperlink>
      <w:r>
        <w:rPr>
          <w:lang w:val="en-US"/>
        </w:rPr>
        <w:t xml:space="preserve">, last entry 1.2.17. </w:t>
      </w:r>
      <w:r w:rsidRPr="00610530">
        <w:t xml:space="preserve">Civil Service Commission, The Civil Service Code, available </w:t>
      </w:r>
      <w:hyperlink r:id="rId3" w:history="1">
        <w:r w:rsidRPr="00610530">
          <w:rPr>
            <w:rStyle w:val="Hyperlink"/>
          </w:rPr>
          <w:t>online</w:t>
        </w:r>
      </w:hyperlink>
      <w:r w:rsidRPr="00610530">
        <w:t>, last entry 1.2.17.</w:t>
      </w:r>
      <w:r>
        <w:rPr>
          <w:lang w:val="en-US"/>
        </w:rPr>
        <w:t xml:space="preserve"> </w:t>
      </w:r>
    </w:p>
  </w:footnote>
  <w:footnote w:id="41">
    <w:p w:rsidR="00E55106" w:rsidRPr="006E758C" w:rsidRDefault="00E55106" w:rsidP="00731DAB">
      <w:pPr>
        <w:pStyle w:val="aa"/>
        <w:bidi w:val="0"/>
        <w:jc w:val="both"/>
        <w:rPr>
          <w:lang w:val="en-US"/>
        </w:rPr>
      </w:pPr>
      <w:r>
        <w:rPr>
          <w:rStyle w:val="ac"/>
        </w:rPr>
        <w:footnoteRef/>
      </w:r>
      <w:r>
        <w:rPr>
          <w:rtl/>
        </w:rPr>
        <w:t xml:space="preserve"> </w:t>
      </w:r>
      <w:r w:rsidRPr="006E758C">
        <w:t>Cabinet Office, Directory of Civil Service Guidance, vol. 1 (2000)</w:t>
      </w:r>
      <w:r>
        <w:rPr>
          <w:lang w:val="en-US"/>
        </w:rPr>
        <w:t>, pp 12-13</w:t>
      </w:r>
      <w:r w:rsidRPr="006E758C">
        <w:t>.</w:t>
      </w:r>
    </w:p>
  </w:footnote>
  <w:footnote w:id="42">
    <w:p w:rsidR="00E55106" w:rsidRPr="00B52F42" w:rsidRDefault="00E55106" w:rsidP="00731DAB">
      <w:pPr>
        <w:pStyle w:val="aa"/>
        <w:jc w:val="both"/>
        <w:rPr>
          <w:rtl/>
          <w:lang w:val="en-US"/>
        </w:rPr>
      </w:pPr>
      <w:r>
        <w:rPr>
          <w:rStyle w:val="ac"/>
        </w:rPr>
        <w:footnoteRef/>
      </w:r>
      <w:r>
        <w:rPr>
          <w:rtl/>
        </w:rPr>
        <w:t xml:space="preserve"> </w:t>
      </w:r>
      <w:r>
        <w:rPr>
          <w:rFonts w:hint="cs"/>
          <w:rtl/>
          <w:lang w:val="en-US"/>
        </w:rPr>
        <w:t>חלק זה מבוסס, בין היתר, על המידע שבאתרי האינטרנט של הנציבות ושל בית הנבחרים הבריטי, ראו:</w:t>
      </w:r>
    </w:p>
    <w:p w:rsidR="00E55106" w:rsidRPr="002A7B3D" w:rsidRDefault="00E55106" w:rsidP="00731DAB">
      <w:pPr>
        <w:pStyle w:val="aa"/>
        <w:bidi w:val="0"/>
        <w:jc w:val="both"/>
      </w:pPr>
      <w:r>
        <w:tab/>
      </w:r>
      <w:r w:rsidRPr="00610530">
        <w:t xml:space="preserve">Civil Service Commission, The Civil Service Code, available </w:t>
      </w:r>
      <w:hyperlink r:id="rId4" w:history="1">
        <w:r w:rsidRPr="00610530">
          <w:rPr>
            <w:rStyle w:val="Hyperlink"/>
          </w:rPr>
          <w:t>online</w:t>
        </w:r>
      </w:hyperlink>
      <w:r w:rsidRPr="00610530">
        <w:t>, last entry 1.2.17.</w:t>
      </w:r>
      <w:r>
        <w:rPr>
          <w:lang w:val="en-US"/>
        </w:rPr>
        <w:t xml:space="preserve"> H</w:t>
      </w:r>
      <w:r w:rsidRPr="002A7B3D">
        <w:rPr>
          <w:lang w:val="en-US"/>
        </w:rPr>
        <w:t xml:space="preserve">ouse of Commons, </w:t>
      </w:r>
      <w:proofErr w:type="gramStart"/>
      <w:r w:rsidRPr="002A7B3D">
        <w:rPr>
          <w:lang w:val="en-US"/>
        </w:rPr>
        <w:t>The</w:t>
      </w:r>
      <w:proofErr w:type="gramEnd"/>
      <w:r w:rsidRPr="002A7B3D">
        <w:rPr>
          <w:lang w:val="en-US"/>
        </w:rPr>
        <w:t xml:space="preserve"> Civil Service Code - Standard Note: SN/PC/6699 (2015).</w:t>
      </w:r>
    </w:p>
  </w:footnote>
  <w:footnote w:id="43">
    <w:p w:rsidR="00E55106" w:rsidRPr="00EB4685" w:rsidRDefault="00E55106" w:rsidP="00731DAB">
      <w:pPr>
        <w:pStyle w:val="aa"/>
        <w:bidi w:val="0"/>
        <w:jc w:val="both"/>
      </w:pPr>
      <w:r>
        <w:rPr>
          <w:rStyle w:val="ac"/>
        </w:rPr>
        <w:footnoteRef/>
      </w:r>
      <w:r>
        <w:rPr>
          <w:rtl/>
        </w:rPr>
        <w:t xml:space="preserve"> </w:t>
      </w:r>
      <w:r w:rsidRPr="00610530">
        <w:t xml:space="preserve">Civil Service Commission, The Civil Service Code, available </w:t>
      </w:r>
      <w:hyperlink r:id="rId5" w:history="1">
        <w:r w:rsidRPr="00610530">
          <w:rPr>
            <w:rStyle w:val="Hyperlink"/>
          </w:rPr>
          <w:t>online</w:t>
        </w:r>
      </w:hyperlink>
      <w:r w:rsidRPr="00610530">
        <w:t>, last entry 1.2.17.</w:t>
      </w:r>
    </w:p>
  </w:footnote>
  <w:footnote w:id="44">
    <w:p w:rsidR="00E55106" w:rsidRPr="006D476A" w:rsidRDefault="00E55106" w:rsidP="00731DAB">
      <w:pPr>
        <w:pStyle w:val="aa"/>
        <w:bidi w:val="0"/>
        <w:jc w:val="both"/>
        <w:rPr>
          <w:lang w:val="en-US"/>
        </w:rPr>
      </w:pPr>
      <w:r>
        <w:rPr>
          <w:rStyle w:val="ac"/>
        </w:rPr>
        <w:footnoteRef/>
      </w:r>
      <w:r>
        <w:rPr>
          <w:rtl/>
        </w:rPr>
        <w:t xml:space="preserve"> </w:t>
      </w:r>
      <w:r w:rsidRPr="006D476A">
        <w:rPr>
          <w:lang w:val="en-US"/>
        </w:rPr>
        <w:t xml:space="preserve">Ministerial Code </w:t>
      </w:r>
      <w:r>
        <w:rPr>
          <w:lang w:val="en-US"/>
        </w:rPr>
        <w:t>(</w:t>
      </w:r>
      <w:r w:rsidRPr="006D476A">
        <w:rPr>
          <w:lang w:val="en-US"/>
        </w:rPr>
        <w:t>Cabinet Office, Dec</w:t>
      </w:r>
      <w:r>
        <w:rPr>
          <w:lang w:val="en-US"/>
        </w:rPr>
        <w:t>ember</w:t>
      </w:r>
      <w:r w:rsidRPr="006D476A">
        <w:rPr>
          <w:lang w:val="en-US"/>
        </w:rPr>
        <w:t xml:space="preserve"> 2016</w:t>
      </w:r>
      <w:r>
        <w:rPr>
          <w:lang w:val="en-US"/>
        </w:rPr>
        <w:t>)</w:t>
      </w:r>
    </w:p>
  </w:footnote>
  <w:footnote w:id="45">
    <w:p w:rsidR="00E55106" w:rsidRPr="00C2390E" w:rsidRDefault="00E55106" w:rsidP="00731DAB">
      <w:pPr>
        <w:pStyle w:val="aa"/>
        <w:bidi w:val="0"/>
        <w:jc w:val="both"/>
        <w:rPr>
          <w:lang w:val="en-US"/>
        </w:rPr>
      </w:pPr>
      <w:r>
        <w:rPr>
          <w:rStyle w:val="ac"/>
        </w:rPr>
        <w:footnoteRef/>
      </w:r>
      <w:r>
        <w:rPr>
          <w:rtl/>
        </w:rPr>
        <w:t xml:space="preserve"> </w:t>
      </w:r>
      <w:r w:rsidRPr="00C2390E">
        <w:rPr>
          <w:lang w:val="en-US"/>
        </w:rPr>
        <w:t>John Harris, Legislation for a Civil Service (The Institute for Gover</w:t>
      </w:r>
      <w:r>
        <w:rPr>
          <w:lang w:val="en-US"/>
        </w:rPr>
        <w:t>n</w:t>
      </w:r>
      <w:r w:rsidRPr="00C2390E">
        <w:rPr>
          <w:lang w:val="en-US"/>
        </w:rPr>
        <w:t>ment, 2013), page 11.</w:t>
      </w:r>
    </w:p>
  </w:footnote>
  <w:footnote w:id="46">
    <w:p w:rsidR="00E55106" w:rsidRDefault="00E55106" w:rsidP="00731DAB">
      <w:pPr>
        <w:pStyle w:val="aa"/>
        <w:bidi w:val="0"/>
        <w:jc w:val="both"/>
        <w:rPr>
          <w:lang w:val="en-US"/>
        </w:rPr>
      </w:pPr>
      <w:r>
        <w:rPr>
          <w:rStyle w:val="ac"/>
        </w:rPr>
        <w:footnoteRef/>
      </w:r>
      <w:r>
        <w:rPr>
          <w:lang w:val="en-US"/>
        </w:rPr>
        <w:t xml:space="preserve"> </w:t>
      </w:r>
      <w:r w:rsidRPr="006D476A">
        <w:rPr>
          <w:lang w:val="en-US"/>
        </w:rPr>
        <w:t>Ministerial Code</w:t>
      </w:r>
      <w:r>
        <w:rPr>
          <w:lang w:val="en-US"/>
        </w:rPr>
        <w:t>, Annex A.</w:t>
      </w:r>
    </w:p>
    <w:p w:rsidR="00E55106" w:rsidRDefault="00E55106" w:rsidP="00CB3CE6">
      <w:pPr>
        <w:pStyle w:val="aa"/>
        <w:jc w:val="both"/>
        <w:rPr>
          <w:rtl/>
          <w:lang w:val="en-US"/>
        </w:rPr>
      </w:pPr>
      <w:r>
        <w:rPr>
          <w:rFonts w:hint="cs"/>
          <w:rtl/>
          <w:lang w:val="en-US"/>
        </w:rPr>
        <w:t>להרחבה בנוגע לקוד, ההיסטוריה של הוראותיו ומעמדו, ראו:</w:t>
      </w:r>
    </w:p>
    <w:p w:rsidR="00E55106" w:rsidRPr="006D476A" w:rsidRDefault="00E55106" w:rsidP="00731DAB">
      <w:pPr>
        <w:pStyle w:val="aa"/>
        <w:bidi w:val="0"/>
        <w:jc w:val="both"/>
        <w:rPr>
          <w:lang w:val="en-US"/>
        </w:rPr>
      </w:pPr>
      <w:r>
        <w:rPr>
          <w:lang w:val="en-US"/>
        </w:rPr>
        <w:tab/>
      </w:r>
      <w:r w:rsidRPr="00716B4A">
        <w:rPr>
          <w:lang w:val="en-US"/>
        </w:rPr>
        <w:t xml:space="preserve">House of </w:t>
      </w:r>
      <w:r>
        <w:rPr>
          <w:lang w:val="en-US"/>
        </w:rPr>
        <w:t>C</w:t>
      </w:r>
      <w:r w:rsidRPr="00716B4A">
        <w:rPr>
          <w:lang w:val="en-US"/>
        </w:rPr>
        <w:t>ommons, The Ministerial Code and the Independent Adviser on Ministers’ Interests - Briefing Paper 03750 (20</w:t>
      </w:r>
      <w:r>
        <w:rPr>
          <w:lang w:val="en-US"/>
        </w:rPr>
        <w:t>17).</w:t>
      </w:r>
    </w:p>
  </w:footnote>
  <w:footnote w:id="47">
    <w:p w:rsidR="00E55106" w:rsidRPr="00084BDD" w:rsidRDefault="00E55106" w:rsidP="00731DAB">
      <w:pPr>
        <w:pStyle w:val="aa"/>
        <w:bidi w:val="0"/>
        <w:jc w:val="both"/>
        <w:rPr>
          <w:lang w:val="en-US"/>
        </w:rPr>
      </w:pPr>
      <w:r>
        <w:rPr>
          <w:rStyle w:val="ac"/>
        </w:rPr>
        <w:footnoteRef/>
      </w:r>
      <w:r>
        <w:rPr>
          <w:rtl/>
        </w:rPr>
        <w:t xml:space="preserve"> </w:t>
      </w:r>
      <w:r w:rsidRPr="006D476A">
        <w:rPr>
          <w:lang w:val="en-US"/>
        </w:rPr>
        <w:t>Ministerial Code</w:t>
      </w:r>
      <w:r>
        <w:rPr>
          <w:lang w:val="en-US"/>
        </w:rPr>
        <w:t>, Sections 2-6 &amp; 8-10.</w:t>
      </w:r>
    </w:p>
  </w:footnote>
  <w:footnote w:id="48">
    <w:p w:rsidR="00E55106" w:rsidRPr="001327AA" w:rsidRDefault="00E55106" w:rsidP="00731DAB">
      <w:pPr>
        <w:pStyle w:val="aa"/>
        <w:bidi w:val="0"/>
        <w:jc w:val="both"/>
        <w:rPr>
          <w:lang w:val="en-US"/>
        </w:rPr>
      </w:pPr>
      <w:r>
        <w:rPr>
          <w:rStyle w:val="ac"/>
        </w:rPr>
        <w:footnoteRef/>
      </w:r>
      <w:r>
        <w:rPr>
          <w:rtl/>
        </w:rPr>
        <w:t xml:space="preserve"> </w:t>
      </w:r>
      <w:r>
        <w:rPr>
          <w:lang w:val="en-US"/>
        </w:rPr>
        <w:t>Ibid, Section 7.</w:t>
      </w:r>
    </w:p>
  </w:footnote>
  <w:footnote w:id="49">
    <w:p w:rsidR="00E55106" w:rsidRPr="001327AA" w:rsidRDefault="00E55106" w:rsidP="00731DAB">
      <w:pPr>
        <w:pStyle w:val="aa"/>
        <w:bidi w:val="0"/>
        <w:jc w:val="both"/>
        <w:rPr>
          <w:lang w:val="en-US"/>
        </w:rPr>
      </w:pPr>
      <w:r>
        <w:rPr>
          <w:rStyle w:val="ac"/>
        </w:rPr>
        <w:footnoteRef/>
      </w:r>
      <w:r>
        <w:rPr>
          <w:rtl/>
        </w:rPr>
        <w:t xml:space="preserve"> </w:t>
      </w:r>
      <w:r>
        <w:rPr>
          <w:lang w:val="en-US"/>
        </w:rPr>
        <w:t>Ibid, Section 7.1: "</w:t>
      </w:r>
      <w:r w:rsidRPr="00FC5027">
        <w:rPr>
          <w:lang w:val="en-US"/>
        </w:rPr>
        <w:t>Ministers must ensure that no conflict arises, or could reasonably be perceived to arise, between their public duties and their private interests, financial or otherwise</w:t>
      </w:r>
      <w:r>
        <w:rPr>
          <w:lang w:val="en-US"/>
        </w:rPr>
        <w:t>".</w:t>
      </w:r>
    </w:p>
  </w:footnote>
  <w:footnote w:id="50">
    <w:p w:rsidR="00E55106" w:rsidRPr="00FC5027" w:rsidRDefault="00E55106" w:rsidP="00731DAB">
      <w:pPr>
        <w:pStyle w:val="aa"/>
        <w:bidi w:val="0"/>
        <w:jc w:val="both"/>
        <w:rPr>
          <w:lang w:val="en-US"/>
        </w:rPr>
      </w:pPr>
      <w:r>
        <w:rPr>
          <w:rStyle w:val="ac"/>
        </w:rPr>
        <w:footnoteRef/>
      </w:r>
      <w:r>
        <w:rPr>
          <w:rtl/>
        </w:rPr>
        <w:t xml:space="preserve"> </w:t>
      </w:r>
      <w:r>
        <w:rPr>
          <w:lang w:val="en-US"/>
        </w:rPr>
        <w:t>Ibid, Section 7.2.</w:t>
      </w:r>
    </w:p>
  </w:footnote>
  <w:footnote w:id="51">
    <w:p w:rsidR="00E55106" w:rsidRPr="00FC6AC0" w:rsidRDefault="00E55106" w:rsidP="00731DAB">
      <w:pPr>
        <w:pStyle w:val="aa"/>
        <w:bidi w:val="0"/>
        <w:jc w:val="both"/>
        <w:rPr>
          <w:lang w:val="en-US"/>
        </w:rPr>
      </w:pPr>
      <w:r>
        <w:rPr>
          <w:rStyle w:val="ac"/>
        </w:rPr>
        <w:footnoteRef/>
      </w:r>
      <w:r>
        <w:rPr>
          <w:rtl/>
        </w:rPr>
        <w:t xml:space="preserve"> </w:t>
      </w:r>
      <w:r>
        <w:rPr>
          <w:lang w:val="en-US"/>
        </w:rPr>
        <w:t>Ibid, Sections 7.3.</w:t>
      </w:r>
    </w:p>
  </w:footnote>
  <w:footnote w:id="52">
    <w:p w:rsidR="00E55106" w:rsidRDefault="00E55106" w:rsidP="00731DAB">
      <w:pPr>
        <w:pStyle w:val="aa"/>
        <w:jc w:val="both"/>
        <w:rPr>
          <w:rtl/>
        </w:rPr>
      </w:pPr>
      <w:r>
        <w:rPr>
          <w:rStyle w:val="ac"/>
        </w:rPr>
        <w:footnoteRef/>
      </w:r>
      <w:r>
        <w:rPr>
          <w:rtl/>
        </w:rPr>
        <w:t xml:space="preserve"> </w:t>
      </w:r>
      <w:r w:rsidRPr="00551677">
        <w:rPr>
          <w:rtl/>
        </w:rPr>
        <w:t xml:space="preserve">גורם עצמאי </w:t>
      </w:r>
      <w:r>
        <w:rPr>
          <w:rFonts w:hint="cs"/>
          <w:rtl/>
        </w:rPr>
        <w:t>שמתמנה בידי ראש הממשלה הבריטי וא</w:t>
      </w:r>
      <w:r w:rsidRPr="00551677">
        <w:rPr>
          <w:rtl/>
        </w:rPr>
        <w:t>ש</w:t>
      </w:r>
      <w:r>
        <w:rPr>
          <w:rFonts w:hint="cs"/>
          <w:rtl/>
        </w:rPr>
        <w:t xml:space="preserve">ר </w:t>
      </w:r>
      <w:r w:rsidRPr="00551677">
        <w:rPr>
          <w:rtl/>
        </w:rPr>
        <w:t>משמש כחוקר של הפרות לכאורה של קוד השרים</w:t>
      </w:r>
      <w:r>
        <w:rPr>
          <w:rFonts w:hint="cs"/>
          <w:rtl/>
        </w:rPr>
        <w:t>. להרחבה בנוגע לתפקיד, ההיסטוריה של סמכויותיו וכדומה, ראו:</w:t>
      </w:r>
    </w:p>
    <w:p w:rsidR="00E55106" w:rsidRPr="00551677" w:rsidRDefault="00E55106" w:rsidP="00731DAB">
      <w:pPr>
        <w:pStyle w:val="aa"/>
        <w:bidi w:val="0"/>
        <w:jc w:val="both"/>
        <w:rPr>
          <w:lang w:val="en-US"/>
        </w:rPr>
      </w:pPr>
      <w:r>
        <w:rPr>
          <w:lang w:val="en-US"/>
        </w:rPr>
        <w:tab/>
      </w:r>
      <w:r w:rsidRPr="00551677">
        <w:rPr>
          <w:lang w:val="en-US"/>
        </w:rPr>
        <w:t>House of Commons: Public Administration Select Committee, The Prime Minister's Adviser on Ministers' Interests: Independent or Not? Twenty-Second Report of Session 2010-12 (2012)</w:t>
      </w:r>
      <w:r>
        <w:rPr>
          <w:lang w:val="en-US"/>
        </w:rPr>
        <w:t>, pp 5-7</w:t>
      </w:r>
      <w:r w:rsidRPr="00551677">
        <w:rPr>
          <w:lang w:val="en-US"/>
        </w:rPr>
        <w:t>.</w:t>
      </w:r>
      <w:r>
        <w:rPr>
          <w:lang w:val="en-US"/>
        </w:rPr>
        <w:t xml:space="preserve"> </w:t>
      </w:r>
      <w:r w:rsidRPr="00716B4A">
        <w:rPr>
          <w:lang w:val="en-US"/>
        </w:rPr>
        <w:t xml:space="preserve">House of </w:t>
      </w:r>
      <w:r>
        <w:rPr>
          <w:lang w:val="en-US"/>
        </w:rPr>
        <w:t>C</w:t>
      </w:r>
      <w:r w:rsidRPr="00716B4A">
        <w:rPr>
          <w:lang w:val="en-US"/>
        </w:rPr>
        <w:t>ommons, The Ministerial Code and the Independent Adviser on Ministers’ Interests - Briefing Paper 03750 (2017), pp 13-14.</w:t>
      </w:r>
    </w:p>
  </w:footnote>
  <w:footnote w:id="53">
    <w:p w:rsidR="00E55106" w:rsidRPr="00DD71AD" w:rsidRDefault="00E55106" w:rsidP="00731DAB">
      <w:pPr>
        <w:pStyle w:val="aa"/>
        <w:bidi w:val="0"/>
        <w:jc w:val="both"/>
        <w:rPr>
          <w:lang w:val="en-US"/>
        </w:rPr>
      </w:pPr>
      <w:r>
        <w:rPr>
          <w:rStyle w:val="ac"/>
        </w:rPr>
        <w:footnoteRef/>
      </w:r>
      <w:r>
        <w:rPr>
          <w:lang w:val="en-US"/>
        </w:rPr>
        <w:t xml:space="preserve"> </w:t>
      </w:r>
      <w:r w:rsidRPr="006D476A">
        <w:rPr>
          <w:lang w:val="en-US"/>
        </w:rPr>
        <w:t>Ministerial Cod</w:t>
      </w:r>
      <w:r>
        <w:rPr>
          <w:lang w:val="en-US"/>
        </w:rPr>
        <w:t>e, Section 7.4: "</w:t>
      </w:r>
      <w:r w:rsidRPr="00DD71AD">
        <w:rPr>
          <w:lang w:val="en-US"/>
        </w:rPr>
        <w:t>Where appropriate, the Minister will meet the Permanent Secretary and the independent adviser on Ministers’ interests to agree action on the handling of interests. Ministers must record in writing what action has been taken, and provide the Permanent Secretary and the independent adviser on Ministers’ interests with a copy of that record</w:t>
      </w:r>
      <w:r>
        <w:rPr>
          <w:lang w:val="en-US"/>
        </w:rPr>
        <w:t>".</w:t>
      </w:r>
    </w:p>
  </w:footnote>
  <w:footnote w:id="54">
    <w:p w:rsidR="00E55106" w:rsidRPr="00DD71AD" w:rsidRDefault="00E55106" w:rsidP="00731DAB">
      <w:pPr>
        <w:pStyle w:val="aa"/>
        <w:bidi w:val="0"/>
        <w:jc w:val="both"/>
        <w:rPr>
          <w:lang w:val="en-US"/>
        </w:rPr>
      </w:pPr>
      <w:r>
        <w:rPr>
          <w:rStyle w:val="ac"/>
        </w:rPr>
        <w:footnoteRef/>
      </w:r>
      <w:r>
        <w:rPr>
          <w:rtl/>
        </w:rPr>
        <w:t xml:space="preserve"> </w:t>
      </w:r>
      <w:r>
        <w:rPr>
          <w:lang w:val="en-US"/>
        </w:rPr>
        <w:t>Ibid, Section 7.5.</w:t>
      </w:r>
    </w:p>
  </w:footnote>
  <w:footnote w:id="55">
    <w:p w:rsidR="00E55106" w:rsidRPr="00DD71AD" w:rsidRDefault="00E55106" w:rsidP="00731DAB">
      <w:pPr>
        <w:pStyle w:val="aa"/>
        <w:bidi w:val="0"/>
        <w:jc w:val="both"/>
        <w:rPr>
          <w:lang w:val="en-US"/>
        </w:rPr>
      </w:pPr>
      <w:r>
        <w:rPr>
          <w:rStyle w:val="ac"/>
        </w:rPr>
        <w:footnoteRef/>
      </w:r>
      <w:r>
        <w:rPr>
          <w:rtl/>
        </w:rPr>
        <w:t xml:space="preserve"> </w:t>
      </w:r>
      <w:r>
        <w:rPr>
          <w:lang w:val="en-US"/>
        </w:rPr>
        <w:t>Ibid, Section 7.6.</w:t>
      </w:r>
    </w:p>
  </w:footnote>
  <w:footnote w:id="56">
    <w:p w:rsidR="00E55106" w:rsidRPr="00D837C0" w:rsidRDefault="00E55106" w:rsidP="00731DAB">
      <w:pPr>
        <w:pStyle w:val="aa"/>
        <w:bidi w:val="0"/>
        <w:jc w:val="both"/>
        <w:rPr>
          <w:lang w:val="en-US"/>
        </w:rPr>
      </w:pPr>
      <w:r>
        <w:rPr>
          <w:rStyle w:val="ac"/>
        </w:rPr>
        <w:footnoteRef/>
      </w:r>
      <w:r>
        <w:rPr>
          <w:rtl/>
        </w:rPr>
        <w:t xml:space="preserve"> </w:t>
      </w:r>
      <w:r>
        <w:rPr>
          <w:lang w:val="en-US"/>
        </w:rPr>
        <w:t>Ibid, Section 7.7.</w:t>
      </w:r>
    </w:p>
  </w:footnote>
  <w:footnote w:id="57">
    <w:p w:rsidR="00E55106" w:rsidRPr="00D837C0" w:rsidRDefault="00E55106" w:rsidP="00731DAB">
      <w:pPr>
        <w:pStyle w:val="aa"/>
        <w:bidi w:val="0"/>
        <w:jc w:val="both"/>
        <w:rPr>
          <w:lang w:val="en-US"/>
        </w:rPr>
      </w:pPr>
      <w:r>
        <w:rPr>
          <w:rStyle w:val="ac"/>
        </w:rPr>
        <w:footnoteRef/>
      </w:r>
      <w:r>
        <w:rPr>
          <w:rtl/>
        </w:rPr>
        <w:t xml:space="preserve"> </w:t>
      </w:r>
      <w:r>
        <w:rPr>
          <w:lang w:val="en-US"/>
        </w:rPr>
        <w:t>Ibid, Sections 7.8-7.9.</w:t>
      </w:r>
    </w:p>
  </w:footnote>
  <w:footnote w:id="58">
    <w:p w:rsidR="00E55106" w:rsidRPr="00D837C0" w:rsidRDefault="00E55106" w:rsidP="00731DAB">
      <w:pPr>
        <w:pStyle w:val="aa"/>
        <w:bidi w:val="0"/>
        <w:jc w:val="both"/>
        <w:rPr>
          <w:lang w:val="en-US"/>
        </w:rPr>
      </w:pPr>
      <w:r>
        <w:rPr>
          <w:rStyle w:val="ac"/>
        </w:rPr>
        <w:footnoteRef/>
      </w:r>
      <w:r>
        <w:rPr>
          <w:rtl/>
        </w:rPr>
        <w:t xml:space="preserve"> </w:t>
      </w:r>
      <w:r>
        <w:rPr>
          <w:lang w:val="en-US"/>
        </w:rPr>
        <w:t>Ibid, Sections 7.10-7.25.</w:t>
      </w:r>
    </w:p>
  </w:footnote>
  <w:footnote w:id="59">
    <w:p w:rsidR="00E55106" w:rsidRDefault="00E55106" w:rsidP="00731DAB">
      <w:pPr>
        <w:pStyle w:val="aa"/>
        <w:bidi w:val="0"/>
        <w:jc w:val="both"/>
        <w:rPr>
          <w:lang w:val="en-US"/>
        </w:rPr>
      </w:pPr>
      <w:r>
        <w:rPr>
          <w:rStyle w:val="ac"/>
        </w:rPr>
        <w:footnoteRef/>
      </w:r>
      <w:r>
        <w:rPr>
          <w:rtl/>
        </w:rPr>
        <w:t xml:space="preserve"> </w:t>
      </w:r>
      <w:r>
        <w:rPr>
          <w:lang w:val="en-US"/>
        </w:rPr>
        <w:t>Ibid, Section 3.</w:t>
      </w:r>
    </w:p>
    <w:p w:rsidR="00E55106" w:rsidRPr="00A101A4" w:rsidRDefault="00E55106" w:rsidP="00426035">
      <w:pPr>
        <w:pStyle w:val="aa"/>
        <w:jc w:val="both"/>
        <w:rPr>
          <w:rtl/>
          <w:lang w:val="en-US"/>
        </w:rPr>
      </w:pPr>
      <w:r>
        <w:rPr>
          <w:rtl/>
          <w:lang w:val="en-US"/>
        </w:rPr>
        <w:tab/>
      </w:r>
      <w:r>
        <w:rPr>
          <w:rFonts w:hint="cs"/>
          <w:rtl/>
          <w:lang w:val="en-US"/>
        </w:rPr>
        <w:t xml:space="preserve">יועצים מיוחדים הם עובדים </w:t>
      </w:r>
      <w:r w:rsidRPr="008F2494">
        <w:rPr>
          <w:rtl/>
          <w:lang w:val="en-US"/>
        </w:rPr>
        <w:t xml:space="preserve">שנועדו לסייע </w:t>
      </w:r>
      <w:r>
        <w:rPr>
          <w:rFonts w:hint="cs"/>
          <w:rtl/>
          <w:lang w:val="en-US"/>
        </w:rPr>
        <w:t>בעבודת ה</w:t>
      </w:r>
      <w:r w:rsidRPr="008F2494">
        <w:rPr>
          <w:rtl/>
          <w:lang w:val="en-US"/>
        </w:rPr>
        <w:t xml:space="preserve">שרים בממשלה. בדרך-כלל </w:t>
      </w:r>
      <w:r>
        <w:rPr>
          <w:rFonts w:hint="cs"/>
          <w:rtl/>
          <w:lang w:val="en-US"/>
        </w:rPr>
        <w:t>ל</w:t>
      </w:r>
      <w:r w:rsidRPr="008F2494">
        <w:rPr>
          <w:rtl/>
          <w:lang w:val="en-US"/>
        </w:rPr>
        <w:t xml:space="preserve">יועצים המיוחדים </w:t>
      </w:r>
      <w:r>
        <w:rPr>
          <w:rFonts w:hint="cs"/>
          <w:rtl/>
          <w:lang w:val="en-US"/>
        </w:rPr>
        <w:t xml:space="preserve">יש </w:t>
      </w:r>
      <w:r w:rsidRPr="008F2494">
        <w:rPr>
          <w:rtl/>
          <w:lang w:val="en-US"/>
        </w:rPr>
        <w:t>ניסיון בתחומי</w:t>
      </w:r>
      <w:r>
        <w:rPr>
          <w:rFonts w:hint="cs"/>
          <w:rtl/>
          <w:lang w:val="en-US"/>
        </w:rPr>
        <w:t>ם שונים שרלוונטיים לעבודת השרים, כגון:</w:t>
      </w:r>
      <w:r w:rsidRPr="008F2494">
        <w:rPr>
          <w:rtl/>
          <w:lang w:val="en-US"/>
        </w:rPr>
        <w:t xml:space="preserve"> </w:t>
      </w:r>
      <w:r>
        <w:rPr>
          <w:rFonts w:hint="cs"/>
          <w:rtl/>
          <w:lang w:val="en-US"/>
        </w:rPr>
        <w:t>ניסיון בתחום התקשורת</w:t>
      </w:r>
      <w:r w:rsidRPr="008F2494">
        <w:rPr>
          <w:rtl/>
          <w:lang w:val="en-US"/>
        </w:rPr>
        <w:t>, הפוליטיקה</w:t>
      </w:r>
      <w:r>
        <w:rPr>
          <w:rFonts w:hint="cs"/>
          <w:rtl/>
          <w:lang w:val="en-US"/>
        </w:rPr>
        <w:t>,</w:t>
      </w:r>
      <w:r w:rsidRPr="008F2494">
        <w:rPr>
          <w:rtl/>
          <w:lang w:val="en-US"/>
        </w:rPr>
        <w:t xml:space="preserve"> המדיניות</w:t>
      </w:r>
      <w:r>
        <w:rPr>
          <w:rFonts w:hint="cs"/>
          <w:rtl/>
          <w:lang w:val="en-US"/>
        </w:rPr>
        <w:t xml:space="preserve"> הציבורית ועוד</w:t>
      </w:r>
      <w:r w:rsidRPr="008F2494">
        <w:rPr>
          <w:rtl/>
          <w:lang w:val="en-US"/>
        </w:rPr>
        <w:t>.</w:t>
      </w:r>
      <w:r>
        <w:rPr>
          <w:rFonts w:hint="cs"/>
          <w:rtl/>
          <w:lang w:val="en-US"/>
        </w:rPr>
        <w:t xml:space="preserve"> </w:t>
      </w:r>
    </w:p>
  </w:footnote>
  <w:footnote w:id="60">
    <w:p w:rsidR="00E55106" w:rsidRPr="00216007" w:rsidRDefault="00E55106" w:rsidP="00731DAB">
      <w:pPr>
        <w:pStyle w:val="aa"/>
        <w:bidi w:val="0"/>
        <w:jc w:val="both"/>
        <w:rPr>
          <w:lang w:val="en-US"/>
        </w:rPr>
      </w:pPr>
      <w:r>
        <w:rPr>
          <w:rStyle w:val="ac"/>
        </w:rPr>
        <w:footnoteRef/>
      </w:r>
      <w:r>
        <w:rPr>
          <w:rtl/>
        </w:rPr>
        <w:t xml:space="preserve"> </w:t>
      </w:r>
      <w:r>
        <w:rPr>
          <w:lang w:val="en-US"/>
        </w:rPr>
        <w:t>Civil Service commission's Recruitment Principles.</w:t>
      </w:r>
    </w:p>
  </w:footnote>
  <w:footnote w:id="61">
    <w:p w:rsidR="00E55106" w:rsidRPr="00216007" w:rsidRDefault="00E55106" w:rsidP="00731DAB">
      <w:pPr>
        <w:pStyle w:val="aa"/>
        <w:bidi w:val="0"/>
        <w:jc w:val="both"/>
        <w:rPr>
          <w:lang w:val="en-US"/>
        </w:rPr>
      </w:pPr>
      <w:r>
        <w:rPr>
          <w:rStyle w:val="ac"/>
        </w:rPr>
        <w:footnoteRef/>
      </w:r>
      <w:r>
        <w:rPr>
          <w:rtl/>
        </w:rPr>
        <w:t xml:space="preserve"> </w:t>
      </w:r>
      <w:r w:rsidRPr="006D476A">
        <w:rPr>
          <w:lang w:val="en-US"/>
        </w:rPr>
        <w:t>Ministerial Cod</w:t>
      </w:r>
      <w:r>
        <w:rPr>
          <w:lang w:val="en-US"/>
        </w:rPr>
        <w:t>e, Section 3.1.</w:t>
      </w:r>
    </w:p>
  </w:footnote>
  <w:footnote w:id="62">
    <w:p w:rsidR="00E55106" w:rsidRPr="00E3593E" w:rsidRDefault="00E55106" w:rsidP="00731DAB">
      <w:pPr>
        <w:pStyle w:val="aa"/>
        <w:bidi w:val="0"/>
        <w:jc w:val="both"/>
        <w:rPr>
          <w:lang w:val="en-US"/>
        </w:rPr>
      </w:pPr>
      <w:r>
        <w:rPr>
          <w:rStyle w:val="ac"/>
        </w:rPr>
        <w:footnoteRef/>
      </w:r>
      <w:r>
        <w:rPr>
          <w:rtl/>
        </w:rPr>
        <w:t xml:space="preserve"> </w:t>
      </w:r>
      <w:r>
        <w:rPr>
          <w:lang w:val="en-US"/>
        </w:rPr>
        <w:t>Ibid, Section 3.2.</w:t>
      </w:r>
    </w:p>
  </w:footnote>
  <w:footnote w:id="63">
    <w:p w:rsidR="00E55106" w:rsidRPr="00CE352E" w:rsidRDefault="00E55106" w:rsidP="00731DAB">
      <w:pPr>
        <w:pStyle w:val="aa"/>
        <w:bidi w:val="0"/>
        <w:jc w:val="both"/>
        <w:rPr>
          <w:lang w:val="en-US"/>
        </w:rPr>
      </w:pPr>
      <w:r>
        <w:rPr>
          <w:rStyle w:val="ac"/>
        </w:rPr>
        <w:footnoteRef/>
      </w:r>
      <w:r>
        <w:rPr>
          <w:rtl/>
        </w:rPr>
        <w:t xml:space="preserve"> </w:t>
      </w:r>
      <w:r>
        <w:rPr>
          <w:lang w:val="en-US"/>
        </w:rPr>
        <w:t>Ibid, Section 3.3.</w:t>
      </w:r>
    </w:p>
  </w:footnote>
  <w:footnote w:id="64">
    <w:p w:rsidR="00E55106" w:rsidRPr="00CE352E" w:rsidRDefault="00E55106" w:rsidP="00731DAB">
      <w:pPr>
        <w:pStyle w:val="aa"/>
        <w:bidi w:val="0"/>
        <w:jc w:val="both"/>
        <w:rPr>
          <w:lang w:val="en-US"/>
        </w:rPr>
      </w:pPr>
      <w:r>
        <w:rPr>
          <w:rStyle w:val="ac"/>
        </w:rPr>
        <w:footnoteRef/>
      </w:r>
      <w:r>
        <w:rPr>
          <w:rtl/>
        </w:rPr>
        <w:t xml:space="preserve"> </w:t>
      </w:r>
      <w:r>
        <w:rPr>
          <w:lang w:val="en-US"/>
        </w:rPr>
        <w:t>Ibid, Section 3.4.</w:t>
      </w:r>
    </w:p>
  </w:footnote>
  <w:footnote w:id="65">
    <w:p w:rsidR="00E55106" w:rsidRDefault="00E55106" w:rsidP="00426035">
      <w:pPr>
        <w:pStyle w:val="aa"/>
        <w:rPr>
          <w:rtl/>
        </w:rPr>
      </w:pPr>
      <w:r>
        <w:rPr>
          <w:rStyle w:val="ac"/>
        </w:rPr>
        <w:footnoteRef/>
      </w:r>
      <w:r>
        <w:rPr>
          <w:rtl/>
        </w:rPr>
        <w:t xml:space="preserve"> </w:t>
      </w:r>
      <w:r>
        <w:rPr>
          <w:rFonts w:hint="cs"/>
          <w:rtl/>
        </w:rPr>
        <w:t>בדומה ליועצים מיוחדים, גם מזכירים פרלמנטריים נועדו לסייע</w:t>
      </w:r>
      <w:r w:rsidRPr="008F2494">
        <w:rPr>
          <w:rtl/>
        </w:rPr>
        <w:t xml:space="preserve"> לשרים, יחד עם זאת מינויים אלה נחשבים </w:t>
      </w:r>
      <w:r>
        <w:rPr>
          <w:rFonts w:hint="cs"/>
          <w:rtl/>
        </w:rPr>
        <w:t>ל</w:t>
      </w:r>
      <w:r w:rsidRPr="008F2494">
        <w:rPr>
          <w:rtl/>
        </w:rPr>
        <w:t xml:space="preserve">מינויים בכירים יחסית </w:t>
      </w:r>
      <w:r w:rsidRPr="00426035">
        <w:rPr>
          <w:b/>
          <w:bCs/>
          <w:rtl/>
        </w:rPr>
        <w:t xml:space="preserve">ופעמים רבות נבחרים </w:t>
      </w:r>
      <w:r w:rsidRPr="00BC288D">
        <w:rPr>
          <w:b/>
          <w:bCs/>
          <w:rtl/>
        </w:rPr>
        <w:t xml:space="preserve">לתפקיד </w:t>
      </w:r>
      <w:r w:rsidRPr="00426035">
        <w:rPr>
          <w:b/>
          <w:bCs/>
          <w:rtl/>
        </w:rPr>
        <w:t>חברי פרלמנט זוטרים</w:t>
      </w:r>
      <w:r>
        <w:rPr>
          <w:rFonts w:hint="cs"/>
          <w:rtl/>
        </w:rPr>
        <w:t xml:space="preserve"> שמשמשים, לעיתים קרובות, כגורמי קשר בין השרים ובין הפרלמנט.</w:t>
      </w:r>
    </w:p>
  </w:footnote>
  <w:footnote w:id="66">
    <w:p w:rsidR="00E55106" w:rsidRPr="00CE352E" w:rsidRDefault="00E55106" w:rsidP="008F2494">
      <w:pPr>
        <w:pStyle w:val="aa"/>
        <w:bidi w:val="0"/>
        <w:jc w:val="both"/>
        <w:rPr>
          <w:lang w:val="en-US"/>
        </w:rPr>
      </w:pPr>
      <w:r>
        <w:rPr>
          <w:rStyle w:val="ac"/>
        </w:rPr>
        <w:footnoteRef/>
      </w:r>
      <w:r>
        <w:rPr>
          <w:rtl/>
        </w:rPr>
        <w:t xml:space="preserve"> </w:t>
      </w:r>
      <w:r w:rsidRPr="006D476A">
        <w:rPr>
          <w:lang w:val="en-US"/>
        </w:rPr>
        <w:t>Ministerial Cod</w:t>
      </w:r>
      <w:r>
        <w:rPr>
          <w:lang w:val="en-US"/>
        </w:rPr>
        <w:t>e, Sections 3.6-3.12.</w:t>
      </w:r>
    </w:p>
  </w:footnote>
  <w:footnote w:id="67">
    <w:p w:rsidR="00E55106" w:rsidRPr="00C838A9" w:rsidRDefault="00E55106" w:rsidP="00731DAB">
      <w:pPr>
        <w:pStyle w:val="aa"/>
        <w:bidi w:val="0"/>
        <w:jc w:val="both"/>
        <w:rPr>
          <w:lang w:val="en-US"/>
        </w:rPr>
      </w:pPr>
      <w:r>
        <w:rPr>
          <w:rStyle w:val="ac"/>
        </w:rPr>
        <w:footnoteRef/>
      </w:r>
      <w:r>
        <w:rPr>
          <w:rtl/>
        </w:rPr>
        <w:t xml:space="preserve"> </w:t>
      </w:r>
      <w:r w:rsidRPr="00F964B6">
        <w:rPr>
          <w:lang w:val="en-US"/>
        </w:rPr>
        <w:t>Code of Conduct for Special Advisers (</w:t>
      </w:r>
      <w:r w:rsidRPr="006D476A">
        <w:rPr>
          <w:lang w:val="en-US"/>
        </w:rPr>
        <w:t xml:space="preserve">Cabinet Office, </w:t>
      </w:r>
      <w:r w:rsidRPr="00F964B6">
        <w:rPr>
          <w:lang w:val="en-US"/>
        </w:rPr>
        <w:t>December 2016)</w:t>
      </w:r>
      <w:r>
        <w:rPr>
          <w:lang w:val="en-US"/>
        </w:rPr>
        <w:t>.</w:t>
      </w:r>
    </w:p>
  </w:footnote>
  <w:footnote w:id="68">
    <w:p w:rsidR="00E55106" w:rsidRPr="00C838A9" w:rsidRDefault="00E55106" w:rsidP="00731DAB">
      <w:pPr>
        <w:pStyle w:val="aa"/>
        <w:bidi w:val="0"/>
        <w:jc w:val="both"/>
        <w:rPr>
          <w:lang w:val="en-US"/>
        </w:rPr>
      </w:pPr>
      <w:r>
        <w:rPr>
          <w:rStyle w:val="ac"/>
        </w:rPr>
        <w:footnoteRef/>
      </w:r>
      <w:r>
        <w:rPr>
          <w:rtl/>
        </w:rPr>
        <w:t xml:space="preserve"> </w:t>
      </w:r>
      <w:r>
        <w:rPr>
          <w:lang w:val="en-US"/>
        </w:rPr>
        <w:t>Ibid, Section 17 &amp; Annex A.</w:t>
      </w:r>
    </w:p>
  </w:footnote>
  <w:footnote w:id="69">
    <w:p w:rsidR="00E55106" w:rsidRPr="004D30A8" w:rsidRDefault="00E55106" w:rsidP="00731DAB">
      <w:pPr>
        <w:pStyle w:val="aa"/>
        <w:bidi w:val="0"/>
        <w:jc w:val="both"/>
        <w:rPr>
          <w:lang w:val="en-US"/>
        </w:rPr>
      </w:pPr>
      <w:r>
        <w:rPr>
          <w:rStyle w:val="ac"/>
        </w:rPr>
        <w:footnoteRef/>
      </w:r>
      <w:r>
        <w:rPr>
          <w:rtl/>
        </w:rPr>
        <w:t xml:space="preserve"> </w:t>
      </w:r>
      <w:r>
        <w:rPr>
          <w:lang w:val="en-US"/>
        </w:rPr>
        <w:t>Civil Service Management Code (November 2016).</w:t>
      </w:r>
    </w:p>
  </w:footnote>
  <w:footnote w:id="70">
    <w:p w:rsidR="00E55106" w:rsidRPr="004D30A8" w:rsidRDefault="00E55106" w:rsidP="00731DAB">
      <w:pPr>
        <w:pStyle w:val="aa"/>
        <w:bidi w:val="0"/>
        <w:jc w:val="both"/>
        <w:rPr>
          <w:lang w:val="en-US"/>
        </w:rPr>
      </w:pPr>
      <w:r>
        <w:rPr>
          <w:rStyle w:val="ac"/>
        </w:rPr>
        <w:footnoteRef/>
      </w:r>
      <w:r>
        <w:rPr>
          <w:rtl/>
        </w:rPr>
        <w:t xml:space="preserve"> </w:t>
      </w:r>
      <w:r>
        <w:rPr>
          <w:lang w:val="en-US"/>
        </w:rPr>
        <w:t>Ibid, Introduction.</w:t>
      </w:r>
    </w:p>
  </w:footnote>
  <w:footnote w:id="71">
    <w:p w:rsidR="00E55106" w:rsidRPr="004D30A8" w:rsidRDefault="00E55106" w:rsidP="00731DAB">
      <w:pPr>
        <w:pStyle w:val="aa"/>
        <w:bidi w:val="0"/>
        <w:jc w:val="both"/>
        <w:rPr>
          <w:lang w:val="en-US"/>
        </w:rPr>
      </w:pPr>
      <w:r>
        <w:rPr>
          <w:rStyle w:val="ac"/>
        </w:rPr>
        <w:footnoteRef/>
      </w:r>
      <w:r>
        <w:rPr>
          <w:rtl/>
        </w:rPr>
        <w:t xml:space="preserve"> </w:t>
      </w:r>
      <w:r>
        <w:rPr>
          <w:lang w:val="en-US"/>
        </w:rPr>
        <w:t>Ibid, Section 4.1.3.</w:t>
      </w:r>
    </w:p>
  </w:footnote>
  <w:footnote w:id="72">
    <w:p w:rsidR="00E55106" w:rsidRPr="00131FAE" w:rsidRDefault="00E55106" w:rsidP="00731DAB">
      <w:pPr>
        <w:pStyle w:val="aa"/>
        <w:bidi w:val="0"/>
        <w:jc w:val="both"/>
        <w:rPr>
          <w:lang w:val="en-US"/>
        </w:rPr>
      </w:pPr>
      <w:r>
        <w:rPr>
          <w:rStyle w:val="ac"/>
        </w:rPr>
        <w:footnoteRef/>
      </w:r>
      <w:r>
        <w:rPr>
          <w:rtl/>
        </w:rPr>
        <w:t xml:space="preserve"> </w:t>
      </w:r>
      <w:r>
        <w:rPr>
          <w:lang w:val="en-US"/>
        </w:rPr>
        <w:t>Ibid, Section 4.1.3(c).</w:t>
      </w:r>
    </w:p>
  </w:footnote>
  <w:footnote w:id="73">
    <w:p w:rsidR="00E55106" w:rsidRPr="00CA3E4D" w:rsidRDefault="00E55106" w:rsidP="00731DAB">
      <w:pPr>
        <w:pStyle w:val="aa"/>
        <w:bidi w:val="0"/>
        <w:jc w:val="both"/>
        <w:rPr>
          <w:lang w:val="en-US"/>
        </w:rPr>
      </w:pPr>
      <w:r>
        <w:rPr>
          <w:rStyle w:val="ac"/>
        </w:rPr>
        <w:footnoteRef/>
      </w:r>
      <w:r>
        <w:rPr>
          <w:rtl/>
        </w:rPr>
        <w:t xml:space="preserve"> </w:t>
      </w:r>
      <w:r w:rsidRPr="00CA3E4D">
        <w:rPr>
          <w:lang w:val="en-US"/>
        </w:rPr>
        <w:t>HM Treasury, Managing public money, Sections 3.7</w:t>
      </w:r>
      <w:r>
        <w:rPr>
          <w:lang w:val="en-US"/>
        </w:rPr>
        <w:t xml:space="preserve"> (Revised version 2015).</w:t>
      </w:r>
      <w:r w:rsidRPr="00CA3E4D">
        <w:rPr>
          <w:lang w:val="en-US"/>
        </w:rPr>
        <w:t xml:space="preserve"> </w:t>
      </w:r>
    </w:p>
  </w:footnote>
  <w:footnote w:id="74">
    <w:p w:rsidR="00E55106" w:rsidRPr="00CA3E4D" w:rsidRDefault="00E55106" w:rsidP="00731DAB">
      <w:pPr>
        <w:pStyle w:val="aa"/>
        <w:bidi w:val="0"/>
        <w:jc w:val="both"/>
        <w:rPr>
          <w:lang w:val="en-US"/>
        </w:rPr>
      </w:pPr>
      <w:r>
        <w:rPr>
          <w:rStyle w:val="ac"/>
        </w:rPr>
        <w:footnoteRef/>
      </w:r>
      <w:r>
        <w:rPr>
          <w:rtl/>
        </w:rPr>
        <w:t xml:space="preserve"> </w:t>
      </w:r>
      <w:r>
        <w:rPr>
          <w:lang w:val="en-US"/>
        </w:rPr>
        <w:t>Ibid, Glossary: "</w:t>
      </w:r>
      <w:r w:rsidRPr="00157392">
        <w:rPr>
          <w:lang w:val="en-US"/>
        </w:rPr>
        <w:t xml:space="preserve">A person appointed by the Treasury or designated by a department to be accountable for the operations of an </w:t>
      </w:r>
      <w:proofErr w:type="spellStart"/>
      <w:r w:rsidRPr="00157392">
        <w:rPr>
          <w:lang w:val="en-US"/>
        </w:rPr>
        <w:t>organisation</w:t>
      </w:r>
      <w:proofErr w:type="spellEnd"/>
      <w:r w:rsidRPr="00157392">
        <w:rPr>
          <w:lang w:val="en-US"/>
        </w:rPr>
        <w:t xml:space="preserve"> and the preparation of its accounts. The appointee is the head of a department or other </w:t>
      </w:r>
      <w:proofErr w:type="spellStart"/>
      <w:r w:rsidRPr="00157392">
        <w:rPr>
          <w:lang w:val="en-US"/>
        </w:rPr>
        <w:t>organisation</w:t>
      </w:r>
      <w:proofErr w:type="spellEnd"/>
      <w:r w:rsidRPr="00157392">
        <w:rPr>
          <w:lang w:val="en-US"/>
        </w:rPr>
        <w:t xml:space="preserve"> or the Chief Executive of a non-departmental public body (NDPB) or other arms-length-body</w:t>
      </w:r>
      <w:r>
        <w:rPr>
          <w:lang w:val="en-US"/>
        </w:rPr>
        <w:t>".</w:t>
      </w:r>
    </w:p>
  </w:footnote>
  <w:footnote w:id="75">
    <w:p w:rsidR="00E55106" w:rsidRPr="00462F44" w:rsidRDefault="00E55106" w:rsidP="00731DAB">
      <w:pPr>
        <w:pStyle w:val="aa"/>
        <w:bidi w:val="0"/>
        <w:jc w:val="both"/>
        <w:rPr>
          <w:lang w:val="en-US"/>
        </w:rPr>
      </w:pPr>
      <w:r>
        <w:rPr>
          <w:rStyle w:val="ac"/>
        </w:rPr>
        <w:footnoteRef/>
      </w:r>
      <w:r>
        <w:rPr>
          <w:rtl/>
        </w:rPr>
        <w:t xml:space="preserve"> </w:t>
      </w:r>
      <w:r>
        <w:rPr>
          <w:lang w:val="en-US"/>
        </w:rPr>
        <w:t>Ibid, Section 3.7.</w:t>
      </w:r>
    </w:p>
  </w:footnote>
  <w:footnote w:id="76">
    <w:p w:rsidR="00E55106" w:rsidRPr="00ED176A" w:rsidRDefault="00E55106" w:rsidP="00731DAB">
      <w:pPr>
        <w:pStyle w:val="aa"/>
        <w:bidi w:val="0"/>
        <w:jc w:val="both"/>
        <w:rPr>
          <w:lang w:val="en-US"/>
        </w:rPr>
      </w:pPr>
      <w:r>
        <w:rPr>
          <w:rStyle w:val="ac"/>
        </w:rPr>
        <w:footnoteRef/>
      </w:r>
      <w:r>
        <w:rPr>
          <w:rtl/>
        </w:rPr>
        <w:t xml:space="preserve"> </w:t>
      </w:r>
      <w:r>
        <w:t>HM Treasury, Corporate governance in central government departments: code of good practice</w:t>
      </w:r>
      <w:r>
        <w:rPr>
          <w:lang w:val="en-US"/>
        </w:rPr>
        <w:t xml:space="preserve"> (2011).</w:t>
      </w:r>
    </w:p>
  </w:footnote>
  <w:footnote w:id="77">
    <w:p w:rsidR="00E55106" w:rsidRPr="00ED176A" w:rsidRDefault="00E55106" w:rsidP="00731DAB">
      <w:pPr>
        <w:pStyle w:val="aa"/>
        <w:bidi w:val="0"/>
        <w:jc w:val="both"/>
        <w:rPr>
          <w:lang w:val="en-US"/>
        </w:rPr>
      </w:pPr>
      <w:r>
        <w:rPr>
          <w:rStyle w:val="ac"/>
        </w:rPr>
        <w:footnoteRef/>
      </w:r>
      <w:r>
        <w:rPr>
          <w:rtl/>
        </w:rPr>
        <w:t xml:space="preserve"> </w:t>
      </w:r>
      <w:r>
        <w:rPr>
          <w:lang w:val="en-US"/>
        </w:rPr>
        <w:t>Ibid, Section 4.15.</w:t>
      </w:r>
    </w:p>
  </w:footnote>
  <w:footnote w:id="78">
    <w:p w:rsidR="00E55106" w:rsidRPr="00573F39" w:rsidRDefault="00E55106" w:rsidP="00731DAB">
      <w:pPr>
        <w:pStyle w:val="aa"/>
        <w:bidi w:val="0"/>
        <w:jc w:val="both"/>
        <w:rPr>
          <w:lang w:val="en-US"/>
        </w:rPr>
      </w:pPr>
      <w:r>
        <w:rPr>
          <w:rStyle w:val="ac"/>
        </w:rPr>
        <w:footnoteRef/>
      </w:r>
      <w:r>
        <w:rPr>
          <w:rtl/>
        </w:rPr>
        <w:t xml:space="preserve"> </w:t>
      </w:r>
      <w:r w:rsidRPr="00573F39">
        <w:rPr>
          <w:lang w:val="en-US"/>
        </w:rPr>
        <w:t>UK House of Commons, Code of Conduct for Members of Parliament (March 2015)</w:t>
      </w:r>
      <w:r>
        <w:rPr>
          <w:lang w:val="en-US"/>
        </w:rPr>
        <w:t>.</w:t>
      </w:r>
    </w:p>
  </w:footnote>
  <w:footnote w:id="79">
    <w:p w:rsidR="00E55106" w:rsidRPr="000E763F" w:rsidRDefault="00E55106" w:rsidP="00731DAB">
      <w:pPr>
        <w:pStyle w:val="aa"/>
        <w:bidi w:val="0"/>
        <w:jc w:val="both"/>
        <w:rPr>
          <w:lang w:val="en-US"/>
        </w:rPr>
      </w:pPr>
      <w:r>
        <w:rPr>
          <w:rStyle w:val="ac"/>
        </w:rPr>
        <w:footnoteRef/>
      </w:r>
      <w:r>
        <w:rPr>
          <w:rtl/>
        </w:rPr>
        <w:t xml:space="preserve"> </w:t>
      </w:r>
      <w:r w:rsidRPr="00573F39">
        <w:rPr>
          <w:szCs w:val="24"/>
        </w:rPr>
        <w:t xml:space="preserve">The Guide to the Rules relating to the Conduct of Members </w:t>
      </w:r>
      <w:r>
        <w:t>(March 2015)</w:t>
      </w:r>
      <w:r>
        <w:rPr>
          <w:lang w:val="en-US"/>
        </w:rPr>
        <w:t>.</w:t>
      </w:r>
    </w:p>
  </w:footnote>
  <w:footnote w:id="80">
    <w:p w:rsidR="00E55106" w:rsidRDefault="00E55106" w:rsidP="00731DAB">
      <w:pPr>
        <w:pStyle w:val="aa"/>
        <w:jc w:val="both"/>
        <w:rPr>
          <w:rtl/>
        </w:rPr>
      </w:pPr>
      <w:r>
        <w:rPr>
          <w:rStyle w:val="ac"/>
        </w:rPr>
        <w:footnoteRef/>
      </w:r>
      <w:r>
        <w:rPr>
          <w:rtl/>
        </w:rPr>
        <w:t xml:space="preserve"> </w:t>
      </w:r>
      <w:r>
        <w:rPr>
          <w:rFonts w:hint="cs"/>
          <w:rtl/>
        </w:rPr>
        <w:t>בניגוד לפרשנות עקרון זה בקוד השרים (שם הפרשנות הדומה היא דווקא זו של עקרון היושרה).</w:t>
      </w:r>
    </w:p>
  </w:footnote>
  <w:footnote w:id="81">
    <w:p w:rsidR="00E55106" w:rsidRPr="000E763F" w:rsidRDefault="00E55106" w:rsidP="00731DAB">
      <w:pPr>
        <w:pStyle w:val="aa"/>
        <w:bidi w:val="0"/>
        <w:jc w:val="both"/>
        <w:rPr>
          <w:lang w:val="en-US"/>
        </w:rPr>
      </w:pPr>
      <w:r>
        <w:rPr>
          <w:rStyle w:val="ac"/>
        </w:rPr>
        <w:footnoteRef/>
      </w:r>
      <w:r>
        <w:rPr>
          <w:rtl/>
        </w:rPr>
        <w:t xml:space="preserve"> </w:t>
      </w:r>
      <w:r w:rsidRPr="00573F39">
        <w:rPr>
          <w:lang w:val="en-US"/>
        </w:rPr>
        <w:t>Code of Conduct for Members of Parliament</w:t>
      </w:r>
      <w:r>
        <w:rPr>
          <w:lang w:val="en-US"/>
        </w:rPr>
        <w:t>, Section IV: "</w:t>
      </w:r>
      <w:r w:rsidRPr="000E763F">
        <w:t>Holders of public office have a duty to declare any private interests relating to their public duties and to take steps to resolve any conflicts arising in a way that protects the public interest</w:t>
      </w:r>
      <w:r>
        <w:rPr>
          <w:lang w:val="en-US"/>
        </w:rPr>
        <w:t>".</w:t>
      </w:r>
    </w:p>
  </w:footnote>
  <w:footnote w:id="82">
    <w:p w:rsidR="00E55106" w:rsidRPr="004E43D1" w:rsidRDefault="00E55106" w:rsidP="00731DAB">
      <w:pPr>
        <w:pStyle w:val="aa"/>
        <w:bidi w:val="0"/>
        <w:jc w:val="both"/>
        <w:rPr>
          <w:lang w:val="en-US"/>
        </w:rPr>
      </w:pPr>
      <w:r>
        <w:rPr>
          <w:rStyle w:val="ac"/>
        </w:rPr>
        <w:footnoteRef/>
      </w:r>
      <w:r>
        <w:rPr>
          <w:rtl/>
        </w:rPr>
        <w:t xml:space="preserve"> </w:t>
      </w:r>
      <w:r>
        <w:rPr>
          <w:lang w:val="en-US"/>
        </w:rPr>
        <w:t>Ibid, Section V.</w:t>
      </w:r>
    </w:p>
  </w:footnote>
  <w:footnote w:id="83">
    <w:p w:rsidR="00E55106" w:rsidRPr="00772210" w:rsidRDefault="00E55106" w:rsidP="00731DAB">
      <w:pPr>
        <w:pStyle w:val="aa"/>
        <w:bidi w:val="0"/>
        <w:jc w:val="both"/>
        <w:rPr>
          <w:lang w:val="en-US"/>
        </w:rPr>
      </w:pPr>
      <w:r>
        <w:rPr>
          <w:rStyle w:val="ac"/>
        </w:rPr>
        <w:footnoteRef/>
      </w:r>
      <w:r>
        <w:rPr>
          <w:rtl/>
        </w:rPr>
        <w:t xml:space="preserve"> </w:t>
      </w:r>
      <w:r>
        <w:rPr>
          <w:lang w:val="en-US"/>
        </w:rPr>
        <w:t xml:space="preserve">Ibid, </w:t>
      </w:r>
      <w:r w:rsidRPr="00772210">
        <w:rPr>
          <w:lang w:val="en-US"/>
        </w:rPr>
        <w:t xml:space="preserve">Paragraph </w:t>
      </w:r>
      <w:r>
        <w:rPr>
          <w:lang w:val="en-US"/>
        </w:rPr>
        <w:t>10.</w:t>
      </w:r>
    </w:p>
  </w:footnote>
  <w:footnote w:id="84">
    <w:p w:rsidR="00E55106" w:rsidRPr="00772210" w:rsidRDefault="00E55106" w:rsidP="00731DAB">
      <w:pPr>
        <w:pStyle w:val="aa"/>
        <w:bidi w:val="0"/>
        <w:jc w:val="both"/>
        <w:rPr>
          <w:lang w:val="en-US"/>
        </w:rPr>
      </w:pPr>
      <w:r>
        <w:rPr>
          <w:rStyle w:val="ac"/>
        </w:rPr>
        <w:footnoteRef/>
      </w:r>
      <w:r>
        <w:rPr>
          <w:rtl/>
        </w:rPr>
        <w:t xml:space="preserve"> </w:t>
      </w:r>
      <w:r>
        <w:rPr>
          <w:lang w:val="en-US"/>
        </w:rPr>
        <w:t>Ibid, Paragraph 13.</w:t>
      </w:r>
    </w:p>
  </w:footnote>
  <w:footnote w:id="85">
    <w:p w:rsidR="00E55106" w:rsidRPr="005D2498" w:rsidRDefault="00E55106" w:rsidP="00731DAB">
      <w:pPr>
        <w:pStyle w:val="aa"/>
        <w:bidi w:val="0"/>
        <w:jc w:val="both"/>
        <w:rPr>
          <w:lang w:val="en-US"/>
        </w:rPr>
      </w:pPr>
      <w:r>
        <w:rPr>
          <w:rStyle w:val="ac"/>
        </w:rPr>
        <w:footnoteRef/>
      </w:r>
      <w:r>
        <w:rPr>
          <w:rtl/>
        </w:rPr>
        <w:t xml:space="preserve"> </w:t>
      </w:r>
      <w:r w:rsidRPr="00573F39">
        <w:rPr>
          <w:szCs w:val="24"/>
        </w:rPr>
        <w:t>The Guide to the Rules relating to the Conduct of Members</w:t>
      </w:r>
      <w:r>
        <w:rPr>
          <w:lang w:val="en-US"/>
        </w:rPr>
        <w:t xml:space="preserve">, page 15. </w:t>
      </w:r>
    </w:p>
  </w:footnote>
  <w:footnote w:id="86">
    <w:p w:rsidR="00E55106" w:rsidRPr="002A3A91" w:rsidRDefault="00E55106" w:rsidP="00731DAB">
      <w:pPr>
        <w:pStyle w:val="aa"/>
        <w:bidi w:val="0"/>
        <w:jc w:val="both"/>
        <w:rPr>
          <w:lang w:val="en-US"/>
        </w:rPr>
      </w:pPr>
      <w:r>
        <w:rPr>
          <w:rStyle w:val="ac"/>
        </w:rPr>
        <w:footnoteRef/>
      </w:r>
      <w:r>
        <w:rPr>
          <w:rtl/>
        </w:rPr>
        <w:t xml:space="preserve"> </w:t>
      </w:r>
      <w:r>
        <w:rPr>
          <w:lang w:val="en-US"/>
        </w:rPr>
        <w:t>Ibid, chapter 1, pp 15-18.</w:t>
      </w:r>
    </w:p>
  </w:footnote>
  <w:footnote w:id="87">
    <w:p w:rsidR="00E55106" w:rsidRPr="00CD776D" w:rsidRDefault="00E55106" w:rsidP="00731DAB">
      <w:pPr>
        <w:pStyle w:val="aa"/>
        <w:bidi w:val="0"/>
        <w:jc w:val="both"/>
        <w:rPr>
          <w:lang w:val="en-US"/>
        </w:rPr>
      </w:pPr>
      <w:r>
        <w:rPr>
          <w:rStyle w:val="ac"/>
        </w:rPr>
        <w:footnoteRef/>
      </w:r>
      <w:r>
        <w:rPr>
          <w:rtl/>
        </w:rPr>
        <w:t xml:space="preserve"> </w:t>
      </w:r>
      <w:r>
        <w:rPr>
          <w:lang w:val="en-US"/>
        </w:rPr>
        <w:t>Ibid, para 6.</w:t>
      </w:r>
    </w:p>
  </w:footnote>
  <w:footnote w:id="88">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Ibid, para 8.</w:t>
      </w:r>
    </w:p>
  </w:footnote>
  <w:footnote w:id="89">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 xml:space="preserve">Ibid, </w:t>
      </w:r>
      <w:r w:rsidRPr="00CB3CE6">
        <w:rPr>
          <w:lang w:val="es-ES"/>
        </w:rPr>
        <w:t>para 7.</w:t>
      </w:r>
    </w:p>
  </w:footnote>
  <w:footnote w:id="90">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Ibid, para 14.</w:t>
      </w:r>
    </w:p>
  </w:footnote>
  <w:footnote w:id="91">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Ibid, para 15-16.</w:t>
      </w:r>
    </w:p>
  </w:footnote>
  <w:footnote w:id="92">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Ibid, para 18.</w:t>
      </w:r>
    </w:p>
  </w:footnote>
  <w:footnote w:id="93">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 xml:space="preserve">Ibid, </w:t>
      </w:r>
      <w:r w:rsidRPr="00CB3CE6">
        <w:rPr>
          <w:lang w:val="es-ES"/>
        </w:rPr>
        <w:t>para 17.</w:t>
      </w:r>
    </w:p>
  </w:footnote>
  <w:footnote w:id="94">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 xml:space="preserve">Ibid, </w:t>
      </w:r>
      <w:r w:rsidRPr="00CB3CE6">
        <w:rPr>
          <w:lang w:val="es-ES"/>
        </w:rPr>
        <w:t>para 22.</w:t>
      </w:r>
    </w:p>
  </w:footnote>
  <w:footnote w:id="95">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 xml:space="preserve">Ibid, </w:t>
      </w:r>
      <w:r w:rsidRPr="00CB3CE6">
        <w:rPr>
          <w:lang w:val="es-ES"/>
        </w:rPr>
        <w:t>para 25.</w:t>
      </w:r>
    </w:p>
  </w:footnote>
  <w:footnote w:id="96">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 xml:space="preserve">Ibid, </w:t>
      </w:r>
      <w:r w:rsidRPr="00CB3CE6">
        <w:rPr>
          <w:lang w:val="es-ES"/>
        </w:rPr>
        <w:t>para 23.</w:t>
      </w:r>
    </w:p>
  </w:footnote>
  <w:footnote w:id="97">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 xml:space="preserve">Ibid, </w:t>
      </w:r>
      <w:r w:rsidRPr="00CB3CE6">
        <w:rPr>
          <w:lang w:val="es-ES"/>
        </w:rPr>
        <w:t>para 27.</w:t>
      </w:r>
    </w:p>
  </w:footnote>
  <w:footnote w:id="98">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 xml:space="preserve">Ibid, </w:t>
      </w:r>
      <w:r w:rsidRPr="00CB3CE6">
        <w:rPr>
          <w:lang w:val="es-ES"/>
        </w:rPr>
        <w:t>para 31.</w:t>
      </w:r>
    </w:p>
  </w:footnote>
  <w:footnote w:id="99">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 xml:space="preserve">Ibid, </w:t>
      </w:r>
      <w:r w:rsidRPr="00CB3CE6">
        <w:rPr>
          <w:lang w:val="es-ES"/>
        </w:rPr>
        <w:t>para 35.</w:t>
      </w:r>
    </w:p>
  </w:footnote>
  <w:footnote w:id="100">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 xml:space="preserve">Ibid, </w:t>
      </w:r>
      <w:r w:rsidRPr="00CB3CE6">
        <w:rPr>
          <w:lang w:val="es-ES"/>
        </w:rPr>
        <w:t>para 33.</w:t>
      </w:r>
    </w:p>
  </w:footnote>
  <w:footnote w:id="101">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 xml:space="preserve">Ibid, </w:t>
      </w:r>
      <w:r w:rsidRPr="00CB3CE6">
        <w:rPr>
          <w:lang w:val="es-ES"/>
        </w:rPr>
        <w:t>paras 39-46.</w:t>
      </w:r>
    </w:p>
  </w:footnote>
  <w:footnote w:id="102">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 xml:space="preserve">Ibid, </w:t>
      </w:r>
      <w:r w:rsidRPr="00CB3CE6">
        <w:rPr>
          <w:lang w:val="es-ES"/>
        </w:rPr>
        <w:t>para 47.</w:t>
      </w:r>
    </w:p>
  </w:footnote>
  <w:footnote w:id="103">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 xml:space="preserve">Ibid, </w:t>
      </w:r>
      <w:r w:rsidRPr="00CB3CE6">
        <w:rPr>
          <w:lang w:val="es-ES"/>
        </w:rPr>
        <w:t>para 49.</w:t>
      </w:r>
    </w:p>
  </w:footnote>
  <w:footnote w:id="104">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 xml:space="preserve">Ibid, </w:t>
      </w:r>
      <w:r w:rsidRPr="00CB3CE6">
        <w:rPr>
          <w:lang w:val="es-ES"/>
        </w:rPr>
        <w:t>para 48.</w:t>
      </w:r>
    </w:p>
  </w:footnote>
  <w:footnote w:id="105">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 xml:space="preserve">Ibid, </w:t>
      </w:r>
      <w:r w:rsidRPr="00CB3CE6">
        <w:rPr>
          <w:lang w:val="es-ES"/>
        </w:rPr>
        <w:t>para 51.</w:t>
      </w:r>
    </w:p>
  </w:footnote>
  <w:footnote w:id="106">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 xml:space="preserve">Ibid, </w:t>
      </w:r>
      <w:r w:rsidRPr="00CB3CE6">
        <w:rPr>
          <w:lang w:val="es-ES"/>
        </w:rPr>
        <w:t>para 53.</w:t>
      </w:r>
    </w:p>
  </w:footnote>
  <w:footnote w:id="107">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 xml:space="preserve">Ibid, </w:t>
      </w:r>
      <w:r w:rsidRPr="00CB3CE6">
        <w:rPr>
          <w:lang w:val="es-ES"/>
        </w:rPr>
        <w:t>para 52.</w:t>
      </w:r>
    </w:p>
  </w:footnote>
  <w:footnote w:id="108">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Ibid, paras 55-56.</w:t>
      </w:r>
    </w:p>
  </w:footnote>
  <w:footnote w:id="109">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Ibid, para 57.</w:t>
      </w:r>
    </w:p>
  </w:footnote>
  <w:footnote w:id="110">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Ibid, para 58.</w:t>
      </w:r>
    </w:p>
  </w:footnote>
  <w:footnote w:id="111">
    <w:p w:rsidR="00E55106" w:rsidRPr="00CB3CE6" w:rsidRDefault="00E55106" w:rsidP="00731DAB">
      <w:pPr>
        <w:pStyle w:val="aa"/>
        <w:bidi w:val="0"/>
        <w:jc w:val="both"/>
        <w:rPr>
          <w:lang w:val="es-ES"/>
        </w:rPr>
      </w:pPr>
      <w:r>
        <w:rPr>
          <w:rStyle w:val="ac"/>
        </w:rPr>
        <w:footnoteRef/>
      </w:r>
      <w:r>
        <w:rPr>
          <w:rtl/>
        </w:rPr>
        <w:t xml:space="preserve"> </w:t>
      </w:r>
      <w:r w:rsidRPr="00CB3CE6">
        <w:rPr>
          <w:lang w:val="es-ES"/>
        </w:rPr>
        <w:t xml:space="preserve">Ibid, </w:t>
      </w:r>
      <w:r w:rsidRPr="00CB3CE6">
        <w:rPr>
          <w:lang w:val="es-ES"/>
        </w:rPr>
        <w:t>para 60.</w:t>
      </w:r>
    </w:p>
  </w:footnote>
  <w:footnote w:id="112">
    <w:p w:rsidR="00E55106" w:rsidRPr="006D5160" w:rsidRDefault="00E55106" w:rsidP="00731DAB">
      <w:pPr>
        <w:pStyle w:val="aa"/>
        <w:bidi w:val="0"/>
        <w:jc w:val="both"/>
        <w:rPr>
          <w:lang w:val="en-US"/>
        </w:rPr>
      </w:pPr>
      <w:r>
        <w:rPr>
          <w:rStyle w:val="ac"/>
        </w:rPr>
        <w:footnoteRef/>
      </w:r>
      <w:r>
        <w:rPr>
          <w:rtl/>
        </w:rPr>
        <w:t xml:space="preserve"> </w:t>
      </w:r>
      <w:r>
        <w:rPr>
          <w:lang w:val="en-US"/>
        </w:rPr>
        <w:t>Ibid, para 61.</w:t>
      </w:r>
    </w:p>
  </w:footnote>
  <w:footnote w:id="113">
    <w:p w:rsidR="00E55106" w:rsidRPr="00BE0E69" w:rsidRDefault="00E55106" w:rsidP="00731DAB">
      <w:pPr>
        <w:pStyle w:val="aa"/>
        <w:bidi w:val="0"/>
        <w:jc w:val="both"/>
        <w:rPr>
          <w:lang w:val="en-US"/>
        </w:rPr>
      </w:pPr>
      <w:r>
        <w:rPr>
          <w:rStyle w:val="ac"/>
        </w:rPr>
        <w:footnoteRef/>
      </w:r>
      <w:r>
        <w:rPr>
          <w:szCs w:val="24"/>
          <w:lang w:val="en-US"/>
        </w:rPr>
        <w:t xml:space="preserve"> </w:t>
      </w:r>
      <w:proofErr w:type="spellStart"/>
      <w:r>
        <w:rPr>
          <w:szCs w:val="24"/>
          <w:lang w:val="en-US"/>
        </w:rPr>
        <w:t>T</w:t>
      </w:r>
      <w:r w:rsidRPr="00573F39">
        <w:rPr>
          <w:szCs w:val="24"/>
        </w:rPr>
        <w:t>he</w:t>
      </w:r>
      <w:proofErr w:type="spellEnd"/>
      <w:r w:rsidRPr="00573F39">
        <w:rPr>
          <w:szCs w:val="24"/>
        </w:rPr>
        <w:t xml:space="preserve"> Guide to the Rules relating to the Conduct of Members</w:t>
      </w:r>
      <w:r>
        <w:rPr>
          <w:lang w:val="en-US"/>
        </w:rPr>
        <w:t xml:space="preserve">, chapter 2. </w:t>
      </w:r>
      <w:r w:rsidRPr="00573F39">
        <w:rPr>
          <w:lang w:val="en-US"/>
        </w:rPr>
        <w:t>Code of Conduct for Members of Parliament</w:t>
      </w:r>
      <w:r>
        <w:rPr>
          <w:lang w:val="en-US"/>
        </w:rPr>
        <w:t xml:space="preserve">, para 13. </w:t>
      </w:r>
      <w:r>
        <w:rPr>
          <w:rtl/>
        </w:rPr>
        <w:t xml:space="preserve"> </w:t>
      </w:r>
    </w:p>
  </w:footnote>
  <w:footnote w:id="114">
    <w:p w:rsidR="00E55106" w:rsidRPr="00BE0E69" w:rsidRDefault="00E55106" w:rsidP="00731DAB">
      <w:pPr>
        <w:pStyle w:val="aa"/>
        <w:bidi w:val="0"/>
        <w:jc w:val="both"/>
        <w:rPr>
          <w:lang w:val="en-US"/>
        </w:rPr>
      </w:pPr>
      <w:r>
        <w:rPr>
          <w:rStyle w:val="ac"/>
        </w:rPr>
        <w:footnoteRef/>
      </w:r>
      <w:proofErr w:type="spellStart"/>
      <w:r>
        <w:rPr>
          <w:lang w:val="en-US"/>
        </w:rPr>
        <w:t>T</w:t>
      </w:r>
      <w:r w:rsidRPr="00573F39">
        <w:rPr>
          <w:szCs w:val="24"/>
        </w:rPr>
        <w:t>he</w:t>
      </w:r>
      <w:proofErr w:type="spellEnd"/>
      <w:r w:rsidRPr="00573F39">
        <w:rPr>
          <w:szCs w:val="24"/>
        </w:rPr>
        <w:t xml:space="preserve"> Guide to the Rules relating to the Conduct of Members</w:t>
      </w:r>
      <w:r>
        <w:rPr>
          <w:lang w:val="en-US"/>
        </w:rPr>
        <w:t>, chapter 2, para 3.</w:t>
      </w:r>
    </w:p>
  </w:footnote>
  <w:footnote w:id="115">
    <w:p w:rsidR="00E55106" w:rsidRPr="00BE0E69" w:rsidRDefault="00E55106" w:rsidP="00731DAB">
      <w:pPr>
        <w:pStyle w:val="aa"/>
        <w:bidi w:val="0"/>
        <w:jc w:val="both"/>
        <w:rPr>
          <w:lang w:val="en-US"/>
        </w:rPr>
      </w:pPr>
      <w:r>
        <w:rPr>
          <w:rStyle w:val="ac"/>
        </w:rPr>
        <w:footnoteRef/>
      </w:r>
      <w:r>
        <w:rPr>
          <w:rtl/>
        </w:rPr>
        <w:t xml:space="preserve"> </w:t>
      </w:r>
      <w:r w:rsidRPr="00573F39">
        <w:rPr>
          <w:lang w:val="en-US"/>
        </w:rPr>
        <w:t>Code of Conduct for Members of Parliament</w:t>
      </w:r>
      <w:r>
        <w:rPr>
          <w:lang w:val="en-US"/>
        </w:rPr>
        <w:t xml:space="preserve">, para 17. </w:t>
      </w:r>
      <w:r w:rsidRPr="00BE0E69">
        <w:rPr>
          <w:lang w:val="en-US"/>
        </w:rPr>
        <w:t>Standing Orders N</w:t>
      </w:r>
      <w:r>
        <w:rPr>
          <w:lang w:val="en-US"/>
        </w:rPr>
        <w:t>umber</w:t>
      </w:r>
      <w:r w:rsidRPr="00BE0E69">
        <w:rPr>
          <w:lang w:val="en-US"/>
        </w:rPr>
        <w:t xml:space="preserve"> 149 and 150</w:t>
      </w:r>
      <w:r>
        <w:rPr>
          <w:lang w:val="en-US"/>
        </w:rPr>
        <w:t>.</w:t>
      </w:r>
    </w:p>
  </w:footnote>
  <w:footnote w:id="116">
    <w:p w:rsidR="00E55106" w:rsidRPr="00BE0E69" w:rsidRDefault="00E55106" w:rsidP="00731DAB">
      <w:pPr>
        <w:pStyle w:val="aa"/>
        <w:bidi w:val="0"/>
        <w:jc w:val="both"/>
        <w:rPr>
          <w:lang w:val="en-US"/>
        </w:rPr>
      </w:pPr>
      <w:r>
        <w:rPr>
          <w:rStyle w:val="ac"/>
        </w:rPr>
        <w:footnoteRef/>
      </w:r>
      <w:r>
        <w:rPr>
          <w:rtl/>
        </w:rPr>
        <w:t xml:space="preserve"> </w:t>
      </w:r>
      <w:r w:rsidRPr="00573F39">
        <w:rPr>
          <w:lang w:val="en-US"/>
        </w:rPr>
        <w:t>Code of Conduct for Members of Parliament</w:t>
      </w:r>
      <w:r>
        <w:rPr>
          <w:lang w:val="en-US"/>
        </w:rPr>
        <w:t>, paras 17-19.</w:t>
      </w:r>
    </w:p>
  </w:footnote>
  <w:footnote w:id="117">
    <w:p w:rsidR="00E55106" w:rsidRDefault="00E55106" w:rsidP="00731DAB">
      <w:pPr>
        <w:pStyle w:val="aa"/>
        <w:jc w:val="both"/>
        <w:rPr>
          <w:rtl/>
        </w:rPr>
      </w:pPr>
      <w:r>
        <w:rPr>
          <w:rStyle w:val="ac"/>
        </w:rPr>
        <w:footnoteRef/>
      </w:r>
      <w:r>
        <w:rPr>
          <w:rtl/>
        </w:rPr>
        <w:t xml:space="preserve"> </w:t>
      </w:r>
      <w:r>
        <w:rPr>
          <w:rFonts w:hint="cs"/>
          <w:rtl/>
        </w:rPr>
        <w:t>להרחבה, ראו:</w:t>
      </w:r>
    </w:p>
    <w:p w:rsidR="00E55106" w:rsidRPr="00670BFF" w:rsidRDefault="00E55106" w:rsidP="00731DAB">
      <w:pPr>
        <w:pStyle w:val="aa"/>
        <w:bidi w:val="0"/>
        <w:jc w:val="both"/>
        <w:rPr>
          <w:lang w:val="en-US"/>
        </w:rPr>
      </w:pPr>
      <w:r>
        <w:rPr>
          <w:lang w:val="en-US"/>
        </w:rPr>
        <w:tab/>
      </w:r>
      <w:r w:rsidRPr="00670BFF">
        <w:rPr>
          <w:lang w:val="en-US"/>
        </w:rPr>
        <w:t>Code of Conduct for Members of the House of Lords (4th edition, May 2015).</w:t>
      </w:r>
      <w:r>
        <w:rPr>
          <w:lang w:val="en-US"/>
        </w:rPr>
        <w:t xml:space="preserve"> </w:t>
      </w:r>
      <w:r w:rsidRPr="0074146B">
        <w:rPr>
          <w:lang w:val="en-US"/>
        </w:rPr>
        <w:t>Guide to the Code of Conduct Code of Conduct for House of Lords Members’ Staff (May 2015)</w:t>
      </w:r>
      <w:r>
        <w:rPr>
          <w:lang w:val="en-US"/>
        </w:rPr>
        <w:t>.</w:t>
      </w:r>
    </w:p>
  </w:footnote>
  <w:footnote w:id="118">
    <w:p w:rsidR="00E55106" w:rsidRPr="008D0997" w:rsidRDefault="00E55106" w:rsidP="008D0997">
      <w:pPr>
        <w:pStyle w:val="aa"/>
        <w:rPr>
          <w:rtl/>
        </w:rPr>
      </w:pPr>
      <w:r>
        <w:rPr>
          <w:rStyle w:val="ac"/>
        </w:rPr>
        <w:footnoteRef/>
      </w:r>
      <w:r>
        <w:rPr>
          <w:rtl/>
        </w:rPr>
        <w:t xml:space="preserve"> </w:t>
      </w:r>
      <w:r>
        <w:rPr>
          <w:rtl/>
        </w:rPr>
        <w:tab/>
      </w:r>
      <w:r>
        <w:rPr>
          <w:rFonts w:hint="cs"/>
          <w:rtl/>
        </w:rPr>
        <w:t xml:space="preserve">חלק זה מבוסס בין השאר על אתר האינטרנט של הפרלמנט של אוסטרליה בקישור: </w:t>
      </w:r>
      <w:hyperlink r:id="rId6" w:history="1">
        <w:r w:rsidRPr="008D0997">
          <w:rPr>
            <w:rStyle w:val="Hyperlink"/>
          </w:rPr>
          <w:t>Register of Members' Interests</w:t>
        </w:r>
      </w:hyperlink>
      <w:r>
        <w:rPr>
          <w:rFonts w:hint="cs"/>
          <w:rtl/>
        </w:rPr>
        <w:t>,</w:t>
      </w:r>
    </w:p>
    <w:p w:rsidR="00E55106" w:rsidRDefault="00E55106" w:rsidP="00893181">
      <w:pPr>
        <w:pStyle w:val="aa"/>
        <w:rPr>
          <w:rtl/>
        </w:rPr>
      </w:pPr>
      <w:r>
        <w:rPr>
          <w:rtl/>
        </w:rPr>
        <w:tab/>
      </w:r>
      <w:r>
        <w:rPr>
          <w:rFonts w:hint="cs"/>
          <w:rtl/>
        </w:rPr>
        <w:t xml:space="preserve">וכן על ספר המכונה "הפרקטיקה של בית-הנבחרים" </w:t>
      </w:r>
      <w:r>
        <w:rPr>
          <w:rtl/>
        </w:rPr>
        <w:t>–</w:t>
      </w:r>
      <w:r>
        <w:rPr>
          <w:rFonts w:hint="cs"/>
          <w:rtl/>
        </w:rPr>
        <w:t xml:space="preserve"> חיבור מקיף ומוסמך על נהלי העבודה והפרוצדורות הנהוגות בבית-הנבחרים המופיע באתר האינטרנט של הפרלמנט (להלן: </w:t>
      </w:r>
      <w:r>
        <w:rPr>
          <w:rFonts w:hint="cs"/>
          <w:b/>
          <w:bCs/>
          <w:rtl/>
        </w:rPr>
        <w:t xml:space="preserve">ספר הפרקטיקה של בית-הנבחרים </w:t>
      </w:r>
      <w:r w:rsidRPr="008521A6">
        <w:rPr>
          <w:rFonts w:hint="cs"/>
          <w:rtl/>
        </w:rPr>
        <w:t xml:space="preserve">או </w:t>
      </w:r>
      <w:r w:rsidRPr="008521A6">
        <w:rPr>
          <w:b/>
          <w:bCs/>
          <w:lang w:val="en-US"/>
        </w:rPr>
        <w:t>Practice</w:t>
      </w:r>
      <w:r>
        <w:rPr>
          <w:rFonts w:hint="cs"/>
          <w:rtl/>
        </w:rPr>
        <w:t>):</w:t>
      </w:r>
    </w:p>
    <w:p w:rsidR="00E55106" w:rsidRPr="00226A7B" w:rsidRDefault="00E55106" w:rsidP="003E2A03">
      <w:pPr>
        <w:pStyle w:val="aa"/>
        <w:bidi w:val="0"/>
        <w:rPr>
          <w:lang w:val="en-US"/>
        </w:rPr>
      </w:pPr>
      <w:r>
        <w:rPr>
          <w:lang w:val="en-US"/>
        </w:rPr>
        <w:tab/>
      </w:r>
      <w:hyperlink r:id="rId7" w:history="1">
        <w:r w:rsidRPr="003E2A03">
          <w:rPr>
            <w:rStyle w:val="Hyperlink"/>
            <w:i/>
            <w:iCs/>
            <w:lang w:val="en-US"/>
          </w:rPr>
          <w:t>House of Representatives Practice</w:t>
        </w:r>
      </w:hyperlink>
      <w:r w:rsidRPr="00226A7B">
        <w:rPr>
          <w:lang w:val="en-US"/>
        </w:rPr>
        <w:t xml:space="preserve"> (6th Ed.)</w:t>
      </w:r>
      <w:r>
        <w:rPr>
          <w:lang w:val="en-US"/>
        </w:rPr>
        <w:t xml:space="preserve">, </w:t>
      </w:r>
      <w:r w:rsidRPr="00226A7B">
        <w:rPr>
          <w:lang w:val="en-US"/>
        </w:rPr>
        <w:t>September 2012</w:t>
      </w:r>
      <w:r>
        <w:rPr>
          <w:lang w:val="en-US"/>
        </w:rPr>
        <w:t>.</w:t>
      </w:r>
      <w:r w:rsidRPr="00226A7B">
        <w:rPr>
          <w:lang w:val="en-US"/>
        </w:rPr>
        <w:t xml:space="preserve"> </w:t>
      </w:r>
    </w:p>
  </w:footnote>
  <w:footnote w:id="119">
    <w:p w:rsidR="00E55106" w:rsidRPr="008521A6" w:rsidRDefault="00E55106" w:rsidP="00AA54AE">
      <w:pPr>
        <w:pStyle w:val="aa"/>
        <w:bidi w:val="0"/>
        <w:rPr>
          <w:lang w:val="en-US"/>
        </w:rPr>
      </w:pPr>
      <w:r>
        <w:rPr>
          <w:rStyle w:val="ac"/>
        </w:rPr>
        <w:footnoteRef/>
      </w:r>
      <w:r>
        <w:rPr>
          <w:rtl/>
        </w:rPr>
        <w:t xml:space="preserve"> </w:t>
      </w:r>
      <w:r>
        <w:rPr>
          <w:lang w:val="en-US"/>
        </w:rPr>
        <w:t xml:space="preserve">House of Representatives, </w:t>
      </w:r>
      <w:hyperlink r:id="rId8" w:history="1">
        <w:r w:rsidRPr="008521A6">
          <w:rPr>
            <w:rStyle w:val="Hyperlink"/>
            <w:lang w:val="en-US"/>
          </w:rPr>
          <w:t>Standing Orders</w:t>
        </w:r>
      </w:hyperlink>
      <w:r>
        <w:rPr>
          <w:lang w:val="en-US"/>
        </w:rPr>
        <w:t xml:space="preserve">, </w:t>
      </w:r>
      <w:r w:rsidRPr="008521A6">
        <w:rPr>
          <w:lang w:val="en-US"/>
        </w:rPr>
        <w:t>as at 13 September 2016</w:t>
      </w:r>
      <w:r>
        <w:rPr>
          <w:lang w:val="en-US"/>
        </w:rPr>
        <w:t>, §134.</w:t>
      </w:r>
    </w:p>
  </w:footnote>
  <w:footnote w:id="120">
    <w:p w:rsidR="00E55106" w:rsidRDefault="00E55106" w:rsidP="00893181">
      <w:pPr>
        <w:pStyle w:val="aa"/>
        <w:rPr>
          <w:rtl/>
          <w:lang w:val="en-US"/>
        </w:rPr>
      </w:pPr>
      <w:r>
        <w:rPr>
          <w:rStyle w:val="ac"/>
        </w:rPr>
        <w:footnoteRef/>
      </w:r>
      <w:r>
        <w:rPr>
          <w:rtl/>
        </w:rPr>
        <w:t xml:space="preserve"> </w:t>
      </w:r>
      <w:r>
        <w:rPr>
          <w:rtl/>
        </w:rPr>
        <w:tab/>
      </w:r>
      <w:r>
        <w:rPr>
          <w:rFonts w:hint="cs"/>
          <w:rtl/>
        </w:rPr>
        <w:t>הצבעה רגילה בפרלמנט האוסטרלי נערכת באמצעות קריאה בעל-פה של חברי הפרלמנט בעד או נגד (</w:t>
      </w:r>
      <w:r>
        <w:rPr>
          <w:lang w:val="en-US"/>
        </w:rPr>
        <w:t>Aye or No</w:t>
      </w:r>
      <w:r>
        <w:rPr>
          <w:rFonts w:hint="cs"/>
          <w:rtl/>
        </w:rPr>
        <w:t xml:space="preserve">). </w:t>
      </w:r>
      <w:r>
        <w:rPr>
          <w:rFonts w:hint="cs"/>
          <w:b/>
          <w:bCs/>
          <w:rtl/>
        </w:rPr>
        <w:t>הצבעה בדרך של</w:t>
      </w:r>
      <w:r>
        <w:rPr>
          <w:rFonts w:hint="cs"/>
          <w:b/>
          <w:bCs/>
          <w:rtl/>
          <w:lang w:val="en-US"/>
        </w:rPr>
        <w:t xml:space="preserve"> </w:t>
      </w:r>
      <w:r w:rsidRPr="00144418">
        <w:rPr>
          <w:b/>
          <w:bCs/>
          <w:lang w:val="en-US"/>
        </w:rPr>
        <w:t>division</w:t>
      </w:r>
      <w:r>
        <w:rPr>
          <w:rFonts w:hint="cs"/>
          <w:rtl/>
          <w:lang w:val="en-US"/>
        </w:rPr>
        <w:t xml:space="preserve"> </w:t>
      </w:r>
      <w:r>
        <w:rPr>
          <w:rFonts w:hint="cs"/>
          <w:rtl/>
        </w:rPr>
        <w:t>נערכת כאשר קשה להכריע מהי דעת הרוב בהצבעה רגילה בעל-פה</w:t>
      </w:r>
      <w:r>
        <w:rPr>
          <w:rFonts w:hint="cs"/>
          <w:rtl/>
          <w:lang w:val="en-US"/>
        </w:rPr>
        <w:t xml:space="preserve">. מדובר למעשה בהצבעה באמצעות מעבר פיזי של חברי הפרלמנט לשני צידי אולם המליאה </w:t>
      </w:r>
      <w:r>
        <w:rPr>
          <w:rtl/>
          <w:lang w:val="en-US"/>
        </w:rPr>
        <w:t>–</w:t>
      </w:r>
      <w:r>
        <w:rPr>
          <w:rFonts w:hint="cs"/>
          <w:rtl/>
          <w:lang w:val="en-US"/>
        </w:rPr>
        <w:t xml:space="preserve"> התומכים לצד ימין והמתנגדים לצד שמאל </w:t>
      </w:r>
      <w:r>
        <w:rPr>
          <w:rtl/>
          <w:lang w:val="en-US"/>
        </w:rPr>
        <w:t>–</w:t>
      </w:r>
      <w:r>
        <w:rPr>
          <w:rFonts w:hint="cs"/>
          <w:rtl/>
          <w:lang w:val="en-US"/>
        </w:rPr>
        <w:t xml:space="preserve"> כאשר לאחר מכן נספרים חברי הפרלמנט בכל צד של האולם. ראו:</w:t>
      </w:r>
    </w:p>
    <w:p w:rsidR="00E55106" w:rsidRPr="008131C8" w:rsidRDefault="00E55106" w:rsidP="008131C8">
      <w:pPr>
        <w:pStyle w:val="aa"/>
        <w:bidi w:val="0"/>
        <w:rPr>
          <w:spacing w:val="-6"/>
          <w:lang w:val="en-US"/>
        </w:rPr>
      </w:pPr>
      <w:r>
        <w:rPr>
          <w:rtl/>
          <w:lang w:val="en-US"/>
        </w:rPr>
        <w:tab/>
      </w:r>
      <w:r w:rsidRPr="008131C8">
        <w:rPr>
          <w:spacing w:val="-6"/>
          <w:lang w:val="en-US"/>
        </w:rPr>
        <w:t xml:space="preserve">Parliament of Australia website: </w:t>
      </w:r>
      <w:hyperlink r:id="rId9" w:history="1">
        <w:r w:rsidRPr="008131C8">
          <w:rPr>
            <w:rStyle w:val="Hyperlink"/>
            <w:spacing w:val="-6"/>
            <w:lang w:val="en-US"/>
          </w:rPr>
          <w:t xml:space="preserve">Making decisions </w:t>
        </w:r>
        <w:r w:rsidRPr="008131C8">
          <w:rPr>
            <w:rStyle w:val="Hyperlink"/>
            <w:spacing w:val="-8"/>
            <w:lang w:val="en-US"/>
          </w:rPr>
          <w:t>– Debate and Division</w:t>
        </w:r>
        <w:r>
          <w:rPr>
            <w:rStyle w:val="Hyperlink"/>
            <w:spacing w:val="-6"/>
            <w:lang w:val="en-US"/>
          </w:rPr>
          <w:t xml:space="preserve">, </w:t>
        </w:r>
        <w:proofErr w:type="spellStart"/>
        <w:r>
          <w:rPr>
            <w:rStyle w:val="Hyperlink"/>
            <w:spacing w:val="-6"/>
            <w:lang w:val="en-US"/>
          </w:rPr>
          <w:t>Infosheet</w:t>
        </w:r>
        <w:proofErr w:type="spellEnd"/>
        <w:r>
          <w:rPr>
            <w:rStyle w:val="Hyperlink"/>
            <w:spacing w:val="-6"/>
            <w:lang w:val="en-US"/>
          </w:rPr>
          <w:t xml:space="preserve"> 14</w:t>
        </w:r>
      </w:hyperlink>
      <w:r w:rsidRPr="008131C8">
        <w:rPr>
          <w:spacing w:val="-6"/>
          <w:lang w:val="en-US"/>
        </w:rPr>
        <w:t>, viewed: 2 February 2017.</w:t>
      </w:r>
    </w:p>
  </w:footnote>
  <w:footnote w:id="121">
    <w:p w:rsidR="00E55106" w:rsidRPr="008521A6" w:rsidRDefault="00E55106" w:rsidP="00FB0B0F">
      <w:pPr>
        <w:pStyle w:val="aa"/>
        <w:bidi w:val="0"/>
        <w:rPr>
          <w:lang w:val="en-US"/>
        </w:rPr>
      </w:pPr>
      <w:r>
        <w:rPr>
          <w:rStyle w:val="ac"/>
        </w:rPr>
        <w:footnoteRef/>
      </w:r>
      <w:r>
        <w:rPr>
          <w:rtl/>
        </w:rPr>
        <w:t xml:space="preserve"> </w:t>
      </w:r>
      <w:hyperlink r:id="rId10" w:history="1">
        <w:r w:rsidRPr="003E2A03">
          <w:rPr>
            <w:rStyle w:val="Hyperlink"/>
            <w:i/>
            <w:iCs/>
            <w:lang w:val="en-US"/>
          </w:rPr>
          <w:t>House of Representatives Practice</w:t>
        </w:r>
      </w:hyperlink>
      <w:r>
        <w:rPr>
          <w:lang w:val="en-US"/>
        </w:rPr>
        <w:t xml:space="preserve">, supra note </w:t>
      </w:r>
      <w:r>
        <w:rPr>
          <w:lang w:val="en-US"/>
        </w:rPr>
        <w:fldChar w:fldCharType="begin"/>
      </w:r>
      <w:r>
        <w:rPr>
          <w:lang w:val="en-US"/>
        </w:rPr>
        <w:instrText xml:space="preserve"> NOTEREF _Ref473727904 \h </w:instrText>
      </w:r>
      <w:r>
        <w:rPr>
          <w:lang w:val="en-US"/>
        </w:rPr>
      </w:r>
      <w:r>
        <w:rPr>
          <w:lang w:val="en-US"/>
        </w:rPr>
        <w:fldChar w:fldCharType="separate"/>
      </w:r>
      <w:r w:rsidR="00E306B5">
        <w:rPr>
          <w:lang w:val="en-US"/>
        </w:rPr>
        <w:t>118</w:t>
      </w:r>
      <w:r>
        <w:rPr>
          <w:lang w:val="en-US"/>
        </w:rPr>
        <w:fldChar w:fldCharType="end"/>
      </w:r>
      <w:r>
        <w:rPr>
          <w:lang w:val="en-US"/>
        </w:rPr>
        <w:t xml:space="preserve">, Chapter 5, at: </w:t>
      </w:r>
      <w:hyperlink r:id="rId11" w:history="1">
        <w:r w:rsidRPr="00CC76DD">
          <w:rPr>
            <w:rStyle w:val="Hyperlink"/>
            <w:lang w:val="en-US"/>
          </w:rPr>
          <w:t>Pecuniary Interest</w:t>
        </w:r>
      </w:hyperlink>
      <w:r>
        <w:rPr>
          <w:lang w:val="en-US"/>
        </w:rPr>
        <w:t xml:space="preserve">. </w:t>
      </w:r>
    </w:p>
  </w:footnote>
  <w:footnote w:id="122">
    <w:p w:rsidR="00E55106" w:rsidRPr="00B00417" w:rsidRDefault="00E55106" w:rsidP="008A7653">
      <w:pPr>
        <w:pStyle w:val="aa"/>
        <w:rPr>
          <w:spacing w:val="-6"/>
          <w:rtl/>
        </w:rPr>
      </w:pPr>
      <w:r>
        <w:rPr>
          <w:rStyle w:val="ac"/>
        </w:rPr>
        <w:footnoteRef/>
      </w:r>
      <w:r>
        <w:rPr>
          <w:rtl/>
        </w:rPr>
        <w:t xml:space="preserve"> </w:t>
      </w:r>
      <w:r>
        <w:rPr>
          <w:rtl/>
        </w:rPr>
        <w:tab/>
      </w:r>
      <w:r w:rsidRPr="00B00417">
        <w:rPr>
          <w:rFonts w:hint="cs"/>
          <w:spacing w:val="-6"/>
          <w:rtl/>
        </w:rPr>
        <w:t>לפי ספר הפרקטיקה של בית-הנבחרים, ברוב המקרים לא סביר שהצבעת חבר הבית תיפסל בגלל אינטרס כספי, שכן רוב רובם ש</w:t>
      </w:r>
      <w:r w:rsidRPr="00B00417">
        <w:rPr>
          <w:rFonts w:hint="eastAsia"/>
          <w:spacing w:val="-6"/>
          <w:rtl/>
        </w:rPr>
        <w:t>ל</w:t>
      </w:r>
      <w:r w:rsidRPr="00B00417">
        <w:rPr>
          <w:rFonts w:hint="cs"/>
          <w:spacing w:val="-6"/>
          <w:rtl/>
        </w:rPr>
        <w:t xml:space="preserve"> העניינים המובאים לדיון הם בענייני מדיניות ציבורית ועוסקים באינטרסים של המדינה או הציבור. בעבר ארעו מקרים שבהם הובעה התנגדות להצבעה של חבר בית-הנבחרים על רקע אינטרס כספי שלו, אך בכולם ההתנגדות נדחתה. ראו:</w:t>
      </w:r>
    </w:p>
    <w:p w:rsidR="00E55106" w:rsidRPr="00AA54AE" w:rsidRDefault="00E55106" w:rsidP="00FB0B0F">
      <w:pPr>
        <w:pStyle w:val="aa"/>
        <w:bidi w:val="0"/>
        <w:rPr>
          <w:lang w:val="en-US"/>
        </w:rPr>
      </w:pPr>
      <w:r>
        <w:rPr>
          <w:lang w:val="en-US"/>
        </w:rPr>
        <w:tab/>
      </w:r>
      <w:hyperlink r:id="rId12" w:history="1">
        <w:r w:rsidRPr="003E2A03">
          <w:rPr>
            <w:rStyle w:val="Hyperlink"/>
            <w:i/>
            <w:iCs/>
            <w:lang w:val="en-US"/>
          </w:rPr>
          <w:t>House of Representatives Practice</w:t>
        </w:r>
      </w:hyperlink>
      <w:r>
        <w:rPr>
          <w:lang w:val="en-US"/>
        </w:rPr>
        <w:t xml:space="preserve">, supra note </w:t>
      </w:r>
      <w:r>
        <w:rPr>
          <w:lang w:val="en-US"/>
        </w:rPr>
        <w:fldChar w:fldCharType="begin"/>
      </w:r>
      <w:r>
        <w:rPr>
          <w:lang w:val="en-US"/>
        </w:rPr>
        <w:instrText xml:space="preserve"> NOTEREF _Ref473727904 \h </w:instrText>
      </w:r>
      <w:r>
        <w:rPr>
          <w:lang w:val="en-US"/>
        </w:rPr>
      </w:r>
      <w:r>
        <w:rPr>
          <w:lang w:val="en-US"/>
        </w:rPr>
        <w:fldChar w:fldCharType="separate"/>
      </w:r>
      <w:r w:rsidR="00E306B5">
        <w:rPr>
          <w:lang w:val="en-US"/>
        </w:rPr>
        <w:t>118</w:t>
      </w:r>
      <w:r>
        <w:rPr>
          <w:lang w:val="en-US"/>
        </w:rPr>
        <w:fldChar w:fldCharType="end"/>
      </w:r>
      <w:r>
        <w:rPr>
          <w:lang w:val="en-US"/>
        </w:rPr>
        <w:t xml:space="preserve">, Chapter 5, at: </w:t>
      </w:r>
      <w:hyperlink r:id="rId13" w:history="1">
        <w:r w:rsidRPr="00CC76DD">
          <w:rPr>
            <w:rStyle w:val="Hyperlink"/>
            <w:lang w:val="en-US"/>
          </w:rPr>
          <w:t>Pecuniary Interest</w:t>
        </w:r>
      </w:hyperlink>
      <w:r>
        <w:rPr>
          <w:lang w:val="en-US"/>
        </w:rPr>
        <w:t>.</w:t>
      </w:r>
    </w:p>
  </w:footnote>
  <w:footnote w:id="123">
    <w:p w:rsidR="00E55106" w:rsidRPr="00AA54AE" w:rsidRDefault="00E55106" w:rsidP="00AA54AE">
      <w:pPr>
        <w:pStyle w:val="aa"/>
        <w:bidi w:val="0"/>
        <w:rPr>
          <w:lang w:val="en-US"/>
        </w:rPr>
      </w:pPr>
      <w:r>
        <w:rPr>
          <w:rStyle w:val="ac"/>
        </w:rPr>
        <w:footnoteRef/>
      </w:r>
      <w:r>
        <w:rPr>
          <w:rtl/>
        </w:rPr>
        <w:t xml:space="preserve"> </w:t>
      </w:r>
      <w:r>
        <w:rPr>
          <w:lang w:val="en-US"/>
        </w:rPr>
        <w:t xml:space="preserve">House of Representatives, </w:t>
      </w:r>
      <w:hyperlink r:id="rId14" w:history="1">
        <w:r w:rsidRPr="008521A6">
          <w:rPr>
            <w:rStyle w:val="Hyperlink"/>
            <w:lang w:val="en-US"/>
          </w:rPr>
          <w:t>Standing Orders</w:t>
        </w:r>
      </w:hyperlink>
      <w:r>
        <w:rPr>
          <w:lang w:val="en-US"/>
        </w:rPr>
        <w:t xml:space="preserve">, </w:t>
      </w:r>
      <w:r w:rsidRPr="008521A6">
        <w:rPr>
          <w:lang w:val="en-US"/>
        </w:rPr>
        <w:t>as at 13 September 2016</w:t>
      </w:r>
      <w:r>
        <w:rPr>
          <w:lang w:val="en-US"/>
        </w:rPr>
        <w:t>, §231.</w:t>
      </w:r>
    </w:p>
  </w:footnote>
  <w:footnote w:id="124">
    <w:p w:rsidR="00E55106" w:rsidRPr="00803AA9" w:rsidRDefault="00E55106" w:rsidP="00C45087">
      <w:pPr>
        <w:pStyle w:val="aa"/>
        <w:rPr>
          <w:rtl/>
          <w:lang w:val="en-US"/>
        </w:rPr>
      </w:pPr>
      <w:r>
        <w:rPr>
          <w:rStyle w:val="ac"/>
        </w:rPr>
        <w:footnoteRef/>
      </w:r>
      <w:r>
        <w:rPr>
          <w:rtl/>
        </w:rPr>
        <w:t xml:space="preserve"> </w:t>
      </w:r>
      <w:r>
        <w:rPr>
          <w:rtl/>
        </w:rPr>
        <w:tab/>
      </w:r>
      <w:r>
        <w:rPr>
          <w:rFonts w:hint="cs"/>
          <w:rtl/>
        </w:rPr>
        <w:t xml:space="preserve">לפי ספר הפרקטיקה של בית-הנבחרים, לא ידוע על מקרים בהם חבר פרלמנט נמנע מלהשתתף בדיוני ועדה בשל הוראה זו; ראו: </w:t>
      </w:r>
      <w:hyperlink r:id="rId15" w:history="1">
        <w:r w:rsidRPr="003E2A03">
          <w:rPr>
            <w:rStyle w:val="Hyperlink"/>
            <w:i/>
            <w:iCs/>
            <w:lang w:val="en-US"/>
          </w:rPr>
          <w:t>House of Representatives Practice</w:t>
        </w:r>
      </w:hyperlink>
      <w:r>
        <w:rPr>
          <w:lang w:val="en-US"/>
        </w:rPr>
        <w:t xml:space="preserve">, supra note </w:t>
      </w:r>
      <w:r>
        <w:rPr>
          <w:lang w:val="en-US"/>
        </w:rPr>
        <w:fldChar w:fldCharType="begin"/>
      </w:r>
      <w:r>
        <w:rPr>
          <w:lang w:val="en-US"/>
        </w:rPr>
        <w:instrText xml:space="preserve"> NOTEREF _Ref473727904 \h </w:instrText>
      </w:r>
      <w:r>
        <w:rPr>
          <w:lang w:val="en-US"/>
        </w:rPr>
      </w:r>
      <w:r>
        <w:rPr>
          <w:lang w:val="en-US"/>
        </w:rPr>
        <w:fldChar w:fldCharType="separate"/>
      </w:r>
      <w:r w:rsidR="00E306B5">
        <w:rPr>
          <w:lang w:val="en-US"/>
        </w:rPr>
        <w:t>118</w:t>
      </w:r>
      <w:r>
        <w:rPr>
          <w:lang w:val="en-US"/>
        </w:rPr>
        <w:fldChar w:fldCharType="end"/>
      </w:r>
      <w:r>
        <w:rPr>
          <w:lang w:val="en-US"/>
        </w:rPr>
        <w:t xml:space="preserve">, Chapter 5, at: </w:t>
      </w:r>
      <w:hyperlink r:id="rId16" w:history="1">
        <w:r w:rsidRPr="00CC76DD">
          <w:rPr>
            <w:rStyle w:val="Hyperlink"/>
            <w:lang w:val="en-US"/>
          </w:rPr>
          <w:t>Pecuniary Interest</w:t>
        </w:r>
      </w:hyperlink>
      <w:r>
        <w:rPr>
          <w:rFonts w:hint="cs"/>
          <w:rtl/>
          <w:lang w:val="en-US"/>
        </w:rPr>
        <w:t>.</w:t>
      </w:r>
    </w:p>
  </w:footnote>
  <w:footnote w:id="125">
    <w:p w:rsidR="00E55106" w:rsidRPr="00803AA9" w:rsidRDefault="00E55106" w:rsidP="00C45087">
      <w:pPr>
        <w:pStyle w:val="aa"/>
        <w:bidi w:val="0"/>
        <w:rPr>
          <w:lang w:val="en-US"/>
        </w:rPr>
      </w:pPr>
      <w:r>
        <w:rPr>
          <w:rStyle w:val="ac"/>
        </w:rPr>
        <w:footnoteRef/>
      </w:r>
      <w:r>
        <w:rPr>
          <w:rtl/>
        </w:rPr>
        <w:t xml:space="preserve"> </w:t>
      </w:r>
      <w:hyperlink r:id="rId17" w:history="1">
        <w:r w:rsidRPr="003E2A03">
          <w:rPr>
            <w:rStyle w:val="Hyperlink"/>
            <w:i/>
            <w:iCs/>
            <w:lang w:val="en-US"/>
          </w:rPr>
          <w:t>House of Representatives Practice</w:t>
        </w:r>
      </w:hyperlink>
      <w:r>
        <w:rPr>
          <w:lang w:val="en-US"/>
        </w:rPr>
        <w:t xml:space="preserve">, supra note </w:t>
      </w:r>
      <w:r>
        <w:rPr>
          <w:lang w:val="en-US"/>
        </w:rPr>
        <w:fldChar w:fldCharType="begin"/>
      </w:r>
      <w:r>
        <w:rPr>
          <w:lang w:val="en-US"/>
        </w:rPr>
        <w:instrText xml:space="preserve"> NOTEREF _Ref473727904 \h </w:instrText>
      </w:r>
      <w:r>
        <w:rPr>
          <w:lang w:val="en-US"/>
        </w:rPr>
      </w:r>
      <w:r>
        <w:rPr>
          <w:lang w:val="en-US"/>
        </w:rPr>
        <w:fldChar w:fldCharType="separate"/>
      </w:r>
      <w:r w:rsidR="00E306B5">
        <w:rPr>
          <w:lang w:val="en-US"/>
        </w:rPr>
        <w:t>118</w:t>
      </w:r>
      <w:r>
        <w:rPr>
          <w:lang w:val="en-US"/>
        </w:rPr>
        <w:fldChar w:fldCharType="end"/>
      </w:r>
      <w:r>
        <w:rPr>
          <w:lang w:val="en-US"/>
        </w:rPr>
        <w:t xml:space="preserve">, </w:t>
      </w:r>
      <w:r w:rsidRPr="00803AA9">
        <w:rPr>
          <w:lang w:val="en-US"/>
        </w:rPr>
        <w:t>Chapter 18</w:t>
      </w:r>
      <w:r>
        <w:rPr>
          <w:lang w:val="en-US"/>
        </w:rPr>
        <w:t>, at</w:t>
      </w:r>
      <w:r w:rsidRPr="00803AA9">
        <w:rPr>
          <w:lang w:val="en-US"/>
        </w:rPr>
        <w:t xml:space="preserve">: </w:t>
      </w:r>
      <w:hyperlink r:id="rId18" w:history="1">
        <w:r w:rsidRPr="00FB0B0F">
          <w:rPr>
            <w:rStyle w:val="Hyperlink"/>
            <w:lang w:val="en-US"/>
          </w:rPr>
          <w:t>Membership</w:t>
        </w:r>
      </w:hyperlink>
      <w:r>
        <w:rPr>
          <w:lang w:val="en-US"/>
        </w:rPr>
        <w:t>.</w:t>
      </w:r>
    </w:p>
  </w:footnote>
  <w:footnote w:id="126">
    <w:p w:rsidR="00E55106" w:rsidRPr="00CC76DD" w:rsidRDefault="00E55106" w:rsidP="00C45087">
      <w:pPr>
        <w:pStyle w:val="aa"/>
        <w:bidi w:val="0"/>
        <w:rPr>
          <w:lang w:val="en-US"/>
        </w:rPr>
      </w:pPr>
      <w:r>
        <w:rPr>
          <w:rStyle w:val="ac"/>
        </w:rPr>
        <w:footnoteRef/>
      </w:r>
      <w:r>
        <w:rPr>
          <w:rtl/>
        </w:rPr>
        <w:t xml:space="preserve"> </w:t>
      </w:r>
      <w:hyperlink r:id="rId19" w:history="1">
        <w:r w:rsidRPr="003E2A03">
          <w:rPr>
            <w:rStyle w:val="Hyperlink"/>
            <w:i/>
            <w:iCs/>
            <w:lang w:val="en-US"/>
          </w:rPr>
          <w:t>House of Representatives Practice</w:t>
        </w:r>
      </w:hyperlink>
      <w:r>
        <w:rPr>
          <w:lang w:val="en-US"/>
        </w:rPr>
        <w:t xml:space="preserve">, supra note </w:t>
      </w:r>
      <w:r>
        <w:rPr>
          <w:lang w:val="en-US"/>
        </w:rPr>
        <w:fldChar w:fldCharType="begin"/>
      </w:r>
      <w:r>
        <w:rPr>
          <w:lang w:val="en-US"/>
        </w:rPr>
        <w:instrText xml:space="preserve"> NOTEREF _Ref473727904 \h </w:instrText>
      </w:r>
      <w:r>
        <w:rPr>
          <w:lang w:val="en-US"/>
        </w:rPr>
      </w:r>
      <w:r>
        <w:rPr>
          <w:lang w:val="en-US"/>
        </w:rPr>
        <w:fldChar w:fldCharType="separate"/>
      </w:r>
      <w:r w:rsidR="00E306B5">
        <w:rPr>
          <w:lang w:val="en-US"/>
        </w:rPr>
        <w:t>118</w:t>
      </w:r>
      <w:r>
        <w:rPr>
          <w:lang w:val="en-US"/>
        </w:rPr>
        <w:fldChar w:fldCharType="end"/>
      </w:r>
      <w:r>
        <w:rPr>
          <w:lang w:val="en-US"/>
        </w:rPr>
        <w:t xml:space="preserve">, Chapter 5, at: </w:t>
      </w:r>
      <w:hyperlink r:id="rId20" w:history="1">
        <w:r w:rsidRPr="00CC76DD">
          <w:rPr>
            <w:rStyle w:val="Hyperlink"/>
            <w:lang w:val="en-US"/>
          </w:rPr>
          <w:t>Pecuniary Interest</w:t>
        </w:r>
      </w:hyperlink>
      <w:r>
        <w:rPr>
          <w:lang w:val="en-US"/>
        </w:rPr>
        <w:t>.</w:t>
      </w:r>
    </w:p>
  </w:footnote>
  <w:footnote w:id="127">
    <w:p w:rsidR="00E55106" w:rsidRDefault="00E55106" w:rsidP="00434058">
      <w:pPr>
        <w:pStyle w:val="aa"/>
        <w:rPr>
          <w:rtl/>
        </w:rPr>
      </w:pPr>
      <w:r>
        <w:rPr>
          <w:rStyle w:val="ac"/>
        </w:rPr>
        <w:footnoteRef/>
      </w:r>
      <w:r>
        <w:rPr>
          <w:rtl/>
        </w:rPr>
        <w:t xml:space="preserve"> </w:t>
      </w:r>
      <w:r>
        <w:rPr>
          <w:rtl/>
        </w:rPr>
        <w:tab/>
      </w:r>
      <w:r>
        <w:rPr>
          <w:rFonts w:hint="cs"/>
          <w:rtl/>
        </w:rPr>
        <w:t xml:space="preserve">ראו חיבור מקיף ומוסמך על ההליכים והפרוצדורות בסנאט, המופיע באתר האינטרנט של הפרלמנט האוסטרלי (להלן: </w:t>
      </w:r>
      <w:r w:rsidRPr="00B02BAC">
        <w:rPr>
          <w:rFonts w:hint="cs"/>
          <w:b/>
          <w:bCs/>
          <w:rtl/>
        </w:rPr>
        <w:t>ספר הפרקטיקה של הסנאט</w:t>
      </w:r>
      <w:r>
        <w:rPr>
          <w:rFonts w:hint="cs"/>
          <w:rtl/>
        </w:rPr>
        <w:t xml:space="preserve"> או </w:t>
      </w:r>
      <w:r w:rsidRPr="00B02BAC">
        <w:rPr>
          <w:b/>
          <w:bCs/>
          <w:lang w:val="en-US"/>
        </w:rPr>
        <w:t>Odgers'</w:t>
      </w:r>
      <w:r>
        <w:rPr>
          <w:rFonts w:hint="cs"/>
          <w:rtl/>
        </w:rPr>
        <w:t>):</w:t>
      </w:r>
    </w:p>
    <w:p w:rsidR="00E55106" w:rsidRPr="00891F7A" w:rsidRDefault="00E55106" w:rsidP="005940FA">
      <w:pPr>
        <w:pStyle w:val="aa"/>
        <w:bidi w:val="0"/>
        <w:rPr>
          <w:lang w:val="en-US"/>
        </w:rPr>
      </w:pPr>
      <w:r>
        <w:rPr>
          <w:rtl/>
        </w:rPr>
        <w:tab/>
      </w:r>
      <w:r>
        <w:t>James Rowland</w:t>
      </w:r>
      <w:r>
        <w:rPr>
          <w:lang w:val="en-US"/>
        </w:rPr>
        <w:t xml:space="preserve"> </w:t>
      </w:r>
      <w:r>
        <w:t xml:space="preserve">Odgers, </w:t>
      </w:r>
      <w:hyperlink r:id="rId21" w:history="1">
        <w:r w:rsidRPr="00891F7A">
          <w:rPr>
            <w:rStyle w:val="Hyperlink"/>
            <w:i/>
            <w:iCs/>
          </w:rPr>
          <w:t>Odgers' Australian Senate practice</w:t>
        </w:r>
      </w:hyperlink>
      <w:r>
        <w:rPr>
          <w:lang w:val="en-US"/>
        </w:rPr>
        <w:t>,</w:t>
      </w:r>
      <w:r>
        <w:t xml:space="preserve"> edited by Harry Evans and Rosemary Laing</w:t>
      </w:r>
      <w:r>
        <w:rPr>
          <w:lang w:val="en-US"/>
        </w:rPr>
        <w:t>, (</w:t>
      </w:r>
      <w:r>
        <w:t>13th ed</w:t>
      </w:r>
      <w:r>
        <w:rPr>
          <w:lang w:val="en-US"/>
        </w:rPr>
        <w:t xml:space="preserve">.) 2012, Chapter 6, at: </w:t>
      </w:r>
      <w:hyperlink r:id="rId22" w:history="1">
        <w:r w:rsidRPr="00891F7A">
          <w:rPr>
            <w:rStyle w:val="Hyperlink"/>
            <w:lang w:val="en-US"/>
          </w:rPr>
          <w:t>Pecuniary Interests</w:t>
        </w:r>
      </w:hyperlink>
      <w:r>
        <w:rPr>
          <w:lang w:val="en-US"/>
        </w:rPr>
        <w:t xml:space="preserve">; </w:t>
      </w:r>
      <w:r>
        <w:t>Chapter 11</w:t>
      </w:r>
      <w:r>
        <w:rPr>
          <w:lang w:val="en-US"/>
        </w:rPr>
        <w:t xml:space="preserve">, at: </w:t>
      </w:r>
      <w:hyperlink r:id="rId23" w:history="1">
        <w:r w:rsidRPr="005940FA">
          <w:rPr>
            <w:rStyle w:val="Hyperlink"/>
            <w:lang w:val="en-US"/>
          </w:rPr>
          <w:t>Declaration of interest</w:t>
        </w:r>
      </w:hyperlink>
      <w:r>
        <w:rPr>
          <w:lang w:val="en-US"/>
        </w:rPr>
        <w:t>.</w:t>
      </w:r>
    </w:p>
  </w:footnote>
  <w:footnote w:id="128">
    <w:p w:rsidR="00E55106" w:rsidRPr="008D0997" w:rsidRDefault="00E55106" w:rsidP="00C45087">
      <w:pPr>
        <w:pStyle w:val="aa"/>
        <w:bidi w:val="0"/>
      </w:pPr>
      <w:r>
        <w:rPr>
          <w:rStyle w:val="ac"/>
        </w:rPr>
        <w:footnoteRef/>
      </w:r>
      <w:r>
        <w:rPr>
          <w:rtl/>
        </w:rPr>
        <w:t xml:space="preserve"> </w:t>
      </w:r>
      <w:hyperlink r:id="rId24" w:history="1">
        <w:r w:rsidRPr="008D0997">
          <w:rPr>
            <w:rStyle w:val="Hyperlink"/>
          </w:rPr>
          <w:t>Registration of Members</w:t>
        </w:r>
        <w:r w:rsidRPr="008D0997">
          <w:rPr>
            <w:rStyle w:val="Hyperlink"/>
            <w:lang w:val="en-US"/>
          </w:rPr>
          <w:t>'</w:t>
        </w:r>
        <w:r w:rsidRPr="008D0997">
          <w:rPr>
            <w:rStyle w:val="Hyperlink"/>
          </w:rPr>
          <w:t xml:space="preserve"> interests </w:t>
        </w:r>
        <w:r w:rsidRPr="008D0997">
          <w:rPr>
            <w:rStyle w:val="Hyperlink"/>
            <w:lang w:val="en-US"/>
          </w:rPr>
          <w:t xml:space="preserve">– </w:t>
        </w:r>
        <w:r w:rsidRPr="008D0997">
          <w:rPr>
            <w:rStyle w:val="Hyperlink"/>
          </w:rPr>
          <w:t>Requirements of the House of Representatives</w:t>
        </w:r>
      </w:hyperlink>
      <w:r>
        <w:t xml:space="preserve"> </w:t>
      </w:r>
      <w:r>
        <w:rPr>
          <w:lang w:val="en-US"/>
        </w:rPr>
        <w:t xml:space="preserve">– </w:t>
      </w:r>
      <w:r>
        <w:t>Resolution adopted</w:t>
      </w:r>
      <w:r>
        <w:rPr>
          <w:lang w:val="en-US"/>
        </w:rPr>
        <w:t>:</w:t>
      </w:r>
      <w:r>
        <w:t xml:space="preserve"> 9 October 1984</w:t>
      </w:r>
      <w:r>
        <w:rPr>
          <w:lang w:val="en-US"/>
        </w:rPr>
        <w:t>, latest amendment:</w:t>
      </w:r>
      <w:r>
        <w:t xml:space="preserve"> 13 February 2008.</w:t>
      </w:r>
    </w:p>
  </w:footnote>
  <w:footnote w:id="129">
    <w:p w:rsidR="00E55106" w:rsidRDefault="00E55106" w:rsidP="002B6A0C">
      <w:pPr>
        <w:pStyle w:val="aa"/>
      </w:pPr>
      <w:r>
        <w:rPr>
          <w:rStyle w:val="ac"/>
        </w:rPr>
        <w:footnoteRef/>
      </w:r>
      <w:r>
        <w:rPr>
          <w:rtl/>
        </w:rPr>
        <w:t xml:space="preserve"> </w:t>
      </w:r>
      <w:r>
        <w:rPr>
          <w:rtl/>
        </w:rPr>
        <w:tab/>
      </w:r>
      <w:r>
        <w:rPr>
          <w:rFonts w:hint="cs"/>
          <w:rtl/>
        </w:rPr>
        <w:t xml:space="preserve">חבר פרלמנט ותיק (כלומר, שכיהן בפרלמנט היוצא) יצהיר על האינטרסים שלו במועד פיזור הפרלמנט הקודם ועל כל שינוי שחל מאז ועד הגשת ההצהרה; חבר פרלמנט חדש (שלא כיהן בפרלמנט היוצא) יצהיר על האינטרסים שלו במועד שבו נבחר ועל כל שינוי שחל מאז ועד הגשת ההצהרה. </w:t>
      </w:r>
    </w:p>
  </w:footnote>
  <w:footnote w:id="130">
    <w:p w:rsidR="00E55106" w:rsidRPr="00253DC7" w:rsidRDefault="00E55106" w:rsidP="002B6A0C">
      <w:pPr>
        <w:pStyle w:val="aa"/>
        <w:rPr>
          <w:rtl/>
        </w:rPr>
      </w:pPr>
      <w:r>
        <w:rPr>
          <w:rStyle w:val="ac"/>
        </w:rPr>
        <w:footnoteRef/>
      </w:r>
      <w:r>
        <w:rPr>
          <w:rtl/>
        </w:rPr>
        <w:t xml:space="preserve"> </w:t>
      </w:r>
      <w:r>
        <w:rPr>
          <w:rtl/>
        </w:rPr>
        <w:tab/>
      </w:r>
      <w:r>
        <w:rPr>
          <w:rFonts w:hint="cs"/>
          <w:rtl/>
        </w:rPr>
        <w:t xml:space="preserve">יצוין כי המרשם והצהרות האינטרסים של חברי בית-הנבחרים מופיעים באתר האינטרנט של בית-הנבחרים בקישור: </w:t>
      </w:r>
      <w:hyperlink r:id="rId25" w:history="1">
        <w:r w:rsidRPr="008D0997">
          <w:rPr>
            <w:rStyle w:val="Hyperlink"/>
          </w:rPr>
          <w:t>Register of Members' Interests</w:t>
        </w:r>
      </w:hyperlink>
      <w:r>
        <w:rPr>
          <w:rFonts w:hint="cs"/>
          <w:rtl/>
        </w:rPr>
        <w:t xml:space="preserve">, כניסה אחרונה: 1 בפברואר 2017. </w:t>
      </w:r>
    </w:p>
  </w:footnote>
  <w:footnote w:id="131">
    <w:p w:rsidR="00E55106" w:rsidRDefault="00E55106">
      <w:pPr>
        <w:pStyle w:val="aa"/>
      </w:pPr>
      <w:r>
        <w:rPr>
          <w:rStyle w:val="ac"/>
        </w:rPr>
        <w:footnoteRef/>
      </w:r>
      <w:r>
        <w:rPr>
          <w:rtl/>
        </w:rPr>
        <w:t xml:space="preserve"> </w:t>
      </w:r>
      <w:r>
        <w:rPr>
          <w:rtl/>
        </w:rPr>
        <w:tab/>
      </w:r>
      <w:r>
        <w:rPr>
          <w:rFonts w:hint="cs"/>
          <w:rtl/>
        </w:rPr>
        <w:t xml:space="preserve">בהחלטה צוין במפורש כי אין צורך להצהיר על מתנה מבני משפחה או חברים אישיים מתוקף קשר אישי גרידא, אלא אם כן חבר הפרלמנט סבור שעשויה להתעורר מכך מראית עין של ניגוד עניינים. </w:t>
      </w:r>
    </w:p>
  </w:footnote>
  <w:footnote w:id="132">
    <w:p w:rsidR="00E55106" w:rsidRPr="00891F7A" w:rsidRDefault="00E55106" w:rsidP="00BE06B3">
      <w:pPr>
        <w:pStyle w:val="aa"/>
        <w:bidi w:val="0"/>
        <w:rPr>
          <w:lang w:val="en-US"/>
        </w:rPr>
      </w:pPr>
      <w:r>
        <w:rPr>
          <w:rStyle w:val="ac"/>
        </w:rPr>
        <w:footnoteRef/>
      </w:r>
      <w:r>
        <w:rPr>
          <w:rtl/>
        </w:rPr>
        <w:t xml:space="preserve"> </w:t>
      </w:r>
      <w:hyperlink r:id="rId26" w:history="1">
        <w:r w:rsidRPr="00BE06B3">
          <w:rPr>
            <w:rStyle w:val="Hyperlink"/>
          </w:rPr>
          <w:t>Odgers'</w:t>
        </w:r>
      </w:hyperlink>
      <w:r>
        <w:rPr>
          <w:lang w:val="en-US"/>
        </w:rPr>
        <w:t>,</w:t>
      </w:r>
      <w:r>
        <w:t xml:space="preserve"> </w:t>
      </w:r>
      <w:r>
        <w:rPr>
          <w:lang w:val="en-US"/>
        </w:rPr>
        <w:t xml:space="preserve">supra note </w:t>
      </w:r>
      <w:r>
        <w:rPr>
          <w:lang w:val="en-US"/>
        </w:rPr>
        <w:fldChar w:fldCharType="begin"/>
      </w:r>
      <w:r>
        <w:rPr>
          <w:lang w:val="en-US"/>
        </w:rPr>
        <w:instrText xml:space="preserve"> NOTEREF _Ref473808643 \h </w:instrText>
      </w:r>
      <w:r>
        <w:rPr>
          <w:lang w:val="en-US"/>
        </w:rPr>
      </w:r>
      <w:r>
        <w:rPr>
          <w:lang w:val="en-US"/>
        </w:rPr>
        <w:fldChar w:fldCharType="separate"/>
      </w:r>
      <w:r w:rsidR="00E306B5">
        <w:rPr>
          <w:lang w:val="en-US"/>
        </w:rPr>
        <w:t>127</w:t>
      </w:r>
      <w:r>
        <w:rPr>
          <w:lang w:val="en-US"/>
        </w:rPr>
        <w:fldChar w:fldCharType="end"/>
      </w:r>
      <w:r>
        <w:rPr>
          <w:lang w:val="en-US"/>
        </w:rPr>
        <w:t xml:space="preserve">, Chapter 6, at: </w:t>
      </w:r>
      <w:hyperlink r:id="rId27" w:history="1">
        <w:r w:rsidRPr="00891F7A">
          <w:rPr>
            <w:rStyle w:val="Hyperlink"/>
            <w:lang w:val="en-US"/>
          </w:rPr>
          <w:t>Pecuniary Interests</w:t>
        </w:r>
      </w:hyperlink>
      <w:r>
        <w:rPr>
          <w:lang w:val="en-US"/>
        </w:rPr>
        <w:t>.</w:t>
      </w:r>
    </w:p>
  </w:footnote>
  <w:footnote w:id="133">
    <w:p w:rsidR="00E55106" w:rsidRPr="00CF3D89" w:rsidRDefault="00E55106" w:rsidP="00CF3D89">
      <w:pPr>
        <w:pStyle w:val="aa"/>
        <w:bidi w:val="0"/>
        <w:rPr>
          <w:lang w:val="en-US"/>
        </w:rPr>
      </w:pPr>
      <w:r>
        <w:rPr>
          <w:rStyle w:val="ac"/>
        </w:rPr>
        <w:footnoteRef/>
      </w:r>
      <w:r>
        <w:rPr>
          <w:rtl/>
        </w:rPr>
        <w:t xml:space="preserve"> </w:t>
      </w:r>
      <w:r>
        <w:rPr>
          <w:lang w:val="en-US"/>
        </w:rPr>
        <w:t xml:space="preserve">Australian Government, </w:t>
      </w:r>
      <w:hyperlink r:id="rId28" w:history="1">
        <w:r w:rsidRPr="00CF3D89">
          <w:rPr>
            <w:rStyle w:val="Hyperlink"/>
            <w:rFonts w:hint="cs"/>
          </w:rPr>
          <w:t>S</w:t>
        </w:r>
        <w:r w:rsidRPr="00CF3D89">
          <w:rPr>
            <w:rStyle w:val="Hyperlink"/>
          </w:rPr>
          <w:t>tatement of Ministerial Standards</w:t>
        </w:r>
      </w:hyperlink>
      <w:r>
        <w:rPr>
          <w:lang w:val="en-US"/>
        </w:rPr>
        <w:t>, December 2013.</w:t>
      </w:r>
    </w:p>
  </w:footnote>
  <w:footnote w:id="134">
    <w:p w:rsidR="00E55106" w:rsidRDefault="00E55106" w:rsidP="004F4FCE">
      <w:pPr>
        <w:pStyle w:val="aa"/>
        <w:rPr>
          <w:rtl/>
        </w:rPr>
      </w:pPr>
      <w:r>
        <w:rPr>
          <w:rStyle w:val="ac"/>
        </w:rPr>
        <w:footnoteRef/>
      </w:r>
      <w:r>
        <w:rPr>
          <w:rtl/>
        </w:rPr>
        <w:t xml:space="preserve"> </w:t>
      </w:r>
      <w:r>
        <w:rPr>
          <w:rtl/>
        </w:rPr>
        <w:tab/>
      </w:r>
      <w:r>
        <w:rPr>
          <w:rFonts w:hint="cs"/>
          <w:rtl/>
        </w:rPr>
        <w:t>הסטנדרטי</w:t>
      </w:r>
      <w:r>
        <w:rPr>
          <w:rFonts w:hint="eastAsia"/>
          <w:rtl/>
        </w:rPr>
        <w:t>ם</w:t>
      </w:r>
      <w:r>
        <w:rPr>
          <w:rFonts w:hint="cs"/>
          <w:rtl/>
        </w:rPr>
        <w:t xml:space="preserve"> חלים על שרים (</w:t>
      </w:r>
      <w:r>
        <w:rPr>
          <w:lang w:val="en-US"/>
        </w:rPr>
        <w:t>Ministers</w:t>
      </w:r>
      <w:r>
        <w:rPr>
          <w:rFonts w:hint="cs"/>
          <w:rtl/>
        </w:rPr>
        <w:t>) ועל מי שמשמש בתפקיד של שר זוטר או סגן-שר (</w:t>
      </w:r>
      <w:r>
        <w:rPr>
          <w:lang w:val="en-US"/>
        </w:rPr>
        <w:t>Parliamentary Secretaries</w:t>
      </w:r>
      <w:r>
        <w:rPr>
          <w:rFonts w:hint="cs"/>
          <w:rtl/>
        </w:rPr>
        <w:t>).</w:t>
      </w:r>
    </w:p>
  </w:footnote>
  <w:footnote w:id="135">
    <w:p w:rsidR="00E55106" w:rsidRPr="00904A1E" w:rsidRDefault="00E55106" w:rsidP="00C45087">
      <w:pPr>
        <w:pStyle w:val="aa"/>
        <w:bidi w:val="0"/>
        <w:rPr>
          <w:lang w:val="en-US"/>
        </w:rPr>
      </w:pPr>
      <w:r>
        <w:rPr>
          <w:rStyle w:val="ac"/>
        </w:rPr>
        <w:footnoteRef/>
      </w:r>
      <w:r>
        <w:rPr>
          <w:rtl/>
        </w:rPr>
        <w:t xml:space="preserve"> </w:t>
      </w:r>
      <w:hyperlink r:id="rId29" w:history="1">
        <w:r w:rsidRPr="004C372E">
          <w:rPr>
            <w:rStyle w:val="Hyperlink"/>
          </w:rPr>
          <w:t>Public Service Ac</w:t>
        </w:r>
        <w:r>
          <w:rPr>
            <w:rStyle w:val="Hyperlink"/>
            <w:lang w:val="en-US"/>
          </w:rPr>
          <w:t>t 1999</w:t>
        </w:r>
      </w:hyperlink>
      <w:r>
        <w:t xml:space="preserve"> </w:t>
      </w:r>
      <w:r>
        <w:rPr>
          <w:lang w:val="en-US"/>
        </w:rPr>
        <w:t>(</w:t>
      </w:r>
      <w:r>
        <w:t>No. 147, 1999</w:t>
      </w:r>
      <w:r>
        <w:rPr>
          <w:lang w:val="en-US"/>
        </w:rPr>
        <w:t>),</w:t>
      </w:r>
      <w:r>
        <w:t xml:space="preserve"> Compilation No. 18</w:t>
      </w:r>
      <w:r>
        <w:rPr>
          <w:lang w:val="en-US"/>
        </w:rPr>
        <w:t>.</w:t>
      </w:r>
    </w:p>
  </w:footnote>
  <w:footnote w:id="136">
    <w:p w:rsidR="00E55106" w:rsidRPr="00904A1E" w:rsidRDefault="00E55106" w:rsidP="00C45087">
      <w:pPr>
        <w:pStyle w:val="aa"/>
        <w:bidi w:val="0"/>
        <w:rPr>
          <w:lang w:val="en-US"/>
        </w:rPr>
      </w:pPr>
      <w:r>
        <w:rPr>
          <w:rStyle w:val="ac"/>
        </w:rPr>
        <w:footnoteRef/>
      </w:r>
      <w:r>
        <w:rPr>
          <w:rtl/>
        </w:rPr>
        <w:t xml:space="preserve"> </w:t>
      </w:r>
      <w:hyperlink r:id="rId30" w:history="1">
        <w:r w:rsidRPr="004C372E">
          <w:rPr>
            <w:rStyle w:val="Hyperlink"/>
            <w:lang w:val="en-US"/>
          </w:rPr>
          <w:t>Public Governance, Performance and Accountability Act 2013</w:t>
        </w:r>
      </w:hyperlink>
      <w:r w:rsidRPr="004C372E">
        <w:t xml:space="preserve"> </w:t>
      </w:r>
      <w:r>
        <w:rPr>
          <w:lang w:val="en-US"/>
        </w:rPr>
        <w:t>(</w:t>
      </w:r>
      <w:r>
        <w:t>No. 123, 2013</w:t>
      </w:r>
      <w:r>
        <w:rPr>
          <w:lang w:val="en-US"/>
        </w:rPr>
        <w:t>),</w:t>
      </w:r>
      <w:r>
        <w:t xml:space="preserve"> Compilation No. 3</w:t>
      </w:r>
      <w:r>
        <w:rPr>
          <w:lang w:val="en-US"/>
        </w:rPr>
        <w:t>.</w:t>
      </w:r>
    </w:p>
  </w:footnote>
  <w:footnote w:id="137">
    <w:p w:rsidR="00E55106" w:rsidRPr="00904A1E" w:rsidRDefault="00E55106" w:rsidP="00C45087">
      <w:pPr>
        <w:pStyle w:val="aa"/>
        <w:bidi w:val="0"/>
        <w:rPr>
          <w:lang w:val="en-US"/>
        </w:rPr>
      </w:pPr>
      <w:r>
        <w:rPr>
          <w:rStyle w:val="ac"/>
        </w:rPr>
        <w:footnoteRef/>
      </w:r>
      <w:r>
        <w:rPr>
          <w:rtl/>
        </w:rPr>
        <w:t xml:space="preserve"> </w:t>
      </w:r>
      <w:hyperlink r:id="rId31" w:history="1">
        <w:r w:rsidRPr="00904A1E">
          <w:rPr>
            <w:rStyle w:val="Hyperlink"/>
          </w:rPr>
          <w:t>Australian Public Service Commissioner’s Directions 2016</w:t>
        </w:r>
      </w:hyperlink>
      <w:r>
        <w:rPr>
          <w:lang w:val="en-US"/>
        </w:rPr>
        <w:t xml:space="preserve">, </w:t>
      </w:r>
      <w:r w:rsidRPr="00904A1E">
        <w:rPr>
          <w:lang w:val="en-US"/>
        </w:rPr>
        <w:t>13 September 2016</w:t>
      </w:r>
    </w:p>
  </w:footnote>
  <w:footnote w:id="138">
    <w:p w:rsidR="00E55106" w:rsidRPr="003621E2" w:rsidRDefault="00E55106" w:rsidP="00C45087">
      <w:pPr>
        <w:pStyle w:val="aa"/>
        <w:bidi w:val="0"/>
        <w:rPr>
          <w:lang w:val="en-US"/>
        </w:rPr>
      </w:pPr>
      <w:r>
        <w:rPr>
          <w:rStyle w:val="ac"/>
        </w:rPr>
        <w:footnoteRef/>
      </w:r>
      <w:r>
        <w:rPr>
          <w:rtl/>
        </w:rPr>
        <w:t xml:space="preserve"> </w:t>
      </w:r>
      <w:hyperlink r:id="rId32" w:history="1">
        <w:r w:rsidRPr="00C10BC8">
          <w:rPr>
            <w:rStyle w:val="Hyperlink"/>
            <w:lang w:val="en-US"/>
          </w:rPr>
          <w:t>APS Values and Code of Conduct in Practice</w:t>
        </w:r>
      </w:hyperlink>
      <w:r>
        <w:rPr>
          <w:lang w:val="en-US"/>
        </w:rPr>
        <w:t>, APSC website, l</w:t>
      </w:r>
      <w:r w:rsidRPr="00C10BC8">
        <w:rPr>
          <w:lang w:val="en-US"/>
        </w:rPr>
        <w:t>ast updated: 17 Feb</w:t>
      </w:r>
      <w:r>
        <w:rPr>
          <w:lang w:val="en-US"/>
        </w:rPr>
        <w:t>ruary</w:t>
      </w:r>
      <w:r w:rsidRPr="00C10BC8">
        <w:rPr>
          <w:lang w:val="en-US"/>
        </w:rPr>
        <w:t xml:space="preserve"> 2016</w:t>
      </w:r>
      <w:r>
        <w:rPr>
          <w:lang w:val="en-US"/>
        </w:rPr>
        <w:t>.</w:t>
      </w:r>
    </w:p>
  </w:footnote>
  <w:footnote w:id="139">
    <w:p w:rsidR="00E55106" w:rsidRPr="003621E2" w:rsidRDefault="00E55106" w:rsidP="00C10BC8">
      <w:pPr>
        <w:pStyle w:val="aa"/>
        <w:rPr>
          <w:lang w:val="en-US"/>
        </w:rPr>
      </w:pPr>
      <w:r>
        <w:rPr>
          <w:rStyle w:val="ac"/>
        </w:rPr>
        <w:footnoteRef/>
      </w:r>
      <w:r>
        <w:rPr>
          <w:rtl/>
        </w:rPr>
        <w:t xml:space="preserve"> </w:t>
      </w:r>
      <w:r>
        <w:rPr>
          <w:rtl/>
        </w:rPr>
        <w:tab/>
      </w:r>
      <w:r>
        <w:rPr>
          <w:rFonts w:hint="cs"/>
          <w:rtl/>
          <w:lang w:val="en-US"/>
        </w:rPr>
        <w:t xml:space="preserve">ערכי היסוד של השירות הציבורי וקוד ההתנהגות לעובדי השירות מעוגנים בסעיפים 10 ו-13 בהתאמה לחוק השירות הציבורי. ראו בקישורים: </w:t>
      </w:r>
      <w:hyperlink r:id="rId33" w:history="1">
        <w:r w:rsidRPr="00904A1E">
          <w:rPr>
            <w:rStyle w:val="Hyperlink"/>
          </w:rPr>
          <w:t>APS Values</w:t>
        </w:r>
      </w:hyperlink>
      <w:r>
        <w:rPr>
          <w:rFonts w:hint="cs"/>
          <w:rtl/>
          <w:lang w:val="en-US"/>
        </w:rPr>
        <w:t xml:space="preserve"> ו-</w:t>
      </w:r>
      <w:r>
        <w:rPr>
          <w:lang w:val="en-US"/>
        </w:rPr>
        <w:t xml:space="preserve"> </w:t>
      </w:r>
      <w:hyperlink r:id="rId34" w:history="1">
        <w:r w:rsidRPr="00C10BC8">
          <w:rPr>
            <w:rStyle w:val="Hyperlink"/>
            <w:lang w:val="en-US"/>
          </w:rPr>
          <w:t>Code of Conduct</w:t>
        </w:r>
      </w:hyperlink>
      <w:r>
        <w:rPr>
          <w:rFonts w:hint="cs"/>
          <w:rtl/>
          <w:lang w:val="en-US"/>
        </w:rPr>
        <w:t>באתר הנציבות, כניסה אחרונה: 31 בינואר 2017.</w:t>
      </w:r>
    </w:p>
  </w:footnote>
  <w:footnote w:id="140">
    <w:p w:rsidR="00E55106" w:rsidRDefault="00E55106" w:rsidP="003F006F">
      <w:pPr>
        <w:pStyle w:val="aa"/>
        <w:rPr>
          <w:rtl/>
        </w:rPr>
      </w:pPr>
      <w:r>
        <w:rPr>
          <w:rStyle w:val="ac"/>
        </w:rPr>
        <w:footnoteRef/>
      </w:r>
      <w:r>
        <w:rPr>
          <w:rtl/>
        </w:rPr>
        <w:t xml:space="preserve"> </w:t>
      </w:r>
      <w:r>
        <w:rPr>
          <w:rtl/>
        </w:rPr>
        <w:tab/>
      </w:r>
      <w:r>
        <w:rPr>
          <w:rFonts w:hint="cs"/>
          <w:rtl/>
        </w:rPr>
        <w:t>ראו למשל במשרד לענייני חוץ וסחר:</w:t>
      </w:r>
    </w:p>
    <w:p w:rsidR="00E55106" w:rsidRPr="00322A92" w:rsidRDefault="00E55106" w:rsidP="003F006F">
      <w:pPr>
        <w:pStyle w:val="aa"/>
        <w:bidi w:val="0"/>
        <w:rPr>
          <w:lang w:val="en-US"/>
        </w:rPr>
      </w:pPr>
      <w:r>
        <w:rPr>
          <w:lang w:val="en-US"/>
        </w:rPr>
        <w:tab/>
        <w:t xml:space="preserve">Australian Government, </w:t>
      </w:r>
      <w:r w:rsidRPr="00322A92">
        <w:rPr>
          <w:lang w:val="en-US"/>
        </w:rPr>
        <w:t>Department of Foreign Affairs and Trade</w:t>
      </w:r>
      <w:r>
        <w:rPr>
          <w:lang w:val="en-US"/>
        </w:rPr>
        <w:t xml:space="preserve">, </w:t>
      </w:r>
      <w:r w:rsidRPr="00322A92">
        <w:rPr>
          <w:lang w:val="en-US"/>
        </w:rPr>
        <w:t>Management, Conduct and Corporate Strategy Section, Conduct and Ethics Unit</w:t>
      </w:r>
      <w:r>
        <w:rPr>
          <w:lang w:val="en-US"/>
        </w:rPr>
        <w:t xml:space="preserve">, </w:t>
      </w:r>
      <w:hyperlink r:id="rId35" w:history="1">
        <w:r w:rsidRPr="001112CA">
          <w:rPr>
            <w:rStyle w:val="Hyperlink"/>
            <w:i/>
            <w:iCs/>
            <w:lang w:val="en-US"/>
          </w:rPr>
          <w:t>Conduct and Ethics Manual</w:t>
        </w:r>
      </w:hyperlink>
      <w:r>
        <w:rPr>
          <w:lang w:val="en-US"/>
        </w:rPr>
        <w:t xml:space="preserve">, </w:t>
      </w:r>
      <w:r w:rsidRPr="00322A92">
        <w:rPr>
          <w:lang w:val="en-US"/>
        </w:rPr>
        <w:t>17 January 2017</w:t>
      </w:r>
      <w:r>
        <w:rPr>
          <w:lang w:val="en-US"/>
        </w:rPr>
        <w:t xml:space="preserve">, </w:t>
      </w:r>
      <w:hyperlink r:id="rId36" w:history="1">
        <w:r w:rsidRPr="001112CA">
          <w:rPr>
            <w:rStyle w:val="Hyperlink"/>
            <w:lang w:val="en-US"/>
          </w:rPr>
          <w:t>Chapter 5: Conflicts of Interests</w:t>
        </w:r>
      </w:hyperlink>
      <w:r>
        <w:rPr>
          <w:lang w:val="en-US"/>
        </w:rPr>
        <w:t>.</w:t>
      </w:r>
    </w:p>
  </w:footnote>
  <w:footnote w:id="141">
    <w:p w:rsidR="00E55106" w:rsidRDefault="00E55106">
      <w:pPr>
        <w:pStyle w:val="aa"/>
        <w:rPr>
          <w:rtl/>
        </w:rPr>
      </w:pPr>
      <w:r>
        <w:rPr>
          <w:rStyle w:val="ac"/>
        </w:rPr>
        <w:footnoteRef/>
      </w:r>
      <w:r>
        <w:rPr>
          <w:rtl/>
        </w:rPr>
        <w:t xml:space="preserve"> </w:t>
      </w:r>
      <w:r>
        <w:rPr>
          <w:rtl/>
        </w:rPr>
        <w:tab/>
      </w:r>
      <w:r>
        <w:rPr>
          <w:rFonts w:hint="cs"/>
          <w:rtl/>
        </w:rPr>
        <w:t xml:space="preserve">עוד יצוין כי </w:t>
      </w:r>
      <w:r w:rsidRPr="00426035">
        <w:rPr>
          <w:rFonts w:hint="eastAsia"/>
          <w:rtl/>
        </w:rPr>
        <w:t>על</w:t>
      </w:r>
      <w:r w:rsidRPr="00426035">
        <w:rPr>
          <w:rtl/>
        </w:rPr>
        <w:t xml:space="preserve"> </w:t>
      </w:r>
      <w:r w:rsidRPr="00426035">
        <w:rPr>
          <w:rFonts w:hint="eastAsia"/>
          <w:rtl/>
        </w:rPr>
        <w:t>עובדי</w:t>
      </w:r>
      <w:r w:rsidRPr="00426035">
        <w:rPr>
          <w:rtl/>
        </w:rPr>
        <w:t xml:space="preserve"> </w:t>
      </w:r>
      <w:r w:rsidRPr="00426035">
        <w:rPr>
          <w:rFonts w:hint="eastAsia"/>
          <w:rtl/>
        </w:rPr>
        <w:t>הפרלמנט</w:t>
      </w:r>
      <w:r w:rsidRPr="00426035">
        <w:rPr>
          <w:rtl/>
        </w:rPr>
        <w:t xml:space="preserve"> </w:t>
      </w:r>
      <w:r w:rsidRPr="00426035">
        <w:rPr>
          <w:rFonts w:hint="eastAsia"/>
          <w:rtl/>
        </w:rPr>
        <w:t>ועל</w:t>
      </w:r>
      <w:r w:rsidRPr="00426035">
        <w:rPr>
          <w:rtl/>
        </w:rPr>
        <w:t xml:space="preserve"> </w:t>
      </w:r>
      <w:r w:rsidRPr="00426035">
        <w:rPr>
          <w:rFonts w:hint="eastAsia"/>
          <w:rtl/>
        </w:rPr>
        <w:t>עובדיהם</w:t>
      </w:r>
      <w:r w:rsidRPr="00426035">
        <w:rPr>
          <w:rtl/>
        </w:rPr>
        <w:t xml:space="preserve"> </w:t>
      </w:r>
      <w:r w:rsidRPr="00426035">
        <w:rPr>
          <w:rFonts w:hint="eastAsia"/>
          <w:rtl/>
        </w:rPr>
        <w:t>של</w:t>
      </w:r>
      <w:r w:rsidRPr="00426035">
        <w:rPr>
          <w:rtl/>
        </w:rPr>
        <w:t xml:space="preserve"> </w:t>
      </w:r>
      <w:r w:rsidRPr="00426035">
        <w:rPr>
          <w:rFonts w:hint="eastAsia"/>
          <w:rtl/>
        </w:rPr>
        <w:t>חברי</w:t>
      </w:r>
      <w:r w:rsidRPr="00426035">
        <w:rPr>
          <w:rtl/>
        </w:rPr>
        <w:t xml:space="preserve"> </w:t>
      </w:r>
      <w:r w:rsidRPr="00426035">
        <w:rPr>
          <w:rFonts w:hint="eastAsia"/>
          <w:rtl/>
        </w:rPr>
        <w:t>הפרלמנט</w:t>
      </w:r>
      <w:r w:rsidRPr="00426035">
        <w:rPr>
          <w:rtl/>
        </w:rPr>
        <w:t xml:space="preserve"> </w:t>
      </w:r>
      <w:r w:rsidRPr="00426035">
        <w:rPr>
          <w:rFonts w:hint="eastAsia"/>
          <w:rtl/>
        </w:rPr>
        <w:t>והשרים</w:t>
      </w:r>
      <w:r w:rsidRPr="007E67ED">
        <w:rPr>
          <w:rtl/>
        </w:rPr>
        <w:t xml:space="preserve"> (עוזרים או יועצים פרלמנטריים) </w:t>
      </w:r>
      <w:r w:rsidRPr="00426035">
        <w:rPr>
          <w:rFonts w:hint="eastAsia"/>
          <w:rtl/>
        </w:rPr>
        <w:t>חלים</w:t>
      </w:r>
      <w:r>
        <w:rPr>
          <w:rFonts w:hint="cs"/>
          <w:rtl/>
        </w:rPr>
        <w:t>,</w:t>
      </w:r>
      <w:r w:rsidRPr="00426035">
        <w:rPr>
          <w:rtl/>
        </w:rPr>
        <w:t xml:space="preserve"> ככלל</w:t>
      </w:r>
      <w:r>
        <w:rPr>
          <w:rFonts w:hint="cs"/>
          <w:rtl/>
        </w:rPr>
        <w:t>,</w:t>
      </w:r>
      <w:r w:rsidRPr="00426035">
        <w:rPr>
          <w:rtl/>
        </w:rPr>
        <w:t xml:space="preserve"> הסדרים דומים לאלה החלים על עובדי השירות הציבורי</w:t>
      </w:r>
      <w:r w:rsidRPr="007E67ED">
        <w:rPr>
          <w:rtl/>
        </w:rPr>
        <w:t xml:space="preserve">, ובהם החובה לדווח על אינטרסים אישיים ממשיים ולנקוט צעדים סבירים כדי להימנע מניגוד בין אינטרסים אלה לבין העסקתם. </w:t>
      </w:r>
      <w:r w:rsidRPr="007E67ED">
        <w:rPr>
          <w:rFonts w:hint="eastAsia"/>
          <w:rtl/>
        </w:rPr>
        <w:t>עם</w:t>
      </w:r>
      <w:r w:rsidRPr="007E67ED">
        <w:rPr>
          <w:rtl/>
        </w:rPr>
        <w:t xml:space="preserve"> זאת, </w:t>
      </w:r>
      <w:r w:rsidRPr="00426035">
        <w:rPr>
          <w:rFonts w:hint="eastAsia"/>
          <w:rtl/>
        </w:rPr>
        <w:t>לא</w:t>
      </w:r>
      <w:r w:rsidRPr="00426035">
        <w:rPr>
          <w:rtl/>
        </w:rPr>
        <w:t xml:space="preserve"> מצאנו מידע על פרטי </w:t>
      </w:r>
      <w:r w:rsidRPr="00426035">
        <w:rPr>
          <w:rFonts w:hint="eastAsia"/>
          <w:rtl/>
        </w:rPr>
        <w:t>ההסדרים</w:t>
      </w:r>
      <w:r w:rsidRPr="00426035">
        <w:rPr>
          <w:rtl/>
        </w:rPr>
        <w:t xml:space="preserve"> </w:t>
      </w:r>
      <w:r w:rsidRPr="00426035">
        <w:rPr>
          <w:rFonts w:hint="eastAsia"/>
          <w:rtl/>
        </w:rPr>
        <w:t>הספציפיים</w:t>
      </w:r>
      <w:r w:rsidRPr="00426035">
        <w:rPr>
          <w:rtl/>
        </w:rPr>
        <w:t xml:space="preserve"> </w:t>
      </w:r>
      <w:r w:rsidRPr="00426035">
        <w:rPr>
          <w:rFonts w:hint="eastAsia"/>
          <w:rtl/>
        </w:rPr>
        <w:t>החלים</w:t>
      </w:r>
      <w:r w:rsidRPr="00426035">
        <w:rPr>
          <w:rtl/>
        </w:rPr>
        <w:t xml:space="preserve"> על עובדים אלה</w:t>
      </w:r>
      <w:r w:rsidRPr="00711734">
        <w:rPr>
          <w:b/>
          <w:bCs/>
          <w:rtl/>
        </w:rPr>
        <w:t xml:space="preserve"> </w:t>
      </w:r>
      <w:r w:rsidRPr="00711734">
        <w:rPr>
          <w:rFonts w:hint="eastAsia"/>
          <w:rtl/>
        </w:rPr>
        <w:t>והם</w:t>
      </w:r>
      <w:r w:rsidRPr="00711734">
        <w:rPr>
          <w:rtl/>
        </w:rPr>
        <w:t xml:space="preserve"> </w:t>
      </w:r>
      <w:r w:rsidRPr="00711734">
        <w:rPr>
          <w:rFonts w:hint="eastAsia"/>
          <w:rtl/>
        </w:rPr>
        <w:t>לא</w:t>
      </w:r>
      <w:r w:rsidRPr="00711734">
        <w:rPr>
          <w:rtl/>
        </w:rPr>
        <w:t xml:space="preserve"> </w:t>
      </w:r>
      <w:r w:rsidRPr="00711734">
        <w:rPr>
          <w:rFonts w:hint="eastAsia"/>
          <w:rtl/>
        </w:rPr>
        <w:t>ייסקרו</w:t>
      </w:r>
      <w:r w:rsidRPr="00711734">
        <w:rPr>
          <w:rtl/>
        </w:rPr>
        <w:t xml:space="preserve"> </w:t>
      </w:r>
      <w:r w:rsidRPr="00711734">
        <w:rPr>
          <w:rFonts w:hint="eastAsia"/>
          <w:rtl/>
        </w:rPr>
        <w:t>במסגרת</w:t>
      </w:r>
      <w:r w:rsidRPr="00711734">
        <w:rPr>
          <w:rtl/>
        </w:rPr>
        <w:t xml:space="preserve"> </w:t>
      </w:r>
      <w:r w:rsidRPr="00711734">
        <w:rPr>
          <w:rFonts w:hint="eastAsia"/>
          <w:rtl/>
        </w:rPr>
        <w:t>המסמך</w:t>
      </w:r>
      <w:r w:rsidRPr="00711734">
        <w:rPr>
          <w:rFonts w:hint="cs"/>
          <w:rtl/>
        </w:rPr>
        <w:t>.</w:t>
      </w:r>
      <w:r>
        <w:rPr>
          <w:rFonts w:hint="cs"/>
          <w:rtl/>
        </w:rPr>
        <w:t xml:space="preserve"> ראו:</w:t>
      </w:r>
    </w:p>
    <w:p w:rsidR="00E55106" w:rsidRDefault="00E55106" w:rsidP="00CA4E53">
      <w:pPr>
        <w:pStyle w:val="aa"/>
        <w:numPr>
          <w:ilvl w:val="0"/>
          <w:numId w:val="15"/>
        </w:numPr>
        <w:tabs>
          <w:tab w:val="clear" w:pos="210"/>
        </w:tabs>
        <w:bidi w:val="0"/>
        <w:ind w:left="454" w:hanging="227"/>
        <w:rPr>
          <w:lang w:val="en-US"/>
        </w:rPr>
      </w:pPr>
      <w:r>
        <w:rPr>
          <w:lang w:val="en-US"/>
        </w:rPr>
        <w:t xml:space="preserve">§13, </w:t>
      </w:r>
      <w:hyperlink r:id="rId37" w:history="1">
        <w:r w:rsidRPr="00AD43BC">
          <w:rPr>
            <w:rStyle w:val="Hyperlink"/>
            <w:lang w:val="en-US"/>
          </w:rPr>
          <w:t>Parliamentary Service Act 1999</w:t>
        </w:r>
      </w:hyperlink>
      <w:r>
        <w:rPr>
          <w:lang w:val="en-US"/>
        </w:rPr>
        <w:t>;</w:t>
      </w:r>
    </w:p>
    <w:p w:rsidR="00E55106" w:rsidRDefault="00E55106" w:rsidP="00CA4E53">
      <w:pPr>
        <w:pStyle w:val="aa"/>
        <w:numPr>
          <w:ilvl w:val="0"/>
          <w:numId w:val="15"/>
        </w:numPr>
        <w:tabs>
          <w:tab w:val="clear" w:pos="210"/>
        </w:tabs>
        <w:bidi w:val="0"/>
        <w:ind w:left="454" w:hanging="227"/>
        <w:rPr>
          <w:lang w:val="en-US"/>
        </w:rPr>
      </w:pPr>
      <w:hyperlink r:id="rId38" w:history="1">
        <w:r w:rsidRPr="00287953">
          <w:rPr>
            <w:rStyle w:val="Hyperlink"/>
            <w:lang w:val="en-US"/>
          </w:rPr>
          <w:t>Statement of Standards for Ministerial Staff</w:t>
        </w:r>
      </w:hyperlink>
      <w:r>
        <w:rPr>
          <w:lang w:val="en-US"/>
        </w:rPr>
        <w:t xml:space="preserve">, </w:t>
      </w:r>
      <w:r w:rsidRPr="00287953">
        <w:rPr>
          <w:lang w:val="en-US"/>
        </w:rPr>
        <w:t>Special Minister of State</w:t>
      </w:r>
      <w:r>
        <w:rPr>
          <w:lang w:val="en-US"/>
        </w:rPr>
        <w:t xml:space="preserve"> website, viewed: 9 February 2017;</w:t>
      </w:r>
    </w:p>
    <w:p w:rsidR="00E55106" w:rsidRPr="00287953" w:rsidRDefault="00E55106" w:rsidP="00CA4E53">
      <w:pPr>
        <w:pStyle w:val="aa"/>
        <w:numPr>
          <w:ilvl w:val="0"/>
          <w:numId w:val="15"/>
        </w:numPr>
        <w:tabs>
          <w:tab w:val="clear" w:pos="210"/>
        </w:tabs>
        <w:bidi w:val="0"/>
        <w:ind w:left="454" w:hanging="227"/>
        <w:rPr>
          <w:lang w:val="en-US"/>
        </w:rPr>
      </w:pPr>
      <w:r w:rsidRPr="00287953">
        <w:rPr>
          <w:lang w:val="en-US"/>
        </w:rPr>
        <w:t>Australian Law Reform Commission</w:t>
      </w:r>
      <w:r>
        <w:rPr>
          <w:lang w:val="en-US"/>
        </w:rPr>
        <w:t xml:space="preserve"> (ALRC), </w:t>
      </w:r>
      <w:hyperlink r:id="rId39" w:history="1">
        <w:r w:rsidRPr="00AD43BC">
          <w:rPr>
            <w:rStyle w:val="Hyperlink"/>
            <w:lang w:val="en-US"/>
          </w:rPr>
          <w:t>Secrecy Laws and Open Government in Australia</w:t>
        </w:r>
      </w:hyperlink>
      <w:r w:rsidRPr="00287953">
        <w:rPr>
          <w:lang w:val="en-US"/>
        </w:rPr>
        <w:t xml:space="preserve"> (ALRC Report 112)</w:t>
      </w:r>
      <w:r>
        <w:rPr>
          <w:lang w:val="en-US"/>
        </w:rPr>
        <w:t xml:space="preserve">, Chapter 13, §§13.30-13.40. </w:t>
      </w:r>
    </w:p>
  </w:footnote>
  <w:footnote w:id="142">
    <w:p w:rsidR="00E55106" w:rsidRPr="00783182" w:rsidRDefault="00E55106" w:rsidP="00C45087">
      <w:pPr>
        <w:pStyle w:val="aa"/>
        <w:bidi w:val="0"/>
        <w:rPr>
          <w:lang w:val="en-US"/>
        </w:rPr>
      </w:pPr>
      <w:r>
        <w:rPr>
          <w:rStyle w:val="ac"/>
        </w:rPr>
        <w:footnoteRef/>
      </w:r>
      <w:r>
        <w:rPr>
          <w:rtl/>
        </w:rPr>
        <w:t xml:space="preserve"> </w:t>
      </w:r>
      <w:r>
        <w:rPr>
          <w:lang w:val="en-US"/>
        </w:rPr>
        <w:t xml:space="preserve">§10, </w:t>
      </w:r>
      <w:hyperlink r:id="rId40" w:history="1">
        <w:r w:rsidRPr="004C372E">
          <w:rPr>
            <w:rStyle w:val="Hyperlink"/>
          </w:rPr>
          <w:t>Public Service Ac</w:t>
        </w:r>
        <w:r>
          <w:rPr>
            <w:rStyle w:val="Hyperlink"/>
            <w:lang w:val="en-US"/>
          </w:rPr>
          <w:t>t 1999</w:t>
        </w:r>
      </w:hyperlink>
      <w:r>
        <w:t>.</w:t>
      </w:r>
    </w:p>
  </w:footnote>
  <w:footnote w:id="143">
    <w:p w:rsidR="00E55106" w:rsidRPr="00B914C3" w:rsidRDefault="00E55106" w:rsidP="00C45087">
      <w:pPr>
        <w:pStyle w:val="aa"/>
        <w:bidi w:val="0"/>
        <w:rPr>
          <w:lang w:val="en-US"/>
        </w:rPr>
      </w:pPr>
      <w:r>
        <w:rPr>
          <w:rStyle w:val="ac"/>
        </w:rPr>
        <w:footnoteRef/>
      </w:r>
      <w:r>
        <w:rPr>
          <w:rtl/>
        </w:rPr>
        <w:t xml:space="preserve"> </w:t>
      </w:r>
      <w:r>
        <w:rPr>
          <w:lang w:val="en-US"/>
        </w:rPr>
        <w:t xml:space="preserve">§13, </w:t>
      </w:r>
      <w:hyperlink r:id="rId41" w:history="1">
        <w:r w:rsidRPr="004C372E">
          <w:rPr>
            <w:rStyle w:val="Hyperlink"/>
          </w:rPr>
          <w:t>Public Service Ac</w:t>
        </w:r>
        <w:r>
          <w:rPr>
            <w:rStyle w:val="Hyperlink"/>
            <w:lang w:val="en-US"/>
          </w:rPr>
          <w:t>t 1999</w:t>
        </w:r>
      </w:hyperlink>
      <w:r>
        <w:t>.</w:t>
      </w:r>
    </w:p>
  </w:footnote>
  <w:footnote w:id="144">
    <w:p w:rsidR="00E55106" w:rsidRPr="0056064F" w:rsidRDefault="00E55106" w:rsidP="00C45087">
      <w:pPr>
        <w:pStyle w:val="aa"/>
        <w:bidi w:val="0"/>
        <w:rPr>
          <w:lang w:val="en-US"/>
        </w:rPr>
      </w:pPr>
      <w:r>
        <w:rPr>
          <w:rStyle w:val="ac"/>
        </w:rPr>
        <w:footnoteRef/>
      </w:r>
      <w:r>
        <w:rPr>
          <w:rtl/>
        </w:rPr>
        <w:t xml:space="preserve"> </w:t>
      </w:r>
      <w:r>
        <w:rPr>
          <w:lang w:val="en-US"/>
        </w:rPr>
        <w:t xml:space="preserve">§29, </w:t>
      </w:r>
      <w:hyperlink r:id="rId42" w:history="1">
        <w:r w:rsidRPr="004C372E">
          <w:rPr>
            <w:rStyle w:val="Hyperlink"/>
            <w:lang w:val="en-US"/>
          </w:rPr>
          <w:t>Public Governance, Performance and Accountability Act 2013</w:t>
        </w:r>
      </w:hyperlink>
      <w:r>
        <w:rPr>
          <w:lang w:val="en-US"/>
        </w:rPr>
        <w:t>.</w:t>
      </w:r>
    </w:p>
  </w:footnote>
  <w:footnote w:id="145">
    <w:p w:rsidR="00E55106" w:rsidRPr="003621E2" w:rsidRDefault="00E55106" w:rsidP="00F96062">
      <w:pPr>
        <w:pStyle w:val="aa"/>
        <w:bidi w:val="0"/>
        <w:rPr>
          <w:lang w:val="en-US"/>
        </w:rPr>
      </w:pPr>
      <w:r>
        <w:rPr>
          <w:rStyle w:val="ac"/>
        </w:rPr>
        <w:footnoteRef/>
      </w:r>
      <w:r>
        <w:rPr>
          <w:rtl/>
        </w:rPr>
        <w:t xml:space="preserve"> </w:t>
      </w:r>
      <w:r>
        <w:rPr>
          <w:lang w:val="en-US"/>
        </w:rPr>
        <w:t xml:space="preserve">Section 5, </w:t>
      </w:r>
      <w:hyperlink r:id="rId43" w:history="1">
        <w:r w:rsidRPr="00C10BC8">
          <w:rPr>
            <w:rStyle w:val="Hyperlink"/>
            <w:lang w:val="en-US"/>
          </w:rPr>
          <w:t>APS Values and Code of Conduct in Practice</w:t>
        </w:r>
      </w:hyperlink>
      <w:r>
        <w:rPr>
          <w:lang w:val="en-US"/>
        </w:rPr>
        <w:t xml:space="preserve">, supra note </w:t>
      </w:r>
      <w:r>
        <w:rPr>
          <w:lang w:val="en-US"/>
        </w:rPr>
        <w:fldChar w:fldCharType="begin"/>
      </w:r>
      <w:r>
        <w:rPr>
          <w:lang w:val="en-US"/>
        </w:rPr>
        <w:instrText xml:space="preserve"> NOTEREF _Ref473626548 \h </w:instrText>
      </w:r>
      <w:r>
        <w:rPr>
          <w:lang w:val="en-US"/>
        </w:rPr>
      </w:r>
      <w:r>
        <w:rPr>
          <w:lang w:val="en-US"/>
        </w:rPr>
        <w:fldChar w:fldCharType="separate"/>
      </w:r>
      <w:r w:rsidR="00E306B5">
        <w:rPr>
          <w:lang w:val="en-US"/>
        </w:rPr>
        <w:t>138</w:t>
      </w:r>
      <w:r>
        <w:rPr>
          <w:lang w:val="en-US"/>
        </w:rPr>
        <w:fldChar w:fldCharType="end"/>
      </w:r>
      <w:r>
        <w:rPr>
          <w:lang w:val="en-US"/>
        </w:rPr>
        <w:t>.</w:t>
      </w:r>
    </w:p>
  </w:footnote>
  <w:footnote w:id="146">
    <w:p w:rsidR="00E55106" w:rsidRDefault="00E55106" w:rsidP="00426035">
      <w:pPr>
        <w:pStyle w:val="aa"/>
        <w:rPr>
          <w:rtl/>
        </w:rPr>
      </w:pPr>
      <w:r>
        <w:rPr>
          <w:rStyle w:val="ac"/>
        </w:rPr>
        <w:footnoteRef/>
      </w:r>
      <w:r>
        <w:rPr>
          <w:rtl/>
        </w:rPr>
        <w:t xml:space="preserve"> </w:t>
      </w:r>
      <w:r>
        <w:rPr>
          <w:rtl/>
        </w:rPr>
        <w:tab/>
      </w:r>
      <w:r w:rsidRPr="006F4806">
        <w:rPr>
          <w:rFonts w:hint="cs"/>
          <w:b/>
          <w:bCs/>
          <w:rtl/>
        </w:rPr>
        <w:t xml:space="preserve">ניגוד אינטרסים </w:t>
      </w:r>
      <w:r>
        <w:rPr>
          <w:rFonts w:hint="cs"/>
          <w:b/>
          <w:bCs/>
          <w:rtl/>
        </w:rPr>
        <w:t>ממשי</w:t>
      </w:r>
      <w:r>
        <w:rPr>
          <w:rFonts w:hint="cs"/>
          <w:rtl/>
        </w:rPr>
        <w:t xml:space="preserve"> מתרחש כאשר יש ניגוד בין החובה הציבורית לאינטרסים הפרטיים של העובד, אשר משפיע בצורה בלתי הולמת על העובד בביצוע חובותיו. </w:t>
      </w:r>
      <w:r w:rsidRPr="006F4806">
        <w:rPr>
          <w:rFonts w:hint="cs"/>
          <w:b/>
          <w:bCs/>
          <w:rtl/>
        </w:rPr>
        <w:t xml:space="preserve">ניגוד אינטרסים </w:t>
      </w:r>
      <w:r>
        <w:rPr>
          <w:rFonts w:hint="cs"/>
          <w:b/>
          <w:bCs/>
          <w:rtl/>
        </w:rPr>
        <w:t>למראית עין</w:t>
      </w:r>
      <w:r>
        <w:rPr>
          <w:rFonts w:hint="cs"/>
          <w:rtl/>
        </w:rPr>
        <w:t xml:space="preserve"> (</w:t>
      </w:r>
      <w:r>
        <w:rPr>
          <w:lang w:val="en-US"/>
        </w:rPr>
        <w:t>apparent conflict of interest</w:t>
      </w:r>
      <w:r>
        <w:rPr>
          <w:rFonts w:hint="cs"/>
          <w:rtl/>
        </w:rPr>
        <w:t xml:space="preserve">) מתרחש כאשר נראה שאינטרס פרטי של העובד עלול להשפיע בצורה בלתי הולמת על ביצוע חובותיו של העובד גם כאשר הדבר אינו כך. לפי ההנחיות, </w:t>
      </w:r>
      <w:r w:rsidRPr="00384E5A">
        <w:rPr>
          <w:rFonts w:hint="cs"/>
          <w:b/>
          <w:bCs/>
          <w:rtl/>
        </w:rPr>
        <w:t>מראית עין של ניגוד עניינים עלול</w:t>
      </w:r>
      <w:r>
        <w:rPr>
          <w:rFonts w:hint="cs"/>
          <w:b/>
          <w:bCs/>
          <w:rtl/>
        </w:rPr>
        <w:t>ה</w:t>
      </w:r>
      <w:r w:rsidRPr="00384E5A">
        <w:rPr>
          <w:rFonts w:hint="cs"/>
          <w:b/>
          <w:bCs/>
          <w:rtl/>
        </w:rPr>
        <w:t xml:space="preserve"> להיות מזיק</w:t>
      </w:r>
      <w:r>
        <w:rPr>
          <w:rFonts w:hint="cs"/>
          <w:b/>
          <w:bCs/>
          <w:rtl/>
        </w:rPr>
        <w:t>ה</w:t>
      </w:r>
      <w:r w:rsidRPr="00384E5A">
        <w:rPr>
          <w:rFonts w:hint="cs"/>
          <w:b/>
          <w:bCs/>
          <w:rtl/>
        </w:rPr>
        <w:t xml:space="preserve"> לא פחות</w:t>
      </w:r>
      <w:r>
        <w:rPr>
          <w:rFonts w:hint="cs"/>
          <w:rtl/>
        </w:rPr>
        <w:t xml:space="preserve"> מבחינת אמון הציבור במינהל הציבורי מאשר ניגוד עניינים ממשי המבוסס על עובדות אובייקטיביות. </w:t>
      </w:r>
    </w:p>
  </w:footnote>
  <w:footnote w:id="147">
    <w:p w:rsidR="00E55106" w:rsidRPr="000A25B2" w:rsidRDefault="00E55106" w:rsidP="00A7027A">
      <w:pPr>
        <w:pStyle w:val="aa"/>
        <w:bidi w:val="0"/>
        <w:rPr>
          <w:lang w:val="en-US"/>
        </w:rPr>
      </w:pPr>
      <w:r>
        <w:rPr>
          <w:rStyle w:val="ac"/>
        </w:rPr>
        <w:footnoteRef/>
      </w:r>
      <w:r>
        <w:rPr>
          <w:rtl/>
        </w:rPr>
        <w:t xml:space="preserve"> </w:t>
      </w:r>
      <w:r>
        <w:rPr>
          <w:lang w:val="en-US"/>
        </w:rPr>
        <w:t xml:space="preserve">Section 5.2, </w:t>
      </w:r>
      <w:hyperlink r:id="rId44" w:history="1">
        <w:r w:rsidRPr="00C10BC8">
          <w:rPr>
            <w:rStyle w:val="Hyperlink"/>
            <w:lang w:val="en-US"/>
          </w:rPr>
          <w:t>APS Values and Code of Conduct in Practice</w:t>
        </w:r>
      </w:hyperlink>
      <w:r>
        <w:rPr>
          <w:lang w:val="en-US"/>
        </w:rPr>
        <w:t xml:space="preserve">, supra note </w:t>
      </w:r>
      <w:r>
        <w:rPr>
          <w:lang w:val="en-US"/>
        </w:rPr>
        <w:fldChar w:fldCharType="begin"/>
      </w:r>
      <w:r>
        <w:rPr>
          <w:lang w:val="en-US"/>
        </w:rPr>
        <w:instrText xml:space="preserve"> NOTEREF _Ref473626548 \h </w:instrText>
      </w:r>
      <w:r>
        <w:rPr>
          <w:lang w:val="en-US"/>
        </w:rPr>
      </w:r>
      <w:r>
        <w:rPr>
          <w:lang w:val="en-US"/>
        </w:rPr>
        <w:fldChar w:fldCharType="separate"/>
      </w:r>
      <w:r w:rsidR="00E306B5">
        <w:rPr>
          <w:lang w:val="en-US"/>
        </w:rPr>
        <w:t>138</w:t>
      </w:r>
      <w:r>
        <w:rPr>
          <w:lang w:val="en-US"/>
        </w:rPr>
        <w:fldChar w:fldCharType="end"/>
      </w:r>
      <w:r>
        <w:rPr>
          <w:lang w:val="en-US"/>
        </w:rPr>
        <w:t>.</w:t>
      </w:r>
    </w:p>
  </w:footnote>
  <w:footnote w:id="148">
    <w:p w:rsidR="00E55106" w:rsidRDefault="00E55106">
      <w:pPr>
        <w:pStyle w:val="aa"/>
        <w:rPr>
          <w:rtl/>
        </w:rPr>
      </w:pPr>
      <w:r>
        <w:rPr>
          <w:rStyle w:val="ac"/>
        </w:rPr>
        <w:footnoteRef/>
      </w:r>
      <w:r>
        <w:rPr>
          <w:rtl/>
        </w:rPr>
        <w:t xml:space="preserve"> </w:t>
      </w:r>
      <w:r>
        <w:rPr>
          <w:rtl/>
        </w:rPr>
        <w:tab/>
      </w:r>
      <w:r>
        <w:rPr>
          <w:rFonts w:hint="cs"/>
          <w:rtl/>
        </w:rPr>
        <w:t>אין פרטים נוספים על אופן התיעוד.</w:t>
      </w:r>
    </w:p>
  </w:footnote>
  <w:footnote w:id="149">
    <w:p w:rsidR="00E55106" w:rsidRDefault="00E55106" w:rsidP="00B37911">
      <w:pPr>
        <w:pStyle w:val="aa"/>
        <w:rPr>
          <w:rtl/>
        </w:rPr>
      </w:pPr>
      <w:r>
        <w:rPr>
          <w:rStyle w:val="ac"/>
        </w:rPr>
        <w:footnoteRef/>
      </w:r>
      <w:r>
        <w:rPr>
          <w:rtl/>
        </w:rPr>
        <w:t xml:space="preserve"> </w:t>
      </w:r>
      <w:r>
        <w:rPr>
          <w:rtl/>
        </w:rPr>
        <w:tab/>
      </w:r>
      <w:r>
        <w:rPr>
          <w:rFonts w:hint="cs"/>
          <w:rtl/>
        </w:rPr>
        <w:t xml:space="preserve">לפי ההנחיות, </w:t>
      </w:r>
      <w:r w:rsidRPr="005C3A85">
        <w:rPr>
          <w:rFonts w:hint="cs"/>
          <w:b/>
          <w:bCs/>
          <w:rtl/>
        </w:rPr>
        <w:t>משפחה קרובה</w:t>
      </w:r>
      <w:r>
        <w:rPr>
          <w:rFonts w:hint="cs"/>
          <w:rtl/>
        </w:rPr>
        <w:t xml:space="preserve"> כוללת בני ובנות זוג וילדים ועשוי לכלול גם קרובים אחרים (ואפילו חברים) המתגוררים עם העובד או שיש לו מערכת יחסים </w:t>
      </w:r>
      <w:r w:rsidRPr="00041950">
        <w:rPr>
          <w:rFonts w:hint="cs"/>
          <w:rtl/>
        </w:rPr>
        <w:t>של תלות איתם (</w:t>
      </w:r>
      <w:r w:rsidRPr="00041950">
        <w:rPr>
          <w:lang w:val="en-US"/>
        </w:rPr>
        <w:t>with whom the employee has a dependent relationship</w:t>
      </w:r>
      <w:r w:rsidRPr="00041950">
        <w:rPr>
          <w:rFonts w:hint="cs"/>
          <w:rtl/>
        </w:rPr>
        <w:t>).</w:t>
      </w:r>
      <w:r>
        <w:rPr>
          <w:rFonts w:hint="cs"/>
          <w:rtl/>
        </w:rPr>
        <w:t xml:space="preserve"> ראו:</w:t>
      </w:r>
    </w:p>
    <w:p w:rsidR="00E55106" w:rsidRPr="00B37911" w:rsidRDefault="00E55106" w:rsidP="00B37911">
      <w:pPr>
        <w:pStyle w:val="aa"/>
        <w:bidi w:val="0"/>
        <w:rPr>
          <w:lang w:val="en-US"/>
        </w:rPr>
      </w:pPr>
      <w:r>
        <w:rPr>
          <w:rtl/>
        </w:rPr>
        <w:tab/>
      </w:r>
      <w:r>
        <w:rPr>
          <w:lang w:val="en-US"/>
        </w:rPr>
        <w:t xml:space="preserve">Section 5.2.22, </w:t>
      </w:r>
      <w:hyperlink r:id="rId45" w:history="1">
        <w:r w:rsidRPr="00C10BC8">
          <w:rPr>
            <w:rStyle w:val="Hyperlink"/>
            <w:lang w:val="en-US"/>
          </w:rPr>
          <w:t>APS Values and Code of Conduct in Practice</w:t>
        </w:r>
      </w:hyperlink>
      <w:r>
        <w:rPr>
          <w:lang w:val="en-US"/>
        </w:rPr>
        <w:t xml:space="preserve">, supra note </w:t>
      </w:r>
      <w:r>
        <w:rPr>
          <w:lang w:val="en-US"/>
        </w:rPr>
        <w:fldChar w:fldCharType="begin"/>
      </w:r>
      <w:r>
        <w:rPr>
          <w:lang w:val="en-US"/>
        </w:rPr>
        <w:instrText xml:space="preserve"> NOTEREF _Ref473626548 \h </w:instrText>
      </w:r>
      <w:r>
        <w:rPr>
          <w:lang w:val="en-US"/>
        </w:rPr>
      </w:r>
      <w:r>
        <w:rPr>
          <w:lang w:val="en-US"/>
        </w:rPr>
        <w:fldChar w:fldCharType="separate"/>
      </w:r>
      <w:r w:rsidR="00E306B5">
        <w:rPr>
          <w:lang w:val="en-US"/>
        </w:rPr>
        <w:t>138</w:t>
      </w:r>
      <w:r>
        <w:rPr>
          <w:lang w:val="en-US"/>
        </w:rPr>
        <w:fldChar w:fldCharType="end"/>
      </w:r>
      <w:r>
        <w:rPr>
          <w:lang w:val="en-US"/>
        </w:rPr>
        <w:t>.</w:t>
      </w:r>
    </w:p>
  </w:footnote>
  <w:footnote w:id="150">
    <w:p w:rsidR="00E55106" w:rsidRPr="00837FB7" w:rsidRDefault="00E55106" w:rsidP="00837FB7">
      <w:pPr>
        <w:pStyle w:val="aa"/>
        <w:rPr>
          <w:rtl/>
          <w:lang w:val="en-US"/>
        </w:rPr>
      </w:pPr>
      <w:r>
        <w:rPr>
          <w:rStyle w:val="ac"/>
        </w:rPr>
        <w:footnoteRef/>
      </w:r>
      <w:r>
        <w:rPr>
          <w:rtl/>
        </w:rPr>
        <w:t xml:space="preserve"> </w:t>
      </w:r>
      <w:r>
        <w:rPr>
          <w:rtl/>
        </w:rPr>
        <w:tab/>
      </w:r>
      <w:r>
        <w:rPr>
          <w:rFonts w:hint="cs"/>
          <w:rtl/>
        </w:rPr>
        <w:t>באתר הנציבות מצוין כי סוגי האינטרסים ומערכות היחסים שיש לגלות עשויים לכלול: השקעות בנדל"ן; החזקת במניות ובנאמנויות; חברות בדירקטוריון של חברה או שותפות בה; מעורבות בקרנות פנסיה בניהול עצמי; מקורות הכנסה משמעותיים נוספים; התחייבויות כספיות משמעותיות; מתנות; עסקים פרטיים; פעילות וולונטרית; קשרים חברתיים או אישיים שעשויים להשפיע על המחויבויות כעובד ציבור.</w:t>
      </w:r>
    </w:p>
    <w:p w:rsidR="00E55106" w:rsidRDefault="00E55106" w:rsidP="00837FB7">
      <w:pPr>
        <w:pStyle w:val="aa"/>
        <w:bidi w:val="0"/>
        <w:rPr>
          <w:lang w:val="en-US"/>
        </w:rPr>
      </w:pPr>
      <w:r>
        <w:rPr>
          <w:rtl/>
        </w:rPr>
        <w:tab/>
      </w:r>
      <w:r w:rsidRPr="001D675C">
        <w:t>The types of interests and relationships that may need to be disclosed include real estate investments, shareholdings, trusts or nominee companies, company directorships or partnerships, involvement in self-managed superannuation funds, other significant sources of income, significant liabilities, gifts, private business, employment, voluntary activities, social or personal relationships that could or could be seen to impact upon your responsibilities</w:t>
      </w:r>
      <w:r>
        <w:rPr>
          <w:lang w:val="en-US"/>
        </w:rPr>
        <w:t xml:space="preserve">. </w:t>
      </w:r>
    </w:p>
    <w:p w:rsidR="00E55106" w:rsidRPr="001D675C" w:rsidRDefault="00E55106" w:rsidP="00837FB7">
      <w:pPr>
        <w:pStyle w:val="aa"/>
        <w:bidi w:val="0"/>
        <w:rPr>
          <w:lang w:val="en-US"/>
        </w:rPr>
      </w:pPr>
      <w:r>
        <w:rPr>
          <w:lang w:val="en-US"/>
        </w:rPr>
        <w:tab/>
        <w:t xml:space="preserve">See: APSC website, at: </w:t>
      </w:r>
      <w:hyperlink r:id="rId46" w:history="1">
        <w:r w:rsidRPr="00AF25E4">
          <w:rPr>
            <w:rStyle w:val="Hyperlink"/>
            <w:lang w:val="en-US"/>
          </w:rPr>
          <w:t>Declaration of interests</w:t>
        </w:r>
      </w:hyperlink>
      <w:r>
        <w:rPr>
          <w:lang w:val="en-US"/>
        </w:rPr>
        <w:t>, viewed: 31 January 2017.</w:t>
      </w:r>
    </w:p>
  </w:footnote>
  <w:footnote w:id="151">
    <w:p w:rsidR="00E55106" w:rsidRDefault="00E55106">
      <w:pPr>
        <w:pStyle w:val="aa"/>
      </w:pPr>
      <w:r>
        <w:rPr>
          <w:rStyle w:val="ac"/>
        </w:rPr>
        <w:footnoteRef/>
      </w:r>
      <w:r>
        <w:rPr>
          <w:rtl/>
        </w:rPr>
        <w:t xml:space="preserve"> </w:t>
      </w:r>
      <w:r>
        <w:rPr>
          <w:rtl/>
        </w:rPr>
        <w:tab/>
      </w:r>
      <w:r>
        <w:rPr>
          <w:rFonts w:hint="cs"/>
          <w:rtl/>
        </w:rPr>
        <w:t xml:space="preserve">להגדרת משפחה קרובה, ראו לעיל הערה </w:t>
      </w:r>
      <w:r>
        <w:rPr>
          <w:rtl/>
        </w:rPr>
        <w:fldChar w:fldCharType="begin"/>
      </w:r>
      <w:r>
        <w:rPr>
          <w:rtl/>
        </w:rPr>
        <w:instrText xml:space="preserve"> </w:instrText>
      </w:r>
      <w:r>
        <w:rPr>
          <w:rFonts w:hint="cs"/>
        </w:rPr>
        <w:instrText>NOTEREF</w:instrText>
      </w:r>
      <w:r>
        <w:rPr>
          <w:rFonts w:hint="cs"/>
          <w:rtl/>
        </w:rPr>
        <w:instrText xml:space="preserve"> _</w:instrText>
      </w:r>
      <w:r>
        <w:rPr>
          <w:rFonts w:hint="cs"/>
        </w:rPr>
        <w:instrText>Ref473642680 \h</w:instrText>
      </w:r>
      <w:r>
        <w:rPr>
          <w:rtl/>
        </w:rPr>
        <w:instrText xml:space="preserve"> </w:instrText>
      </w:r>
      <w:r>
        <w:rPr>
          <w:rtl/>
        </w:rPr>
      </w:r>
      <w:r>
        <w:rPr>
          <w:rtl/>
        </w:rPr>
        <w:fldChar w:fldCharType="separate"/>
      </w:r>
      <w:r w:rsidR="00E306B5">
        <w:rPr>
          <w:rtl/>
        </w:rPr>
        <w:t>149</w:t>
      </w:r>
      <w:r>
        <w:rPr>
          <w:rtl/>
        </w:rPr>
        <w:fldChar w:fldCharType="end"/>
      </w:r>
      <w:r>
        <w:rPr>
          <w:rFonts w:hint="cs"/>
          <w:rtl/>
        </w:rPr>
        <w:t>.</w:t>
      </w:r>
    </w:p>
  </w:footnote>
  <w:footnote w:id="152">
    <w:p w:rsidR="00E55106" w:rsidRDefault="00E55106">
      <w:pPr>
        <w:pStyle w:val="aa"/>
        <w:rPr>
          <w:rtl/>
        </w:rPr>
      </w:pPr>
      <w:r>
        <w:rPr>
          <w:rStyle w:val="ac"/>
        </w:rPr>
        <w:footnoteRef/>
      </w:r>
      <w:r>
        <w:rPr>
          <w:rtl/>
        </w:rPr>
        <w:t xml:space="preserve"> </w:t>
      </w:r>
      <w:r>
        <w:rPr>
          <w:rtl/>
        </w:rPr>
        <w:tab/>
      </w:r>
      <w:r>
        <w:rPr>
          <w:rFonts w:hint="cs"/>
          <w:rtl/>
        </w:rPr>
        <w:t>יצוין, כי ככלל, מסירת מידע אישי על בן משפחה מחייבת השגת הסכמתו לפי חוק הפרטיות. אם לא ניתנת הסכמה כזו, על העובד לשוחח על כך עם מנהל הרשות בה הוא עובד ומנהל הרשות יקבע כיצד לפעול.</w:t>
      </w:r>
    </w:p>
  </w:footnote>
  <w:footnote w:id="153">
    <w:p w:rsidR="00E55106" w:rsidRPr="000D1A5B" w:rsidRDefault="00E55106" w:rsidP="000D1A5B">
      <w:pPr>
        <w:pStyle w:val="aa"/>
        <w:bidi w:val="0"/>
        <w:rPr>
          <w:lang w:val="en-US"/>
        </w:rPr>
      </w:pPr>
      <w:r>
        <w:rPr>
          <w:rStyle w:val="ac"/>
        </w:rPr>
        <w:footnoteRef/>
      </w:r>
      <w:r>
        <w:rPr>
          <w:rtl/>
        </w:rPr>
        <w:t xml:space="preserve"> </w:t>
      </w:r>
      <w:r>
        <w:rPr>
          <w:lang w:val="en-US"/>
        </w:rPr>
        <w:t xml:space="preserve">Section 5.3, </w:t>
      </w:r>
      <w:hyperlink r:id="rId47" w:history="1">
        <w:r w:rsidRPr="00C10BC8">
          <w:rPr>
            <w:rStyle w:val="Hyperlink"/>
            <w:lang w:val="en-US"/>
          </w:rPr>
          <w:t>APS Values and Code of Conduct in Practice</w:t>
        </w:r>
      </w:hyperlink>
      <w:r>
        <w:rPr>
          <w:lang w:val="en-US"/>
        </w:rPr>
        <w:t xml:space="preserve">, supra note </w:t>
      </w:r>
      <w:r>
        <w:rPr>
          <w:lang w:val="en-US"/>
        </w:rPr>
        <w:fldChar w:fldCharType="begin"/>
      </w:r>
      <w:r>
        <w:rPr>
          <w:lang w:val="en-US"/>
        </w:rPr>
        <w:instrText xml:space="preserve"> NOTEREF _Ref473626548 \h </w:instrText>
      </w:r>
      <w:r>
        <w:rPr>
          <w:lang w:val="en-US"/>
        </w:rPr>
      </w:r>
      <w:r>
        <w:rPr>
          <w:lang w:val="en-US"/>
        </w:rPr>
        <w:fldChar w:fldCharType="separate"/>
      </w:r>
      <w:r w:rsidR="00E306B5">
        <w:rPr>
          <w:lang w:val="en-US"/>
        </w:rPr>
        <w:t>138</w:t>
      </w:r>
      <w:r>
        <w:rPr>
          <w:lang w:val="en-US"/>
        </w:rPr>
        <w:fldChar w:fldCharType="end"/>
      </w:r>
      <w:r>
        <w:rPr>
          <w:lang w:val="en-US"/>
        </w:rPr>
        <w:t>.</w:t>
      </w:r>
    </w:p>
  </w:footnote>
  <w:footnote w:id="154">
    <w:p w:rsidR="00E55106" w:rsidRPr="00470BF5" w:rsidRDefault="00E55106" w:rsidP="00470BF5">
      <w:pPr>
        <w:pStyle w:val="aa"/>
        <w:bidi w:val="0"/>
        <w:rPr>
          <w:lang w:val="en-US"/>
        </w:rPr>
      </w:pPr>
      <w:r>
        <w:rPr>
          <w:rStyle w:val="ac"/>
        </w:rPr>
        <w:footnoteRef/>
      </w:r>
      <w:r>
        <w:rPr>
          <w:rtl/>
        </w:rPr>
        <w:t xml:space="preserve"> </w:t>
      </w:r>
      <w:r>
        <w:rPr>
          <w:lang w:val="en-US"/>
        </w:rPr>
        <w:t xml:space="preserve">Sections 5.4-5.10, </w:t>
      </w:r>
      <w:hyperlink r:id="rId48" w:history="1">
        <w:r w:rsidRPr="00C10BC8">
          <w:rPr>
            <w:rStyle w:val="Hyperlink"/>
            <w:lang w:val="en-US"/>
          </w:rPr>
          <w:t>APS Values and Code of Conduct in Practice</w:t>
        </w:r>
      </w:hyperlink>
      <w:r>
        <w:rPr>
          <w:lang w:val="en-US"/>
        </w:rPr>
        <w:t xml:space="preserve">, supra note </w:t>
      </w:r>
      <w:r>
        <w:rPr>
          <w:lang w:val="en-US"/>
        </w:rPr>
        <w:fldChar w:fldCharType="begin"/>
      </w:r>
      <w:r>
        <w:rPr>
          <w:lang w:val="en-US"/>
        </w:rPr>
        <w:instrText xml:space="preserve"> NOTEREF _Ref473626548 \h </w:instrText>
      </w:r>
      <w:r>
        <w:rPr>
          <w:lang w:val="en-US"/>
        </w:rPr>
      </w:r>
      <w:r>
        <w:rPr>
          <w:lang w:val="en-US"/>
        </w:rPr>
        <w:fldChar w:fldCharType="separate"/>
      </w:r>
      <w:r w:rsidR="00E306B5">
        <w:rPr>
          <w:lang w:val="en-US"/>
        </w:rPr>
        <w:t>138</w:t>
      </w:r>
      <w:r>
        <w:rPr>
          <w:lang w:val="en-US"/>
        </w:rPr>
        <w:fldChar w:fldCharType="end"/>
      </w:r>
      <w:r>
        <w:rPr>
          <w:lang w:val="en-US"/>
        </w:rPr>
        <w:t>.</w:t>
      </w:r>
    </w:p>
  </w:footnote>
  <w:footnote w:id="155">
    <w:p w:rsidR="00E55106" w:rsidRDefault="00E55106" w:rsidP="00426035">
      <w:pPr>
        <w:pStyle w:val="aa"/>
        <w:jc w:val="both"/>
        <w:rPr>
          <w:rtl/>
        </w:rPr>
      </w:pPr>
      <w:r>
        <w:rPr>
          <w:rStyle w:val="ac"/>
        </w:rPr>
        <w:footnoteRef/>
      </w:r>
      <w:r>
        <w:rPr>
          <w:rtl/>
        </w:rPr>
        <w:t xml:space="preserve"> </w:t>
      </w:r>
      <w:r>
        <w:rPr>
          <w:rtl/>
        </w:rPr>
        <w:tab/>
      </w:r>
      <w:r>
        <w:rPr>
          <w:rFonts w:hint="cs"/>
          <w:rtl/>
        </w:rPr>
        <w:t>המידע בפרק זה מבוסס על תשובה של הפרלמנט (הבונדסטאג) של גרמניה לבקשה מספר 3292 ב</w:t>
      </w:r>
      <w:r w:rsidRPr="00DE18F9">
        <w:rPr>
          <w:rtl/>
        </w:rPr>
        <w:t>מרכז האירופי למחקר ולתיעוד פרלמנטרי</w:t>
      </w:r>
      <w:r>
        <w:rPr>
          <w:rFonts w:hint="cs"/>
          <w:rtl/>
        </w:rPr>
        <w:t xml:space="preserve"> (</w:t>
      </w:r>
      <w:r>
        <w:rPr>
          <w:rFonts w:hint="cs"/>
        </w:rPr>
        <w:t>ECPRD</w:t>
      </w:r>
      <w:r>
        <w:rPr>
          <w:lang w:val="en-US"/>
        </w:rPr>
        <w:t xml:space="preserve">, </w:t>
      </w:r>
      <w:r w:rsidRPr="00DE18F9">
        <w:t>European Centre for Parliamentary Research &amp; Documentation</w:t>
      </w:r>
      <w:r>
        <w:rPr>
          <w:rFonts w:hint="cs"/>
          <w:rtl/>
        </w:rPr>
        <w:t xml:space="preserve">) </w:t>
      </w:r>
      <w:r w:rsidRPr="00DE18F9">
        <w:rPr>
          <w:rtl/>
        </w:rPr>
        <w:t>הוא גוף הפועל בחסות הפרלמנט האירופי ומשמש פורום לשיתוף פעולה ולהחלפת מידע בין פרלמנטים במדינות חברות</w:t>
      </w:r>
      <w:r>
        <w:rPr>
          <w:rFonts w:hint="cs"/>
          <w:rtl/>
        </w:rPr>
        <w:t xml:space="preserve"> (ומדינות משקיפות, שביניהן גם ישראל)</w:t>
      </w:r>
      <w:r w:rsidRPr="00DE18F9">
        <w:rPr>
          <w:rtl/>
        </w:rPr>
        <w:t>.</w:t>
      </w:r>
    </w:p>
  </w:footnote>
  <w:footnote w:id="156">
    <w:p w:rsidR="00E55106" w:rsidRPr="003260B7" w:rsidRDefault="00E55106" w:rsidP="00C45087">
      <w:pPr>
        <w:pStyle w:val="aa"/>
        <w:bidi w:val="0"/>
        <w:rPr>
          <w:lang w:val="en-US"/>
        </w:rPr>
      </w:pPr>
      <w:r>
        <w:rPr>
          <w:rStyle w:val="ac"/>
        </w:rPr>
        <w:footnoteRef/>
      </w:r>
      <w:r>
        <w:rPr>
          <w:rtl/>
        </w:rPr>
        <w:t xml:space="preserve"> </w:t>
      </w:r>
      <w:r>
        <w:t>Part Ten</w:t>
      </w:r>
      <w:r>
        <w:rPr>
          <w:lang w:val="en-US"/>
        </w:rPr>
        <w:t xml:space="preserve">, </w:t>
      </w:r>
      <w:hyperlink r:id="rId49" w:anchor="p0245" w:history="1">
        <w:r w:rsidRPr="00312AA1">
          <w:rPr>
            <w:rStyle w:val="Hyperlink"/>
          </w:rPr>
          <w:t>Members of the Bundestag Act</w:t>
        </w:r>
      </w:hyperlink>
      <w:r>
        <w:rPr>
          <w:rFonts w:hint="cs"/>
          <w:rtl/>
        </w:rPr>
        <w:t xml:space="preserve"> </w:t>
      </w:r>
      <w:r>
        <w:t>(</w:t>
      </w:r>
      <w:proofErr w:type="spellStart"/>
      <w:r>
        <w:t>Abgeordnetengesetz</w:t>
      </w:r>
      <w:proofErr w:type="spellEnd"/>
      <w:r>
        <w:rPr>
          <w:lang w:val="en-US"/>
        </w:rPr>
        <w:t xml:space="preserve"> - ABGG</w:t>
      </w:r>
      <w:r>
        <w:t>)</w:t>
      </w:r>
      <w:r>
        <w:rPr>
          <w:lang w:val="en-US"/>
        </w:rPr>
        <w:t>.</w:t>
      </w:r>
    </w:p>
  </w:footnote>
  <w:footnote w:id="157">
    <w:p w:rsidR="00E55106" w:rsidRPr="003260B7" w:rsidRDefault="00E55106" w:rsidP="00C45087">
      <w:pPr>
        <w:pStyle w:val="aa"/>
        <w:bidi w:val="0"/>
        <w:rPr>
          <w:lang w:val="en-US"/>
        </w:rPr>
      </w:pPr>
      <w:r>
        <w:rPr>
          <w:rStyle w:val="ac"/>
        </w:rPr>
        <w:footnoteRef/>
      </w:r>
      <w:r>
        <w:rPr>
          <w:rtl/>
        </w:rPr>
        <w:t xml:space="preserve"> </w:t>
      </w:r>
      <w:r>
        <w:rPr>
          <w:lang w:val="en-US"/>
        </w:rPr>
        <w:t>§</w:t>
      </w:r>
      <w:proofErr w:type="gramStart"/>
      <w:r>
        <w:rPr>
          <w:lang w:val="en-US"/>
        </w:rPr>
        <w:t>44a(</w:t>
      </w:r>
      <w:proofErr w:type="gramEnd"/>
      <w:r>
        <w:rPr>
          <w:lang w:val="en-US"/>
        </w:rPr>
        <w:t xml:space="preserve">1) </w:t>
      </w:r>
      <w:hyperlink r:id="rId50" w:anchor="p0245" w:history="1">
        <w:r w:rsidRPr="00312AA1">
          <w:rPr>
            <w:rStyle w:val="Hyperlink"/>
          </w:rPr>
          <w:t>Members of the Bundestag Act</w:t>
        </w:r>
      </w:hyperlink>
      <w:r>
        <w:rPr>
          <w:lang w:val="en-US"/>
        </w:rPr>
        <w:t xml:space="preserve">. </w:t>
      </w:r>
    </w:p>
  </w:footnote>
  <w:footnote w:id="158">
    <w:p w:rsidR="00E55106" w:rsidRPr="003260B7" w:rsidRDefault="00E55106" w:rsidP="00C45087">
      <w:pPr>
        <w:pStyle w:val="aa"/>
        <w:bidi w:val="0"/>
        <w:rPr>
          <w:lang w:val="en-US"/>
        </w:rPr>
      </w:pPr>
      <w:r>
        <w:rPr>
          <w:rStyle w:val="ac"/>
        </w:rPr>
        <w:footnoteRef/>
      </w:r>
      <w:r>
        <w:rPr>
          <w:rtl/>
        </w:rPr>
        <w:t xml:space="preserve"> </w:t>
      </w:r>
      <w:r>
        <w:rPr>
          <w:lang w:val="en-US"/>
        </w:rPr>
        <w:t>§</w:t>
      </w:r>
      <w:proofErr w:type="gramStart"/>
      <w:r>
        <w:rPr>
          <w:lang w:val="en-US"/>
        </w:rPr>
        <w:t>44a(</w:t>
      </w:r>
      <w:proofErr w:type="gramEnd"/>
      <w:r>
        <w:rPr>
          <w:lang w:val="en-US"/>
        </w:rPr>
        <w:t xml:space="preserve">2) </w:t>
      </w:r>
      <w:hyperlink r:id="rId51" w:anchor="p0245" w:history="1">
        <w:r w:rsidRPr="00312AA1">
          <w:rPr>
            <w:rStyle w:val="Hyperlink"/>
          </w:rPr>
          <w:t>Members of the Bundestag Act</w:t>
        </w:r>
      </w:hyperlink>
      <w:r>
        <w:rPr>
          <w:lang w:val="en-US"/>
        </w:rPr>
        <w:t>.</w:t>
      </w:r>
    </w:p>
  </w:footnote>
  <w:footnote w:id="159">
    <w:p w:rsidR="00E55106" w:rsidRPr="00C004AA" w:rsidRDefault="00E55106" w:rsidP="00C735A4">
      <w:pPr>
        <w:pStyle w:val="aa"/>
        <w:rPr>
          <w:rtl/>
          <w:lang w:val="en-US"/>
        </w:rPr>
      </w:pPr>
      <w:r>
        <w:rPr>
          <w:rStyle w:val="ac"/>
        </w:rPr>
        <w:footnoteRef/>
      </w:r>
      <w:r>
        <w:rPr>
          <w:rtl/>
        </w:rPr>
        <w:t xml:space="preserve"> </w:t>
      </w:r>
      <w:r>
        <w:rPr>
          <w:rtl/>
        </w:rPr>
        <w:tab/>
      </w:r>
      <w:r>
        <w:rPr>
          <w:rFonts w:hint="cs"/>
          <w:rtl/>
        </w:rPr>
        <w:t xml:space="preserve">בפועל </w:t>
      </w:r>
      <w:r w:rsidRPr="00C004AA">
        <w:rPr>
          <w:rFonts w:hint="cs"/>
          <w:b/>
          <w:bCs/>
          <w:rtl/>
        </w:rPr>
        <w:t>ההצהרות מתפרסמות באתר האינטרנט של הבונדסטאג</w:t>
      </w:r>
      <w:r>
        <w:rPr>
          <w:rFonts w:hint="cs"/>
          <w:rtl/>
        </w:rPr>
        <w:t xml:space="preserve"> לצד הביוגרפיה של כל חבר והמידע מתעדכן </w:t>
      </w:r>
      <w:r>
        <w:rPr>
          <w:rFonts w:hint="cs"/>
          <w:rtl/>
          <w:lang w:val="en-US"/>
        </w:rPr>
        <w:t>לעתים קרובות.</w:t>
      </w:r>
    </w:p>
  </w:footnote>
  <w:footnote w:id="160">
    <w:p w:rsidR="00E55106" w:rsidRPr="0074053A" w:rsidRDefault="00E55106" w:rsidP="00C45087">
      <w:pPr>
        <w:pStyle w:val="aa"/>
        <w:bidi w:val="0"/>
        <w:rPr>
          <w:lang w:val="en-US"/>
        </w:rPr>
      </w:pPr>
      <w:r>
        <w:rPr>
          <w:rStyle w:val="ac"/>
        </w:rPr>
        <w:footnoteRef/>
      </w:r>
      <w:r>
        <w:rPr>
          <w:rtl/>
        </w:rPr>
        <w:t xml:space="preserve"> </w:t>
      </w:r>
      <w:r>
        <w:rPr>
          <w:lang w:val="en-US"/>
        </w:rPr>
        <w:t>§</w:t>
      </w:r>
      <w:proofErr w:type="gramStart"/>
      <w:r>
        <w:rPr>
          <w:lang w:val="en-US"/>
        </w:rPr>
        <w:t>44a(</w:t>
      </w:r>
      <w:proofErr w:type="gramEnd"/>
      <w:r>
        <w:rPr>
          <w:lang w:val="en-US"/>
        </w:rPr>
        <w:t xml:space="preserve">4) </w:t>
      </w:r>
      <w:hyperlink r:id="rId52" w:anchor="p0245" w:history="1">
        <w:r w:rsidRPr="00312AA1">
          <w:rPr>
            <w:rStyle w:val="Hyperlink"/>
          </w:rPr>
          <w:t>Members of the Bundestag Act</w:t>
        </w:r>
      </w:hyperlink>
      <w:r>
        <w:rPr>
          <w:lang w:val="en-US"/>
        </w:rPr>
        <w:t>.</w:t>
      </w:r>
    </w:p>
  </w:footnote>
  <w:footnote w:id="161">
    <w:p w:rsidR="00E55106" w:rsidRPr="00CA461C" w:rsidRDefault="00E55106" w:rsidP="00C45087">
      <w:pPr>
        <w:pStyle w:val="aa"/>
        <w:bidi w:val="0"/>
        <w:rPr>
          <w:lang w:val="en-US"/>
        </w:rPr>
      </w:pPr>
      <w:r>
        <w:rPr>
          <w:rStyle w:val="ac"/>
        </w:rPr>
        <w:footnoteRef/>
      </w:r>
      <w:r>
        <w:rPr>
          <w:rtl/>
        </w:rPr>
        <w:t xml:space="preserve"> </w:t>
      </w:r>
      <w:hyperlink r:id="rId53" w:history="1">
        <w:r w:rsidRPr="00C004AA">
          <w:rPr>
            <w:rStyle w:val="Hyperlink"/>
          </w:rPr>
          <w:t>Code of Conduct for Members of the German Bundestag</w:t>
        </w:r>
      </w:hyperlink>
      <w:r>
        <w:rPr>
          <w:lang w:val="en-US"/>
        </w:rPr>
        <w:t>.</w:t>
      </w:r>
    </w:p>
  </w:footnote>
  <w:footnote w:id="162">
    <w:p w:rsidR="00E55106" w:rsidRDefault="00E55106" w:rsidP="00C735A4">
      <w:pPr>
        <w:pStyle w:val="aa"/>
        <w:rPr>
          <w:rtl/>
        </w:rPr>
      </w:pPr>
      <w:r>
        <w:rPr>
          <w:rStyle w:val="ac"/>
        </w:rPr>
        <w:footnoteRef/>
      </w:r>
      <w:r>
        <w:rPr>
          <w:rtl/>
        </w:rPr>
        <w:t xml:space="preserve"> </w:t>
      </w:r>
      <w:r>
        <w:rPr>
          <w:rtl/>
        </w:rPr>
        <w:tab/>
      </w:r>
      <w:r>
        <w:rPr>
          <w:rFonts w:hint="cs"/>
          <w:rtl/>
        </w:rPr>
        <w:t xml:space="preserve">הקוד מופיע בתרגום לאנגלית באתר האינטרנט של הבונדסטאג, כחלק מחוברת ובה דברי הסבר באשר למקורות הסמכות של הקוד והוראותיו (להלן: </w:t>
      </w:r>
      <w:r>
        <w:rPr>
          <w:rFonts w:hint="cs"/>
          <w:b/>
          <w:bCs/>
          <w:rtl/>
        </w:rPr>
        <w:t>החוברת</w:t>
      </w:r>
      <w:r>
        <w:rPr>
          <w:rFonts w:hint="cs"/>
          <w:rtl/>
        </w:rPr>
        <w:t>). ראו:</w:t>
      </w:r>
    </w:p>
    <w:p w:rsidR="00E55106" w:rsidRPr="00C004AA" w:rsidRDefault="00E55106" w:rsidP="00C735A4">
      <w:pPr>
        <w:pStyle w:val="aa"/>
        <w:bidi w:val="0"/>
        <w:rPr>
          <w:lang w:val="en-US"/>
        </w:rPr>
      </w:pPr>
      <w:r>
        <w:tab/>
      </w:r>
      <w:hyperlink r:id="rId54" w:history="1">
        <w:r w:rsidRPr="00CA461C">
          <w:rPr>
            <w:rStyle w:val="Hyperlink"/>
          </w:rPr>
          <w:t>Code of Conduct for Members of the German Bundestag</w:t>
        </w:r>
        <w:r w:rsidRPr="00CA461C">
          <w:rPr>
            <w:rStyle w:val="Hyperlink"/>
            <w:lang w:val="en-US"/>
          </w:rPr>
          <w:t xml:space="preserve">, </w:t>
        </w:r>
        <w:r w:rsidRPr="00CA461C">
          <w:rPr>
            <w:rStyle w:val="Hyperlink"/>
          </w:rPr>
          <w:t>Compiled documentation</w:t>
        </w:r>
      </w:hyperlink>
      <w:r>
        <w:rPr>
          <w:lang w:val="en-US"/>
        </w:rPr>
        <w:t>, updated: October 2013.</w:t>
      </w:r>
    </w:p>
  </w:footnote>
  <w:footnote w:id="163">
    <w:p w:rsidR="00E55106" w:rsidRPr="00A05421" w:rsidRDefault="00E55106" w:rsidP="00C735A4">
      <w:pPr>
        <w:pStyle w:val="aa"/>
        <w:rPr>
          <w:rtl/>
          <w:lang w:val="en-US"/>
        </w:rPr>
      </w:pPr>
      <w:r>
        <w:rPr>
          <w:rStyle w:val="ac"/>
        </w:rPr>
        <w:footnoteRef/>
      </w:r>
      <w:r>
        <w:rPr>
          <w:rtl/>
        </w:rPr>
        <w:t xml:space="preserve"> </w:t>
      </w:r>
      <w:r>
        <w:rPr>
          <w:rtl/>
        </w:rPr>
        <w:tab/>
      </w:r>
      <w:r>
        <w:rPr>
          <w:rFonts w:hint="cs"/>
          <w:rtl/>
          <w:lang w:val="en-US"/>
        </w:rPr>
        <w:t xml:space="preserve">ההנחיות מופיעות אף הן בתרגום לאנגלית כחלק מהחוברת (לעיל הערה </w:t>
      </w:r>
      <w:r>
        <w:rPr>
          <w:rtl/>
          <w:lang w:val="en-US"/>
        </w:rPr>
        <w:fldChar w:fldCharType="begin"/>
      </w:r>
      <w:r>
        <w:rPr>
          <w:rtl/>
          <w:lang w:val="en-US"/>
        </w:rPr>
        <w:instrText xml:space="preserve"> </w:instrText>
      </w:r>
      <w:r>
        <w:rPr>
          <w:rFonts w:hint="cs"/>
          <w:lang w:val="en-US"/>
        </w:rPr>
        <w:instrText>NOTEREF</w:instrText>
      </w:r>
      <w:r>
        <w:rPr>
          <w:rFonts w:hint="cs"/>
          <w:rtl/>
          <w:lang w:val="en-US"/>
        </w:rPr>
        <w:instrText xml:space="preserve"> _</w:instrText>
      </w:r>
      <w:r>
        <w:rPr>
          <w:rFonts w:hint="cs"/>
          <w:lang w:val="en-US"/>
        </w:rPr>
        <w:instrText>Ref474236231 \h</w:instrText>
      </w:r>
      <w:r>
        <w:rPr>
          <w:rtl/>
          <w:lang w:val="en-US"/>
        </w:rPr>
        <w:instrText xml:space="preserve"> </w:instrText>
      </w:r>
      <w:r>
        <w:rPr>
          <w:rtl/>
          <w:lang w:val="en-US"/>
        </w:rPr>
      </w:r>
      <w:r>
        <w:rPr>
          <w:rtl/>
          <w:lang w:val="en-US"/>
        </w:rPr>
        <w:fldChar w:fldCharType="separate"/>
      </w:r>
      <w:r w:rsidR="00E306B5">
        <w:rPr>
          <w:rtl/>
          <w:lang w:val="en-US"/>
        </w:rPr>
        <w:t>162</w:t>
      </w:r>
      <w:r>
        <w:rPr>
          <w:rtl/>
          <w:lang w:val="en-US"/>
        </w:rPr>
        <w:fldChar w:fldCharType="end"/>
      </w:r>
      <w:r>
        <w:rPr>
          <w:rFonts w:hint="cs"/>
          <w:rtl/>
          <w:lang w:val="en-US"/>
        </w:rPr>
        <w:t>); ראו:</w:t>
      </w:r>
    </w:p>
    <w:p w:rsidR="00E55106" w:rsidRPr="00CA461C" w:rsidRDefault="00E55106" w:rsidP="00C735A4">
      <w:pPr>
        <w:pStyle w:val="aa"/>
        <w:bidi w:val="0"/>
        <w:rPr>
          <w:lang w:val="en-US"/>
        </w:rPr>
      </w:pPr>
      <w:r>
        <w:rPr>
          <w:rtl/>
        </w:rPr>
        <w:tab/>
      </w:r>
      <w:hyperlink r:id="rId55" w:history="1">
        <w:r w:rsidRPr="0040704B">
          <w:rPr>
            <w:rStyle w:val="Hyperlink"/>
            <w:spacing w:val="-6"/>
          </w:rPr>
          <w:t>Provisions Implementing the Code of Conduct for Members of the German Bundestag</w:t>
        </w:r>
      </w:hyperlink>
      <w:r w:rsidRPr="0040704B">
        <w:rPr>
          <w:spacing w:val="-6"/>
          <w:lang w:val="en-US"/>
        </w:rPr>
        <w:t>, promulgated June 2013</w:t>
      </w:r>
      <w:r>
        <w:t>.</w:t>
      </w:r>
    </w:p>
  </w:footnote>
  <w:footnote w:id="164">
    <w:p w:rsidR="00E55106" w:rsidRPr="00AB3616" w:rsidRDefault="00E55106" w:rsidP="00C735A4">
      <w:pPr>
        <w:pStyle w:val="aa"/>
        <w:bidi w:val="0"/>
        <w:rPr>
          <w:lang w:val="en-US"/>
        </w:rPr>
      </w:pPr>
      <w:r>
        <w:rPr>
          <w:rStyle w:val="ac"/>
        </w:rPr>
        <w:footnoteRef/>
      </w:r>
      <w:r>
        <w:rPr>
          <w:rtl/>
        </w:rPr>
        <w:t xml:space="preserve"> </w:t>
      </w:r>
      <w:r>
        <w:rPr>
          <w:lang w:val="en-US"/>
        </w:rPr>
        <w:t xml:space="preserve">Rule 1(4), </w:t>
      </w:r>
      <w:hyperlink r:id="rId56" w:history="1">
        <w:r w:rsidRPr="00C004AA">
          <w:rPr>
            <w:rStyle w:val="Hyperlink"/>
          </w:rPr>
          <w:t>Code of Conduct for Members of the German Bundestag</w:t>
        </w:r>
      </w:hyperlink>
      <w:r>
        <w:rPr>
          <w:lang w:val="en-US"/>
        </w:rPr>
        <w:t>.</w:t>
      </w:r>
    </w:p>
  </w:footnote>
  <w:footnote w:id="165">
    <w:p w:rsidR="00E55106" w:rsidRPr="00B312E3" w:rsidRDefault="00E55106" w:rsidP="00C45087">
      <w:pPr>
        <w:pStyle w:val="aa"/>
        <w:bidi w:val="0"/>
        <w:rPr>
          <w:lang w:val="en-US"/>
        </w:rPr>
      </w:pPr>
      <w:r>
        <w:rPr>
          <w:rStyle w:val="ac"/>
        </w:rPr>
        <w:footnoteRef/>
      </w:r>
      <w:r>
        <w:rPr>
          <w:rtl/>
        </w:rPr>
        <w:t xml:space="preserve"> </w:t>
      </w:r>
      <w:r>
        <w:rPr>
          <w:lang w:val="en-US"/>
        </w:rPr>
        <w:t xml:space="preserve">Rule 1, </w:t>
      </w:r>
      <w:hyperlink r:id="rId57" w:history="1">
        <w:r w:rsidRPr="00C004AA">
          <w:rPr>
            <w:rStyle w:val="Hyperlink"/>
          </w:rPr>
          <w:t>Code of Conduct for Members of the German Bundestag</w:t>
        </w:r>
      </w:hyperlink>
      <w:r>
        <w:rPr>
          <w:lang w:val="en-US"/>
        </w:rPr>
        <w:t xml:space="preserve">; Provision 1, </w:t>
      </w:r>
      <w:hyperlink r:id="rId58" w:history="1">
        <w:r w:rsidRPr="00A05421">
          <w:rPr>
            <w:rStyle w:val="Hyperlink"/>
          </w:rPr>
          <w:t>Provisions Implementing the Code of Conduct for Members of the German Bundestag</w:t>
        </w:r>
      </w:hyperlink>
      <w:r>
        <w:t>.</w:t>
      </w:r>
    </w:p>
  </w:footnote>
  <w:footnote w:id="166">
    <w:p w:rsidR="00E55106" w:rsidRDefault="00E55106" w:rsidP="00CB3CE6">
      <w:pPr>
        <w:pStyle w:val="aa"/>
        <w:rPr>
          <w:rtl/>
        </w:rPr>
      </w:pPr>
      <w:r>
        <w:rPr>
          <w:rStyle w:val="ac"/>
        </w:rPr>
        <w:footnoteRef/>
      </w:r>
      <w:r>
        <w:rPr>
          <w:rtl/>
        </w:rPr>
        <w:t xml:space="preserve"> </w:t>
      </w:r>
      <w:r>
        <w:rPr>
          <w:rtl/>
        </w:rPr>
        <w:tab/>
      </w:r>
      <w:r>
        <w:rPr>
          <w:rFonts w:hint="cs"/>
          <w:rtl/>
        </w:rPr>
        <w:t>לפי ההנחיות, חובה לדווח על פעילות שנעשתה בשנתיים החולפות לפני תחילת הכהונה. ראו:</w:t>
      </w:r>
    </w:p>
    <w:p w:rsidR="00E55106" w:rsidRPr="00111323" w:rsidRDefault="00E55106" w:rsidP="00C735A4">
      <w:pPr>
        <w:pStyle w:val="aa"/>
        <w:bidi w:val="0"/>
        <w:rPr>
          <w:lang w:val="en-US"/>
        </w:rPr>
      </w:pPr>
      <w:r>
        <w:rPr>
          <w:rtl/>
        </w:rPr>
        <w:tab/>
      </w:r>
      <w:r>
        <w:rPr>
          <w:lang w:val="en-US"/>
        </w:rPr>
        <w:t xml:space="preserve">Provision 2, </w:t>
      </w:r>
      <w:hyperlink r:id="rId59" w:history="1">
        <w:r w:rsidRPr="00A05421">
          <w:rPr>
            <w:rStyle w:val="Hyperlink"/>
          </w:rPr>
          <w:t>Provisions Implementing the Code of Conduct for Members of the German Bundestag</w:t>
        </w:r>
      </w:hyperlink>
      <w:r>
        <w:t>.</w:t>
      </w:r>
    </w:p>
  </w:footnote>
  <w:footnote w:id="167">
    <w:p w:rsidR="00E55106" w:rsidRPr="00546001" w:rsidRDefault="00E55106" w:rsidP="00C45087">
      <w:pPr>
        <w:pStyle w:val="aa"/>
        <w:bidi w:val="0"/>
        <w:rPr>
          <w:lang w:val="en-US"/>
        </w:rPr>
      </w:pPr>
      <w:r>
        <w:rPr>
          <w:rStyle w:val="ac"/>
        </w:rPr>
        <w:footnoteRef/>
      </w:r>
      <w:r>
        <w:rPr>
          <w:rtl/>
        </w:rPr>
        <w:t xml:space="preserve"> </w:t>
      </w:r>
      <w:r>
        <w:rPr>
          <w:lang w:val="en-US"/>
        </w:rPr>
        <w:t>"…</w:t>
      </w:r>
      <w:r>
        <w:t>activities as member of a board of management, supervisory board, administrative board, advisory board or other body</w:t>
      </w:r>
      <w:r>
        <w:rPr>
          <w:lang w:val="en-US"/>
        </w:rPr>
        <w:t>…"</w:t>
      </w:r>
    </w:p>
  </w:footnote>
  <w:footnote w:id="168">
    <w:p w:rsidR="00E55106" w:rsidRDefault="00E55106">
      <w:pPr>
        <w:pStyle w:val="aa"/>
      </w:pPr>
      <w:r>
        <w:rPr>
          <w:rStyle w:val="ac"/>
        </w:rPr>
        <w:footnoteRef/>
      </w:r>
      <w:r>
        <w:rPr>
          <w:rtl/>
        </w:rPr>
        <w:t xml:space="preserve"> </w:t>
      </w:r>
      <w:r>
        <w:rPr>
          <w:rFonts w:hint="cs"/>
          <w:rtl/>
        </w:rPr>
        <w:t>יצוין, כי בניגוד למצב בישראל, בגרמניה אין איסור גורף על חברי פרלמנט לעסוק בעיסוקים נוספים.</w:t>
      </w:r>
    </w:p>
  </w:footnote>
  <w:footnote w:id="169">
    <w:p w:rsidR="00E55106" w:rsidRDefault="00E55106" w:rsidP="00A44D8D">
      <w:pPr>
        <w:pStyle w:val="aa"/>
        <w:rPr>
          <w:rtl/>
        </w:rPr>
      </w:pPr>
      <w:r>
        <w:rPr>
          <w:rStyle w:val="ac"/>
        </w:rPr>
        <w:footnoteRef/>
      </w:r>
      <w:r>
        <w:rPr>
          <w:rtl/>
        </w:rPr>
        <w:t xml:space="preserve"> </w:t>
      </w:r>
      <w:r>
        <w:rPr>
          <w:rtl/>
        </w:rPr>
        <w:tab/>
      </w:r>
      <w:r>
        <w:rPr>
          <w:rFonts w:hint="cs"/>
          <w:rtl/>
        </w:rPr>
        <w:t>בקוד נקבעה הוראה מיוחדת באשר לחברי הבונדסטאג אשר כעורכי-דין מייצגים תמורת תשלום את המדינה או צד שלישי נגד המדינה; במקרים כאלה יש לדווח ליו"ר הבונדסטאג על הייצוג אם התמורה המתקבלת עולה על אלף אירו.  ראו:</w:t>
      </w:r>
    </w:p>
    <w:p w:rsidR="00E55106" w:rsidRPr="00410B34" w:rsidRDefault="00E55106" w:rsidP="00C735A4">
      <w:pPr>
        <w:pStyle w:val="aa"/>
        <w:bidi w:val="0"/>
      </w:pPr>
      <w:r>
        <w:rPr>
          <w:lang w:val="en-US"/>
        </w:rPr>
        <w:tab/>
        <w:t xml:space="preserve">Rule 2, </w:t>
      </w:r>
      <w:hyperlink r:id="rId60" w:history="1">
        <w:r w:rsidRPr="00C004AA">
          <w:rPr>
            <w:rStyle w:val="Hyperlink"/>
          </w:rPr>
          <w:t>Code of Conduct for Members of the German Bundestag</w:t>
        </w:r>
      </w:hyperlink>
      <w:r>
        <w:rPr>
          <w:lang w:val="en-US"/>
        </w:rPr>
        <w:t>.</w:t>
      </w:r>
      <w:r>
        <w:rPr>
          <w:rFonts w:hint="cs"/>
          <w:rtl/>
        </w:rPr>
        <w:t xml:space="preserve"> </w:t>
      </w:r>
      <w:r>
        <w:rPr>
          <w:lang w:val="en-US"/>
        </w:rPr>
        <w:t xml:space="preserve">Provision 9, </w:t>
      </w:r>
      <w:hyperlink r:id="rId61" w:history="1">
        <w:r w:rsidRPr="00A05421">
          <w:rPr>
            <w:rStyle w:val="Hyperlink"/>
          </w:rPr>
          <w:t>Provisions Implementing the Code of Conduct for Members of the German Bundestag</w:t>
        </w:r>
      </w:hyperlink>
      <w:r>
        <w:t>.</w:t>
      </w:r>
    </w:p>
  </w:footnote>
  <w:footnote w:id="170">
    <w:p w:rsidR="00E55106" w:rsidRDefault="00E55106" w:rsidP="00C735A4">
      <w:pPr>
        <w:pStyle w:val="aa"/>
        <w:rPr>
          <w:rtl/>
        </w:rPr>
      </w:pPr>
      <w:r>
        <w:rPr>
          <w:rStyle w:val="ac"/>
        </w:rPr>
        <w:footnoteRef/>
      </w:r>
      <w:r>
        <w:rPr>
          <w:rtl/>
        </w:rPr>
        <w:t xml:space="preserve"> </w:t>
      </w:r>
      <w:r>
        <w:rPr>
          <w:rtl/>
        </w:rPr>
        <w:tab/>
      </w:r>
      <w:r w:rsidRPr="00642C34">
        <w:rPr>
          <w:rFonts w:hint="cs"/>
          <w:b/>
          <w:bCs/>
          <w:rtl/>
        </w:rPr>
        <w:t>כחריג</w:t>
      </w:r>
      <w:r>
        <w:rPr>
          <w:rFonts w:hint="cs"/>
          <w:rtl/>
        </w:rPr>
        <w:t xml:space="preserve"> לכלל זה אין חובה לדווח על מתן חוות דעת ופעילות של כתיבה או הרצאות כאשר ההכנסה אינה עולה על אלף אירו לחודש או 10,000 אירו לשנה.</w:t>
      </w:r>
    </w:p>
  </w:footnote>
  <w:footnote w:id="171">
    <w:p w:rsidR="00E55106" w:rsidRPr="000E307A" w:rsidRDefault="00E55106" w:rsidP="00C45087">
      <w:pPr>
        <w:pStyle w:val="aa"/>
        <w:bidi w:val="0"/>
      </w:pPr>
      <w:r>
        <w:rPr>
          <w:rStyle w:val="ac"/>
        </w:rPr>
        <w:footnoteRef/>
      </w:r>
      <w:r>
        <w:rPr>
          <w:rtl/>
        </w:rPr>
        <w:t xml:space="preserve"> </w:t>
      </w:r>
      <w:r>
        <w:rPr>
          <w:lang w:val="en-US"/>
        </w:rPr>
        <w:t xml:space="preserve">Provision 5, </w:t>
      </w:r>
      <w:hyperlink r:id="rId62" w:history="1">
        <w:r w:rsidRPr="00A05421">
          <w:rPr>
            <w:rStyle w:val="Hyperlink"/>
          </w:rPr>
          <w:t>Provisions Implementing the Code of Conduct for Members of the German Bundestag</w:t>
        </w:r>
      </w:hyperlink>
      <w:r>
        <w:t>.</w:t>
      </w:r>
    </w:p>
  </w:footnote>
  <w:footnote w:id="172">
    <w:p w:rsidR="00E55106" w:rsidRDefault="00E55106" w:rsidP="00CB3CE6">
      <w:pPr>
        <w:pStyle w:val="aa"/>
        <w:rPr>
          <w:rtl/>
        </w:rPr>
      </w:pPr>
      <w:r>
        <w:rPr>
          <w:rStyle w:val="ac"/>
        </w:rPr>
        <w:footnoteRef/>
      </w:r>
      <w:r>
        <w:rPr>
          <w:rtl/>
        </w:rPr>
        <w:t xml:space="preserve"> </w:t>
      </w:r>
      <w:r>
        <w:rPr>
          <w:rtl/>
        </w:rPr>
        <w:tab/>
      </w:r>
      <w:r>
        <w:rPr>
          <w:rFonts w:hint="cs"/>
          <w:rtl/>
        </w:rPr>
        <w:t xml:space="preserve">דיווח על הכנסות ייעשה תוך שלושה חודשים ממועד קבלת ההכנסה. </w:t>
      </w:r>
    </w:p>
  </w:footnote>
  <w:footnote w:id="173">
    <w:p w:rsidR="00E55106" w:rsidRPr="00605594" w:rsidRDefault="00E55106" w:rsidP="00C45087">
      <w:pPr>
        <w:pStyle w:val="aa"/>
        <w:bidi w:val="0"/>
        <w:rPr>
          <w:lang w:val="en-US"/>
        </w:rPr>
      </w:pPr>
      <w:r>
        <w:rPr>
          <w:rStyle w:val="ac"/>
        </w:rPr>
        <w:footnoteRef/>
      </w:r>
      <w:r>
        <w:rPr>
          <w:rtl/>
        </w:rPr>
        <w:t xml:space="preserve"> </w:t>
      </w:r>
      <w:r>
        <w:rPr>
          <w:lang w:val="en-US"/>
        </w:rPr>
        <w:t xml:space="preserve">Rule 3, </w:t>
      </w:r>
      <w:hyperlink r:id="rId63" w:history="1">
        <w:r w:rsidRPr="00C004AA">
          <w:rPr>
            <w:rStyle w:val="Hyperlink"/>
          </w:rPr>
          <w:t>Code of Conduct for Members of the German Bundestag</w:t>
        </w:r>
      </w:hyperlink>
      <w:r>
        <w:rPr>
          <w:lang w:val="en-US"/>
        </w:rPr>
        <w:t>.</w:t>
      </w:r>
    </w:p>
  </w:footnote>
  <w:footnote w:id="174">
    <w:p w:rsidR="00E55106" w:rsidRPr="00605594" w:rsidRDefault="00E55106" w:rsidP="00C735A4">
      <w:pPr>
        <w:pStyle w:val="aa"/>
        <w:rPr>
          <w:lang w:val="en-US"/>
        </w:rPr>
      </w:pPr>
      <w:r>
        <w:rPr>
          <w:rStyle w:val="ac"/>
        </w:rPr>
        <w:footnoteRef/>
      </w:r>
      <w:r>
        <w:rPr>
          <w:rtl/>
        </w:rPr>
        <w:t xml:space="preserve"> </w:t>
      </w:r>
      <w:r>
        <w:rPr>
          <w:rtl/>
        </w:rPr>
        <w:tab/>
      </w:r>
      <w:r>
        <w:rPr>
          <w:rFonts w:hint="cs"/>
          <w:rtl/>
        </w:rPr>
        <w:t xml:space="preserve">סכומי המדרגות: מדרגה 1 </w:t>
      </w:r>
      <w:r>
        <w:rPr>
          <w:rtl/>
        </w:rPr>
        <w:t>–</w:t>
      </w:r>
      <w:r>
        <w:rPr>
          <w:rFonts w:hint="cs"/>
          <w:rtl/>
        </w:rPr>
        <w:t xml:space="preserve"> 3,500-1,000 אירו; מדרגה 2 </w:t>
      </w:r>
      <w:r>
        <w:rPr>
          <w:rtl/>
        </w:rPr>
        <w:t>–</w:t>
      </w:r>
      <w:r>
        <w:rPr>
          <w:rFonts w:hint="cs"/>
          <w:rtl/>
        </w:rPr>
        <w:t xml:space="preserve"> עד 7,000 אירו; מדרגה 3 </w:t>
      </w:r>
      <w:r>
        <w:rPr>
          <w:rtl/>
        </w:rPr>
        <w:t>–</w:t>
      </w:r>
      <w:r>
        <w:rPr>
          <w:rFonts w:hint="cs"/>
          <w:rtl/>
        </w:rPr>
        <w:t xml:space="preserve"> עד 15,000 אירו; מדרגה 4 </w:t>
      </w:r>
      <w:r>
        <w:rPr>
          <w:rtl/>
        </w:rPr>
        <w:t>–</w:t>
      </w:r>
      <w:r>
        <w:rPr>
          <w:rFonts w:hint="cs"/>
          <w:rtl/>
        </w:rPr>
        <w:t xml:space="preserve"> עד 30,000 אירו; מדרגה 5 </w:t>
      </w:r>
      <w:r>
        <w:rPr>
          <w:rtl/>
        </w:rPr>
        <w:t>–</w:t>
      </w:r>
      <w:r>
        <w:rPr>
          <w:rFonts w:hint="cs"/>
          <w:rtl/>
        </w:rPr>
        <w:t xml:space="preserve"> עד 50,000 אירו; מדרג</w:t>
      </w:r>
      <w:r>
        <w:rPr>
          <w:rFonts w:hint="eastAsia"/>
          <w:rtl/>
        </w:rPr>
        <w:t>ה</w:t>
      </w:r>
      <w:r>
        <w:rPr>
          <w:rFonts w:hint="cs"/>
          <w:rtl/>
        </w:rPr>
        <w:t xml:space="preserve"> 6 </w:t>
      </w:r>
      <w:r>
        <w:rPr>
          <w:rtl/>
        </w:rPr>
        <w:t>–</w:t>
      </w:r>
      <w:r>
        <w:rPr>
          <w:rFonts w:hint="cs"/>
          <w:rtl/>
        </w:rPr>
        <w:t xml:space="preserve"> עד 75,000 אירו; מדרגה 7 </w:t>
      </w:r>
      <w:r>
        <w:rPr>
          <w:rtl/>
        </w:rPr>
        <w:t>–</w:t>
      </w:r>
      <w:r>
        <w:rPr>
          <w:rFonts w:hint="cs"/>
          <w:rtl/>
        </w:rPr>
        <w:t xml:space="preserve"> עד 100,000 אירו; מדרגה 8 </w:t>
      </w:r>
      <w:r>
        <w:rPr>
          <w:rtl/>
        </w:rPr>
        <w:t>–</w:t>
      </w:r>
      <w:r>
        <w:rPr>
          <w:rFonts w:hint="cs"/>
          <w:rtl/>
        </w:rPr>
        <w:t xml:space="preserve"> עד 150,000 אירו; מדרגה 9 </w:t>
      </w:r>
      <w:r>
        <w:rPr>
          <w:rtl/>
        </w:rPr>
        <w:t>–</w:t>
      </w:r>
      <w:r>
        <w:rPr>
          <w:rFonts w:hint="cs"/>
          <w:rtl/>
        </w:rPr>
        <w:t xml:space="preserve"> עד 250,000 אירו; מדרגה 10 </w:t>
      </w:r>
      <w:r>
        <w:rPr>
          <w:rtl/>
        </w:rPr>
        <w:t>–</w:t>
      </w:r>
      <w:r>
        <w:rPr>
          <w:rFonts w:hint="cs"/>
          <w:rtl/>
        </w:rPr>
        <w:t xml:space="preserve"> מעל 250,000 אירו. ראו: </w:t>
      </w:r>
      <w:r>
        <w:rPr>
          <w:lang w:val="en-US"/>
        </w:rPr>
        <w:t>Rule 3</w:t>
      </w:r>
      <w:r>
        <w:rPr>
          <w:rFonts w:hint="cs"/>
          <w:rtl/>
          <w:lang w:val="en-US"/>
        </w:rPr>
        <w:t xml:space="preserve">. </w:t>
      </w:r>
      <w:r>
        <w:rPr>
          <w:lang w:val="en-US"/>
        </w:rPr>
        <w:tab/>
      </w:r>
    </w:p>
  </w:footnote>
  <w:footnote w:id="175">
    <w:p w:rsidR="00E55106" w:rsidRDefault="00E55106" w:rsidP="00C735A4">
      <w:pPr>
        <w:pStyle w:val="aa"/>
        <w:rPr>
          <w:rtl/>
        </w:rPr>
      </w:pPr>
      <w:r>
        <w:rPr>
          <w:rStyle w:val="ac"/>
        </w:rPr>
        <w:footnoteRef/>
      </w:r>
      <w:r>
        <w:rPr>
          <w:rtl/>
        </w:rPr>
        <w:t xml:space="preserve"> </w:t>
      </w:r>
      <w:r>
        <w:rPr>
          <w:rtl/>
        </w:rPr>
        <w:tab/>
      </w:r>
      <w:r>
        <w:rPr>
          <w:rFonts w:hint="cs"/>
          <w:rtl/>
        </w:rPr>
        <w:t xml:space="preserve">לפי ההנחיות </w:t>
      </w:r>
      <w:r>
        <w:rPr>
          <w:rtl/>
        </w:rPr>
        <w:t>–</w:t>
      </w:r>
      <w:r>
        <w:rPr>
          <w:rFonts w:hint="cs"/>
          <w:rtl/>
        </w:rPr>
        <w:t xml:space="preserve"> יש לדווח גם על שתי תרומות או יותר מאותו תורם שסכומן הכולל עולה על 5,000 אירו. מתנות </w:t>
      </w:r>
      <w:proofErr w:type="spellStart"/>
      <w:r>
        <w:rPr>
          <w:rFonts w:hint="cs"/>
          <w:rtl/>
        </w:rPr>
        <w:t>ששוויין</w:t>
      </w:r>
      <w:proofErr w:type="spellEnd"/>
      <w:r>
        <w:rPr>
          <w:rFonts w:hint="cs"/>
          <w:rtl/>
        </w:rPr>
        <w:t xml:space="preserve"> אינו עולה על 200 אירו אינן חייבות בדיווח. ראו: </w:t>
      </w:r>
    </w:p>
    <w:p w:rsidR="00E55106" w:rsidRPr="00410B34" w:rsidRDefault="00E55106" w:rsidP="00C735A4">
      <w:pPr>
        <w:pStyle w:val="aa"/>
        <w:bidi w:val="0"/>
        <w:rPr>
          <w:lang w:val="en-US"/>
        </w:rPr>
      </w:pPr>
      <w:r>
        <w:rPr>
          <w:lang w:val="en-US"/>
        </w:rPr>
        <w:tab/>
        <w:t xml:space="preserve">Provisions 10, 11, </w:t>
      </w:r>
      <w:hyperlink r:id="rId64" w:history="1">
        <w:r w:rsidRPr="00A05421">
          <w:rPr>
            <w:rStyle w:val="Hyperlink"/>
          </w:rPr>
          <w:t>Provisions Implementing the Code of Conduct for Members of the German Bundestag</w:t>
        </w:r>
      </w:hyperlink>
      <w:r>
        <w:t>.</w:t>
      </w:r>
    </w:p>
  </w:footnote>
  <w:footnote w:id="176">
    <w:p w:rsidR="00E55106" w:rsidRPr="00605594" w:rsidRDefault="00E55106" w:rsidP="00C45087">
      <w:pPr>
        <w:pStyle w:val="aa"/>
        <w:bidi w:val="0"/>
        <w:rPr>
          <w:lang w:val="en-US"/>
        </w:rPr>
      </w:pPr>
      <w:r>
        <w:rPr>
          <w:rStyle w:val="ac"/>
        </w:rPr>
        <w:footnoteRef/>
      </w:r>
      <w:r>
        <w:rPr>
          <w:rtl/>
        </w:rPr>
        <w:t xml:space="preserve"> </w:t>
      </w:r>
      <w:r>
        <w:rPr>
          <w:lang w:val="en-US"/>
        </w:rPr>
        <w:t xml:space="preserve">Rule 4, </w:t>
      </w:r>
      <w:hyperlink r:id="rId65" w:history="1">
        <w:r w:rsidRPr="00C004AA">
          <w:rPr>
            <w:rStyle w:val="Hyperlink"/>
          </w:rPr>
          <w:t>Code of Conduct for Members of the German Bundestag</w:t>
        </w:r>
      </w:hyperlink>
      <w:r>
        <w:rPr>
          <w:lang w:val="en-US"/>
        </w:rPr>
        <w:t>.</w:t>
      </w:r>
    </w:p>
  </w:footnote>
  <w:footnote w:id="177">
    <w:p w:rsidR="00E55106" w:rsidRPr="00B312E3" w:rsidRDefault="00E55106" w:rsidP="00C45087">
      <w:pPr>
        <w:pStyle w:val="aa"/>
        <w:bidi w:val="0"/>
        <w:rPr>
          <w:lang w:val="en-US"/>
        </w:rPr>
      </w:pPr>
      <w:r>
        <w:rPr>
          <w:rStyle w:val="ac"/>
        </w:rPr>
        <w:footnoteRef/>
      </w:r>
      <w:r>
        <w:rPr>
          <w:rtl/>
        </w:rPr>
        <w:t xml:space="preserve"> </w:t>
      </w:r>
      <w:r>
        <w:rPr>
          <w:lang w:val="en-US"/>
        </w:rPr>
        <w:t xml:space="preserve">Rule 1(5), </w:t>
      </w:r>
      <w:hyperlink r:id="rId66" w:history="1">
        <w:r w:rsidRPr="00C004AA">
          <w:rPr>
            <w:rStyle w:val="Hyperlink"/>
          </w:rPr>
          <w:t>Code of Conduct for Members of the German Bundestag</w:t>
        </w:r>
      </w:hyperlink>
      <w:r>
        <w:rPr>
          <w:lang w:val="en-US"/>
        </w:rPr>
        <w:t>.</w:t>
      </w:r>
    </w:p>
  </w:footnote>
  <w:footnote w:id="178">
    <w:p w:rsidR="00E55106" w:rsidRPr="00AB3616" w:rsidRDefault="00E55106" w:rsidP="00C45087">
      <w:pPr>
        <w:pStyle w:val="aa"/>
        <w:bidi w:val="0"/>
        <w:rPr>
          <w:lang w:val="en-US"/>
        </w:rPr>
      </w:pPr>
      <w:r>
        <w:rPr>
          <w:rStyle w:val="ac"/>
        </w:rPr>
        <w:footnoteRef/>
      </w:r>
      <w:r>
        <w:rPr>
          <w:rtl/>
        </w:rPr>
        <w:t xml:space="preserve"> </w:t>
      </w:r>
      <w:r>
        <w:rPr>
          <w:lang w:val="en-US"/>
        </w:rPr>
        <w:t xml:space="preserve">Rule 5, </w:t>
      </w:r>
      <w:hyperlink r:id="rId67" w:history="1">
        <w:r w:rsidRPr="00C004AA">
          <w:rPr>
            <w:rStyle w:val="Hyperlink"/>
          </w:rPr>
          <w:t>Code of Conduct for Members of the German Bundestag</w:t>
        </w:r>
      </w:hyperlink>
      <w:r>
        <w:rPr>
          <w:lang w:val="en-US"/>
        </w:rPr>
        <w:t>.</w:t>
      </w:r>
    </w:p>
  </w:footnote>
  <w:footnote w:id="179">
    <w:p w:rsidR="00E55106" w:rsidRPr="00CA461C" w:rsidRDefault="00E55106" w:rsidP="00C45087">
      <w:pPr>
        <w:pStyle w:val="aa"/>
        <w:bidi w:val="0"/>
        <w:rPr>
          <w:lang w:val="en-US"/>
        </w:rPr>
      </w:pPr>
      <w:r>
        <w:rPr>
          <w:rStyle w:val="ac"/>
        </w:rPr>
        <w:footnoteRef/>
      </w:r>
      <w:r>
        <w:rPr>
          <w:rtl/>
        </w:rPr>
        <w:t xml:space="preserve"> </w:t>
      </w:r>
      <w:r>
        <w:rPr>
          <w:lang w:val="en-US"/>
        </w:rPr>
        <w:t xml:space="preserve">Rule 6, </w:t>
      </w:r>
      <w:hyperlink r:id="rId68" w:history="1">
        <w:r w:rsidRPr="00C004AA">
          <w:rPr>
            <w:rStyle w:val="Hyperlink"/>
          </w:rPr>
          <w:t>Code of Conduct for Members of the German Bundestag</w:t>
        </w:r>
      </w:hyperlink>
      <w:r>
        <w:rPr>
          <w:lang w:val="en-US"/>
        </w:rPr>
        <w:t>.</w:t>
      </w:r>
    </w:p>
  </w:footnote>
  <w:footnote w:id="180">
    <w:p w:rsidR="00E55106" w:rsidRPr="00CA461C" w:rsidRDefault="00E55106" w:rsidP="00C45087">
      <w:pPr>
        <w:pStyle w:val="aa"/>
        <w:bidi w:val="0"/>
        <w:rPr>
          <w:lang w:val="en-US"/>
        </w:rPr>
      </w:pPr>
      <w:r>
        <w:rPr>
          <w:rStyle w:val="ac"/>
        </w:rPr>
        <w:footnoteRef/>
      </w:r>
      <w:r>
        <w:rPr>
          <w:rtl/>
        </w:rPr>
        <w:t xml:space="preserve"> </w:t>
      </w:r>
      <w:r>
        <w:rPr>
          <w:lang w:val="en-US"/>
        </w:rPr>
        <w:t xml:space="preserve">Rule 7, </w:t>
      </w:r>
      <w:hyperlink r:id="rId69" w:history="1">
        <w:r w:rsidRPr="00C004AA">
          <w:rPr>
            <w:rStyle w:val="Hyperlink"/>
          </w:rPr>
          <w:t>Code of Conduct for Members of the German Bundestag</w:t>
        </w:r>
      </w:hyperlink>
      <w:r>
        <w:rPr>
          <w:lang w:val="en-US"/>
        </w:rPr>
        <w:t>.</w:t>
      </w:r>
    </w:p>
  </w:footnote>
  <w:footnote w:id="181">
    <w:p w:rsidR="00E55106" w:rsidRPr="008A2DA7" w:rsidRDefault="00E55106" w:rsidP="00C45087">
      <w:pPr>
        <w:pStyle w:val="aa"/>
        <w:bidi w:val="0"/>
        <w:rPr>
          <w:lang w:val="en-US"/>
        </w:rPr>
      </w:pPr>
      <w:r>
        <w:rPr>
          <w:rStyle w:val="ac"/>
        </w:rPr>
        <w:footnoteRef/>
      </w:r>
      <w:r>
        <w:rPr>
          <w:rtl/>
        </w:rPr>
        <w:t xml:space="preserve"> </w:t>
      </w:r>
      <w:r>
        <w:rPr>
          <w:lang w:val="en-US"/>
        </w:rPr>
        <w:t xml:space="preserve">Rule 8, </w:t>
      </w:r>
      <w:hyperlink r:id="rId70" w:history="1">
        <w:r w:rsidRPr="00C004AA">
          <w:rPr>
            <w:rStyle w:val="Hyperlink"/>
          </w:rPr>
          <w:t>Code of Conduct for Members of the German Bundestag</w:t>
        </w:r>
      </w:hyperlink>
      <w:r>
        <w:rPr>
          <w:lang w:val="en-US"/>
        </w:rPr>
        <w:t>.</w:t>
      </w:r>
    </w:p>
  </w:footnote>
  <w:footnote w:id="182">
    <w:p w:rsidR="00E55106" w:rsidRDefault="00E55106" w:rsidP="00C735A4">
      <w:pPr>
        <w:pStyle w:val="aa"/>
        <w:rPr>
          <w:rtl/>
          <w:lang w:val="en-US"/>
        </w:rPr>
      </w:pPr>
      <w:r>
        <w:rPr>
          <w:rStyle w:val="ac"/>
        </w:rPr>
        <w:footnoteRef/>
      </w:r>
      <w:r>
        <w:rPr>
          <w:rtl/>
        </w:rPr>
        <w:t xml:space="preserve"> </w:t>
      </w:r>
      <w:r>
        <w:rPr>
          <w:rtl/>
        </w:rPr>
        <w:tab/>
      </w:r>
      <w:r>
        <w:rPr>
          <w:rFonts w:hint="cs"/>
          <w:rtl/>
        </w:rPr>
        <w:t xml:space="preserve">חלק זה מבוסס על </w:t>
      </w:r>
      <w:r>
        <w:rPr>
          <w:rFonts w:hint="cs"/>
          <w:rtl/>
          <w:lang w:val="en-US"/>
        </w:rPr>
        <w:t xml:space="preserve">חוברת בשפה האנגלית שהוציא משרד הפנים הפדרלי של גרמניה, אשר כוללת את הכללים השונים שהוצאו להבטחת היושרה בשירות הציבורי (להלן: </w:t>
      </w:r>
      <w:r w:rsidRPr="0077000E">
        <w:rPr>
          <w:rFonts w:hint="cs"/>
          <w:b/>
          <w:bCs/>
          <w:rtl/>
          <w:lang w:val="en-US"/>
        </w:rPr>
        <w:t>חוברת כללי היושרה</w:t>
      </w:r>
      <w:r>
        <w:rPr>
          <w:rFonts w:hint="cs"/>
          <w:rtl/>
          <w:lang w:val="en-US"/>
        </w:rPr>
        <w:t>). ראו:</w:t>
      </w:r>
    </w:p>
    <w:p w:rsidR="00E55106" w:rsidRDefault="00E55106" w:rsidP="00C735A4">
      <w:pPr>
        <w:pStyle w:val="aa"/>
        <w:bidi w:val="0"/>
        <w:rPr>
          <w:spacing w:val="-6"/>
          <w:lang w:val="en-US"/>
        </w:rPr>
      </w:pPr>
      <w:r>
        <w:rPr>
          <w:lang w:val="en-US"/>
        </w:rPr>
        <w:tab/>
      </w:r>
      <w:r w:rsidRPr="0077000E">
        <w:rPr>
          <w:spacing w:val="-6"/>
        </w:rPr>
        <w:t>Federal Ministr</w:t>
      </w:r>
      <w:r w:rsidRPr="0077000E">
        <w:rPr>
          <w:spacing w:val="-6"/>
          <w:lang w:val="en-US"/>
        </w:rPr>
        <w:t>y</w:t>
      </w:r>
      <w:r w:rsidRPr="0077000E">
        <w:rPr>
          <w:spacing w:val="-6"/>
        </w:rPr>
        <w:t xml:space="preserve"> of the Interior</w:t>
      </w:r>
      <w:r w:rsidRPr="0077000E">
        <w:rPr>
          <w:spacing w:val="-6"/>
          <w:lang w:val="en-US"/>
        </w:rPr>
        <w:t xml:space="preserve">, </w:t>
      </w:r>
      <w:hyperlink r:id="rId71" w:history="1">
        <w:r w:rsidRPr="0077000E">
          <w:rPr>
            <w:rStyle w:val="Hyperlink"/>
            <w:spacing w:val="-6"/>
            <w:lang w:val="en-US"/>
          </w:rPr>
          <w:t>Rules on Integrity</w:t>
        </w:r>
      </w:hyperlink>
      <w:r w:rsidRPr="0077000E">
        <w:rPr>
          <w:spacing w:val="-6"/>
          <w:lang w:val="en-US"/>
        </w:rPr>
        <w:t>,</w:t>
      </w:r>
      <w:r w:rsidRPr="0077000E">
        <w:rPr>
          <w:spacing w:val="-6"/>
        </w:rPr>
        <w:t xml:space="preserve"> Second edition</w:t>
      </w:r>
      <w:r w:rsidRPr="0077000E">
        <w:rPr>
          <w:spacing w:val="-6"/>
          <w:lang w:val="en-US"/>
        </w:rPr>
        <w:t xml:space="preserve">, March 2014, (hereinafter: </w:t>
      </w:r>
      <w:hyperlink r:id="rId72" w:history="1">
        <w:r w:rsidRPr="0077000E">
          <w:rPr>
            <w:rStyle w:val="Hyperlink"/>
            <w:spacing w:val="-6"/>
            <w:lang w:val="en-US"/>
          </w:rPr>
          <w:t>Rules on Integrity</w:t>
        </w:r>
      </w:hyperlink>
      <w:r>
        <w:rPr>
          <w:spacing w:val="-6"/>
          <w:lang w:val="en-US"/>
        </w:rPr>
        <w:t>);</w:t>
      </w:r>
    </w:p>
    <w:p w:rsidR="00E55106" w:rsidRPr="0077000E" w:rsidRDefault="00E55106" w:rsidP="00C735A4">
      <w:pPr>
        <w:pStyle w:val="aa"/>
        <w:rPr>
          <w:spacing w:val="-6"/>
          <w:rtl/>
          <w:lang w:val="en-US"/>
        </w:rPr>
      </w:pPr>
      <w:r>
        <w:rPr>
          <w:spacing w:val="-6"/>
          <w:rtl/>
          <w:lang w:val="en-US"/>
        </w:rPr>
        <w:tab/>
      </w:r>
      <w:r>
        <w:rPr>
          <w:rFonts w:hint="cs"/>
          <w:spacing w:val="-6"/>
          <w:rtl/>
          <w:lang w:val="en-US"/>
        </w:rPr>
        <w:t>יצוין כי בחוברת כללי היושרה מפורטות הנחיות נוספות למניעת שחיתות (כמו למשל חוזר בדבר האיסור לקבל מתנות והמלצות ליחידות ביקורת פנים), וכן מידע על הוראות נוספות רלוונטיות, למשל האיסורים הקבועים בחוק הפלילי.</w:t>
      </w:r>
    </w:p>
  </w:footnote>
  <w:footnote w:id="183">
    <w:p w:rsidR="00E55106" w:rsidRDefault="00E55106" w:rsidP="00C735A4">
      <w:pPr>
        <w:pStyle w:val="aa"/>
        <w:rPr>
          <w:rtl/>
          <w:lang w:val="en-US"/>
        </w:rPr>
      </w:pPr>
      <w:r>
        <w:rPr>
          <w:rStyle w:val="ac"/>
        </w:rPr>
        <w:footnoteRef/>
      </w:r>
      <w:r>
        <w:rPr>
          <w:rtl/>
        </w:rPr>
        <w:t xml:space="preserve"> </w:t>
      </w:r>
      <w:r>
        <w:rPr>
          <w:rtl/>
        </w:rPr>
        <w:tab/>
      </w:r>
      <w:r>
        <w:rPr>
          <w:rFonts w:hint="cs"/>
          <w:rtl/>
          <w:lang w:val="en-US"/>
        </w:rPr>
        <w:t xml:space="preserve">הצו המעודכן בתרגום לאנגלית מופיע כחלק מחוברת כללי היושרה (לעיל הערה </w:t>
      </w:r>
      <w:r>
        <w:rPr>
          <w:rtl/>
          <w:lang w:val="en-US"/>
        </w:rPr>
        <w:fldChar w:fldCharType="begin"/>
      </w:r>
      <w:r>
        <w:rPr>
          <w:rtl/>
          <w:lang w:val="en-US"/>
        </w:rPr>
        <w:instrText xml:space="preserve"> </w:instrText>
      </w:r>
      <w:r>
        <w:rPr>
          <w:rFonts w:hint="cs"/>
          <w:lang w:val="en-US"/>
        </w:rPr>
        <w:instrText>NOTEREF</w:instrText>
      </w:r>
      <w:r>
        <w:rPr>
          <w:rFonts w:hint="cs"/>
          <w:rtl/>
          <w:lang w:val="en-US"/>
        </w:rPr>
        <w:instrText xml:space="preserve"> _</w:instrText>
      </w:r>
      <w:r>
        <w:rPr>
          <w:rFonts w:hint="cs"/>
          <w:lang w:val="en-US"/>
        </w:rPr>
        <w:instrText>Ref474068829 \h</w:instrText>
      </w:r>
      <w:r>
        <w:rPr>
          <w:rtl/>
          <w:lang w:val="en-US"/>
        </w:rPr>
        <w:instrText xml:space="preserve"> </w:instrText>
      </w:r>
      <w:r>
        <w:rPr>
          <w:rtl/>
          <w:lang w:val="en-US"/>
        </w:rPr>
      </w:r>
      <w:r>
        <w:rPr>
          <w:rtl/>
          <w:lang w:val="en-US"/>
        </w:rPr>
        <w:fldChar w:fldCharType="separate"/>
      </w:r>
      <w:r w:rsidR="00E306B5">
        <w:rPr>
          <w:rtl/>
          <w:lang w:val="en-US"/>
        </w:rPr>
        <w:t>182</w:t>
      </w:r>
      <w:r>
        <w:rPr>
          <w:rtl/>
          <w:lang w:val="en-US"/>
        </w:rPr>
        <w:fldChar w:fldCharType="end"/>
      </w:r>
      <w:r>
        <w:rPr>
          <w:rFonts w:hint="cs"/>
          <w:rtl/>
          <w:lang w:val="en-US"/>
        </w:rPr>
        <w:t xml:space="preserve">); ראו: </w:t>
      </w:r>
    </w:p>
    <w:p w:rsidR="00E55106" w:rsidRPr="0077000E" w:rsidRDefault="00E55106" w:rsidP="00C735A4">
      <w:pPr>
        <w:pStyle w:val="aa"/>
        <w:bidi w:val="0"/>
        <w:rPr>
          <w:rtl/>
          <w:lang w:val="en-US"/>
        </w:rPr>
      </w:pPr>
      <w:r>
        <w:rPr>
          <w:lang w:val="en-US"/>
        </w:rPr>
        <w:tab/>
      </w:r>
      <w:r w:rsidRPr="0077000E">
        <w:rPr>
          <w:lang w:val="en-US"/>
        </w:rPr>
        <w:t>Federal Government Directive Concerning the Prevention of Corruption in the Federal Administratio</w:t>
      </w:r>
      <w:r>
        <w:rPr>
          <w:lang w:val="en-US"/>
        </w:rPr>
        <w:t xml:space="preserve">n of 30 July 2004, in: </w:t>
      </w:r>
      <w:r>
        <w:rPr>
          <w:rFonts w:hint="cs"/>
          <w:rtl/>
          <w:lang w:val="en-US"/>
        </w:rPr>
        <w:t xml:space="preserve"> </w:t>
      </w:r>
      <w:hyperlink r:id="rId73" w:history="1">
        <w:r w:rsidRPr="003E1D38">
          <w:rPr>
            <w:rStyle w:val="Hyperlink"/>
            <w:lang w:val="en-US"/>
          </w:rPr>
          <w:t>Rules on Integrity</w:t>
        </w:r>
      </w:hyperlink>
      <w:r>
        <w:rPr>
          <w:lang w:val="en-US"/>
        </w:rPr>
        <w:t xml:space="preserve">, supra note </w:t>
      </w:r>
      <w:r>
        <w:rPr>
          <w:lang w:val="en-US"/>
        </w:rPr>
        <w:fldChar w:fldCharType="begin"/>
      </w:r>
      <w:r>
        <w:rPr>
          <w:lang w:val="en-US"/>
        </w:rPr>
        <w:instrText xml:space="preserve"> NOTEREF _Ref474068829 \h </w:instrText>
      </w:r>
      <w:r>
        <w:rPr>
          <w:lang w:val="en-US"/>
        </w:rPr>
      </w:r>
      <w:r>
        <w:rPr>
          <w:lang w:val="en-US"/>
        </w:rPr>
        <w:fldChar w:fldCharType="separate"/>
      </w:r>
      <w:r w:rsidR="00E306B5">
        <w:rPr>
          <w:lang w:val="en-US"/>
        </w:rPr>
        <w:t>182</w:t>
      </w:r>
      <w:r>
        <w:rPr>
          <w:lang w:val="en-US"/>
        </w:rPr>
        <w:fldChar w:fldCharType="end"/>
      </w:r>
      <w:r>
        <w:rPr>
          <w:lang w:val="en-US"/>
        </w:rPr>
        <w:t xml:space="preserve">, pp. 6-26 (hereinafter: </w:t>
      </w:r>
      <w:r w:rsidRPr="0077000E">
        <w:rPr>
          <w:lang w:val="en-US"/>
        </w:rPr>
        <w:t>Federal Government Directive</w:t>
      </w:r>
      <w:r>
        <w:rPr>
          <w:lang w:val="en-US"/>
        </w:rPr>
        <w:t>).</w:t>
      </w:r>
    </w:p>
    <w:p w:rsidR="00E55106" w:rsidRDefault="00E55106" w:rsidP="00C735A4">
      <w:pPr>
        <w:pStyle w:val="aa"/>
        <w:rPr>
          <w:rtl/>
          <w:lang w:val="en-US"/>
        </w:rPr>
      </w:pPr>
      <w:r>
        <w:rPr>
          <w:rtl/>
          <w:lang w:val="en-US"/>
        </w:rPr>
        <w:tab/>
      </w:r>
      <w:r>
        <w:rPr>
          <w:rFonts w:hint="cs"/>
          <w:rtl/>
          <w:lang w:val="en-US"/>
        </w:rPr>
        <w:t>הצו מופיע גם כקובץ נפרד בקישור:</w:t>
      </w:r>
    </w:p>
    <w:p w:rsidR="00E55106" w:rsidRPr="0077000E" w:rsidRDefault="00E55106" w:rsidP="00C735A4">
      <w:pPr>
        <w:pStyle w:val="aa"/>
        <w:bidi w:val="0"/>
        <w:rPr>
          <w:lang w:val="en-US"/>
        </w:rPr>
      </w:pPr>
      <w:r>
        <w:t xml:space="preserve"> </w:t>
      </w:r>
      <w:r>
        <w:rPr>
          <w:rtl/>
        </w:rPr>
        <w:tab/>
      </w:r>
      <w:hyperlink r:id="rId74" w:history="1">
        <w:r w:rsidRPr="003E1D38">
          <w:rPr>
            <w:rStyle w:val="Hyperlink"/>
          </w:rPr>
          <w:t>Federal Government Directive Concerning the Prevention of Corruption in the Federal Administratio</w:t>
        </w:r>
        <w:r>
          <w:rPr>
            <w:rStyle w:val="Hyperlink"/>
            <w:lang w:val="en-US"/>
          </w:rPr>
          <w:t>n of 30 July 2004</w:t>
        </w:r>
      </w:hyperlink>
      <w:r>
        <w:rPr>
          <w:lang w:val="en-US"/>
        </w:rPr>
        <w:t>.</w:t>
      </w:r>
    </w:p>
  </w:footnote>
  <w:footnote w:id="184">
    <w:p w:rsidR="00E55106" w:rsidRPr="00271A34" w:rsidRDefault="00E55106" w:rsidP="00C735A4">
      <w:pPr>
        <w:pStyle w:val="aa"/>
        <w:bidi w:val="0"/>
        <w:rPr>
          <w:lang w:val="en-US"/>
        </w:rPr>
      </w:pPr>
      <w:r>
        <w:rPr>
          <w:rStyle w:val="ac"/>
        </w:rPr>
        <w:footnoteRef/>
      </w:r>
      <w:r>
        <w:rPr>
          <w:rtl/>
        </w:rPr>
        <w:t xml:space="preserve"> </w:t>
      </w:r>
      <w:r w:rsidRPr="0077000E">
        <w:rPr>
          <w:lang w:val="en-US"/>
        </w:rPr>
        <w:t>Federal Government Directive</w:t>
      </w:r>
      <w:r>
        <w:rPr>
          <w:lang w:val="en-US"/>
        </w:rPr>
        <w:t xml:space="preserve">, supra note </w:t>
      </w:r>
      <w:r>
        <w:rPr>
          <w:lang w:val="en-US"/>
        </w:rPr>
        <w:fldChar w:fldCharType="begin"/>
      </w:r>
      <w:r>
        <w:rPr>
          <w:lang w:val="en-US"/>
        </w:rPr>
        <w:instrText xml:space="preserve"> NOTEREF _Ref474138388 \h </w:instrText>
      </w:r>
      <w:r>
        <w:rPr>
          <w:lang w:val="en-US"/>
        </w:rPr>
      </w:r>
      <w:r>
        <w:rPr>
          <w:lang w:val="en-US"/>
        </w:rPr>
        <w:fldChar w:fldCharType="separate"/>
      </w:r>
      <w:r w:rsidR="00E306B5">
        <w:rPr>
          <w:lang w:val="en-US"/>
        </w:rPr>
        <w:t>183</w:t>
      </w:r>
      <w:r>
        <w:rPr>
          <w:lang w:val="en-US"/>
        </w:rPr>
        <w:fldChar w:fldCharType="end"/>
      </w:r>
      <w:r>
        <w:rPr>
          <w:lang w:val="en-US"/>
        </w:rPr>
        <w:t xml:space="preserve">, Annex 1 – </w:t>
      </w:r>
      <w:r w:rsidRPr="00271A34">
        <w:t>Anti-Corruption Code of Conduct</w:t>
      </w:r>
      <w:r>
        <w:rPr>
          <w:lang w:val="en-US"/>
        </w:rPr>
        <w:t>.</w:t>
      </w:r>
    </w:p>
  </w:footnote>
  <w:footnote w:id="185">
    <w:p w:rsidR="00E55106" w:rsidRPr="000319C4" w:rsidRDefault="00E55106" w:rsidP="00C735A4">
      <w:pPr>
        <w:pStyle w:val="aa"/>
        <w:bidi w:val="0"/>
        <w:rPr>
          <w:lang w:val="en-US"/>
        </w:rPr>
      </w:pPr>
      <w:r>
        <w:rPr>
          <w:rStyle w:val="ac"/>
        </w:rPr>
        <w:footnoteRef/>
      </w:r>
      <w:r>
        <w:rPr>
          <w:rtl/>
        </w:rPr>
        <w:t xml:space="preserve"> </w:t>
      </w:r>
      <w:r w:rsidRPr="0077000E">
        <w:rPr>
          <w:lang w:val="en-US"/>
        </w:rPr>
        <w:t>Federal Government Directive</w:t>
      </w:r>
      <w:r>
        <w:rPr>
          <w:lang w:val="en-US"/>
        </w:rPr>
        <w:t xml:space="preserve">, supra note </w:t>
      </w:r>
      <w:r>
        <w:rPr>
          <w:lang w:val="en-US"/>
        </w:rPr>
        <w:fldChar w:fldCharType="begin"/>
      </w:r>
      <w:r>
        <w:rPr>
          <w:lang w:val="en-US"/>
        </w:rPr>
        <w:instrText xml:space="preserve"> NOTEREF _Ref474138388 \h </w:instrText>
      </w:r>
      <w:r>
        <w:rPr>
          <w:lang w:val="en-US"/>
        </w:rPr>
      </w:r>
      <w:r>
        <w:rPr>
          <w:lang w:val="en-US"/>
        </w:rPr>
        <w:fldChar w:fldCharType="separate"/>
      </w:r>
      <w:r w:rsidR="00E306B5">
        <w:rPr>
          <w:lang w:val="en-US"/>
        </w:rPr>
        <w:t>183</w:t>
      </w:r>
      <w:r>
        <w:rPr>
          <w:lang w:val="en-US"/>
        </w:rPr>
        <w:fldChar w:fldCharType="end"/>
      </w:r>
      <w:r>
        <w:rPr>
          <w:lang w:val="en-US"/>
        </w:rPr>
        <w:t xml:space="preserve">, Annex 2 – </w:t>
      </w:r>
      <w:r w:rsidRPr="000319C4">
        <w:rPr>
          <w:lang w:val="en-US"/>
        </w:rPr>
        <w:t>Guidelines for supervisors and heads of public</w:t>
      </w:r>
      <w:r>
        <w:rPr>
          <w:lang w:val="en-US"/>
        </w:rPr>
        <w:t xml:space="preserve"> </w:t>
      </w:r>
      <w:r w:rsidRPr="000319C4">
        <w:rPr>
          <w:lang w:val="en-US"/>
        </w:rPr>
        <w:t>authorities/agencies</w:t>
      </w:r>
      <w:r>
        <w:rPr>
          <w:lang w:val="en-US"/>
        </w:rPr>
        <w:t>.</w:t>
      </w:r>
    </w:p>
  </w:footnote>
  <w:footnote w:id="186">
    <w:p w:rsidR="00E55106" w:rsidRDefault="00E55106">
      <w:pPr>
        <w:pStyle w:val="aa"/>
        <w:rPr>
          <w:rtl/>
        </w:rPr>
      </w:pPr>
      <w:r>
        <w:rPr>
          <w:rStyle w:val="ac"/>
        </w:rPr>
        <w:footnoteRef/>
      </w:r>
      <w:r>
        <w:rPr>
          <w:rtl/>
        </w:rPr>
        <w:t xml:space="preserve"> </w:t>
      </w:r>
      <w:r>
        <w:rPr>
          <w:rtl/>
        </w:rPr>
        <w:tab/>
      </w:r>
      <w:r>
        <w:rPr>
          <w:rFonts w:hint="cs"/>
          <w:rtl/>
        </w:rPr>
        <w:t xml:space="preserve">פרק זה נכתב על-ידי עו"ד ליאור בן דוד, ממונה (חקיקה ומחקר משפטי) בלשכה המשפטית של הכנסת. </w:t>
      </w:r>
    </w:p>
  </w:footnote>
  <w:footnote w:id="187">
    <w:p w:rsidR="00E55106" w:rsidRPr="00B850BD" w:rsidRDefault="00E55106" w:rsidP="000E2638">
      <w:pPr>
        <w:pStyle w:val="aa"/>
        <w:bidi w:val="0"/>
        <w:rPr>
          <w:rFonts w:ascii="Arial" w:hAnsi="Arial" w:cs="Arial"/>
        </w:rPr>
      </w:pPr>
      <w:r>
        <w:rPr>
          <w:rStyle w:val="ac"/>
        </w:rPr>
        <w:footnoteRef/>
      </w:r>
      <w:r>
        <w:rPr>
          <w:rtl/>
        </w:rPr>
        <w:t xml:space="preserve"> </w:t>
      </w:r>
      <w:hyperlink r:id="rId75" w:history="1">
        <w:r w:rsidRPr="00753462">
          <w:rPr>
            <w:rStyle w:val="Hyperlink"/>
            <w:rFonts w:asciiTheme="majorBidi" w:hAnsiTheme="majorBidi" w:cstheme="majorBidi"/>
            <w:lang w:val="es-ES"/>
          </w:rPr>
          <w:t>Ley 3/2015, de 30 de marzo, reguladora del ejercicio del alto cargo de la Administración General del Estado</w:t>
        </w:r>
      </w:hyperlink>
      <w:r w:rsidRPr="00B850BD">
        <w:t>.</w:t>
      </w:r>
    </w:p>
  </w:footnote>
  <w:footnote w:id="188">
    <w:p w:rsidR="00E55106" w:rsidRDefault="00E55106" w:rsidP="008C46B8">
      <w:pPr>
        <w:pStyle w:val="aa"/>
        <w:rPr>
          <w:rtl/>
        </w:rPr>
      </w:pPr>
      <w:r>
        <w:rPr>
          <w:rStyle w:val="ac"/>
        </w:rPr>
        <w:footnoteRef/>
      </w:r>
      <w:r>
        <w:rPr>
          <w:rtl/>
        </w:rPr>
        <w:t xml:space="preserve"> </w:t>
      </w:r>
      <w:r>
        <w:rPr>
          <w:rFonts w:hint="cs"/>
          <w:rtl/>
        </w:rPr>
        <w:t xml:space="preserve">סקירת החוק מתבססת גם על: </w:t>
      </w:r>
    </w:p>
    <w:p w:rsidR="00E55106" w:rsidRDefault="00E55106" w:rsidP="008C46B8">
      <w:pPr>
        <w:pStyle w:val="aa"/>
        <w:numPr>
          <w:ilvl w:val="0"/>
          <w:numId w:val="24"/>
        </w:numPr>
        <w:tabs>
          <w:tab w:val="clear" w:pos="210"/>
        </w:tabs>
        <w:bidi w:val="0"/>
        <w:ind w:left="454" w:hanging="227"/>
        <w:rPr>
          <w:rFonts w:asciiTheme="majorBidi" w:hAnsiTheme="majorBidi" w:cstheme="majorBidi"/>
        </w:rPr>
      </w:pPr>
      <w:proofErr w:type="spellStart"/>
      <w:r w:rsidRPr="00CB3CE6">
        <w:rPr>
          <w:rFonts w:asciiTheme="majorBidi" w:hAnsiTheme="majorBidi" w:cstheme="majorBidi"/>
          <w:lang w:val="en-US"/>
        </w:rPr>
        <w:t>Agustí</w:t>
      </w:r>
      <w:proofErr w:type="spellEnd"/>
      <w:r w:rsidRPr="00CB3CE6">
        <w:rPr>
          <w:rFonts w:asciiTheme="majorBidi" w:hAnsiTheme="majorBidi" w:cstheme="majorBidi"/>
          <w:lang w:val="en-US"/>
        </w:rPr>
        <w:t xml:space="preserve"> </w:t>
      </w:r>
      <w:proofErr w:type="spellStart"/>
      <w:r w:rsidRPr="00CB3CE6">
        <w:rPr>
          <w:rFonts w:asciiTheme="majorBidi" w:hAnsiTheme="majorBidi" w:cstheme="majorBidi"/>
          <w:lang w:val="en-US"/>
        </w:rPr>
        <w:t>Cerrillo-i-Martínez</w:t>
      </w:r>
      <w:proofErr w:type="spellEnd"/>
      <w:r w:rsidRPr="00527555">
        <w:rPr>
          <w:rFonts w:asciiTheme="majorBidi" w:hAnsiTheme="majorBidi" w:cstheme="majorBidi"/>
        </w:rPr>
        <w:t xml:space="preserve"> (2016): </w:t>
      </w:r>
      <w:hyperlink r:id="rId76" w:history="1">
        <w:r w:rsidRPr="00DB6F6A">
          <w:rPr>
            <w:rStyle w:val="Hyperlink"/>
            <w:rFonts w:asciiTheme="majorBidi" w:hAnsiTheme="majorBidi" w:cstheme="majorBidi"/>
          </w:rPr>
          <w:t>Beyond Revolving Doors: The Prevention of Conflicts of Interests Through Regulation</w:t>
        </w:r>
      </w:hyperlink>
      <w:r w:rsidRPr="00527555">
        <w:rPr>
          <w:rFonts w:asciiTheme="majorBidi" w:hAnsiTheme="majorBidi" w:cstheme="majorBidi"/>
        </w:rPr>
        <w:t xml:space="preserve">, </w:t>
      </w:r>
      <w:r w:rsidRPr="00534547">
        <w:rPr>
          <w:rFonts w:asciiTheme="majorBidi" w:hAnsiTheme="majorBidi" w:cstheme="majorBidi"/>
          <w:i/>
          <w:iCs/>
        </w:rPr>
        <w:t>Public Integrity</w:t>
      </w:r>
      <w:r w:rsidRPr="00527555">
        <w:rPr>
          <w:rFonts w:asciiTheme="majorBidi" w:hAnsiTheme="majorBidi" w:cstheme="majorBidi"/>
        </w:rPr>
        <w:t xml:space="preserve">, </w:t>
      </w:r>
      <w:r>
        <w:rPr>
          <w:rFonts w:asciiTheme="majorBidi" w:hAnsiTheme="majorBidi" w:cstheme="majorBidi"/>
          <w:lang w:val="en-US"/>
        </w:rPr>
        <w:t>20 September 2016</w:t>
      </w:r>
      <w:r>
        <w:rPr>
          <w:rFonts w:asciiTheme="majorBidi" w:hAnsiTheme="majorBidi" w:cstheme="majorBidi"/>
        </w:rPr>
        <w:t>, pp, 7-10;</w:t>
      </w:r>
    </w:p>
    <w:p w:rsidR="00E55106" w:rsidRPr="00891D39" w:rsidRDefault="00E55106" w:rsidP="008C46B8">
      <w:pPr>
        <w:pStyle w:val="aa"/>
        <w:numPr>
          <w:ilvl w:val="0"/>
          <w:numId w:val="24"/>
        </w:numPr>
        <w:tabs>
          <w:tab w:val="clear" w:pos="210"/>
        </w:tabs>
        <w:ind w:left="454" w:hanging="227"/>
        <w:rPr>
          <w:rFonts w:asciiTheme="majorBidi" w:hAnsiTheme="majorBidi"/>
        </w:rPr>
      </w:pPr>
      <w:r w:rsidRPr="00891D39">
        <w:rPr>
          <w:rFonts w:asciiTheme="majorBidi" w:hAnsiTheme="majorBidi" w:hint="cs"/>
          <w:rtl/>
        </w:rPr>
        <w:t>אתר ממשלת ספרד</w:t>
      </w:r>
      <w:r>
        <w:rPr>
          <w:rFonts w:hint="cs"/>
          <w:rtl/>
        </w:rPr>
        <w:t xml:space="preserve"> בקישור: </w:t>
      </w:r>
      <w:hyperlink r:id="rId77" w:history="1">
        <w:r w:rsidRPr="00DB6F6A">
          <w:rPr>
            <w:rStyle w:val="Hyperlink"/>
          </w:rPr>
          <w:t>Transparency and Public Administration Reform</w:t>
        </w:r>
      </w:hyperlink>
      <w:r>
        <w:rPr>
          <w:rFonts w:hint="cs"/>
          <w:rtl/>
        </w:rPr>
        <w:t xml:space="preserve">, תאריך כניסה: 16 בפברואר 2017. </w:t>
      </w:r>
    </w:p>
  </w:footnote>
  <w:footnote w:id="189">
    <w:p w:rsidR="00E55106" w:rsidRDefault="00E55106" w:rsidP="00DB6F6A">
      <w:pPr>
        <w:pStyle w:val="aa"/>
        <w:rPr>
          <w:rtl/>
        </w:rPr>
      </w:pPr>
      <w:r>
        <w:rPr>
          <w:rStyle w:val="ac"/>
        </w:rPr>
        <w:footnoteRef/>
      </w:r>
      <w:r>
        <w:rPr>
          <w:rtl/>
        </w:rPr>
        <w:t xml:space="preserve"> </w:t>
      </w:r>
      <w:r>
        <w:rPr>
          <w:rFonts w:hint="cs"/>
          <w:rtl/>
        </w:rPr>
        <w:t>סעיף 11 לחוק מס' 3/2015.</w:t>
      </w:r>
    </w:p>
  </w:footnote>
  <w:footnote w:id="190">
    <w:p w:rsidR="00E55106" w:rsidRDefault="00E55106" w:rsidP="00753462">
      <w:pPr>
        <w:pStyle w:val="aa"/>
        <w:rPr>
          <w:rtl/>
        </w:rPr>
      </w:pPr>
      <w:r>
        <w:rPr>
          <w:rStyle w:val="ac"/>
        </w:rPr>
        <w:footnoteRef/>
      </w:r>
      <w:r>
        <w:rPr>
          <w:rtl/>
        </w:rPr>
        <w:t xml:space="preserve"> </w:t>
      </w:r>
      <w:r>
        <w:rPr>
          <w:rtl/>
        </w:rPr>
        <w:tab/>
      </w:r>
      <w:r>
        <w:rPr>
          <w:rFonts w:hint="cs"/>
          <w:rtl/>
        </w:rPr>
        <w:t>סעיף 13 לחוק מס' 3/2015.</w:t>
      </w:r>
    </w:p>
  </w:footnote>
  <w:footnote w:id="191">
    <w:p w:rsidR="00E55106" w:rsidRDefault="00E55106" w:rsidP="00753462">
      <w:pPr>
        <w:pStyle w:val="aa"/>
      </w:pPr>
      <w:r>
        <w:rPr>
          <w:rStyle w:val="ac"/>
        </w:rPr>
        <w:footnoteRef/>
      </w:r>
      <w:r>
        <w:rPr>
          <w:rtl/>
        </w:rPr>
        <w:t xml:space="preserve"> </w:t>
      </w:r>
      <w:r>
        <w:rPr>
          <w:rtl/>
        </w:rPr>
        <w:tab/>
      </w:r>
      <w:r>
        <w:rPr>
          <w:rFonts w:hint="cs"/>
          <w:rtl/>
        </w:rPr>
        <w:t>סעיף 14.1 לחוק מס' 3/2015.</w:t>
      </w:r>
    </w:p>
  </w:footnote>
  <w:footnote w:id="192">
    <w:p w:rsidR="00E55106" w:rsidRDefault="00E55106" w:rsidP="00DB6F6A">
      <w:pPr>
        <w:pStyle w:val="aa"/>
        <w:rPr>
          <w:rtl/>
        </w:rPr>
      </w:pPr>
      <w:r>
        <w:rPr>
          <w:rStyle w:val="ac"/>
        </w:rPr>
        <w:footnoteRef/>
      </w:r>
      <w:r>
        <w:rPr>
          <w:rtl/>
        </w:rPr>
        <w:t xml:space="preserve"> </w:t>
      </w:r>
      <w:r>
        <w:rPr>
          <w:rFonts w:hint="cs"/>
          <w:rtl/>
        </w:rPr>
        <w:t>סעיף 12.1 לחוק מס' 3/2015.</w:t>
      </w:r>
    </w:p>
  </w:footnote>
  <w:footnote w:id="193">
    <w:p w:rsidR="00E55106" w:rsidRDefault="00E55106" w:rsidP="00124BC2">
      <w:pPr>
        <w:pStyle w:val="aa"/>
        <w:rPr>
          <w:rtl/>
        </w:rPr>
      </w:pPr>
      <w:r>
        <w:rPr>
          <w:rStyle w:val="ac"/>
        </w:rPr>
        <w:footnoteRef/>
      </w:r>
      <w:r>
        <w:rPr>
          <w:rtl/>
        </w:rPr>
        <w:t xml:space="preserve"> </w:t>
      </w:r>
      <w:r>
        <w:rPr>
          <w:rtl/>
        </w:rPr>
        <w:tab/>
      </w:r>
      <w:r>
        <w:rPr>
          <w:rFonts w:hint="cs"/>
          <w:rtl/>
        </w:rPr>
        <w:t xml:space="preserve">החוק גם מטיל </w:t>
      </w:r>
      <w:r w:rsidRPr="00DF5166">
        <w:rPr>
          <w:rFonts w:hint="cs"/>
          <w:b/>
          <w:bCs/>
          <w:rtl/>
        </w:rPr>
        <w:t>הגבלות על פעילותם של נושאי משרות בכירות במגזר הפרטי</w:t>
      </w:r>
      <w:r>
        <w:rPr>
          <w:rFonts w:hint="cs"/>
          <w:rtl/>
        </w:rPr>
        <w:t xml:space="preserve"> </w:t>
      </w:r>
      <w:r w:rsidRPr="00DF5166">
        <w:rPr>
          <w:rFonts w:hint="cs"/>
          <w:b/>
          <w:bCs/>
          <w:u w:val="single"/>
          <w:rtl/>
        </w:rPr>
        <w:t>לאחר</w:t>
      </w:r>
      <w:r w:rsidRPr="00DF5166">
        <w:rPr>
          <w:rFonts w:hint="cs"/>
          <w:b/>
          <w:bCs/>
          <w:rtl/>
        </w:rPr>
        <w:t xml:space="preserve"> סיום כהונתם הציבורית</w:t>
      </w:r>
      <w:r>
        <w:rPr>
          <w:rFonts w:hint="cs"/>
          <w:rtl/>
        </w:rPr>
        <w:t xml:space="preserve">. הוא קובע תקופה של שנתיים מתום מועד הכהונה שבמהלכה ככלל אסור לנושא המשרה לעבוד בחברות פרטיות שהושפעו מהחלטות שהוא היה שותף להן או שהיו תחת פיקוחו במסגרת כהונתו. אם המשרד לניגודי עניינים סבור שעלולה להיות בעייתיות בפעילויות שנושא המשרה צפוי לעסוק בהן לאחר סיום תפקידו </w:t>
      </w:r>
      <w:r>
        <w:rPr>
          <w:rtl/>
        </w:rPr>
        <w:t>–</w:t>
      </w:r>
      <w:r>
        <w:rPr>
          <w:rFonts w:hint="cs"/>
          <w:rtl/>
        </w:rPr>
        <w:t xml:space="preserve"> הוא יודיע על כך גם לנושא המשרה וגם לחברה הפרטית שבה הוא מתעתד לעבוד והללו מצדם רשאים להגיב על כך פורמלית. בתוך חודש ימים המשרד לניגודי עניינים יקבל החלטה סופית בסוגיה הנדונה ויודיע על כך לשני הצדדים האמורים. סעיפים 15.2-15.1, 15.7-15.6 לחוק מס' 3/2015. </w:t>
      </w:r>
    </w:p>
    <w:p w:rsidR="00E55106" w:rsidRDefault="00E55106" w:rsidP="00124BC2">
      <w:pPr>
        <w:pStyle w:val="aa"/>
      </w:pPr>
      <w:r>
        <w:rPr>
          <w:rtl/>
        </w:rPr>
        <w:tab/>
      </w:r>
      <w:r>
        <w:rPr>
          <w:rFonts w:hint="cs"/>
          <w:rtl/>
        </w:rPr>
        <w:t>כמו כן, במהלך אותן שנתיים לאחר שסיימו את תפקידם הציבורי, תירשם במרשם הפעילויות כל פעילות כלכלית חדשה שלהם שהתקבלה לגביה החלטה של המשרד לניגודי עניינים. כדי למלא אחר האמור לעיל, נושא המשרה הבכיר גם צריך להגיש למרשם הפעילויות אישור על שתי ההצהרות השנתיות האחרונות שהגיש למס הכנסה. המשרד לניגודי עניינים רשאי לבקש ממרשמים נוספים (מרשם המסחר, מרשם הקרנות) בדיקות שונות לגבי הנתונים שמסר נושא המשרה הבכיר. כמו כן, נושא המשרה יכול לאשר בכתב למשרד לניגודי עניינים להשיג מידע בעניינו ישירות מרשויות המס. סעיפים 16.4-16.1 לחוק מס' 3/2015.</w:t>
      </w:r>
    </w:p>
  </w:footnote>
  <w:footnote w:id="194">
    <w:p w:rsidR="00E55106" w:rsidRDefault="00E55106" w:rsidP="00CB3CE6">
      <w:pPr>
        <w:pStyle w:val="aa"/>
        <w:rPr>
          <w:rtl/>
        </w:rPr>
      </w:pPr>
      <w:r w:rsidRPr="00CB3CE6">
        <w:rPr>
          <w:rStyle w:val="ac"/>
        </w:rPr>
        <w:footnoteRef/>
      </w:r>
      <w:r w:rsidRPr="00CB3CE6">
        <w:rPr>
          <w:rtl/>
        </w:rPr>
        <w:t xml:space="preserve"> </w:t>
      </w:r>
      <w:r w:rsidRPr="00CB3CE6">
        <w:rPr>
          <w:rFonts w:hint="cs"/>
          <w:rtl/>
        </w:rPr>
        <w:t xml:space="preserve">יצוין כי לא ברורה ההבחנה בין נושאי משרה </w:t>
      </w:r>
      <w:r w:rsidRPr="00CB3CE6">
        <w:rPr>
          <w:rFonts w:hint="eastAsia"/>
          <w:rtl/>
        </w:rPr>
        <w:t>בכירים</w:t>
      </w:r>
      <w:r w:rsidRPr="00CB3CE6">
        <w:rPr>
          <w:rtl/>
        </w:rPr>
        <w:t xml:space="preserve"> </w:t>
      </w:r>
      <w:r w:rsidRPr="00CB3CE6">
        <w:rPr>
          <w:rFonts w:hint="eastAsia"/>
          <w:rtl/>
        </w:rPr>
        <w:t>בעלי</w:t>
      </w:r>
      <w:r w:rsidRPr="00CB3CE6">
        <w:rPr>
          <w:rtl/>
        </w:rPr>
        <w:t xml:space="preserve"> </w:t>
      </w:r>
      <w:r w:rsidRPr="00CB3CE6">
        <w:rPr>
          <w:lang w:val="es-ES"/>
        </w:rPr>
        <w:t>condición de autoridad</w:t>
      </w:r>
      <w:r w:rsidRPr="00CB3CE6">
        <w:rPr>
          <w:rtl/>
        </w:rPr>
        <w:t xml:space="preserve"> </w:t>
      </w:r>
      <w:r w:rsidRPr="00CB3CE6">
        <w:rPr>
          <w:rFonts w:hint="eastAsia"/>
          <w:rtl/>
        </w:rPr>
        <w:t>לבין</w:t>
      </w:r>
      <w:r w:rsidRPr="00CB3CE6">
        <w:rPr>
          <w:rtl/>
        </w:rPr>
        <w:t xml:space="preserve"> נושאי משרה בכירים אחרים. </w:t>
      </w:r>
      <w:r w:rsidRPr="00CB3CE6">
        <w:rPr>
          <w:rFonts w:hint="eastAsia"/>
          <w:rtl/>
        </w:rPr>
        <w:t>למרות</w:t>
      </w:r>
      <w:r w:rsidRPr="00CB3CE6">
        <w:rPr>
          <w:rtl/>
        </w:rPr>
        <w:t xml:space="preserve"> פניותינו לקבלת הבהרות </w:t>
      </w:r>
      <w:r w:rsidRPr="00CB3CE6">
        <w:rPr>
          <w:rFonts w:hint="eastAsia"/>
          <w:rtl/>
        </w:rPr>
        <w:t>מהרשויות</w:t>
      </w:r>
      <w:r w:rsidRPr="00CB3CE6">
        <w:rPr>
          <w:rtl/>
        </w:rPr>
        <w:t xml:space="preserve"> בספרד בדבר </w:t>
      </w:r>
      <w:r w:rsidRPr="00CB3CE6">
        <w:rPr>
          <w:rFonts w:hint="eastAsia"/>
          <w:rtl/>
        </w:rPr>
        <w:t>ההבדלים</w:t>
      </w:r>
      <w:r w:rsidRPr="00CB3CE6">
        <w:rPr>
          <w:rFonts w:hint="cs"/>
          <w:rtl/>
        </w:rPr>
        <w:t xml:space="preserve"> בהגדרות שני סוגי נושאי המשרה הבכירים האמורים לעיל, </w:t>
      </w:r>
      <w:r w:rsidRPr="00CB3CE6">
        <w:rPr>
          <w:rFonts w:hint="eastAsia"/>
          <w:rtl/>
        </w:rPr>
        <w:t>לא</w:t>
      </w:r>
      <w:r w:rsidRPr="00CB3CE6">
        <w:rPr>
          <w:rtl/>
        </w:rPr>
        <w:t xml:space="preserve"> התקבלה </w:t>
      </w:r>
      <w:r w:rsidRPr="00CB3CE6">
        <w:rPr>
          <w:rFonts w:hint="cs"/>
          <w:rtl/>
        </w:rPr>
        <w:t xml:space="preserve">עד עתה </w:t>
      </w:r>
      <w:r w:rsidRPr="00CB3CE6">
        <w:rPr>
          <w:rFonts w:hint="eastAsia"/>
          <w:rtl/>
        </w:rPr>
        <w:t>הבהרה</w:t>
      </w:r>
      <w:r w:rsidRPr="00CB3CE6">
        <w:rPr>
          <w:rtl/>
        </w:rPr>
        <w:t xml:space="preserve"> </w:t>
      </w:r>
      <w:r w:rsidRPr="00CB3CE6">
        <w:rPr>
          <w:rFonts w:hint="cs"/>
          <w:rtl/>
        </w:rPr>
        <w:t>שתסביר את הגדרותיהם.</w:t>
      </w:r>
    </w:p>
  </w:footnote>
  <w:footnote w:id="195">
    <w:p w:rsidR="00E55106" w:rsidRDefault="00E55106" w:rsidP="00DB6F6A">
      <w:pPr>
        <w:pStyle w:val="aa"/>
        <w:rPr>
          <w:rtl/>
        </w:rPr>
      </w:pPr>
      <w:r>
        <w:rPr>
          <w:rStyle w:val="ac"/>
        </w:rPr>
        <w:footnoteRef/>
      </w:r>
      <w:r>
        <w:rPr>
          <w:rtl/>
        </w:rPr>
        <w:t xml:space="preserve"> </w:t>
      </w:r>
      <w:r>
        <w:rPr>
          <w:rtl/>
        </w:rPr>
        <w:tab/>
      </w:r>
      <w:r>
        <w:rPr>
          <w:rFonts w:hint="cs"/>
          <w:rtl/>
        </w:rPr>
        <w:t>סעיפים 12.2 ו-12.3 לחוק מס' 3/2015.</w:t>
      </w:r>
    </w:p>
  </w:footnote>
  <w:footnote w:id="196">
    <w:p w:rsidR="00E55106" w:rsidRDefault="00E55106" w:rsidP="00DB6F6A">
      <w:pPr>
        <w:pStyle w:val="aa"/>
        <w:rPr>
          <w:rtl/>
        </w:rPr>
      </w:pPr>
      <w:r>
        <w:rPr>
          <w:rStyle w:val="ac"/>
        </w:rPr>
        <w:footnoteRef/>
      </w:r>
      <w:r>
        <w:rPr>
          <w:rtl/>
        </w:rPr>
        <w:t xml:space="preserve"> </w:t>
      </w:r>
      <w:r>
        <w:rPr>
          <w:rtl/>
        </w:rPr>
        <w:tab/>
      </w:r>
      <w:r>
        <w:rPr>
          <w:rFonts w:hint="cs"/>
          <w:rtl/>
        </w:rPr>
        <w:t>סעיף 12.4 לחוק מס' 3/2015.</w:t>
      </w:r>
    </w:p>
  </w:footnote>
  <w:footnote w:id="197">
    <w:p w:rsidR="00E55106" w:rsidRPr="00D3678D" w:rsidRDefault="00E55106" w:rsidP="00DB6F6A">
      <w:pPr>
        <w:pStyle w:val="aa"/>
        <w:rPr>
          <w:lang w:val="es-ES"/>
        </w:rPr>
      </w:pPr>
      <w:r>
        <w:rPr>
          <w:rStyle w:val="ac"/>
        </w:rPr>
        <w:footnoteRef/>
      </w:r>
      <w:r>
        <w:rPr>
          <w:rtl/>
        </w:rPr>
        <w:t xml:space="preserve"> </w:t>
      </w:r>
      <w:r>
        <w:rPr>
          <w:rtl/>
        </w:rPr>
        <w:tab/>
      </w:r>
      <w:r>
        <w:rPr>
          <w:rFonts w:hint="cs"/>
          <w:rtl/>
        </w:rPr>
        <w:t>סעיף 12.5 לחוק מס' 3/2015.</w:t>
      </w:r>
    </w:p>
  </w:footnote>
  <w:footnote w:id="198">
    <w:p w:rsidR="00E55106" w:rsidRDefault="00E55106" w:rsidP="00124BC2">
      <w:pPr>
        <w:pStyle w:val="aa"/>
        <w:rPr>
          <w:rtl/>
        </w:rPr>
      </w:pPr>
      <w:r>
        <w:rPr>
          <w:rStyle w:val="ac"/>
        </w:rPr>
        <w:footnoteRef/>
      </w:r>
      <w:r>
        <w:rPr>
          <w:rtl/>
        </w:rPr>
        <w:t xml:space="preserve"> </w:t>
      </w:r>
      <w:r>
        <w:rPr>
          <w:rtl/>
        </w:rPr>
        <w:tab/>
      </w:r>
      <w:r>
        <w:rPr>
          <w:rFonts w:hint="cs"/>
          <w:rtl/>
        </w:rPr>
        <w:t>סעיפים 17.4-17.1 לחוק מס' 3/2015.</w:t>
      </w:r>
    </w:p>
  </w:footnote>
  <w:footnote w:id="199">
    <w:p w:rsidR="00E55106" w:rsidRDefault="00E55106" w:rsidP="00DB6F6A">
      <w:pPr>
        <w:pStyle w:val="aa"/>
      </w:pPr>
      <w:r>
        <w:rPr>
          <w:rStyle w:val="ac"/>
        </w:rPr>
        <w:footnoteRef/>
      </w:r>
      <w:r>
        <w:rPr>
          <w:rtl/>
        </w:rPr>
        <w:t xml:space="preserve"> </w:t>
      </w:r>
      <w:r>
        <w:rPr>
          <w:rtl/>
        </w:rPr>
        <w:tab/>
      </w:r>
      <w:r>
        <w:rPr>
          <w:rFonts w:hint="cs"/>
          <w:rtl/>
        </w:rPr>
        <w:t>סעיף 19.1 לחוק מס' 3/2015.</w:t>
      </w:r>
    </w:p>
  </w:footnote>
  <w:footnote w:id="200">
    <w:p w:rsidR="00E55106" w:rsidRDefault="00E55106" w:rsidP="00DB6F6A">
      <w:pPr>
        <w:pStyle w:val="aa"/>
      </w:pPr>
      <w:r>
        <w:rPr>
          <w:rStyle w:val="ac"/>
        </w:rPr>
        <w:footnoteRef/>
      </w:r>
      <w:r>
        <w:rPr>
          <w:rtl/>
        </w:rPr>
        <w:t xml:space="preserve"> </w:t>
      </w:r>
      <w:r>
        <w:rPr>
          <w:rtl/>
        </w:rPr>
        <w:tab/>
      </w:r>
      <w:r>
        <w:rPr>
          <w:rFonts w:hint="cs"/>
          <w:rtl/>
        </w:rPr>
        <w:t>סעיף 19.4 לחוק מס' 3/2015.</w:t>
      </w:r>
    </w:p>
  </w:footnote>
  <w:footnote w:id="201">
    <w:p w:rsidR="00E55106" w:rsidRDefault="00E55106" w:rsidP="00DB6F6A">
      <w:pPr>
        <w:pStyle w:val="aa"/>
      </w:pPr>
      <w:r>
        <w:rPr>
          <w:rStyle w:val="ac"/>
        </w:rPr>
        <w:footnoteRef/>
      </w:r>
      <w:r>
        <w:rPr>
          <w:rtl/>
        </w:rPr>
        <w:t xml:space="preserve"> </w:t>
      </w:r>
      <w:r>
        <w:rPr>
          <w:rtl/>
        </w:rPr>
        <w:tab/>
      </w:r>
      <w:r>
        <w:rPr>
          <w:rFonts w:hint="cs"/>
          <w:rtl/>
        </w:rPr>
        <w:t>סעיף 20 לחוק מס' 3/2015.</w:t>
      </w:r>
    </w:p>
  </w:footnote>
  <w:footnote w:id="202">
    <w:p w:rsidR="00E55106" w:rsidRDefault="00E55106" w:rsidP="00DB6F6A">
      <w:pPr>
        <w:pStyle w:val="aa"/>
        <w:rPr>
          <w:rtl/>
        </w:rPr>
      </w:pPr>
      <w:r>
        <w:rPr>
          <w:rStyle w:val="ac"/>
        </w:rPr>
        <w:footnoteRef/>
      </w:r>
      <w:r>
        <w:rPr>
          <w:rtl/>
        </w:rPr>
        <w:t xml:space="preserve"> </w:t>
      </w:r>
      <w:r>
        <w:rPr>
          <w:rtl/>
        </w:rPr>
        <w:tab/>
      </w:r>
      <w:r>
        <w:rPr>
          <w:rFonts w:hint="cs"/>
          <w:rtl/>
        </w:rPr>
        <w:t>סעיף 21.3 לחוק מס' 3/2015.</w:t>
      </w:r>
    </w:p>
  </w:footnote>
  <w:footnote w:id="203">
    <w:p w:rsidR="00E55106" w:rsidRDefault="00E55106" w:rsidP="00DB6F6A">
      <w:pPr>
        <w:pStyle w:val="aa"/>
      </w:pPr>
      <w:r>
        <w:rPr>
          <w:rStyle w:val="ac"/>
        </w:rPr>
        <w:footnoteRef/>
      </w:r>
      <w:r>
        <w:rPr>
          <w:rtl/>
        </w:rPr>
        <w:t xml:space="preserve"> </w:t>
      </w:r>
      <w:r>
        <w:rPr>
          <w:rtl/>
        </w:rPr>
        <w:tab/>
      </w:r>
      <w:r>
        <w:rPr>
          <w:rFonts w:hint="cs"/>
          <w:rtl/>
        </w:rPr>
        <w:t>סעיף 21.5 לחוק מס' 3/2015.</w:t>
      </w:r>
    </w:p>
  </w:footnote>
  <w:footnote w:id="204">
    <w:p w:rsidR="00E55106" w:rsidRDefault="00E55106" w:rsidP="00DB6F6A">
      <w:pPr>
        <w:pStyle w:val="aa"/>
      </w:pPr>
      <w:r>
        <w:rPr>
          <w:rStyle w:val="ac"/>
        </w:rPr>
        <w:footnoteRef/>
      </w:r>
      <w:r>
        <w:rPr>
          <w:rtl/>
        </w:rPr>
        <w:t xml:space="preserve"> </w:t>
      </w:r>
      <w:r>
        <w:rPr>
          <w:rtl/>
        </w:rPr>
        <w:tab/>
      </w:r>
      <w:r>
        <w:rPr>
          <w:rFonts w:hint="cs"/>
          <w:rtl/>
        </w:rPr>
        <w:t>סעיף 22 לחוק מס' 3/2015.</w:t>
      </w:r>
    </w:p>
  </w:footnote>
  <w:footnote w:id="205">
    <w:p w:rsidR="00E55106" w:rsidRDefault="00E55106" w:rsidP="00DB6F6A">
      <w:pPr>
        <w:pStyle w:val="aa"/>
      </w:pPr>
      <w:r>
        <w:rPr>
          <w:rStyle w:val="ac"/>
        </w:rPr>
        <w:footnoteRef/>
      </w:r>
      <w:r>
        <w:rPr>
          <w:rtl/>
        </w:rPr>
        <w:t xml:space="preserve"> </w:t>
      </w:r>
      <w:r>
        <w:rPr>
          <w:rtl/>
        </w:rPr>
        <w:tab/>
      </w:r>
      <w:r>
        <w:rPr>
          <w:rFonts w:hint="cs"/>
          <w:rtl/>
        </w:rPr>
        <w:t>סעיף 23 לחוק מס' 3/2015.</w:t>
      </w:r>
    </w:p>
  </w:footnote>
  <w:footnote w:id="206">
    <w:p w:rsidR="00E55106" w:rsidRDefault="00E55106" w:rsidP="00DB6F6A">
      <w:pPr>
        <w:pStyle w:val="aa"/>
      </w:pPr>
      <w:r>
        <w:rPr>
          <w:rStyle w:val="ac"/>
        </w:rPr>
        <w:footnoteRef/>
      </w:r>
      <w:r>
        <w:rPr>
          <w:rtl/>
        </w:rPr>
        <w:t xml:space="preserve"> </w:t>
      </w:r>
      <w:r>
        <w:rPr>
          <w:rtl/>
        </w:rPr>
        <w:tab/>
      </w:r>
      <w:r>
        <w:rPr>
          <w:rFonts w:hint="cs"/>
          <w:rtl/>
        </w:rPr>
        <w:t>סעיף 24 לחוק מס' 3/2015.</w:t>
      </w:r>
    </w:p>
  </w:footnote>
  <w:footnote w:id="207">
    <w:p w:rsidR="00E55106" w:rsidRDefault="00E55106" w:rsidP="00DB6F6A">
      <w:pPr>
        <w:pStyle w:val="aa"/>
        <w:rPr>
          <w:rtl/>
        </w:rPr>
      </w:pPr>
      <w:r>
        <w:rPr>
          <w:rStyle w:val="ac"/>
        </w:rPr>
        <w:footnoteRef/>
      </w:r>
      <w:r>
        <w:rPr>
          <w:rtl/>
        </w:rPr>
        <w:t xml:space="preserve"> </w:t>
      </w:r>
      <w:r>
        <w:rPr>
          <w:rtl/>
        </w:rPr>
        <w:tab/>
      </w:r>
      <w:r>
        <w:rPr>
          <w:rFonts w:hint="cs"/>
          <w:rtl/>
        </w:rPr>
        <w:t>סעיף 25 לחוק מס' 3/2015.</w:t>
      </w:r>
    </w:p>
  </w:footnote>
  <w:footnote w:id="208">
    <w:p w:rsidR="00E55106" w:rsidRDefault="00E55106" w:rsidP="00DB6F6A">
      <w:pPr>
        <w:pStyle w:val="aa"/>
      </w:pPr>
      <w:r>
        <w:rPr>
          <w:rStyle w:val="ac"/>
        </w:rPr>
        <w:footnoteRef/>
      </w:r>
      <w:r>
        <w:rPr>
          <w:rtl/>
        </w:rPr>
        <w:t xml:space="preserve"> </w:t>
      </w:r>
      <w:r>
        <w:rPr>
          <w:rtl/>
        </w:rPr>
        <w:tab/>
      </w:r>
      <w:r>
        <w:rPr>
          <w:rFonts w:hint="cs"/>
          <w:rtl/>
        </w:rPr>
        <w:t>סעיף 26 לחוק מס' 3/2015.</w:t>
      </w:r>
    </w:p>
  </w:footnote>
  <w:footnote w:id="209">
    <w:p w:rsidR="00E55106" w:rsidRDefault="00E55106" w:rsidP="004F275F">
      <w:pPr>
        <w:pStyle w:val="aa"/>
        <w:rPr>
          <w:rtl/>
        </w:rPr>
      </w:pPr>
      <w:r>
        <w:rPr>
          <w:rStyle w:val="ac"/>
        </w:rPr>
        <w:footnoteRef/>
      </w:r>
      <w:r>
        <w:rPr>
          <w:rtl/>
        </w:rPr>
        <w:t xml:space="preserve"> </w:t>
      </w:r>
      <w:r>
        <w:rPr>
          <w:rtl/>
        </w:rPr>
        <w:tab/>
      </w:r>
      <w:r w:rsidRPr="00955378">
        <w:rPr>
          <w:rFonts w:hint="cs"/>
          <w:spacing w:val="-6"/>
          <w:rtl/>
        </w:rPr>
        <w:t xml:space="preserve">המידע בפרק זה מבוסס, </w:t>
      </w:r>
      <w:r>
        <w:rPr>
          <w:rFonts w:hint="cs"/>
          <w:spacing w:val="-6"/>
          <w:rtl/>
        </w:rPr>
        <w:t>בין היתר</w:t>
      </w:r>
      <w:r w:rsidRPr="00955378">
        <w:rPr>
          <w:rFonts w:hint="cs"/>
          <w:spacing w:val="-6"/>
          <w:rtl/>
        </w:rPr>
        <w:t xml:space="preserve">, על אתר האינטרנט של </w:t>
      </w:r>
      <w:r w:rsidRPr="004276B9">
        <w:rPr>
          <w:rFonts w:hint="cs"/>
          <w:b/>
          <w:bCs/>
          <w:spacing w:val="-6"/>
          <w:rtl/>
        </w:rPr>
        <w:t>הרשות הגבוהה לעניין השקיפות של החיים הציבוריים</w:t>
      </w:r>
      <w:r w:rsidRPr="00955378">
        <w:rPr>
          <w:rFonts w:hint="cs"/>
          <w:spacing w:val="-6"/>
          <w:rtl/>
        </w:rPr>
        <w:t>:</w:t>
      </w:r>
    </w:p>
    <w:p w:rsidR="00E55106" w:rsidRPr="00955378" w:rsidRDefault="00E55106" w:rsidP="00955378">
      <w:pPr>
        <w:pStyle w:val="aa"/>
        <w:bidi w:val="0"/>
        <w:rPr>
          <w:lang w:val="fr-FR"/>
        </w:rPr>
      </w:pPr>
      <w:r>
        <w:rPr>
          <w:lang w:val="en-US"/>
        </w:rPr>
        <w:tab/>
      </w:r>
      <w:r w:rsidRPr="0044329A">
        <w:rPr>
          <w:lang w:val="fr-FR"/>
        </w:rPr>
        <w:t xml:space="preserve">HATVP – </w:t>
      </w:r>
      <w:r w:rsidRPr="00C24AA3">
        <w:rPr>
          <w:lang w:val="fr-FR"/>
        </w:rPr>
        <w:t>La Haute Autorité pour la transparence de la vie publique</w:t>
      </w:r>
      <w:r w:rsidRPr="0044329A">
        <w:rPr>
          <w:lang w:val="fr-FR"/>
        </w:rPr>
        <w:t xml:space="preserve">; HATVP </w:t>
      </w:r>
      <w:proofErr w:type="spellStart"/>
      <w:r w:rsidRPr="00E55106">
        <w:rPr>
          <w:lang w:val="fr-FR"/>
        </w:rPr>
        <w:t>website</w:t>
      </w:r>
      <w:proofErr w:type="spellEnd"/>
      <w:r w:rsidRPr="0044329A">
        <w:rPr>
          <w:lang w:val="fr-FR"/>
        </w:rPr>
        <w:t xml:space="preserve"> in </w:t>
      </w:r>
      <w:hyperlink r:id="rId78" w:history="1">
        <w:r w:rsidRPr="0044329A">
          <w:rPr>
            <w:rStyle w:val="Hyperlink"/>
            <w:lang w:val="fr-FR"/>
          </w:rPr>
          <w:t>French</w:t>
        </w:r>
      </w:hyperlink>
      <w:r w:rsidRPr="0044329A">
        <w:rPr>
          <w:lang w:val="fr-FR"/>
        </w:rPr>
        <w:t xml:space="preserve"> and </w:t>
      </w:r>
      <w:hyperlink r:id="rId79" w:history="1">
        <w:r w:rsidRPr="0044329A">
          <w:rPr>
            <w:rStyle w:val="Hyperlink"/>
            <w:lang w:val="fr-FR"/>
          </w:rPr>
          <w:t>English</w:t>
        </w:r>
      </w:hyperlink>
      <w:r w:rsidRPr="0044329A">
        <w:rPr>
          <w:lang w:val="fr-FR"/>
        </w:rPr>
        <w:t xml:space="preserve">, </w:t>
      </w:r>
      <w:proofErr w:type="spellStart"/>
      <w:r w:rsidRPr="00E55106">
        <w:rPr>
          <w:lang w:val="fr-FR"/>
        </w:rPr>
        <w:t>viewed</w:t>
      </w:r>
      <w:proofErr w:type="spellEnd"/>
      <w:r w:rsidRPr="00E55106">
        <w:rPr>
          <w:lang w:val="fr-FR"/>
        </w:rPr>
        <w:t xml:space="preserve">: 24 </w:t>
      </w:r>
      <w:proofErr w:type="spellStart"/>
      <w:r w:rsidRPr="00E55106">
        <w:rPr>
          <w:lang w:val="fr-FR"/>
        </w:rPr>
        <w:t>January</w:t>
      </w:r>
      <w:proofErr w:type="spellEnd"/>
      <w:r w:rsidRPr="00E55106">
        <w:rPr>
          <w:lang w:val="fr-FR"/>
        </w:rPr>
        <w:t xml:space="preserve"> 2017.</w:t>
      </w:r>
    </w:p>
  </w:footnote>
  <w:footnote w:id="210">
    <w:p w:rsidR="00E55106" w:rsidRDefault="00E55106" w:rsidP="004F275F">
      <w:pPr>
        <w:pStyle w:val="aa"/>
        <w:rPr>
          <w:rtl/>
        </w:rPr>
      </w:pPr>
      <w:r>
        <w:rPr>
          <w:rStyle w:val="ac"/>
        </w:rPr>
        <w:footnoteRef/>
      </w:r>
      <w:r>
        <w:rPr>
          <w:rtl/>
        </w:rPr>
        <w:t xml:space="preserve"> </w:t>
      </w:r>
      <w:r>
        <w:rPr>
          <w:rtl/>
        </w:rPr>
        <w:tab/>
      </w:r>
      <w:r>
        <w:rPr>
          <w:rFonts w:hint="cs"/>
          <w:rtl/>
        </w:rPr>
        <w:t xml:space="preserve">הנציבות לשקיפות פיננסית של החיים הציבוריים (במקור: </w:t>
      </w:r>
      <w:r w:rsidRPr="00C24AA3">
        <w:rPr>
          <w:lang w:val="fr-FR"/>
        </w:rPr>
        <w:t xml:space="preserve">La Commission pour la transparence financière de la vie politique </w:t>
      </w:r>
      <w:r>
        <w:rPr>
          <w:rFonts w:hint="cs"/>
          <w:rtl/>
        </w:rPr>
        <w:t xml:space="preserve">; בתרגום לאנגלית: </w:t>
      </w:r>
      <w:r w:rsidRPr="001B02A3">
        <w:rPr>
          <w:szCs w:val="22"/>
        </w:rPr>
        <w:t>Commission on the financial transparency of public life</w:t>
      </w:r>
      <w:r>
        <w:rPr>
          <w:rFonts w:hint="cs"/>
          <w:rtl/>
        </w:rPr>
        <w:t>).</w:t>
      </w:r>
    </w:p>
  </w:footnote>
  <w:footnote w:id="211">
    <w:p w:rsidR="00E55106" w:rsidRPr="001F2AF0" w:rsidRDefault="00E55106" w:rsidP="001F2AF0">
      <w:pPr>
        <w:pStyle w:val="aa"/>
        <w:bidi w:val="0"/>
        <w:rPr>
          <w:lang w:val="fr-FR"/>
        </w:rPr>
      </w:pPr>
      <w:r>
        <w:rPr>
          <w:rStyle w:val="ac"/>
        </w:rPr>
        <w:footnoteRef/>
      </w:r>
      <w:r>
        <w:rPr>
          <w:rtl/>
        </w:rPr>
        <w:t xml:space="preserve"> </w:t>
      </w:r>
      <w:hyperlink r:id="rId80" w:history="1">
        <w:r w:rsidRPr="00C24AA3">
          <w:rPr>
            <w:rStyle w:val="Hyperlink"/>
            <w:lang w:val="fr-FR"/>
          </w:rPr>
          <w:t>Loi organique n° 2013-906 du 11 octobre 2013 relative à la transparence de la vie publique</w:t>
        </w:r>
      </w:hyperlink>
      <w:r>
        <w:rPr>
          <w:lang w:val="fr-FR"/>
        </w:rPr>
        <w:t xml:space="preserve">; English translation: </w:t>
      </w:r>
      <w:hyperlink r:id="rId81" w:history="1">
        <w:r w:rsidRPr="00426035">
          <w:rPr>
            <w:rStyle w:val="Hyperlink"/>
            <w:lang w:val="en-US"/>
          </w:rPr>
          <w:t>Constitutional Bylaw no. 2013-906 of 11 October 2013 on transparency in public life</w:t>
        </w:r>
      </w:hyperlink>
      <w:r w:rsidRPr="00426035">
        <w:rPr>
          <w:lang w:val="en-US"/>
        </w:rPr>
        <w:t>.</w:t>
      </w:r>
    </w:p>
    <w:p w:rsidR="00E55106" w:rsidRPr="004F1669" w:rsidRDefault="00E55106" w:rsidP="001F2AF0">
      <w:pPr>
        <w:pStyle w:val="aa"/>
        <w:bidi w:val="0"/>
        <w:rPr>
          <w:lang w:val="fr-FR"/>
        </w:rPr>
      </w:pPr>
      <w:r>
        <w:rPr>
          <w:lang w:val="fr-FR"/>
        </w:rPr>
        <w:tab/>
      </w:r>
      <w:hyperlink r:id="rId82" w:history="1">
        <w:r w:rsidRPr="004F1669">
          <w:rPr>
            <w:rStyle w:val="Hyperlink"/>
            <w:lang w:val="fr-FR"/>
          </w:rPr>
          <w:t>Loi n° 2013-907 du 11 octobre 2013 relative à la transparence de la vie publique</w:t>
        </w:r>
      </w:hyperlink>
      <w:r>
        <w:rPr>
          <w:lang w:val="fr-FR"/>
        </w:rPr>
        <w:t xml:space="preserve">; English translation: </w:t>
      </w:r>
      <w:hyperlink r:id="rId83" w:history="1">
        <w:r w:rsidRPr="004F1669">
          <w:rPr>
            <w:rStyle w:val="Hyperlink"/>
          </w:rPr>
          <w:t>A</w:t>
        </w:r>
        <w:r w:rsidRPr="004F1669">
          <w:rPr>
            <w:rStyle w:val="Hyperlink"/>
            <w:lang w:val="fr-FR"/>
          </w:rPr>
          <w:t>ct</w:t>
        </w:r>
        <w:r w:rsidRPr="004F1669">
          <w:rPr>
            <w:rStyle w:val="Hyperlink"/>
          </w:rPr>
          <w:t xml:space="preserve"> no. </w:t>
        </w:r>
        <w:r w:rsidRPr="004F1669">
          <w:rPr>
            <w:rStyle w:val="Hyperlink"/>
          </w:rPr>
          <w:t>2013-907 of 11 October 2013 on transparency in public life</w:t>
        </w:r>
      </w:hyperlink>
      <w:r>
        <w:rPr>
          <w:lang w:val="fr-FR"/>
        </w:rPr>
        <w:t>.</w:t>
      </w:r>
    </w:p>
  </w:footnote>
  <w:footnote w:id="212">
    <w:p w:rsidR="00E55106" w:rsidRPr="00E26564" w:rsidRDefault="00E55106" w:rsidP="00C45087">
      <w:pPr>
        <w:pStyle w:val="aa"/>
        <w:bidi w:val="0"/>
        <w:rPr>
          <w:lang w:val="fr-FR"/>
        </w:rPr>
      </w:pPr>
      <w:r>
        <w:rPr>
          <w:rStyle w:val="ac"/>
        </w:rPr>
        <w:footnoteRef/>
      </w:r>
      <w:r>
        <w:rPr>
          <w:rtl/>
        </w:rPr>
        <w:tab/>
      </w:r>
      <w:hyperlink r:id="rId84" w:history="1">
        <w:r w:rsidRPr="00E26564">
          <w:rPr>
            <w:rStyle w:val="Hyperlink"/>
            <w:lang w:val="fr-FR"/>
          </w:rPr>
          <w:t>Loi n° 2016-483 du 20 avril 2016 relative à la déontologie et aux droits et obligations des fonctionnaires</w:t>
        </w:r>
      </w:hyperlink>
      <w:r>
        <w:rPr>
          <w:lang w:val="fr-FR"/>
        </w:rPr>
        <w:t>.</w:t>
      </w:r>
    </w:p>
  </w:footnote>
  <w:footnote w:id="213">
    <w:p w:rsidR="00E55106" w:rsidRPr="00E26564" w:rsidRDefault="00E55106" w:rsidP="00C45087">
      <w:pPr>
        <w:pStyle w:val="aa"/>
        <w:bidi w:val="0"/>
        <w:rPr>
          <w:lang w:val="fr-FR"/>
        </w:rPr>
      </w:pPr>
      <w:r>
        <w:rPr>
          <w:rStyle w:val="ac"/>
        </w:rPr>
        <w:footnoteRef/>
      </w:r>
      <w:r>
        <w:rPr>
          <w:rtl/>
        </w:rPr>
        <w:t xml:space="preserve"> </w:t>
      </w:r>
      <w:hyperlink r:id="rId85" w:history="1">
        <w:r w:rsidRPr="00E26564">
          <w:rPr>
            <w:rStyle w:val="Hyperlink"/>
            <w:lang w:val="fr-FR"/>
          </w:rPr>
          <w:t xml:space="preserve">Loi n° 83-634 du 13 juillet 1983 portant droits et obligations des fonctionnaires </w:t>
        </w:r>
        <w:r>
          <w:rPr>
            <w:rStyle w:val="Hyperlink"/>
            <w:lang w:val="fr-FR"/>
          </w:rPr>
          <w:t>(</w:t>
        </w:r>
        <w:r w:rsidRPr="00E26564">
          <w:rPr>
            <w:rStyle w:val="Hyperlink"/>
            <w:lang w:val="fr-FR"/>
          </w:rPr>
          <w:t xml:space="preserve">Loi dite loi Le </w:t>
        </w:r>
        <w:proofErr w:type="spellStart"/>
        <w:r w:rsidRPr="00E26564">
          <w:rPr>
            <w:rStyle w:val="Hyperlink"/>
            <w:lang w:val="fr-FR"/>
          </w:rPr>
          <w:t>Por</w:t>
        </w:r>
        <w:r>
          <w:rPr>
            <w:rStyle w:val="Hyperlink"/>
            <w:lang w:val="fr-FR"/>
          </w:rPr>
          <w:t>s</w:t>
        </w:r>
        <w:proofErr w:type="spellEnd"/>
        <w:r>
          <w:rPr>
            <w:rStyle w:val="Hyperlink"/>
            <w:lang w:val="fr-FR"/>
          </w:rPr>
          <w:t>)</w:t>
        </w:r>
      </w:hyperlink>
      <w:r w:rsidRPr="00E26564">
        <w:t>.</w:t>
      </w:r>
    </w:p>
  </w:footnote>
  <w:footnote w:id="214">
    <w:p w:rsidR="00E55106" w:rsidRPr="003A2CFD" w:rsidRDefault="00E55106" w:rsidP="00C45087">
      <w:pPr>
        <w:pStyle w:val="aa"/>
        <w:bidi w:val="0"/>
        <w:rPr>
          <w:color w:val="0000FF"/>
          <w:u w:val="single"/>
          <w:lang w:val="en-US"/>
        </w:rPr>
      </w:pPr>
      <w:r>
        <w:rPr>
          <w:rStyle w:val="ac"/>
        </w:rPr>
        <w:footnoteRef/>
      </w:r>
      <w:r>
        <w:rPr>
          <w:rtl/>
        </w:rPr>
        <w:t xml:space="preserve"> </w:t>
      </w:r>
      <w:r>
        <w:rPr>
          <w:lang w:val="en-US"/>
        </w:rPr>
        <w:t xml:space="preserve">Article 2, </w:t>
      </w:r>
      <w:hyperlink r:id="rId86" w:history="1">
        <w:r w:rsidRPr="004F1669">
          <w:rPr>
            <w:rStyle w:val="Hyperlink"/>
          </w:rPr>
          <w:t>A</w:t>
        </w:r>
        <w:r w:rsidRPr="00295CEC">
          <w:rPr>
            <w:rStyle w:val="Hyperlink"/>
            <w:lang w:val="en-US"/>
          </w:rPr>
          <w:t>ct</w:t>
        </w:r>
        <w:r w:rsidRPr="004F1669">
          <w:rPr>
            <w:rStyle w:val="Hyperlink"/>
          </w:rPr>
          <w:t xml:space="preserve"> no. 2013-907 of 11 October 2013 on transparency in public life</w:t>
        </w:r>
      </w:hyperlink>
      <w:r>
        <w:rPr>
          <w:lang w:val="en-US"/>
        </w:rPr>
        <w:t>.</w:t>
      </w:r>
    </w:p>
  </w:footnote>
  <w:footnote w:id="215">
    <w:p w:rsidR="00E55106" w:rsidRPr="00D175DB" w:rsidRDefault="00E55106" w:rsidP="00C45087">
      <w:pPr>
        <w:pStyle w:val="aa"/>
        <w:bidi w:val="0"/>
        <w:rPr>
          <w:lang w:val="en-US"/>
        </w:rPr>
      </w:pPr>
      <w:r>
        <w:rPr>
          <w:rStyle w:val="ac"/>
        </w:rPr>
        <w:footnoteRef/>
      </w:r>
      <w:r>
        <w:rPr>
          <w:rtl/>
        </w:rPr>
        <w:t xml:space="preserve"> </w:t>
      </w:r>
      <w:r w:rsidRPr="00D175DB">
        <w:rPr>
          <w:lang w:val="en-US"/>
        </w:rPr>
        <w:t>HATVP websit</w:t>
      </w:r>
      <w:r>
        <w:rPr>
          <w:lang w:val="en-US"/>
        </w:rPr>
        <w:t xml:space="preserve">e, at: </w:t>
      </w:r>
      <w:hyperlink r:id="rId87" w:history="1">
        <w:r w:rsidRPr="00D175DB">
          <w:rPr>
            <w:rStyle w:val="Hyperlink"/>
            <w:lang w:val="en-US"/>
          </w:rPr>
          <w:t>Prevent conflicts of interest</w:t>
        </w:r>
      </w:hyperlink>
      <w:r>
        <w:rPr>
          <w:lang w:val="en-US"/>
        </w:rPr>
        <w:t xml:space="preserve">, viewed: </w:t>
      </w:r>
      <w:r w:rsidRPr="00D175DB">
        <w:rPr>
          <w:lang w:val="en-US"/>
        </w:rPr>
        <w:t>24 January 2017.</w:t>
      </w:r>
      <w:r>
        <w:rPr>
          <w:lang w:val="en-US"/>
        </w:rPr>
        <w:t xml:space="preserve"> </w:t>
      </w:r>
    </w:p>
  </w:footnote>
  <w:footnote w:id="216">
    <w:p w:rsidR="00E55106" w:rsidRPr="00270AB2" w:rsidRDefault="00E55106" w:rsidP="00C45087">
      <w:pPr>
        <w:pStyle w:val="aa"/>
        <w:bidi w:val="0"/>
        <w:rPr>
          <w:lang w:val="fr-FR"/>
        </w:rPr>
      </w:pPr>
      <w:r>
        <w:rPr>
          <w:rStyle w:val="ac"/>
        </w:rPr>
        <w:footnoteRef/>
      </w:r>
      <w:r>
        <w:rPr>
          <w:rtl/>
        </w:rPr>
        <w:t xml:space="preserve"> </w:t>
      </w:r>
      <w:r w:rsidRPr="00270AB2">
        <w:rPr>
          <w:lang w:val="fr-FR"/>
        </w:rPr>
        <w:t xml:space="preserve">Article 1, </w:t>
      </w:r>
      <w:hyperlink r:id="rId88" w:history="1">
        <w:r w:rsidRPr="004F1669">
          <w:rPr>
            <w:rStyle w:val="Hyperlink"/>
          </w:rPr>
          <w:t>A</w:t>
        </w:r>
        <w:r w:rsidRPr="00270AB2">
          <w:rPr>
            <w:rStyle w:val="Hyperlink"/>
            <w:lang w:val="fr-FR"/>
          </w:rPr>
          <w:t>ct</w:t>
        </w:r>
        <w:r w:rsidRPr="004F1669">
          <w:rPr>
            <w:rStyle w:val="Hyperlink"/>
          </w:rPr>
          <w:t xml:space="preserve"> no. </w:t>
        </w:r>
        <w:r w:rsidRPr="004F1669">
          <w:rPr>
            <w:rStyle w:val="Hyperlink"/>
          </w:rPr>
          <w:t>2013-907 of 11 October 2013 on transparency in public life</w:t>
        </w:r>
      </w:hyperlink>
      <w:r w:rsidRPr="00270AB2">
        <w:rPr>
          <w:lang w:val="fr-FR"/>
        </w:rPr>
        <w:t xml:space="preserve">; Article 1-2, </w:t>
      </w:r>
      <w:hyperlink r:id="rId89" w:history="1">
        <w:r w:rsidRPr="00E26564">
          <w:rPr>
            <w:rStyle w:val="Hyperlink"/>
            <w:lang w:val="fr-FR"/>
          </w:rPr>
          <w:t>Loi n° 2016-483 du 20 avril 2016 relative à la déontologie et aux droits et obligations des fonctionnaires</w:t>
        </w:r>
      </w:hyperlink>
      <w:r>
        <w:rPr>
          <w:lang w:val="fr-FR"/>
        </w:rPr>
        <w:t>.</w:t>
      </w:r>
    </w:p>
  </w:footnote>
  <w:footnote w:id="217">
    <w:p w:rsidR="00E55106" w:rsidRPr="00DA42E8" w:rsidRDefault="00E55106" w:rsidP="00C45087">
      <w:pPr>
        <w:pStyle w:val="aa"/>
        <w:bidi w:val="0"/>
        <w:rPr>
          <w:lang w:val="fr-FR"/>
        </w:rPr>
      </w:pPr>
      <w:r>
        <w:rPr>
          <w:rStyle w:val="ac"/>
        </w:rPr>
        <w:footnoteRef/>
      </w:r>
      <w:r>
        <w:rPr>
          <w:rtl/>
        </w:rPr>
        <w:t xml:space="preserve"> </w:t>
      </w:r>
      <w:r w:rsidRPr="00270AB2">
        <w:rPr>
          <w:lang w:val="fr-FR"/>
        </w:rPr>
        <w:t xml:space="preserve">Article 2, </w:t>
      </w:r>
      <w:hyperlink r:id="rId90" w:history="1">
        <w:r w:rsidRPr="00CE27D3">
          <w:rPr>
            <w:rStyle w:val="Hyperlink"/>
          </w:rPr>
          <w:t>A</w:t>
        </w:r>
        <w:r w:rsidRPr="00270AB2">
          <w:rPr>
            <w:rStyle w:val="Hyperlink"/>
            <w:lang w:val="fr-FR"/>
          </w:rPr>
          <w:t>ct</w:t>
        </w:r>
        <w:r w:rsidRPr="00CE27D3">
          <w:rPr>
            <w:rStyle w:val="Hyperlink"/>
          </w:rPr>
          <w:t xml:space="preserve"> no. </w:t>
        </w:r>
        <w:r w:rsidRPr="00CE27D3">
          <w:rPr>
            <w:rStyle w:val="Hyperlink"/>
          </w:rPr>
          <w:t>2013-907 of 11 October 2013 on transparency in public life</w:t>
        </w:r>
      </w:hyperlink>
      <w:r w:rsidRPr="00270AB2">
        <w:rPr>
          <w:lang w:val="fr-FR"/>
        </w:rPr>
        <w:t xml:space="preserve">; </w:t>
      </w:r>
      <w:r>
        <w:rPr>
          <w:lang w:val="fr-FR"/>
        </w:rPr>
        <w:t xml:space="preserve">Article </w:t>
      </w:r>
      <w:r w:rsidRPr="00270AB2">
        <w:rPr>
          <w:lang w:val="fr-FR"/>
        </w:rPr>
        <w:t xml:space="preserve">2, </w:t>
      </w:r>
      <w:hyperlink r:id="rId91" w:history="1">
        <w:r w:rsidRPr="00E26564">
          <w:rPr>
            <w:rStyle w:val="Hyperlink"/>
            <w:lang w:val="fr-FR"/>
          </w:rPr>
          <w:t>Loi n° 2016-483 du 20 avril 2016 relative à la déontologie et aux droits et obligations des fonctionnaires</w:t>
        </w:r>
      </w:hyperlink>
      <w:r>
        <w:rPr>
          <w:lang w:val="fr-FR"/>
        </w:rPr>
        <w:t>.</w:t>
      </w:r>
    </w:p>
  </w:footnote>
  <w:footnote w:id="218">
    <w:p w:rsidR="00E55106" w:rsidRPr="003F586E" w:rsidRDefault="00E55106" w:rsidP="003F586E">
      <w:pPr>
        <w:pStyle w:val="aa"/>
        <w:bidi w:val="0"/>
        <w:rPr>
          <w:lang w:val="fr-FR"/>
        </w:rPr>
      </w:pPr>
      <w:r>
        <w:rPr>
          <w:rStyle w:val="ac"/>
        </w:rPr>
        <w:footnoteRef/>
      </w:r>
      <w:r>
        <w:rPr>
          <w:rtl/>
        </w:rPr>
        <w:t xml:space="preserve"> </w:t>
      </w:r>
      <w:hyperlink r:id="rId92" w:history="1">
        <w:r w:rsidRPr="003F586E">
          <w:rPr>
            <w:rStyle w:val="Hyperlink"/>
            <w:lang w:val="fr-FR"/>
          </w:rPr>
          <w:t>Charte de Déontologie des Membres du Gouvernement</w:t>
        </w:r>
      </w:hyperlink>
      <w:r>
        <w:rPr>
          <w:lang w:val="fr-FR"/>
        </w:rPr>
        <w:t xml:space="preserve">, </w:t>
      </w:r>
      <w:r>
        <w:t xml:space="preserve">17 </w:t>
      </w:r>
      <w:r w:rsidRPr="003F586E">
        <w:rPr>
          <w:lang w:val="fr-FR"/>
        </w:rPr>
        <w:t>M</w:t>
      </w:r>
      <w:r>
        <w:rPr>
          <w:lang w:val="fr-FR"/>
        </w:rPr>
        <w:t>ai</w:t>
      </w:r>
      <w:r>
        <w:t xml:space="preserve"> 2012</w:t>
      </w:r>
      <w:r>
        <w:rPr>
          <w:lang w:val="fr-FR"/>
        </w:rPr>
        <w:t>.</w:t>
      </w:r>
    </w:p>
  </w:footnote>
  <w:footnote w:id="219">
    <w:p w:rsidR="00E55106" w:rsidRPr="0044329A" w:rsidRDefault="00E55106" w:rsidP="00C45087">
      <w:pPr>
        <w:pStyle w:val="aa"/>
        <w:bidi w:val="0"/>
        <w:rPr>
          <w:lang w:val="fr-FR"/>
        </w:rPr>
      </w:pPr>
      <w:r>
        <w:rPr>
          <w:rStyle w:val="ac"/>
          <w:rFonts w:eastAsiaTheme="minorHAnsi"/>
        </w:rPr>
        <w:footnoteRef/>
      </w:r>
      <w:r>
        <w:rPr>
          <w:rtl/>
        </w:rPr>
        <w:tab/>
      </w:r>
      <w:r>
        <w:rPr>
          <w:rtl/>
        </w:rPr>
        <w:tab/>
      </w:r>
      <w:r w:rsidRPr="0044329A">
        <w:rPr>
          <w:lang w:val="fr-FR"/>
        </w:rPr>
        <w:t xml:space="preserve">HATVP – </w:t>
      </w:r>
      <w:r w:rsidRPr="00C24AA3">
        <w:rPr>
          <w:lang w:val="fr-FR"/>
        </w:rPr>
        <w:t>La Haute Autorité pour la transparence de la vie publique</w:t>
      </w:r>
      <w:r>
        <w:rPr>
          <w:lang w:val="fr-FR"/>
        </w:rPr>
        <w:t>.</w:t>
      </w:r>
    </w:p>
  </w:footnote>
  <w:footnote w:id="220">
    <w:p w:rsidR="00E55106" w:rsidRPr="00CE683B" w:rsidRDefault="00E55106" w:rsidP="000B1408">
      <w:pPr>
        <w:pStyle w:val="aa"/>
        <w:bidi w:val="0"/>
        <w:rPr>
          <w:color w:val="0000FF"/>
          <w:u w:val="single"/>
          <w:lang w:val="en-US"/>
        </w:rPr>
      </w:pPr>
      <w:r>
        <w:rPr>
          <w:rStyle w:val="ac"/>
        </w:rPr>
        <w:footnoteRef/>
      </w:r>
      <w:r>
        <w:rPr>
          <w:rtl/>
        </w:rPr>
        <w:t xml:space="preserve"> </w:t>
      </w:r>
      <w:r>
        <w:rPr>
          <w:lang w:val="en-US"/>
        </w:rPr>
        <w:t xml:space="preserve">Section 4, Articles 19-23, </w:t>
      </w:r>
      <w:hyperlink r:id="rId93" w:history="1">
        <w:r w:rsidRPr="004F1669">
          <w:rPr>
            <w:rStyle w:val="Hyperlink"/>
          </w:rPr>
          <w:t>A</w:t>
        </w:r>
        <w:r w:rsidRPr="00295CEC">
          <w:rPr>
            <w:rStyle w:val="Hyperlink"/>
            <w:lang w:val="en-US"/>
          </w:rPr>
          <w:t>ct</w:t>
        </w:r>
        <w:r w:rsidRPr="004F1669">
          <w:rPr>
            <w:rStyle w:val="Hyperlink"/>
          </w:rPr>
          <w:t xml:space="preserve"> no. 2013-907 of 11 October 2013 on transparency in public life</w:t>
        </w:r>
      </w:hyperlink>
      <w:r>
        <w:rPr>
          <w:lang w:val="en-US"/>
        </w:rPr>
        <w:t>.</w:t>
      </w:r>
    </w:p>
  </w:footnote>
  <w:footnote w:id="221">
    <w:p w:rsidR="00E55106" w:rsidRDefault="00E55106" w:rsidP="00AB56FE">
      <w:pPr>
        <w:pStyle w:val="aa"/>
      </w:pPr>
      <w:r>
        <w:rPr>
          <w:rStyle w:val="ac"/>
        </w:rPr>
        <w:footnoteRef/>
      </w:r>
      <w:r>
        <w:rPr>
          <w:rtl/>
        </w:rPr>
        <w:t xml:space="preserve"> </w:t>
      </w:r>
      <w:r>
        <w:rPr>
          <w:rtl/>
        </w:rPr>
        <w:tab/>
      </w:r>
      <w:r w:rsidRPr="00AB56FE">
        <w:rPr>
          <w:rFonts w:hint="cs"/>
          <w:rtl/>
        </w:rPr>
        <w:t xml:space="preserve">הרשות היא גוף קבוע במבנה הממשל, אך היא אינה כפופה לממשלה, אסור לה לבקש הנחיות או לקבל הוראות מהממשלה ויש לה עצמאות פיננסית. כך הרשות שומרת על עצמאותה וכפופה אך ורק להוראות החוק. </w:t>
      </w:r>
    </w:p>
  </w:footnote>
  <w:footnote w:id="222">
    <w:p w:rsidR="00E55106" w:rsidRDefault="00E55106" w:rsidP="004B76CC">
      <w:pPr>
        <w:pStyle w:val="aa"/>
        <w:rPr>
          <w:rtl/>
        </w:rPr>
      </w:pPr>
      <w:r>
        <w:rPr>
          <w:rStyle w:val="ac"/>
        </w:rPr>
        <w:footnoteRef/>
      </w:r>
      <w:r>
        <w:rPr>
          <w:rtl/>
        </w:rPr>
        <w:t xml:space="preserve"> </w:t>
      </w:r>
      <w:r>
        <w:rPr>
          <w:rtl/>
        </w:rPr>
        <w:tab/>
      </w:r>
      <w:r>
        <w:rPr>
          <w:rFonts w:hint="cs"/>
          <w:rtl/>
        </w:rPr>
        <w:t>ברשות תשעה חברים המכהנים למשך שש שנים ללא אפשרות הארכה. את נשיא הרשות ממנה נשיא המדינה; החברים הנוספים ברשות: שני חברים בכירים במועצת המדינה (</w:t>
      </w:r>
      <w:r w:rsidRPr="00BD54D0">
        <w:rPr>
          <w:lang w:val="fr-FR"/>
        </w:rPr>
        <w:t>Conseil d'Etat</w:t>
      </w:r>
      <w:r>
        <w:rPr>
          <w:rFonts w:hint="cs"/>
          <w:rtl/>
        </w:rPr>
        <w:t>, גוף המהווה שילוב של יועץ משפטי לממשלה ובית המשפט מינהלי עליון), שני שופטים בבית המשפט העליון לערעורים (</w:t>
      </w:r>
      <w:r w:rsidRPr="00BD54D0">
        <w:rPr>
          <w:lang w:val="fr-FR"/>
        </w:rPr>
        <w:t>Cour de cassation</w:t>
      </w:r>
      <w:r>
        <w:rPr>
          <w:rFonts w:hint="cs"/>
          <w:rtl/>
        </w:rPr>
        <w:t>), שני בכירים במשרד מבקר המדינה (</w:t>
      </w:r>
      <w:r w:rsidRPr="00BD54D0">
        <w:rPr>
          <w:lang w:val="fr-FR"/>
        </w:rPr>
        <w:t>Cour des comptes</w:t>
      </w:r>
      <w:r>
        <w:rPr>
          <w:rFonts w:hint="cs"/>
          <w:rtl/>
        </w:rPr>
        <w:t>), ושני חברים נוספים אשר ממונים כל אחד בידי יושב ראש אחד מבתי הפרלמנט בהתייעצות עם הוועדות הרלוונטיות. ראו:</w:t>
      </w:r>
    </w:p>
    <w:p w:rsidR="00E55106" w:rsidRPr="00955378" w:rsidRDefault="00E55106" w:rsidP="000B1408">
      <w:pPr>
        <w:pStyle w:val="aa"/>
        <w:bidi w:val="0"/>
        <w:rPr>
          <w:lang w:val="en-US"/>
        </w:rPr>
      </w:pPr>
      <w:r>
        <w:rPr>
          <w:lang w:val="en-US"/>
        </w:rPr>
        <w:tab/>
        <w:t xml:space="preserve">Article 19, </w:t>
      </w:r>
      <w:hyperlink r:id="rId94" w:history="1">
        <w:r w:rsidRPr="004F1669">
          <w:rPr>
            <w:rStyle w:val="Hyperlink"/>
          </w:rPr>
          <w:t>A</w:t>
        </w:r>
        <w:r w:rsidRPr="00295CEC">
          <w:rPr>
            <w:rStyle w:val="Hyperlink"/>
            <w:lang w:val="en-US"/>
          </w:rPr>
          <w:t>ct</w:t>
        </w:r>
        <w:r w:rsidRPr="004F1669">
          <w:rPr>
            <w:rStyle w:val="Hyperlink"/>
          </w:rPr>
          <w:t xml:space="preserve"> no. 2013-907 of 11 October 2013 on transparency in public life</w:t>
        </w:r>
      </w:hyperlink>
      <w:r>
        <w:rPr>
          <w:lang w:val="en-US"/>
        </w:rPr>
        <w:t xml:space="preserve">; </w:t>
      </w:r>
      <w:r w:rsidRPr="00D175DB">
        <w:rPr>
          <w:lang w:val="en-US"/>
        </w:rPr>
        <w:t>HATVP websit</w:t>
      </w:r>
      <w:r>
        <w:rPr>
          <w:lang w:val="en-US"/>
        </w:rPr>
        <w:t xml:space="preserve">e, at: </w:t>
      </w:r>
      <w:hyperlink r:id="rId95" w:history="1">
        <w:r w:rsidRPr="00955378">
          <w:rPr>
            <w:rStyle w:val="Hyperlink"/>
            <w:lang w:val="en-US"/>
          </w:rPr>
          <w:t xml:space="preserve">Le </w:t>
        </w:r>
        <w:proofErr w:type="spellStart"/>
        <w:r w:rsidRPr="00955378">
          <w:rPr>
            <w:rStyle w:val="Hyperlink"/>
            <w:lang w:val="en-US"/>
          </w:rPr>
          <w:t>Collège</w:t>
        </w:r>
        <w:proofErr w:type="spellEnd"/>
      </w:hyperlink>
      <w:r>
        <w:rPr>
          <w:lang w:val="en-US"/>
        </w:rPr>
        <w:t>, viewed: 26 January 2017.</w:t>
      </w:r>
    </w:p>
  </w:footnote>
  <w:footnote w:id="223">
    <w:p w:rsidR="00E55106" w:rsidRDefault="00E55106">
      <w:pPr>
        <w:pStyle w:val="aa"/>
        <w:rPr>
          <w:rtl/>
        </w:rPr>
      </w:pPr>
      <w:r>
        <w:rPr>
          <w:rStyle w:val="ac"/>
        </w:rPr>
        <w:footnoteRef/>
      </w:r>
      <w:r>
        <w:rPr>
          <w:rtl/>
        </w:rPr>
        <w:t xml:space="preserve"> </w:t>
      </w:r>
      <w:r>
        <w:rPr>
          <w:rtl/>
        </w:rPr>
        <w:tab/>
      </w:r>
      <w:r>
        <w:rPr>
          <w:rFonts w:hint="cs"/>
          <w:rtl/>
        </w:rPr>
        <w:t>בין בעלי התפקידים החייבים בהגשת הצהרות לרשות:</w:t>
      </w:r>
    </w:p>
    <w:p w:rsidR="00E55106" w:rsidRPr="00444DDB" w:rsidRDefault="00E55106" w:rsidP="00A85EFC">
      <w:pPr>
        <w:pStyle w:val="aa"/>
        <w:numPr>
          <w:ilvl w:val="0"/>
          <w:numId w:val="5"/>
        </w:numPr>
        <w:tabs>
          <w:tab w:val="clear" w:pos="210"/>
        </w:tabs>
        <w:ind w:left="454" w:hanging="227"/>
        <w:rPr>
          <w:lang w:val="en-US"/>
        </w:rPr>
      </w:pPr>
      <w:r w:rsidRPr="00444DDB">
        <w:rPr>
          <w:rFonts w:hint="cs"/>
          <w:rtl/>
        </w:rPr>
        <w:t>חברי הממשלה;</w:t>
      </w:r>
    </w:p>
    <w:p w:rsidR="00E55106" w:rsidRPr="00444DDB" w:rsidRDefault="00E55106" w:rsidP="00A85EFC">
      <w:pPr>
        <w:pStyle w:val="aa"/>
        <w:numPr>
          <w:ilvl w:val="0"/>
          <w:numId w:val="5"/>
        </w:numPr>
        <w:tabs>
          <w:tab w:val="clear" w:pos="210"/>
        </w:tabs>
        <w:ind w:left="454" w:hanging="227"/>
        <w:rPr>
          <w:lang w:val="en-US"/>
        </w:rPr>
      </w:pPr>
      <w:r w:rsidRPr="00444DDB">
        <w:rPr>
          <w:rFonts w:hint="cs"/>
          <w:rtl/>
        </w:rPr>
        <w:t>חברי שני בתי הפרלמנט;</w:t>
      </w:r>
    </w:p>
    <w:p w:rsidR="00E55106" w:rsidRPr="00444DDB" w:rsidRDefault="00E55106" w:rsidP="00A85EFC">
      <w:pPr>
        <w:pStyle w:val="aa"/>
        <w:numPr>
          <w:ilvl w:val="0"/>
          <w:numId w:val="5"/>
        </w:numPr>
        <w:tabs>
          <w:tab w:val="clear" w:pos="210"/>
        </w:tabs>
        <w:ind w:left="454" w:hanging="227"/>
        <w:rPr>
          <w:lang w:val="en-US"/>
        </w:rPr>
      </w:pPr>
      <w:r w:rsidRPr="00444DDB">
        <w:rPr>
          <w:rFonts w:hint="cs"/>
          <w:rtl/>
        </w:rPr>
        <w:t>נציגי צרפת לפרלמנט האירופאי;</w:t>
      </w:r>
    </w:p>
    <w:p w:rsidR="00E55106" w:rsidRPr="00444DDB" w:rsidRDefault="00E55106" w:rsidP="00A85EFC">
      <w:pPr>
        <w:pStyle w:val="aa"/>
        <w:numPr>
          <w:ilvl w:val="0"/>
          <w:numId w:val="5"/>
        </w:numPr>
        <w:tabs>
          <w:tab w:val="clear" w:pos="210"/>
        </w:tabs>
        <w:ind w:left="454" w:hanging="227"/>
        <w:rPr>
          <w:lang w:val="en-US"/>
        </w:rPr>
      </w:pPr>
      <w:r w:rsidRPr="00444DDB">
        <w:rPr>
          <w:rFonts w:hint="cs"/>
          <w:rtl/>
        </w:rPr>
        <w:t>חברי מועצת השיפוט העליונה (</w:t>
      </w:r>
      <w:r w:rsidRPr="00DD1919">
        <w:rPr>
          <w:lang w:val="fr-FR"/>
        </w:rPr>
        <w:t>Les membres du Conseil supérieur de la magistrature</w:t>
      </w:r>
      <w:r w:rsidRPr="00444DDB">
        <w:rPr>
          <w:rFonts w:hint="cs"/>
          <w:rtl/>
        </w:rPr>
        <w:t>);</w:t>
      </w:r>
    </w:p>
    <w:p w:rsidR="00E55106" w:rsidRPr="00444DDB" w:rsidRDefault="00E55106" w:rsidP="00A85EFC">
      <w:pPr>
        <w:pStyle w:val="aa"/>
        <w:numPr>
          <w:ilvl w:val="0"/>
          <w:numId w:val="5"/>
        </w:numPr>
        <w:tabs>
          <w:tab w:val="clear" w:pos="210"/>
        </w:tabs>
        <w:ind w:left="454" w:hanging="227"/>
        <w:rPr>
          <w:lang w:val="en-US"/>
        </w:rPr>
      </w:pPr>
      <w:r w:rsidRPr="00444DDB">
        <w:rPr>
          <w:rFonts w:hint="cs"/>
          <w:rtl/>
        </w:rPr>
        <w:t>עובדים של נשיא הרפובליקה, של השרים, ושל יושבי הראש של שני בתי הפרלמנט;</w:t>
      </w:r>
    </w:p>
    <w:p w:rsidR="00E55106" w:rsidRPr="00444DDB" w:rsidRDefault="00E55106" w:rsidP="00A85EFC">
      <w:pPr>
        <w:pStyle w:val="aa"/>
        <w:numPr>
          <w:ilvl w:val="0"/>
          <w:numId w:val="5"/>
        </w:numPr>
        <w:tabs>
          <w:tab w:val="clear" w:pos="210"/>
        </w:tabs>
        <w:ind w:left="454" w:hanging="227"/>
        <w:rPr>
          <w:lang w:val="en-US"/>
        </w:rPr>
      </w:pPr>
      <w:r w:rsidRPr="00444DDB">
        <w:rPr>
          <w:rFonts w:hint="cs"/>
          <w:rtl/>
        </w:rPr>
        <w:t xml:space="preserve">חברי הרשויות המינהליות והציבוריות העצמאיות (ובהם גם חברי </w:t>
      </w:r>
      <w:r w:rsidRPr="00444DDB">
        <w:rPr>
          <w:rFonts w:hint="cs"/>
          <w:lang w:val="en-US"/>
        </w:rPr>
        <w:t>HATVP</w:t>
      </w:r>
      <w:r w:rsidRPr="00444DDB">
        <w:rPr>
          <w:rFonts w:hint="cs"/>
          <w:rtl/>
        </w:rPr>
        <w:t xml:space="preserve"> עצמם המחויבים בהגשת ההצהרות כאמור);</w:t>
      </w:r>
    </w:p>
    <w:p w:rsidR="00E55106" w:rsidRPr="00444DDB" w:rsidRDefault="00E55106" w:rsidP="00A85EFC">
      <w:pPr>
        <w:pStyle w:val="aa"/>
        <w:numPr>
          <w:ilvl w:val="0"/>
          <w:numId w:val="5"/>
        </w:numPr>
        <w:tabs>
          <w:tab w:val="clear" w:pos="210"/>
        </w:tabs>
        <w:ind w:left="454" w:hanging="227"/>
        <w:rPr>
          <w:lang w:val="en-US"/>
        </w:rPr>
      </w:pPr>
      <w:r w:rsidRPr="00444DDB">
        <w:rPr>
          <w:rFonts w:hint="cs"/>
          <w:rtl/>
        </w:rPr>
        <w:t xml:space="preserve">מי שממלא תפקיד מכוח החלטת ממשלה – </w:t>
      </w:r>
      <w:r>
        <w:rPr>
          <w:rFonts w:hint="cs"/>
          <w:rtl/>
        </w:rPr>
        <w:t xml:space="preserve">לרבות, </w:t>
      </w:r>
      <w:r w:rsidRPr="00444DDB">
        <w:rPr>
          <w:rFonts w:hint="cs"/>
          <w:rtl/>
        </w:rPr>
        <w:t>מנכ"לים של משרדי הממשלה</w:t>
      </w:r>
      <w:r>
        <w:rPr>
          <w:rFonts w:hint="cs"/>
          <w:rtl/>
        </w:rPr>
        <w:t xml:space="preserve"> ומקביליהם, </w:t>
      </w:r>
      <w:r w:rsidRPr="00444DDB">
        <w:rPr>
          <w:rFonts w:hint="cs"/>
          <w:rtl/>
        </w:rPr>
        <w:t>מושלים</w:t>
      </w:r>
      <w:r>
        <w:rPr>
          <w:rFonts w:hint="cs"/>
          <w:rtl/>
        </w:rPr>
        <w:t xml:space="preserve"> של הממשל המרכזי במחוזות המדינה </w:t>
      </w:r>
      <w:r w:rsidRPr="00444DDB">
        <w:rPr>
          <w:rFonts w:hint="cs"/>
          <w:rtl/>
        </w:rPr>
        <w:t xml:space="preserve">ושגרירים; </w:t>
      </w:r>
    </w:p>
    <w:p w:rsidR="00E55106" w:rsidRPr="00444DDB" w:rsidRDefault="00E55106" w:rsidP="00A85EFC">
      <w:pPr>
        <w:pStyle w:val="aa"/>
        <w:numPr>
          <w:ilvl w:val="0"/>
          <w:numId w:val="5"/>
        </w:numPr>
        <w:tabs>
          <w:tab w:val="clear" w:pos="210"/>
        </w:tabs>
        <w:ind w:left="454" w:hanging="227"/>
        <w:rPr>
          <w:lang w:val="en-US"/>
        </w:rPr>
      </w:pPr>
      <w:r w:rsidRPr="00444DDB">
        <w:rPr>
          <w:rFonts w:hint="cs"/>
          <w:rtl/>
        </w:rPr>
        <w:t>ראשי מועצות אזוריות ומקומיות וראשי ערים שבהן למעלה מ-20,000 תושבים, מנ</w:t>
      </w:r>
      <w:r>
        <w:rPr>
          <w:rFonts w:hint="cs"/>
          <w:rtl/>
        </w:rPr>
        <w:t>ה</w:t>
      </w:r>
      <w:r w:rsidRPr="00444DDB">
        <w:rPr>
          <w:rFonts w:hint="cs"/>
          <w:rtl/>
        </w:rPr>
        <w:t xml:space="preserve">לים בכירים ברשויות אלה, ובעלי סמכויות ביצועיות וסמכויות לחייב את הרשויות; </w:t>
      </w:r>
    </w:p>
    <w:p w:rsidR="00E55106" w:rsidRPr="00444DDB" w:rsidRDefault="00E55106" w:rsidP="00A85EFC">
      <w:pPr>
        <w:pStyle w:val="aa"/>
        <w:numPr>
          <w:ilvl w:val="0"/>
          <w:numId w:val="5"/>
        </w:numPr>
        <w:tabs>
          <w:tab w:val="clear" w:pos="210"/>
        </w:tabs>
        <w:ind w:left="454" w:hanging="227"/>
        <w:rPr>
          <w:lang w:val="en-US"/>
        </w:rPr>
      </w:pPr>
      <w:r w:rsidRPr="00444DDB">
        <w:rPr>
          <w:rFonts w:hint="cs"/>
          <w:rtl/>
        </w:rPr>
        <w:t>בעלי תפקידים במחוזות ובטריטוריות בעלות זיקה לצרפת (כגון קורסיקה, פולינזיה הצרפתית וכדומה);</w:t>
      </w:r>
    </w:p>
    <w:p w:rsidR="00E55106" w:rsidRPr="00444DDB" w:rsidRDefault="00E55106" w:rsidP="00A85EFC">
      <w:pPr>
        <w:pStyle w:val="aa"/>
        <w:numPr>
          <w:ilvl w:val="0"/>
          <w:numId w:val="5"/>
        </w:numPr>
        <w:tabs>
          <w:tab w:val="clear" w:pos="210"/>
        </w:tabs>
        <w:ind w:left="454" w:hanging="227"/>
        <w:rPr>
          <w:lang w:val="en-US"/>
        </w:rPr>
      </w:pPr>
      <w:r w:rsidRPr="00444DDB">
        <w:rPr>
          <w:rFonts w:hint="cs"/>
          <w:rtl/>
        </w:rPr>
        <w:t>נושאי משרה אחרים במגזר הציבורי ובכוחות הצבא אשר ההיררכיה של תפקידם או מהות המשימות אותן הם ממלאים מצדיקות זאת (בכפוף לצו מתאים);</w:t>
      </w:r>
    </w:p>
    <w:p w:rsidR="00E55106" w:rsidRPr="00444DDB" w:rsidRDefault="00E55106" w:rsidP="00A85EFC">
      <w:pPr>
        <w:pStyle w:val="aa"/>
        <w:numPr>
          <w:ilvl w:val="0"/>
          <w:numId w:val="5"/>
        </w:numPr>
        <w:tabs>
          <w:tab w:val="clear" w:pos="210"/>
        </w:tabs>
        <w:ind w:left="454" w:hanging="227"/>
        <w:rPr>
          <w:lang w:val="en-US"/>
        </w:rPr>
      </w:pPr>
      <w:r w:rsidRPr="00444DDB">
        <w:rPr>
          <w:rFonts w:hint="cs"/>
          <w:rtl/>
        </w:rPr>
        <w:t>נשיאים ומנכ"לים של גופים ציבורים תעשייתיים ומסחריים המוחזקים בידי המדינה (ובתנאים מסוימים גם מנהלים של גופים כפופים להם);</w:t>
      </w:r>
    </w:p>
    <w:p w:rsidR="00E55106" w:rsidRPr="00444DDB" w:rsidRDefault="00E55106" w:rsidP="00A85EFC">
      <w:pPr>
        <w:pStyle w:val="aa"/>
        <w:numPr>
          <w:ilvl w:val="0"/>
          <w:numId w:val="5"/>
        </w:numPr>
        <w:tabs>
          <w:tab w:val="clear" w:pos="210"/>
        </w:tabs>
        <w:ind w:left="454" w:hanging="227"/>
        <w:rPr>
          <w:lang w:val="en-US"/>
        </w:rPr>
      </w:pPr>
      <w:r w:rsidRPr="00444DDB">
        <w:rPr>
          <w:rFonts w:hint="cs"/>
          <w:rtl/>
        </w:rPr>
        <w:t>יושבי ראש ומנהלים של משרדי הדיור הציבורי אשר מנהלים יותר מ-2,000 יחידות דיור, ושל חברות הבת של גופים אלה אשר ה</w:t>
      </w:r>
      <w:r>
        <w:rPr>
          <w:rFonts w:hint="cs"/>
          <w:rtl/>
        </w:rPr>
        <w:t>מחזור שלהם עולה על 750,000 אירו;</w:t>
      </w:r>
    </w:p>
    <w:p w:rsidR="00E55106" w:rsidRPr="00444DDB" w:rsidRDefault="00E55106" w:rsidP="00A85EFC">
      <w:pPr>
        <w:pStyle w:val="aa"/>
        <w:numPr>
          <w:ilvl w:val="0"/>
          <w:numId w:val="5"/>
        </w:numPr>
        <w:tabs>
          <w:tab w:val="clear" w:pos="210"/>
        </w:tabs>
        <w:ind w:left="454" w:hanging="227"/>
        <w:rPr>
          <w:lang w:val="en-US"/>
        </w:rPr>
      </w:pPr>
      <w:r w:rsidRPr="00444DDB">
        <w:rPr>
          <w:rFonts w:hint="cs"/>
          <w:rtl/>
        </w:rPr>
        <w:t xml:space="preserve">יושבי ראש ומנהלים של גופים אשר יותר ממחצית הון המניות מוחזק, ישירות או בעקיפין, על ידי רשות מקומית אחת או יותר, ואשר </w:t>
      </w:r>
      <w:r>
        <w:rPr>
          <w:rFonts w:hint="cs"/>
          <w:rtl/>
        </w:rPr>
        <w:t>המחזור שלהם עולה על 750,000 אירו;</w:t>
      </w:r>
    </w:p>
    <w:p w:rsidR="00E55106" w:rsidRPr="00444DDB" w:rsidRDefault="00E55106" w:rsidP="00A85EFC">
      <w:pPr>
        <w:pStyle w:val="aa"/>
        <w:numPr>
          <w:ilvl w:val="0"/>
          <w:numId w:val="5"/>
        </w:numPr>
        <w:tabs>
          <w:tab w:val="clear" w:pos="210"/>
        </w:tabs>
        <w:ind w:left="454" w:hanging="227"/>
        <w:rPr>
          <w:rtl/>
          <w:lang w:val="en-US"/>
        </w:rPr>
      </w:pPr>
      <w:r w:rsidRPr="00444DDB">
        <w:rPr>
          <w:rFonts w:hint="cs"/>
          <w:rtl/>
        </w:rPr>
        <w:t>חברי הנציבות לזכויות יוצרים.</w:t>
      </w:r>
    </w:p>
  </w:footnote>
  <w:footnote w:id="224">
    <w:p w:rsidR="00E55106" w:rsidRPr="007C2C6A" w:rsidRDefault="00E55106" w:rsidP="009A4BC5">
      <w:pPr>
        <w:pStyle w:val="aa"/>
        <w:bidi w:val="0"/>
        <w:rPr>
          <w:lang w:val="en-US"/>
        </w:rPr>
      </w:pPr>
      <w:r>
        <w:rPr>
          <w:rStyle w:val="ac"/>
        </w:rPr>
        <w:footnoteRef/>
      </w:r>
      <w:r>
        <w:rPr>
          <w:rtl/>
        </w:rPr>
        <w:t xml:space="preserve"> </w:t>
      </w:r>
      <w:r w:rsidRPr="00D175DB">
        <w:rPr>
          <w:lang w:val="en-US"/>
        </w:rPr>
        <w:t>HATVP websit</w:t>
      </w:r>
      <w:r>
        <w:rPr>
          <w:lang w:val="en-US"/>
        </w:rPr>
        <w:t xml:space="preserve">e, at: </w:t>
      </w:r>
      <w:hyperlink r:id="rId96" w:anchor="prevent-conflicts-of-interest" w:history="1">
        <w:r w:rsidRPr="00D175DB">
          <w:rPr>
            <w:rStyle w:val="Hyperlink"/>
            <w:lang w:val="en-US"/>
          </w:rPr>
          <w:t>Prevent conflicts of interest</w:t>
        </w:r>
      </w:hyperlink>
      <w:r>
        <w:rPr>
          <w:lang w:val="en-US"/>
        </w:rPr>
        <w:t xml:space="preserve">, viewed: </w:t>
      </w:r>
      <w:r w:rsidRPr="00D175DB">
        <w:rPr>
          <w:lang w:val="en-US"/>
        </w:rPr>
        <w:t>24 January 2017</w:t>
      </w:r>
      <w:r>
        <w:rPr>
          <w:lang w:val="en-US"/>
        </w:rPr>
        <w:t>.</w:t>
      </w:r>
    </w:p>
  </w:footnote>
  <w:footnote w:id="225">
    <w:p w:rsidR="00E55106" w:rsidRPr="00533922" w:rsidRDefault="00E55106" w:rsidP="009A4BC5">
      <w:pPr>
        <w:pStyle w:val="aa"/>
        <w:bidi w:val="0"/>
        <w:rPr>
          <w:lang w:val="en-US"/>
        </w:rPr>
      </w:pPr>
      <w:r>
        <w:rPr>
          <w:rStyle w:val="ac"/>
        </w:rPr>
        <w:footnoteRef/>
      </w:r>
      <w:r>
        <w:rPr>
          <w:rtl/>
        </w:rPr>
        <w:t xml:space="preserve"> </w:t>
      </w:r>
      <w:r>
        <w:rPr>
          <w:lang w:val="en-US"/>
        </w:rPr>
        <w:t xml:space="preserve">Article 10, </w:t>
      </w:r>
      <w:hyperlink r:id="rId97" w:history="1">
        <w:r w:rsidRPr="004F1669">
          <w:rPr>
            <w:rStyle w:val="Hyperlink"/>
          </w:rPr>
          <w:t>A</w:t>
        </w:r>
        <w:r w:rsidRPr="00295CEC">
          <w:rPr>
            <w:rStyle w:val="Hyperlink"/>
            <w:lang w:val="en-US"/>
          </w:rPr>
          <w:t>ct</w:t>
        </w:r>
        <w:r w:rsidRPr="004F1669">
          <w:rPr>
            <w:rStyle w:val="Hyperlink"/>
          </w:rPr>
          <w:t xml:space="preserve"> no. 2013-907 of 11 October 2013 on transparency in public life</w:t>
        </w:r>
      </w:hyperlink>
      <w:r>
        <w:rPr>
          <w:lang w:val="en-US"/>
        </w:rPr>
        <w:t>.</w:t>
      </w:r>
    </w:p>
  </w:footnote>
  <w:footnote w:id="226">
    <w:p w:rsidR="00E55106" w:rsidRPr="00E00D89" w:rsidRDefault="00E55106" w:rsidP="00E00D89">
      <w:pPr>
        <w:pStyle w:val="aa"/>
        <w:rPr>
          <w:spacing w:val="-6"/>
          <w:rtl/>
        </w:rPr>
      </w:pPr>
      <w:r>
        <w:rPr>
          <w:rStyle w:val="ac"/>
        </w:rPr>
        <w:footnoteRef/>
      </w:r>
      <w:r>
        <w:rPr>
          <w:rtl/>
        </w:rPr>
        <w:t xml:space="preserve"> </w:t>
      </w:r>
      <w:r>
        <w:rPr>
          <w:rtl/>
        </w:rPr>
        <w:tab/>
      </w:r>
      <w:r w:rsidRPr="00E00D89">
        <w:rPr>
          <w:rFonts w:hint="cs"/>
          <w:spacing w:val="-6"/>
          <w:rtl/>
        </w:rPr>
        <w:t>לעומת זאת, הצהרת הון מוגשת בתחילת התקופה ובסיומה. מידע נוסף על ההצהרות מופיע בחוברת הנחיות למגישי ההצהרות:</w:t>
      </w:r>
    </w:p>
    <w:p w:rsidR="00E55106" w:rsidRPr="00DD1919" w:rsidRDefault="00E55106" w:rsidP="00DD1919">
      <w:pPr>
        <w:pStyle w:val="aa"/>
        <w:bidi w:val="0"/>
        <w:rPr>
          <w:lang w:val="fr-FR"/>
        </w:rPr>
      </w:pPr>
      <w:r>
        <w:rPr>
          <w:lang w:val="en-US"/>
        </w:rPr>
        <w:tab/>
      </w:r>
      <w:r w:rsidRPr="00C06C0E">
        <w:rPr>
          <w:lang w:val="fr-FR"/>
        </w:rPr>
        <w:t xml:space="preserve">HATVP, </w:t>
      </w:r>
      <w:hyperlink r:id="rId98" w:history="1">
        <w:r w:rsidRPr="00C06C0E">
          <w:rPr>
            <w:rStyle w:val="Hyperlink"/>
            <w:i/>
            <w:iCs/>
            <w:lang w:val="fr-FR"/>
          </w:rPr>
          <w:t>Guide du Déclarant</w:t>
        </w:r>
      </w:hyperlink>
      <w:r>
        <w:rPr>
          <w:lang w:val="fr-FR"/>
        </w:rPr>
        <w:t>, Octobre 2016,</w:t>
      </w:r>
      <w:r w:rsidRPr="00DD1919">
        <w:rPr>
          <w:lang w:val="fr-FR"/>
        </w:rPr>
        <w:t xml:space="preserve"> p. 4</w:t>
      </w:r>
      <w:r>
        <w:rPr>
          <w:lang w:val="fr-FR"/>
        </w:rPr>
        <w:t>.</w:t>
      </w:r>
    </w:p>
  </w:footnote>
  <w:footnote w:id="227">
    <w:p w:rsidR="00E55106" w:rsidRDefault="00E55106" w:rsidP="009A4BC5">
      <w:pPr>
        <w:pStyle w:val="aa"/>
        <w:rPr>
          <w:rtl/>
        </w:rPr>
      </w:pPr>
      <w:r>
        <w:rPr>
          <w:rStyle w:val="ac"/>
        </w:rPr>
        <w:footnoteRef/>
      </w:r>
      <w:r>
        <w:rPr>
          <w:rtl/>
        </w:rPr>
        <w:t xml:space="preserve"> </w:t>
      </w:r>
      <w:r>
        <w:rPr>
          <w:rtl/>
        </w:rPr>
        <w:tab/>
      </w:r>
      <w:r>
        <w:rPr>
          <w:rFonts w:hint="cs"/>
          <w:rtl/>
        </w:rPr>
        <w:t xml:space="preserve">חברי הממשלה </w:t>
      </w:r>
      <w:r>
        <w:rPr>
          <w:rtl/>
        </w:rPr>
        <w:t>–</w:t>
      </w:r>
      <w:r>
        <w:rPr>
          <w:rFonts w:hint="cs"/>
          <w:rtl/>
        </w:rPr>
        <w:t xml:space="preserve"> לראש הממשלה, חברי פרלמנט </w:t>
      </w:r>
      <w:r>
        <w:rPr>
          <w:rtl/>
        </w:rPr>
        <w:t>–</w:t>
      </w:r>
      <w:r>
        <w:rPr>
          <w:rFonts w:hint="cs"/>
          <w:rtl/>
        </w:rPr>
        <w:t xml:space="preserve"> לנשיאות הבית הרלוונטי, ובעלי תפקידים ברשויות עצמאיות ובגופים ציבוריים אחרים </w:t>
      </w:r>
      <w:r>
        <w:rPr>
          <w:rtl/>
        </w:rPr>
        <w:t>–</w:t>
      </w:r>
      <w:r>
        <w:rPr>
          <w:rFonts w:hint="cs"/>
          <w:rtl/>
        </w:rPr>
        <w:t xml:space="preserve"> לגורם ההיררכי המתאים בארגון. ראו</w:t>
      </w:r>
      <w:r w:rsidRPr="00E00D89">
        <w:rPr>
          <w:rFonts w:hint="cs"/>
          <w:rtl/>
        </w:rPr>
        <w:t xml:space="preserve"> </w:t>
      </w:r>
      <w:r>
        <w:rPr>
          <w:rFonts w:hint="cs"/>
          <w:rtl/>
        </w:rPr>
        <w:t>בחוברת הנחיות למגישי ההצהרות:</w:t>
      </w:r>
    </w:p>
    <w:p w:rsidR="00E55106" w:rsidRPr="00E00D89" w:rsidRDefault="00E55106" w:rsidP="009A4BC5">
      <w:pPr>
        <w:pStyle w:val="aa"/>
        <w:bidi w:val="0"/>
        <w:rPr>
          <w:rtl/>
          <w:lang w:val="fr-FR"/>
        </w:rPr>
      </w:pPr>
      <w:r>
        <w:rPr>
          <w:lang w:val="en-US"/>
        </w:rPr>
        <w:tab/>
      </w:r>
      <w:r>
        <w:rPr>
          <w:rFonts w:hint="cs"/>
          <w:rtl/>
        </w:rPr>
        <w:t xml:space="preserve"> </w:t>
      </w:r>
      <w:r w:rsidRPr="00C06C0E">
        <w:rPr>
          <w:lang w:val="fr-FR"/>
        </w:rPr>
        <w:t xml:space="preserve">HATVP, </w:t>
      </w:r>
      <w:hyperlink r:id="rId99" w:history="1">
        <w:r w:rsidRPr="00C06C0E">
          <w:rPr>
            <w:rStyle w:val="Hyperlink"/>
            <w:i/>
            <w:iCs/>
            <w:lang w:val="fr-FR"/>
          </w:rPr>
          <w:t>Guide du Déclarant</w:t>
        </w:r>
      </w:hyperlink>
      <w:r>
        <w:rPr>
          <w:lang w:val="fr-FR"/>
        </w:rPr>
        <w:t>, Octobre 2016,</w:t>
      </w:r>
      <w:r w:rsidRPr="00DD1919">
        <w:rPr>
          <w:lang w:val="fr-FR"/>
        </w:rPr>
        <w:t xml:space="preserve"> p.</w:t>
      </w:r>
      <w:r>
        <w:rPr>
          <w:lang w:val="fr-FR"/>
        </w:rPr>
        <w:t xml:space="preserve"> 7</w:t>
      </w:r>
      <w:r>
        <w:rPr>
          <w:rFonts w:hint="cs"/>
          <w:rtl/>
          <w:lang w:val="fr-FR"/>
        </w:rPr>
        <w:t>.</w:t>
      </w:r>
    </w:p>
  </w:footnote>
  <w:footnote w:id="228">
    <w:p w:rsidR="00E55106" w:rsidRPr="00DD1919" w:rsidRDefault="00E55106" w:rsidP="00DD1919">
      <w:pPr>
        <w:pStyle w:val="aa"/>
        <w:bidi w:val="0"/>
        <w:rPr>
          <w:color w:val="0000FF"/>
          <w:u w:val="single"/>
          <w:lang w:val="en-US"/>
        </w:rPr>
      </w:pPr>
      <w:r>
        <w:rPr>
          <w:rStyle w:val="ac"/>
        </w:rPr>
        <w:footnoteRef/>
      </w:r>
      <w:r>
        <w:rPr>
          <w:rtl/>
        </w:rPr>
        <w:t xml:space="preserve"> </w:t>
      </w:r>
      <w:r>
        <w:rPr>
          <w:lang w:val="en-US"/>
        </w:rPr>
        <w:t xml:space="preserve">Article 4, </w:t>
      </w:r>
      <w:hyperlink r:id="rId100" w:history="1">
        <w:r w:rsidRPr="004F1669">
          <w:rPr>
            <w:rStyle w:val="Hyperlink"/>
          </w:rPr>
          <w:t>A</w:t>
        </w:r>
        <w:r w:rsidRPr="00295CEC">
          <w:rPr>
            <w:rStyle w:val="Hyperlink"/>
            <w:lang w:val="en-US"/>
          </w:rPr>
          <w:t>ct</w:t>
        </w:r>
        <w:r w:rsidRPr="004F1669">
          <w:rPr>
            <w:rStyle w:val="Hyperlink"/>
          </w:rPr>
          <w:t xml:space="preserve"> no. 2013-907 of 11 October 2013 on transparency in public life</w:t>
        </w:r>
      </w:hyperlink>
      <w:r>
        <w:rPr>
          <w:lang w:val="en-US"/>
        </w:rPr>
        <w:t>; H</w:t>
      </w:r>
      <w:r w:rsidRPr="00DD1919">
        <w:rPr>
          <w:lang w:val="en-US"/>
        </w:rPr>
        <w:t xml:space="preserve">ATVP, </w:t>
      </w:r>
      <w:hyperlink r:id="rId101" w:history="1">
        <w:r w:rsidRPr="00DD1919">
          <w:rPr>
            <w:rStyle w:val="Hyperlink"/>
            <w:i/>
            <w:iCs/>
            <w:lang w:val="en-US"/>
          </w:rPr>
          <w:t xml:space="preserve">Guide du </w:t>
        </w:r>
        <w:proofErr w:type="spellStart"/>
        <w:r w:rsidRPr="00DD1919">
          <w:rPr>
            <w:rStyle w:val="Hyperlink"/>
            <w:i/>
            <w:iCs/>
            <w:lang w:val="en-US"/>
          </w:rPr>
          <w:t>Déclarant</w:t>
        </w:r>
        <w:proofErr w:type="spellEnd"/>
      </w:hyperlink>
      <w:r w:rsidRPr="00DD1919">
        <w:rPr>
          <w:lang w:val="en-US"/>
        </w:rPr>
        <w:t xml:space="preserve">, </w:t>
      </w:r>
      <w:proofErr w:type="spellStart"/>
      <w:r w:rsidRPr="00282359">
        <w:rPr>
          <w:lang w:val="en-US"/>
        </w:rPr>
        <w:t>Octobre</w:t>
      </w:r>
      <w:proofErr w:type="spellEnd"/>
      <w:r w:rsidRPr="00DD1919">
        <w:rPr>
          <w:lang w:val="en-US"/>
        </w:rPr>
        <w:t xml:space="preserve"> 2016, pp. 19-23.</w:t>
      </w:r>
    </w:p>
  </w:footnote>
  <w:footnote w:id="229">
    <w:p w:rsidR="00E55106" w:rsidRDefault="00E55106" w:rsidP="009A1733">
      <w:pPr>
        <w:pStyle w:val="aa"/>
        <w:rPr>
          <w:rtl/>
        </w:rPr>
      </w:pPr>
      <w:r>
        <w:rPr>
          <w:rStyle w:val="ac"/>
        </w:rPr>
        <w:footnoteRef/>
      </w:r>
      <w:r>
        <w:rPr>
          <w:rtl/>
        </w:rPr>
        <w:t xml:space="preserve"> </w:t>
      </w:r>
      <w:r>
        <w:rPr>
          <w:rtl/>
        </w:rPr>
        <w:tab/>
      </w:r>
      <w:r>
        <w:rPr>
          <w:rFonts w:hint="cs"/>
          <w:rtl/>
        </w:rPr>
        <w:t>רשימת הפעילויות שבכוונת חבר הפרלמנט להמשיך לעסוק בהן בזמן כהונתו תועבר גם לנשיאות הבית אשר תבדוק האם לא מתעוררות סוגיות של אי-התאמה (</w:t>
      </w:r>
      <w:r w:rsidRPr="009A1733">
        <w:t>incompatibilit</w:t>
      </w:r>
      <w:r>
        <w:rPr>
          <w:lang w:val="en-US"/>
        </w:rPr>
        <w:t>ies</w:t>
      </w:r>
      <w:r>
        <w:rPr>
          <w:rFonts w:hint="cs"/>
          <w:rtl/>
        </w:rPr>
        <w:t>).</w:t>
      </w:r>
    </w:p>
  </w:footnote>
  <w:footnote w:id="230">
    <w:p w:rsidR="00E55106" w:rsidRPr="000E6E2F" w:rsidRDefault="00E55106" w:rsidP="00CE27D3">
      <w:pPr>
        <w:pStyle w:val="aa"/>
        <w:rPr>
          <w:rtl/>
          <w:lang w:val="en-US"/>
        </w:rPr>
      </w:pPr>
      <w:r>
        <w:rPr>
          <w:rStyle w:val="ac"/>
        </w:rPr>
        <w:footnoteRef/>
      </w:r>
      <w:r>
        <w:rPr>
          <w:rtl/>
        </w:rPr>
        <w:t xml:space="preserve"> </w:t>
      </w:r>
      <w:r>
        <w:rPr>
          <w:rtl/>
        </w:rPr>
        <w:tab/>
      </w:r>
      <w:r w:rsidRPr="000E6E2F">
        <w:rPr>
          <w:rFonts w:hint="cs"/>
          <w:b/>
          <w:bCs/>
          <w:rtl/>
        </w:rPr>
        <w:t>באשר להצהרות הון</w:t>
      </w:r>
      <w:r>
        <w:rPr>
          <w:rFonts w:hint="cs"/>
          <w:rtl/>
        </w:rPr>
        <w:t xml:space="preserve"> </w:t>
      </w:r>
      <w:r>
        <w:rPr>
          <w:rtl/>
        </w:rPr>
        <w:t>–</w:t>
      </w:r>
      <w:r>
        <w:rPr>
          <w:rFonts w:hint="cs"/>
          <w:rtl/>
        </w:rPr>
        <w:t xml:space="preserve"> רק הצהרות ההון של חברי הממשלה מתפרסמות באתר הרשות; הצהרות ההון של חברי הפרלמנט ניתנות לעיון במחוזות הבחירה הרלוונטיים (</w:t>
      </w:r>
      <w:r w:rsidRPr="00282359">
        <w:rPr>
          <w:lang w:val="fr-FR"/>
        </w:rPr>
        <w:t>en préfecture</w:t>
      </w:r>
      <w:r>
        <w:rPr>
          <w:rFonts w:hint="cs"/>
          <w:rtl/>
        </w:rPr>
        <w:t>);</w:t>
      </w:r>
      <w:r>
        <w:rPr>
          <w:rFonts w:hint="cs"/>
          <w:rtl/>
          <w:lang w:val="en-US"/>
        </w:rPr>
        <w:t xml:space="preserve"> הצהרות ההון של יתר בעלי התפקידים אינן מתפרסמות.</w:t>
      </w:r>
    </w:p>
  </w:footnote>
  <w:footnote w:id="231">
    <w:p w:rsidR="00E55106" w:rsidRPr="007D42D8" w:rsidRDefault="00E55106" w:rsidP="00C735A4">
      <w:pPr>
        <w:pStyle w:val="aa"/>
        <w:bidi w:val="0"/>
        <w:jc w:val="both"/>
        <w:rPr>
          <w:lang w:val="en-US"/>
        </w:rPr>
      </w:pPr>
      <w:r>
        <w:rPr>
          <w:rStyle w:val="ac"/>
        </w:rPr>
        <w:footnoteRef/>
      </w:r>
      <w:r>
        <w:rPr>
          <w:rtl/>
        </w:rPr>
        <w:t xml:space="preserve"> </w:t>
      </w:r>
      <w:r w:rsidRPr="007D42D8">
        <w:rPr>
          <w:lang w:val="en-US"/>
        </w:rPr>
        <w:t>OECD, Managing Conflict of Interest in the Public Service - OECD Guidelines and Country Experiences (2003)</w:t>
      </w:r>
      <w:r>
        <w:rPr>
          <w:lang w:val="en-US"/>
        </w:rPr>
        <w:t>, page 47</w:t>
      </w:r>
      <w:r w:rsidRPr="007D42D8">
        <w:rPr>
          <w:lang w:val="en-US"/>
        </w:rPr>
        <w:t>.</w:t>
      </w:r>
      <w:r>
        <w:rPr>
          <w:lang w:val="en-US"/>
        </w:rPr>
        <w:t xml:space="preserve"> T</w:t>
      </w:r>
      <w:r w:rsidRPr="00567921">
        <w:rPr>
          <w:lang w:val="en-US"/>
        </w:rPr>
        <w:t>he European Commission Bureau of European Policy Advisers, Regulating Conflicts of Interest for Holders of Public Office in the European Union - A Comparative Study of the Rules and Standards of Professional Ethics for the Holders of Public Office in the EU-27 and EU Institutions (2007)</w:t>
      </w:r>
      <w:r w:rsidRPr="006D0476">
        <w:rPr>
          <w:lang w:val="en-US"/>
        </w:rPr>
        <w:t>, P</w:t>
      </w:r>
      <w:r>
        <w:rPr>
          <w:lang w:val="en-US"/>
        </w:rPr>
        <w:t>age 11.</w:t>
      </w:r>
    </w:p>
  </w:footnote>
  <w:footnote w:id="232">
    <w:p w:rsidR="00E55106" w:rsidRPr="00DA5D14" w:rsidRDefault="00E55106" w:rsidP="00C735A4">
      <w:pPr>
        <w:pStyle w:val="aa"/>
        <w:jc w:val="both"/>
        <w:rPr>
          <w:rtl/>
          <w:lang w:val="en-US"/>
        </w:rPr>
      </w:pPr>
      <w:r>
        <w:rPr>
          <w:rStyle w:val="ac"/>
        </w:rPr>
        <w:footnoteRef/>
      </w:r>
      <w:r>
        <w:rPr>
          <w:rtl/>
        </w:rPr>
        <w:t xml:space="preserve"> </w:t>
      </w:r>
      <w:r>
        <w:rPr>
          <w:rFonts w:hint="cs"/>
          <w:rtl/>
        </w:rPr>
        <w:t>חוק זה הוא אחד מארבעת החוקים הבסיסיים שמרכיבים את החוקה השבדית.</w:t>
      </w:r>
    </w:p>
  </w:footnote>
  <w:footnote w:id="233">
    <w:p w:rsidR="00E55106" w:rsidRPr="008C023C" w:rsidRDefault="00E55106" w:rsidP="00C735A4">
      <w:pPr>
        <w:pStyle w:val="aa"/>
        <w:bidi w:val="0"/>
        <w:jc w:val="both"/>
        <w:rPr>
          <w:lang w:val="en-US"/>
        </w:rPr>
      </w:pPr>
      <w:r>
        <w:rPr>
          <w:rStyle w:val="ac"/>
        </w:rPr>
        <w:footnoteRef/>
      </w:r>
      <w:r>
        <w:rPr>
          <w:rtl/>
        </w:rPr>
        <w:t xml:space="preserve"> </w:t>
      </w:r>
      <w:r>
        <w:t>The Instrument of Government</w:t>
      </w:r>
      <w:r>
        <w:rPr>
          <w:lang w:val="en-US"/>
        </w:rPr>
        <w:t>.</w:t>
      </w:r>
    </w:p>
  </w:footnote>
  <w:footnote w:id="234">
    <w:p w:rsidR="00E55106" w:rsidRPr="00175DE5" w:rsidRDefault="00E55106" w:rsidP="00C735A4">
      <w:pPr>
        <w:pStyle w:val="aa"/>
        <w:bidi w:val="0"/>
        <w:jc w:val="both"/>
        <w:rPr>
          <w:lang w:val="en-US"/>
        </w:rPr>
      </w:pPr>
      <w:r>
        <w:rPr>
          <w:rStyle w:val="ac"/>
        </w:rPr>
        <w:footnoteRef/>
      </w:r>
      <w:r>
        <w:rPr>
          <w:rtl/>
        </w:rPr>
        <w:t xml:space="preserve"> </w:t>
      </w:r>
      <w:r>
        <w:t>The Instrument of Government</w:t>
      </w:r>
      <w:r>
        <w:rPr>
          <w:lang w:val="en-US"/>
        </w:rPr>
        <w:t>, Art. 9: "</w:t>
      </w:r>
      <w:r w:rsidRPr="00DA5D14">
        <w:rPr>
          <w:lang w:val="en-US"/>
        </w:rPr>
        <w:t>Courts of law, administrative authorities and others performing public administration functions shall pay regard in their work to the equality of all before the law and shall observe objectivity and impartiality</w:t>
      </w:r>
      <w:r>
        <w:rPr>
          <w:lang w:val="en-US"/>
        </w:rPr>
        <w:t>".</w:t>
      </w:r>
    </w:p>
  </w:footnote>
  <w:footnote w:id="235">
    <w:p w:rsidR="00E55106" w:rsidRPr="00C437FA" w:rsidRDefault="00E55106" w:rsidP="00C735A4">
      <w:pPr>
        <w:pStyle w:val="aa"/>
        <w:bidi w:val="0"/>
        <w:jc w:val="both"/>
        <w:rPr>
          <w:lang w:val="en-US"/>
        </w:rPr>
      </w:pPr>
      <w:r>
        <w:rPr>
          <w:rStyle w:val="ac"/>
        </w:rPr>
        <w:footnoteRef/>
      </w:r>
      <w:r>
        <w:rPr>
          <w:rtl/>
        </w:rPr>
        <w:t xml:space="preserve"> </w:t>
      </w:r>
      <w:r w:rsidRPr="007D42D8">
        <w:rPr>
          <w:lang w:val="en-US"/>
        </w:rPr>
        <w:t>OECD, Managing Conflict of Interest in the Public Service - OECD Guidelines and Country Experiences (2003)</w:t>
      </w:r>
      <w:r>
        <w:rPr>
          <w:lang w:val="en-US"/>
        </w:rPr>
        <w:t>, page 47</w:t>
      </w:r>
      <w:r w:rsidRPr="007D42D8">
        <w:rPr>
          <w:lang w:val="en-US"/>
        </w:rPr>
        <w:t>.</w:t>
      </w:r>
    </w:p>
  </w:footnote>
  <w:footnote w:id="236">
    <w:p w:rsidR="00E55106" w:rsidRPr="00E256B7" w:rsidRDefault="00E55106" w:rsidP="00C735A4">
      <w:pPr>
        <w:pStyle w:val="aa"/>
        <w:bidi w:val="0"/>
        <w:jc w:val="both"/>
        <w:rPr>
          <w:lang w:val="en-US"/>
        </w:rPr>
      </w:pPr>
      <w:r>
        <w:rPr>
          <w:rStyle w:val="ac"/>
        </w:rPr>
        <w:footnoteRef/>
      </w:r>
      <w:r>
        <w:rPr>
          <w:rFonts w:hint="cs"/>
          <w:rtl/>
          <w:lang w:val="en-US"/>
        </w:rPr>
        <w:t xml:space="preserve"> </w:t>
      </w:r>
      <w:r>
        <w:rPr>
          <w:lang w:val="en-US"/>
        </w:rPr>
        <w:t>The Administrative Procedure Act of 1986.</w:t>
      </w:r>
      <w:r>
        <w:rPr>
          <w:rtl/>
        </w:rPr>
        <w:t xml:space="preserve"> </w:t>
      </w:r>
    </w:p>
  </w:footnote>
  <w:footnote w:id="237">
    <w:p w:rsidR="00E55106" w:rsidRDefault="00E55106" w:rsidP="00C735A4">
      <w:pPr>
        <w:pStyle w:val="aa"/>
        <w:bidi w:val="0"/>
        <w:jc w:val="both"/>
        <w:rPr>
          <w:lang w:val="en-US"/>
        </w:rPr>
      </w:pPr>
      <w:r>
        <w:rPr>
          <w:rStyle w:val="ac"/>
        </w:rPr>
        <w:footnoteRef/>
      </w:r>
      <w:r>
        <w:rPr>
          <w:rtl/>
        </w:rPr>
        <w:t xml:space="preserve"> </w:t>
      </w:r>
      <w:r>
        <w:rPr>
          <w:lang w:val="en-US"/>
        </w:rPr>
        <w:t>Ibid, Section 1.</w:t>
      </w:r>
    </w:p>
    <w:p w:rsidR="00E55106" w:rsidRDefault="00E55106" w:rsidP="00C735A4">
      <w:pPr>
        <w:pStyle w:val="aa"/>
        <w:jc w:val="both"/>
        <w:rPr>
          <w:rtl/>
          <w:lang w:val="en-US"/>
        </w:rPr>
      </w:pPr>
      <w:r>
        <w:rPr>
          <w:rtl/>
          <w:lang w:val="en-US"/>
        </w:rPr>
        <w:tab/>
      </w:r>
      <w:r>
        <w:rPr>
          <w:rFonts w:hint="cs"/>
          <w:rtl/>
          <w:lang w:val="en-US"/>
        </w:rPr>
        <w:t>יחד עם זאת, החוק מחריג רשויות מסוימות מהוראותיו (וביניהן: רשויות המיסים, המשטרה, התביעה הציבורית ועוד).</w:t>
      </w:r>
    </w:p>
    <w:p w:rsidR="00E55106" w:rsidRPr="00567921" w:rsidRDefault="00E55106" w:rsidP="00CB3CE6">
      <w:pPr>
        <w:pStyle w:val="aa"/>
        <w:jc w:val="both"/>
        <w:rPr>
          <w:rtl/>
          <w:lang w:val="en-US"/>
        </w:rPr>
      </w:pPr>
      <w:r>
        <w:rPr>
          <w:rtl/>
          <w:lang w:val="en-US"/>
        </w:rPr>
        <w:tab/>
      </w:r>
      <w:r>
        <w:rPr>
          <w:rFonts w:hint="cs"/>
          <w:rtl/>
          <w:lang w:val="en-US"/>
        </w:rPr>
        <w:t xml:space="preserve">עוד יודגש, כי למרות בדיקותינו לא ניתן היה </w:t>
      </w:r>
      <w:r w:rsidRPr="00CB3CE6">
        <w:rPr>
          <w:rFonts w:hint="eastAsia"/>
          <w:rtl/>
          <w:lang w:val="en-US"/>
        </w:rPr>
        <w:t>לוודא</w:t>
      </w:r>
      <w:r>
        <w:rPr>
          <w:rFonts w:hint="cs"/>
          <w:rtl/>
          <w:lang w:val="en-US"/>
        </w:rPr>
        <w:t xml:space="preserve"> האם החוק חל על נבחרי ציבור ועל האורגנים השונים בפרלמנט בשבדיה, או שהם הוחרגו מהוראותיו.</w:t>
      </w:r>
    </w:p>
  </w:footnote>
  <w:footnote w:id="238">
    <w:p w:rsidR="00E55106" w:rsidRPr="00884749" w:rsidRDefault="00E55106" w:rsidP="00C735A4">
      <w:pPr>
        <w:pStyle w:val="aa"/>
        <w:bidi w:val="0"/>
        <w:jc w:val="both"/>
        <w:rPr>
          <w:lang w:val="en-US"/>
        </w:rPr>
      </w:pPr>
      <w:r>
        <w:rPr>
          <w:rStyle w:val="ac"/>
        </w:rPr>
        <w:footnoteRef/>
      </w:r>
      <w:r>
        <w:rPr>
          <w:rtl/>
        </w:rPr>
        <w:t xml:space="preserve"> </w:t>
      </w:r>
      <w:r>
        <w:rPr>
          <w:lang w:val="en-US"/>
        </w:rPr>
        <w:t>Ibid, Section 11.</w:t>
      </w:r>
    </w:p>
  </w:footnote>
  <w:footnote w:id="239">
    <w:p w:rsidR="00E55106" w:rsidRPr="00B02089" w:rsidRDefault="00E55106" w:rsidP="00C735A4">
      <w:pPr>
        <w:pStyle w:val="aa"/>
        <w:bidi w:val="0"/>
        <w:jc w:val="both"/>
        <w:rPr>
          <w:lang w:val="en-US"/>
        </w:rPr>
      </w:pPr>
      <w:r>
        <w:rPr>
          <w:rStyle w:val="ac"/>
        </w:rPr>
        <w:footnoteRef/>
      </w:r>
      <w:r>
        <w:rPr>
          <w:rtl/>
        </w:rPr>
        <w:t xml:space="preserve"> </w:t>
      </w:r>
      <w:r>
        <w:rPr>
          <w:lang w:val="en-US"/>
        </w:rPr>
        <w:t>Ibid.</w:t>
      </w:r>
    </w:p>
  </w:footnote>
  <w:footnote w:id="240">
    <w:p w:rsidR="00E55106" w:rsidRPr="009A2800" w:rsidRDefault="00E55106" w:rsidP="00C735A4">
      <w:pPr>
        <w:pStyle w:val="aa"/>
        <w:bidi w:val="0"/>
        <w:jc w:val="both"/>
        <w:rPr>
          <w:lang w:val="en-US"/>
        </w:rPr>
      </w:pPr>
      <w:r>
        <w:rPr>
          <w:rStyle w:val="ac"/>
        </w:rPr>
        <w:footnoteRef/>
      </w:r>
      <w:r>
        <w:rPr>
          <w:rtl/>
        </w:rPr>
        <w:t xml:space="preserve"> </w:t>
      </w:r>
      <w:r>
        <w:rPr>
          <w:lang w:val="en-US"/>
        </w:rPr>
        <w:t>Ibid, Section 12.</w:t>
      </w:r>
    </w:p>
  </w:footnote>
  <w:footnote w:id="241">
    <w:p w:rsidR="00E55106" w:rsidRPr="00EA1AFF" w:rsidRDefault="00E55106" w:rsidP="00C735A4">
      <w:pPr>
        <w:pStyle w:val="aa"/>
        <w:bidi w:val="0"/>
        <w:jc w:val="both"/>
        <w:rPr>
          <w:lang w:val="en-US"/>
        </w:rPr>
      </w:pPr>
      <w:r>
        <w:rPr>
          <w:rStyle w:val="ac"/>
        </w:rPr>
        <w:footnoteRef/>
      </w:r>
      <w:r>
        <w:rPr>
          <w:rtl/>
        </w:rPr>
        <w:t xml:space="preserve"> </w:t>
      </w:r>
      <w:r>
        <w:rPr>
          <w:lang w:val="en-US"/>
        </w:rPr>
        <w:t>Ibid.</w:t>
      </w:r>
    </w:p>
  </w:footnote>
  <w:footnote w:id="242">
    <w:p w:rsidR="00E55106" w:rsidRPr="009541C9" w:rsidRDefault="00E55106" w:rsidP="00C735A4">
      <w:pPr>
        <w:pStyle w:val="aa"/>
        <w:bidi w:val="0"/>
        <w:jc w:val="both"/>
        <w:rPr>
          <w:lang w:val="en-US"/>
        </w:rPr>
      </w:pPr>
      <w:r>
        <w:rPr>
          <w:rStyle w:val="ac"/>
        </w:rPr>
        <w:footnoteRef/>
      </w:r>
      <w:r>
        <w:rPr>
          <w:rtl/>
        </w:rPr>
        <w:t xml:space="preserve"> </w:t>
      </w:r>
      <w:r w:rsidRPr="00A63AB8">
        <w:rPr>
          <w:lang w:val="en-US"/>
        </w:rPr>
        <w:t>Law on the registration of the economic interests and commitments of the Members of Parliament (1996:810).</w:t>
      </w:r>
    </w:p>
  </w:footnote>
  <w:footnote w:id="243">
    <w:p w:rsidR="00E55106" w:rsidRPr="00B75EF5" w:rsidRDefault="00E55106" w:rsidP="00C735A4">
      <w:pPr>
        <w:pStyle w:val="aa"/>
        <w:bidi w:val="0"/>
        <w:jc w:val="both"/>
        <w:rPr>
          <w:lang w:val="en-US"/>
        </w:rPr>
      </w:pPr>
      <w:r>
        <w:rPr>
          <w:rStyle w:val="ac"/>
        </w:rPr>
        <w:footnoteRef/>
      </w:r>
      <w:r>
        <w:rPr>
          <w:rtl/>
        </w:rPr>
        <w:t xml:space="preserve"> </w:t>
      </w:r>
      <w:r w:rsidRPr="00B75EF5">
        <w:rPr>
          <w:lang w:val="en-US"/>
        </w:rPr>
        <w:t>National Democratic Institute for International Affairs, Legislative Ethics: A Comparative Analysis, Legislative Research Series Paper #4</w:t>
      </w:r>
      <w:r>
        <w:rPr>
          <w:lang w:val="en-US"/>
        </w:rPr>
        <w:t>, pp 31, 36 &amp; 44.</w:t>
      </w:r>
    </w:p>
  </w:footnote>
  <w:footnote w:id="244">
    <w:p w:rsidR="00E55106" w:rsidRPr="00B75EF5" w:rsidRDefault="00E55106" w:rsidP="00C735A4">
      <w:pPr>
        <w:pStyle w:val="aa"/>
        <w:bidi w:val="0"/>
        <w:jc w:val="both"/>
        <w:rPr>
          <w:lang w:val="en-US"/>
        </w:rPr>
      </w:pPr>
      <w:r>
        <w:rPr>
          <w:rStyle w:val="ac"/>
        </w:rPr>
        <w:footnoteRef/>
      </w:r>
      <w:r>
        <w:rPr>
          <w:rtl/>
        </w:rPr>
        <w:t xml:space="preserve"> </w:t>
      </w:r>
      <w:proofErr w:type="spellStart"/>
      <w:r w:rsidRPr="00B75EF5">
        <w:t>Joakim</w:t>
      </w:r>
      <w:proofErr w:type="spellEnd"/>
      <w:r w:rsidRPr="00B75EF5">
        <w:t xml:space="preserve"> </w:t>
      </w:r>
      <w:proofErr w:type="spellStart"/>
      <w:r w:rsidRPr="00B75EF5">
        <w:t>Nergelius</w:t>
      </w:r>
      <w:proofErr w:type="spellEnd"/>
      <w:r w:rsidRPr="00B75EF5">
        <w:t xml:space="preserve">, </w:t>
      </w:r>
      <w:r w:rsidRPr="00B75EF5">
        <w:rPr>
          <w:smallCaps/>
        </w:rPr>
        <w:t>Constitutional Law in Sweden</w:t>
      </w:r>
      <w:r w:rsidRPr="00B75EF5">
        <w:t xml:space="preserve"> (Walters Kluwer, 2011)</w:t>
      </w:r>
      <w:r>
        <w:rPr>
          <w:lang w:val="en-US"/>
        </w:rPr>
        <w:t>, pp 35-36.</w:t>
      </w:r>
    </w:p>
  </w:footnote>
  <w:footnote w:id="245">
    <w:p w:rsidR="00E55106" w:rsidRPr="006D0476" w:rsidRDefault="00E55106" w:rsidP="00C735A4">
      <w:pPr>
        <w:pStyle w:val="aa"/>
        <w:bidi w:val="0"/>
        <w:jc w:val="both"/>
        <w:rPr>
          <w:lang w:val="en-US"/>
        </w:rPr>
      </w:pPr>
      <w:r>
        <w:rPr>
          <w:rStyle w:val="ac"/>
        </w:rPr>
        <w:footnoteRef/>
      </w:r>
      <w:r>
        <w:rPr>
          <w:rtl/>
        </w:rPr>
        <w:t xml:space="preserve"> </w:t>
      </w:r>
      <w:r>
        <w:rPr>
          <w:lang w:val="en-US"/>
        </w:rPr>
        <w:t>T</w:t>
      </w:r>
      <w:r w:rsidRPr="00567921">
        <w:rPr>
          <w:lang w:val="en-US"/>
        </w:rPr>
        <w:t>he European Commission Bureau of European Policy Advisers, Regulating Conflicts of Interest for Holders of Public Office in the European Union - A Comparative Study of the Rules and Standards of Professional Ethics for the Holders of Public Office in the EU-27 and EU Institutions (2007)</w:t>
      </w:r>
      <w:r w:rsidRPr="006D0476">
        <w:rPr>
          <w:lang w:val="en-US"/>
        </w:rPr>
        <w:t>, pp 314-317.</w:t>
      </w:r>
      <w:r>
        <w:rPr>
          <w:lang w:val="en-US"/>
        </w:rPr>
        <w:t xml:space="preserve"> </w:t>
      </w:r>
    </w:p>
  </w:footnote>
  <w:footnote w:id="246">
    <w:p w:rsidR="00E55106" w:rsidRPr="00A8341A" w:rsidRDefault="00E55106" w:rsidP="00C735A4">
      <w:pPr>
        <w:pStyle w:val="aa"/>
        <w:bidi w:val="0"/>
        <w:jc w:val="both"/>
        <w:rPr>
          <w:lang w:val="en-US"/>
        </w:rPr>
      </w:pPr>
      <w:r>
        <w:rPr>
          <w:rStyle w:val="ac"/>
        </w:rPr>
        <w:footnoteRef/>
      </w:r>
      <w:r>
        <w:rPr>
          <w:rtl/>
        </w:rPr>
        <w:t xml:space="preserve"> </w:t>
      </w:r>
      <w:r w:rsidRPr="00A8341A">
        <w:t>Code of Civil Servants (Law 2683/1999)</w:t>
      </w:r>
      <w:r>
        <w:rPr>
          <w:lang w:val="en-US"/>
        </w:rPr>
        <w:t>.</w:t>
      </w:r>
    </w:p>
  </w:footnote>
  <w:footnote w:id="247">
    <w:p w:rsidR="00E55106" w:rsidRPr="00557B24" w:rsidRDefault="00E55106" w:rsidP="00C735A4">
      <w:pPr>
        <w:pStyle w:val="aa"/>
        <w:bidi w:val="0"/>
        <w:jc w:val="both"/>
        <w:rPr>
          <w:lang w:val="en-US"/>
        </w:rPr>
      </w:pPr>
      <w:r>
        <w:rPr>
          <w:rStyle w:val="ac"/>
        </w:rPr>
        <w:footnoteRef/>
      </w:r>
      <w:r>
        <w:rPr>
          <w:rtl/>
        </w:rPr>
        <w:t xml:space="preserve"> </w:t>
      </w:r>
      <w:r>
        <w:rPr>
          <w:lang w:val="en-US"/>
        </w:rPr>
        <w:t xml:space="preserve">Ibid, Article 2. See also: </w:t>
      </w:r>
      <w:r w:rsidRPr="00557B24">
        <w:t>UN Department of Economic and Social Affairs, Public Administration Country Profile - Greece (May, 2004)</w:t>
      </w:r>
      <w:r>
        <w:rPr>
          <w:lang w:val="en-US"/>
        </w:rPr>
        <w:t>, page 9.</w:t>
      </w:r>
    </w:p>
  </w:footnote>
  <w:footnote w:id="248">
    <w:p w:rsidR="00E55106" w:rsidRPr="004C63DC" w:rsidRDefault="00E55106" w:rsidP="00C735A4">
      <w:pPr>
        <w:pStyle w:val="aa"/>
        <w:bidi w:val="0"/>
        <w:jc w:val="both"/>
        <w:rPr>
          <w:lang w:val="en-US"/>
        </w:rPr>
      </w:pPr>
      <w:r>
        <w:rPr>
          <w:rStyle w:val="ac"/>
        </w:rPr>
        <w:footnoteRef/>
      </w:r>
      <w:r>
        <w:rPr>
          <w:rtl/>
        </w:rPr>
        <w:t xml:space="preserve"> </w:t>
      </w:r>
      <w:r w:rsidRPr="00A8341A">
        <w:t>Code of Civil Servants</w:t>
      </w:r>
      <w:r>
        <w:rPr>
          <w:lang w:val="en-US"/>
        </w:rPr>
        <w:t>, Article 36(1): "</w:t>
      </w:r>
      <w:r w:rsidRPr="004C63DC">
        <w:rPr>
          <w:lang w:val="en-US"/>
        </w:rPr>
        <w:t>A civil servant may not undertake the settlement of an issue or participate in the issuing of acts, either in person or as member of a collective body, when either himself or his spouse or á relative by blood or affinity up to the third degree of kinship, or a person with whom the civil servant are close friends or enemies, has a manifest interest in the outcome of the case</w:t>
      </w:r>
      <w:r>
        <w:rPr>
          <w:lang w:val="en-US"/>
        </w:rPr>
        <w:t>".</w:t>
      </w:r>
    </w:p>
  </w:footnote>
  <w:footnote w:id="249">
    <w:p w:rsidR="00E55106" w:rsidRDefault="00E55106" w:rsidP="00C735A4">
      <w:pPr>
        <w:pStyle w:val="aa"/>
        <w:bidi w:val="0"/>
        <w:jc w:val="both"/>
        <w:rPr>
          <w:lang w:val="en-US"/>
        </w:rPr>
      </w:pPr>
      <w:r>
        <w:rPr>
          <w:rStyle w:val="ac"/>
        </w:rPr>
        <w:footnoteRef/>
      </w:r>
      <w:r>
        <w:rPr>
          <w:rtl/>
        </w:rPr>
        <w:t xml:space="preserve"> </w:t>
      </w:r>
      <w:r>
        <w:rPr>
          <w:lang w:val="en-US"/>
        </w:rPr>
        <w:t>Ibid, Articles 36(2), 36(3).</w:t>
      </w:r>
    </w:p>
    <w:p w:rsidR="00E55106" w:rsidRPr="00EE30F2" w:rsidRDefault="00E55106" w:rsidP="00CB3CE6">
      <w:pPr>
        <w:pStyle w:val="aa"/>
        <w:jc w:val="both"/>
        <w:rPr>
          <w:rtl/>
          <w:lang w:val="en-US"/>
        </w:rPr>
      </w:pPr>
      <w:r>
        <w:rPr>
          <w:rtl/>
          <w:lang w:val="en-US"/>
        </w:rPr>
        <w:tab/>
      </w:r>
      <w:r>
        <w:rPr>
          <w:rFonts w:hint="cs"/>
          <w:rtl/>
          <w:lang w:val="en-US"/>
        </w:rPr>
        <w:t>יוער, כי מונח זה לא מפורש בחוק.</w:t>
      </w:r>
    </w:p>
  </w:footnote>
  <w:footnote w:id="250">
    <w:p w:rsidR="00E55106" w:rsidRPr="00E55106" w:rsidRDefault="00E55106" w:rsidP="00E55106">
      <w:pPr>
        <w:pStyle w:val="aa"/>
        <w:jc w:val="both"/>
        <w:rPr>
          <w:rFonts w:hint="cs"/>
          <w:rtl/>
          <w:lang w:val="en-US"/>
        </w:rPr>
      </w:pPr>
      <w:r>
        <w:rPr>
          <w:rStyle w:val="ac"/>
        </w:rPr>
        <w:footnoteRef/>
      </w:r>
      <w:r>
        <w:rPr>
          <w:rtl/>
        </w:rPr>
        <w:t xml:space="preserve"> </w:t>
      </w:r>
      <w:r w:rsidRPr="00D831B1">
        <w:rPr>
          <w:rFonts w:hint="cs"/>
          <w:rtl/>
        </w:rPr>
        <w:t>למעט במחוז הא</w:t>
      </w:r>
      <w:r>
        <w:rPr>
          <w:rFonts w:hint="cs"/>
          <w:rtl/>
        </w:rPr>
        <w:t xml:space="preserve">דמיניסטרטיבי הספציפי שנקוב בקוד; </w:t>
      </w:r>
      <w:r>
        <w:rPr>
          <w:lang w:val="en-US"/>
        </w:rPr>
        <w:t>Ibid, Article 37</w:t>
      </w:r>
      <w:r>
        <w:rPr>
          <w:rFonts w:hint="cs"/>
          <w:rtl/>
          <w:lang w:val="en-US"/>
        </w:rPr>
        <w:t>.</w:t>
      </w:r>
    </w:p>
  </w:footnote>
  <w:footnote w:id="251">
    <w:p w:rsidR="00E55106" w:rsidRPr="00DE18F9" w:rsidRDefault="00E55106" w:rsidP="00426035">
      <w:pPr>
        <w:pStyle w:val="aa"/>
        <w:jc w:val="both"/>
        <w:rPr>
          <w:rtl/>
          <w:lang w:val="en-US"/>
        </w:rPr>
      </w:pPr>
      <w:r>
        <w:rPr>
          <w:rStyle w:val="ac"/>
        </w:rPr>
        <w:footnoteRef/>
      </w:r>
      <w:r>
        <w:rPr>
          <w:rtl/>
        </w:rPr>
        <w:t xml:space="preserve"> </w:t>
      </w:r>
      <w:r>
        <w:rPr>
          <w:rFonts w:hint="cs"/>
          <w:rtl/>
          <w:lang w:val="en-US"/>
        </w:rPr>
        <w:t xml:space="preserve"> </w:t>
      </w:r>
      <w:r>
        <w:rPr>
          <w:rFonts w:hint="cs"/>
          <w:rtl/>
        </w:rPr>
        <w:t>תשובת הפרלמנט של דנמרק באמצעות ה-</w:t>
      </w:r>
      <w:r>
        <w:rPr>
          <w:rFonts w:hint="cs"/>
        </w:rPr>
        <w:t>ECPRD</w:t>
      </w:r>
      <w:r>
        <w:rPr>
          <w:rFonts w:hint="cs"/>
          <w:rtl/>
        </w:rPr>
        <w:t xml:space="preserve"> לפנייה מספר 3079.</w:t>
      </w:r>
    </w:p>
  </w:footnote>
  <w:footnote w:id="252">
    <w:p w:rsidR="00E55106" w:rsidRDefault="00E55106" w:rsidP="00C735A4">
      <w:pPr>
        <w:pStyle w:val="aa"/>
        <w:jc w:val="both"/>
        <w:rPr>
          <w:rtl/>
        </w:rPr>
      </w:pPr>
      <w:r>
        <w:rPr>
          <w:rStyle w:val="ac"/>
        </w:rPr>
        <w:footnoteRef/>
      </w:r>
      <w:r>
        <w:rPr>
          <w:rtl/>
        </w:rPr>
        <w:t xml:space="preserve"> </w:t>
      </w:r>
      <w:r>
        <w:rPr>
          <w:rFonts w:hint="cs"/>
          <w:rtl/>
        </w:rPr>
        <w:t>תשובת הפרלמנט של דנמרק באמצעות ה-</w:t>
      </w:r>
      <w:r>
        <w:rPr>
          <w:rFonts w:hint="cs"/>
        </w:rPr>
        <w:t>ECPRD</w:t>
      </w:r>
      <w:r>
        <w:rPr>
          <w:rFonts w:hint="cs"/>
          <w:rtl/>
        </w:rPr>
        <w:t xml:space="preserve"> לפנייה מספר 3079.</w:t>
      </w:r>
    </w:p>
  </w:footnote>
  <w:footnote w:id="253">
    <w:p w:rsidR="00E55106" w:rsidRPr="00227F34" w:rsidRDefault="00E55106" w:rsidP="00C735A4">
      <w:pPr>
        <w:pStyle w:val="aa"/>
        <w:bidi w:val="0"/>
        <w:rPr>
          <w:lang w:val="en-US"/>
        </w:rPr>
      </w:pPr>
      <w:r>
        <w:rPr>
          <w:rStyle w:val="ac"/>
        </w:rPr>
        <w:footnoteRef/>
      </w:r>
      <w:r>
        <w:rPr>
          <w:rtl/>
        </w:rPr>
        <w:t xml:space="preserve"> </w:t>
      </w:r>
      <w:r w:rsidRPr="00227F34">
        <w:rPr>
          <w:lang w:val="en-US"/>
        </w:rPr>
        <w:t>Rules regarding the voluntary registration of the occupations and financial interests of Members of the Danish Parliament</w:t>
      </w:r>
      <w:r>
        <w:rPr>
          <w:lang w:val="en-US"/>
        </w:rPr>
        <w:t xml:space="preserve"> (2015).</w:t>
      </w:r>
    </w:p>
  </w:footnote>
  <w:footnote w:id="254">
    <w:p w:rsidR="00E55106" w:rsidRPr="00452715" w:rsidRDefault="00E55106" w:rsidP="00C735A4">
      <w:pPr>
        <w:pStyle w:val="aa"/>
        <w:bidi w:val="0"/>
        <w:rPr>
          <w:lang w:val="en-US"/>
        </w:rPr>
      </w:pPr>
      <w:r>
        <w:rPr>
          <w:rStyle w:val="ac"/>
        </w:rPr>
        <w:footnoteRef/>
      </w:r>
      <w:r>
        <w:rPr>
          <w:rtl/>
        </w:rPr>
        <w:t xml:space="preserve"> </w:t>
      </w:r>
      <w:r>
        <w:rPr>
          <w:lang w:val="en-US"/>
        </w:rPr>
        <w:t>Ibid, Section 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A9AA0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82033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9368BB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4BC97D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30EB4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A7EE87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EC4F4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48FA8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25412B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F50DC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876C3"/>
    <w:multiLevelType w:val="hybridMultilevel"/>
    <w:tmpl w:val="C4EABB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3EF282B"/>
    <w:multiLevelType w:val="hybridMultilevel"/>
    <w:tmpl w:val="8940FC10"/>
    <w:lvl w:ilvl="0" w:tplc="04090005">
      <w:start w:val="1"/>
      <w:numFmt w:val="bullet"/>
      <w:lvlText w:val=""/>
      <w:lvlJc w:val="left"/>
      <w:pPr>
        <w:ind w:left="931" w:hanging="360"/>
      </w:pPr>
      <w:rPr>
        <w:rFonts w:ascii="Wingdings" w:hAnsi="Wingdings" w:hint="default"/>
      </w:rPr>
    </w:lvl>
    <w:lvl w:ilvl="1" w:tplc="04090003" w:tentative="1">
      <w:start w:val="1"/>
      <w:numFmt w:val="bullet"/>
      <w:lvlText w:val="o"/>
      <w:lvlJc w:val="left"/>
      <w:pPr>
        <w:ind w:left="1651" w:hanging="360"/>
      </w:pPr>
      <w:rPr>
        <w:rFonts w:ascii="Courier New" w:hAnsi="Courier New" w:cs="Courier New" w:hint="default"/>
      </w:rPr>
    </w:lvl>
    <w:lvl w:ilvl="2" w:tplc="04090005" w:tentative="1">
      <w:start w:val="1"/>
      <w:numFmt w:val="bullet"/>
      <w:lvlText w:val=""/>
      <w:lvlJc w:val="left"/>
      <w:pPr>
        <w:ind w:left="2371" w:hanging="360"/>
      </w:pPr>
      <w:rPr>
        <w:rFonts w:ascii="Wingdings" w:hAnsi="Wingdings" w:hint="default"/>
      </w:rPr>
    </w:lvl>
    <w:lvl w:ilvl="3" w:tplc="04090001" w:tentative="1">
      <w:start w:val="1"/>
      <w:numFmt w:val="bullet"/>
      <w:lvlText w:val=""/>
      <w:lvlJc w:val="left"/>
      <w:pPr>
        <w:ind w:left="3091" w:hanging="360"/>
      </w:pPr>
      <w:rPr>
        <w:rFonts w:ascii="Symbol" w:hAnsi="Symbol" w:hint="default"/>
      </w:rPr>
    </w:lvl>
    <w:lvl w:ilvl="4" w:tplc="04090003" w:tentative="1">
      <w:start w:val="1"/>
      <w:numFmt w:val="bullet"/>
      <w:lvlText w:val="o"/>
      <w:lvlJc w:val="left"/>
      <w:pPr>
        <w:ind w:left="3811" w:hanging="360"/>
      </w:pPr>
      <w:rPr>
        <w:rFonts w:ascii="Courier New" w:hAnsi="Courier New" w:cs="Courier New" w:hint="default"/>
      </w:rPr>
    </w:lvl>
    <w:lvl w:ilvl="5" w:tplc="04090005" w:tentative="1">
      <w:start w:val="1"/>
      <w:numFmt w:val="bullet"/>
      <w:lvlText w:val=""/>
      <w:lvlJc w:val="left"/>
      <w:pPr>
        <w:ind w:left="4531" w:hanging="360"/>
      </w:pPr>
      <w:rPr>
        <w:rFonts w:ascii="Wingdings" w:hAnsi="Wingdings" w:hint="default"/>
      </w:rPr>
    </w:lvl>
    <w:lvl w:ilvl="6" w:tplc="04090001" w:tentative="1">
      <w:start w:val="1"/>
      <w:numFmt w:val="bullet"/>
      <w:lvlText w:val=""/>
      <w:lvlJc w:val="left"/>
      <w:pPr>
        <w:ind w:left="5251" w:hanging="360"/>
      </w:pPr>
      <w:rPr>
        <w:rFonts w:ascii="Symbol" w:hAnsi="Symbol" w:hint="default"/>
      </w:rPr>
    </w:lvl>
    <w:lvl w:ilvl="7" w:tplc="04090003" w:tentative="1">
      <w:start w:val="1"/>
      <w:numFmt w:val="bullet"/>
      <w:lvlText w:val="o"/>
      <w:lvlJc w:val="left"/>
      <w:pPr>
        <w:ind w:left="5971" w:hanging="360"/>
      </w:pPr>
      <w:rPr>
        <w:rFonts w:ascii="Courier New" w:hAnsi="Courier New" w:cs="Courier New" w:hint="default"/>
      </w:rPr>
    </w:lvl>
    <w:lvl w:ilvl="8" w:tplc="04090005" w:tentative="1">
      <w:start w:val="1"/>
      <w:numFmt w:val="bullet"/>
      <w:lvlText w:val=""/>
      <w:lvlJc w:val="left"/>
      <w:pPr>
        <w:ind w:left="6691" w:hanging="360"/>
      </w:pPr>
      <w:rPr>
        <w:rFonts w:ascii="Wingdings" w:hAnsi="Wingdings" w:hint="default"/>
      </w:rPr>
    </w:lvl>
  </w:abstractNum>
  <w:abstractNum w:abstractNumId="12" w15:restartNumberingAfterBreak="0">
    <w:nsid w:val="08F67E96"/>
    <w:multiLevelType w:val="hybridMultilevel"/>
    <w:tmpl w:val="F2BE27A4"/>
    <w:lvl w:ilvl="0" w:tplc="0D62BB22">
      <w:start w:val="1"/>
      <w:numFmt w:val="bullet"/>
      <w:lvlText w:val=""/>
      <w:lvlJc w:val="left"/>
      <w:pPr>
        <w:ind w:left="720" w:hanging="360"/>
      </w:pPr>
      <w:rPr>
        <w:rFonts w:ascii="Wingdings" w:hAnsi="Wingdings" w:hint="default"/>
        <w:sz w:val="16"/>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8C6F8C"/>
    <w:multiLevelType w:val="hybridMultilevel"/>
    <w:tmpl w:val="7AB4DA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62179C"/>
    <w:multiLevelType w:val="hybridMultilevel"/>
    <w:tmpl w:val="74AE9146"/>
    <w:lvl w:ilvl="0" w:tplc="882A1C8E">
      <w:start w:val="1"/>
      <w:numFmt w:val="decimal"/>
      <w:pStyle w:val="a"/>
      <w:lvlText w:val="%1."/>
      <w:lvlJc w:val="left"/>
      <w:pPr>
        <w:tabs>
          <w:tab w:val="num" w:pos="720"/>
        </w:tabs>
        <w:ind w:left="720" w:right="720" w:hanging="360"/>
      </w:pPr>
    </w:lvl>
    <w:lvl w:ilvl="1" w:tplc="09208C30">
      <w:start w:val="1"/>
      <w:numFmt w:val="decimal"/>
      <w:lvlText w:val="(%2)"/>
      <w:lvlJc w:val="left"/>
      <w:pPr>
        <w:tabs>
          <w:tab w:val="num" w:pos="720"/>
        </w:tabs>
        <w:ind w:left="720" w:right="72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5" w15:restartNumberingAfterBreak="0">
    <w:nsid w:val="191E539A"/>
    <w:multiLevelType w:val="hybridMultilevel"/>
    <w:tmpl w:val="150E1F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E06DC0"/>
    <w:multiLevelType w:val="hybridMultilevel"/>
    <w:tmpl w:val="35CEA5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BE1230"/>
    <w:multiLevelType w:val="hybridMultilevel"/>
    <w:tmpl w:val="8594E5D2"/>
    <w:lvl w:ilvl="0" w:tplc="04090005">
      <w:start w:val="1"/>
      <w:numFmt w:val="bullet"/>
      <w:lvlText w:val=""/>
      <w:lvlJc w:val="left"/>
      <w:pPr>
        <w:ind w:left="720" w:hanging="360"/>
      </w:pPr>
      <w:rPr>
        <w:rFonts w:ascii="Wingdings" w:hAnsi="Wingdings" w:hint="default"/>
      </w:rPr>
    </w:lvl>
    <w:lvl w:ilvl="1" w:tplc="43E648F2">
      <w:start w:val="1"/>
      <w:numFmt w:val="bullet"/>
      <w:lvlText w:val="o"/>
      <w:lvlJc w:val="left"/>
      <w:pPr>
        <w:ind w:left="1440" w:hanging="360"/>
      </w:pPr>
      <w:rPr>
        <w:rFonts w:ascii="Courier New" w:hAnsi="Courier New" w:cs="Courier New" w:hint="default"/>
        <w:sz w:val="18"/>
        <w:szCs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C8014E"/>
    <w:multiLevelType w:val="hybridMultilevel"/>
    <w:tmpl w:val="23082A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A441B5"/>
    <w:multiLevelType w:val="hybridMultilevel"/>
    <w:tmpl w:val="1DF0E6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597D40"/>
    <w:multiLevelType w:val="multilevel"/>
    <w:tmpl w:val="9C364626"/>
    <w:lvl w:ilvl="0">
      <w:start w:val="1"/>
      <w:numFmt w:val="decimal"/>
      <w:pStyle w:val="1"/>
      <w:suff w:val="space"/>
      <w:lvlText w:val="%1."/>
      <w:lvlJc w:val="left"/>
      <w:pPr>
        <w:ind w:left="360" w:right="14" w:hanging="360"/>
      </w:pPr>
      <w:rPr>
        <w:rFonts w:hint="default"/>
      </w:rPr>
    </w:lvl>
    <w:lvl w:ilvl="1">
      <w:start w:val="1"/>
      <w:numFmt w:val="decimal"/>
      <w:pStyle w:val="11"/>
      <w:suff w:val="space"/>
      <w:lvlText w:val="%1.%2."/>
      <w:lvlJc w:val="left"/>
      <w:pPr>
        <w:ind w:left="357" w:right="11" w:hanging="357"/>
      </w:pPr>
      <w:rPr>
        <w:rFonts w:hint="default"/>
        <w:b/>
        <w:bCs/>
        <w:sz w:val="26"/>
        <w:szCs w:val="26"/>
        <w:lang w:bidi="he-IL"/>
      </w:rPr>
    </w:lvl>
    <w:lvl w:ilvl="2">
      <w:start w:val="1"/>
      <w:numFmt w:val="decimal"/>
      <w:pStyle w:val="111"/>
      <w:suff w:val="space"/>
      <w:lvlText w:val="%1.%2.%3."/>
      <w:lvlJc w:val="left"/>
      <w:pPr>
        <w:ind w:left="357" w:right="11" w:hanging="357"/>
      </w:pPr>
      <w:rPr>
        <w:rFonts w:hint="default"/>
        <w:b/>
        <w:bCs/>
        <w:sz w:val="24"/>
        <w:szCs w:val="24"/>
        <w:lang w:val="en-US"/>
      </w:rPr>
    </w:lvl>
    <w:lvl w:ilvl="3">
      <w:start w:val="1"/>
      <w:numFmt w:val="decimal"/>
      <w:pStyle w:val="1111"/>
      <w:lvlText w:val="%1.%2.%3.%4."/>
      <w:lvlJc w:val="left"/>
      <w:pPr>
        <w:tabs>
          <w:tab w:val="num" w:pos="2534"/>
        </w:tabs>
        <w:ind w:left="1382" w:right="1382" w:hanging="648"/>
      </w:pPr>
      <w:rPr>
        <w:rFonts w:hint="default"/>
      </w:rPr>
    </w:lvl>
    <w:lvl w:ilvl="4">
      <w:start w:val="1"/>
      <w:numFmt w:val="decimal"/>
      <w:lvlText w:val="%1.%2.%3.%4.%5."/>
      <w:lvlJc w:val="left"/>
      <w:pPr>
        <w:tabs>
          <w:tab w:val="num" w:pos="2174"/>
        </w:tabs>
        <w:ind w:left="1886" w:right="1886" w:hanging="792"/>
      </w:pPr>
      <w:rPr>
        <w:rFonts w:hint="default"/>
      </w:rPr>
    </w:lvl>
    <w:lvl w:ilvl="5">
      <w:start w:val="1"/>
      <w:numFmt w:val="decimal"/>
      <w:lvlText w:val="%1.%2.%3.%4.%5.%6."/>
      <w:lvlJc w:val="left"/>
      <w:pPr>
        <w:tabs>
          <w:tab w:val="num" w:pos="2534"/>
        </w:tabs>
        <w:ind w:left="2390" w:right="2390" w:hanging="936"/>
      </w:pPr>
      <w:rPr>
        <w:rFonts w:hint="default"/>
      </w:rPr>
    </w:lvl>
    <w:lvl w:ilvl="6">
      <w:start w:val="1"/>
      <w:numFmt w:val="decimal"/>
      <w:lvlText w:val="%1.%2.%3.%4.%5.%6.%7."/>
      <w:lvlJc w:val="left"/>
      <w:pPr>
        <w:tabs>
          <w:tab w:val="num" w:pos="3254"/>
        </w:tabs>
        <w:ind w:left="2894" w:right="2894" w:hanging="1080"/>
      </w:pPr>
      <w:rPr>
        <w:rFonts w:hint="default"/>
      </w:rPr>
    </w:lvl>
    <w:lvl w:ilvl="7">
      <w:start w:val="1"/>
      <w:numFmt w:val="decimal"/>
      <w:lvlText w:val="%1.%2.%3.%4.%5.%6.%7.%8."/>
      <w:lvlJc w:val="left"/>
      <w:pPr>
        <w:tabs>
          <w:tab w:val="num" w:pos="3614"/>
        </w:tabs>
        <w:ind w:left="3398" w:right="3398" w:hanging="1224"/>
      </w:pPr>
      <w:rPr>
        <w:rFonts w:hint="default"/>
      </w:rPr>
    </w:lvl>
    <w:lvl w:ilvl="8">
      <w:start w:val="1"/>
      <w:numFmt w:val="decimal"/>
      <w:lvlText w:val="%1.%2.%3.%4.%5.%6.%7.%8.%9."/>
      <w:lvlJc w:val="left"/>
      <w:pPr>
        <w:tabs>
          <w:tab w:val="num" w:pos="4334"/>
        </w:tabs>
        <w:ind w:left="3974" w:right="3974" w:hanging="1440"/>
      </w:pPr>
      <w:rPr>
        <w:rFonts w:hint="default"/>
      </w:rPr>
    </w:lvl>
  </w:abstractNum>
  <w:abstractNum w:abstractNumId="21" w15:restartNumberingAfterBreak="0">
    <w:nsid w:val="353D221B"/>
    <w:multiLevelType w:val="hybridMultilevel"/>
    <w:tmpl w:val="168A29D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9F255E"/>
    <w:multiLevelType w:val="hybridMultilevel"/>
    <w:tmpl w:val="697C19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282BB2"/>
    <w:multiLevelType w:val="hybridMultilevel"/>
    <w:tmpl w:val="0928B636"/>
    <w:lvl w:ilvl="0" w:tplc="DCC2C180">
      <w:start w:val="1"/>
      <w:numFmt w:val="decimal"/>
      <w:lvlText w:val="(%1)"/>
      <w:lvlJc w:val="left"/>
      <w:pPr>
        <w:ind w:left="720" w:hanging="360"/>
      </w:pPr>
      <w:rPr>
        <w:rFonts w:cs="David" w:hint="cs"/>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7C3DD6"/>
    <w:multiLevelType w:val="hybridMultilevel"/>
    <w:tmpl w:val="E0E68F9A"/>
    <w:lvl w:ilvl="0" w:tplc="04090005">
      <w:start w:val="1"/>
      <w:numFmt w:val="bullet"/>
      <w:lvlText w:val=""/>
      <w:lvlJc w:val="left"/>
      <w:pPr>
        <w:ind w:left="931" w:hanging="360"/>
      </w:pPr>
      <w:rPr>
        <w:rFonts w:ascii="Wingdings" w:hAnsi="Wingdings" w:hint="default"/>
      </w:rPr>
    </w:lvl>
    <w:lvl w:ilvl="1" w:tplc="04090003" w:tentative="1">
      <w:start w:val="1"/>
      <w:numFmt w:val="bullet"/>
      <w:lvlText w:val="o"/>
      <w:lvlJc w:val="left"/>
      <w:pPr>
        <w:ind w:left="1651" w:hanging="360"/>
      </w:pPr>
      <w:rPr>
        <w:rFonts w:ascii="Courier New" w:hAnsi="Courier New" w:cs="Courier New" w:hint="default"/>
      </w:rPr>
    </w:lvl>
    <w:lvl w:ilvl="2" w:tplc="04090005" w:tentative="1">
      <w:start w:val="1"/>
      <w:numFmt w:val="bullet"/>
      <w:lvlText w:val=""/>
      <w:lvlJc w:val="left"/>
      <w:pPr>
        <w:ind w:left="2371" w:hanging="360"/>
      </w:pPr>
      <w:rPr>
        <w:rFonts w:ascii="Wingdings" w:hAnsi="Wingdings" w:hint="default"/>
      </w:rPr>
    </w:lvl>
    <w:lvl w:ilvl="3" w:tplc="04090001" w:tentative="1">
      <w:start w:val="1"/>
      <w:numFmt w:val="bullet"/>
      <w:lvlText w:val=""/>
      <w:lvlJc w:val="left"/>
      <w:pPr>
        <w:ind w:left="3091" w:hanging="360"/>
      </w:pPr>
      <w:rPr>
        <w:rFonts w:ascii="Symbol" w:hAnsi="Symbol" w:hint="default"/>
      </w:rPr>
    </w:lvl>
    <w:lvl w:ilvl="4" w:tplc="04090003" w:tentative="1">
      <w:start w:val="1"/>
      <w:numFmt w:val="bullet"/>
      <w:lvlText w:val="o"/>
      <w:lvlJc w:val="left"/>
      <w:pPr>
        <w:ind w:left="3811" w:hanging="360"/>
      </w:pPr>
      <w:rPr>
        <w:rFonts w:ascii="Courier New" w:hAnsi="Courier New" w:cs="Courier New" w:hint="default"/>
      </w:rPr>
    </w:lvl>
    <w:lvl w:ilvl="5" w:tplc="04090005" w:tentative="1">
      <w:start w:val="1"/>
      <w:numFmt w:val="bullet"/>
      <w:lvlText w:val=""/>
      <w:lvlJc w:val="left"/>
      <w:pPr>
        <w:ind w:left="4531" w:hanging="360"/>
      </w:pPr>
      <w:rPr>
        <w:rFonts w:ascii="Wingdings" w:hAnsi="Wingdings" w:hint="default"/>
      </w:rPr>
    </w:lvl>
    <w:lvl w:ilvl="6" w:tplc="04090001" w:tentative="1">
      <w:start w:val="1"/>
      <w:numFmt w:val="bullet"/>
      <w:lvlText w:val=""/>
      <w:lvlJc w:val="left"/>
      <w:pPr>
        <w:ind w:left="5251" w:hanging="360"/>
      </w:pPr>
      <w:rPr>
        <w:rFonts w:ascii="Symbol" w:hAnsi="Symbol" w:hint="default"/>
      </w:rPr>
    </w:lvl>
    <w:lvl w:ilvl="7" w:tplc="04090003" w:tentative="1">
      <w:start w:val="1"/>
      <w:numFmt w:val="bullet"/>
      <w:lvlText w:val="o"/>
      <w:lvlJc w:val="left"/>
      <w:pPr>
        <w:ind w:left="5971" w:hanging="360"/>
      </w:pPr>
      <w:rPr>
        <w:rFonts w:ascii="Courier New" w:hAnsi="Courier New" w:cs="Courier New" w:hint="default"/>
      </w:rPr>
    </w:lvl>
    <w:lvl w:ilvl="8" w:tplc="04090005" w:tentative="1">
      <w:start w:val="1"/>
      <w:numFmt w:val="bullet"/>
      <w:lvlText w:val=""/>
      <w:lvlJc w:val="left"/>
      <w:pPr>
        <w:ind w:left="6691" w:hanging="360"/>
      </w:pPr>
      <w:rPr>
        <w:rFonts w:ascii="Wingdings" w:hAnsi="Wingdings" w:hint="default"/>
      </w:rPr>
    </w:lvl>
  </w:abstractNum>
  <w:abstractNum w:abstractNumId="25" w15:restartNumberingAfterBreak="0">
    <w:nsid w:val="4C6A4ED8"/>
    <w:multiLevelType w:val="hybridMultilevel"/>
    <w:tmpl w:val="F4CA7CE0"/>
    <w:lvl w:ilvl="0" w:tplc="04090005">
      <w:start w:val="1"/>
      <w:numFmt w:val="bullet"/>
      <w:lvlText w:val=""/>
      <w:lvlJc w:val="left"/>
      <w:pPr>
        <w:ind w:left="720" w:hanging="360"/>
      </w:pPr>
      <w:rPr>
        <w:rFonts w:ascii="Wingdings" w:hAnsi="Wingdings" w:hint="default"/>
      </w:rPr>
    </w:lvl>
    <w:lvl w:ilvl="1" w:tplc="C13CB6E6">
      <w:start w:val="1"/>
      <w:numFmt w:val="bullet"/>
      <w:lvlText w:val="o"/>
      <w:lvlJc w:val="left"/>
      <w:pPr>
        <w:ind w:left="1440" w:hanging="360"/>
      </w:pPr>
      <w:rPr>
        <w:rFonts w:ascii="Courier New" w:hAnsi="Courier New" w:cs="Courier New" w:hint="default"/>
        <w:sz w:val="18"/>
        <w:szCs w:val="20"/>
      </w:rPr>
    </w:lvl>
    <w:lvl w:ilvl="2" w:tplc="A2F08446">
      <w:start w:val="1"/>
      <w:numFmt w:val="bullet"/>
      <w:lvlText w:val=""/>
      <w:lvlJc w:val="left"/>
      <w:pPr>
        <w:ind w:left="2160" w:hanging="360"/>
      </w:pPr>
      <w:rPr>
        <w:rFonts w:ascii="Wingdings 2" w:hAnsi="Wingdings 2" w:hint="default"/>
        <w:b w:val="0"/>
        <w:bCs w:val="0"/>
        <w:i w:val="0"/>
        <w:iCs w:val="0"/>
        <w:sz w:val="24"/>
        <w:szCs w:val="24"/>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A5545B"/>
    <w:multiLevelType w:val="hybridMultilevel"/>
    <w:tmpl w:val="2F0658D2"/>
    <w:lvl w:ilvl="0" w:tplc="04090005">
      <w:start w:val="1"/>
      <w:numFmt w:val="bullet"/>
      <w:lvlText w:val=""/>
      <w:lvlJc w:val="left"/>
      <w:pPr>
        <w:ind w:left="720" w:hanging="360"/>
      </w:pPr>
      <w:rPr>
        <w:rFonts w:ascii="Wingdings" w:hAnsi="Wingdings" w:hint="default"/>
      </w:rPr>
    </w:lvl>
    <w:lvl w:ilvl="1" w:tplc="E8A4852A">
      <w:start w:val="1"/>
      <w:numFmt w:val="bullet"/>
      <w:lvlText w:val="o"/>
      <w:lvlJc w:val="left"/>
      <w:pPr>
        <w:ind w:left="1440" w:hanging="360"/>
      </w:pPr>
      <w:rPr>
        <w:rFonts w:ascii="Courier New" w:hAnsi="Courier New" w:cs="Courier New" w:hint="default"/>
        <w:sz w:val="18"/>
        <w:szCs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1F11C0C"/>
    <w:multiLevelType w:val="hybridMultilevel"/>
    <w:tmpl w:val="484631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35536E"/>
    <w:multiLevelType w:val="hybridMultilevel"/>
    <w:tmpl w:val="A74C95FA"/>
    <w:lvl w:ilvl="0" w:tplc="D04CAC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C0034F"/>
    <w:multiLevelType w:val="hybridMultilevel"/>
    <w:tmpl w:val="B3C8AF74"/>
    <w:lvl w:ilvl="0" w:tplc="9AEA877C">
      <w:start w:val="1"/>
      <w:numFmt w:val="decimal"/>
      <w:lvlText w:val="%1."/>
      <w:lvlJc w:val="left"/>
      <w:pPr>
        <w:ind w:left="720" w:hanging="360"/>
      </w:pPr>
      <w:rPr>
        <w:rFonts w:ascii="Times New Roman" w:hAnsi="Times New Roman" w:cs="David" w:hint="default"/>
        <w:b w:val="0"/>
        <w:bCs w:val="0"/>
        <w:i w:val="0"/>
        <w:iCs w:val="0"/>
        <w:sz w:val="22"/>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9F3796"/>
    <w:multiLevelType w:val="hybridMultilevel"/>
    <w:tmpl w:val="576AE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0"/>
  </w:num>
  <w:num w:numId="3">
    <w:abstractNumId w:val="20"/>
  </w:num>
  <w:num w:numId="4">
    <w:abstractNumId w:val="14"/>
  </w:num>
  <w:num w:numId="5">
    <w:abstractNumId w:val="15"/>
  </w:num>
  <w:num w:numId="6">
    <w:abstractNumId w:val="22"/>
  </w:num>
  <w:num w:numId="7">
    <w:abstractNumId w:val="23"/>
  </w:num>
  <w:num w:numId="8">
    <w:abstractNumId w:val="27"/>
  </w:num>
  <w:num w:numId="9">
    <w:abstractNumId w:val="19"/>
  </w:num>
  <w:num w:numId="10">
    <w:abstractNumId w:val="16"/>
  </w:num>
  <w:num w:numId="11">
    <w:abstractNumId w:val="17"/>
  </w:num>
  <w:num w:numId="12">
    <w:abstractNumId w:val="10"/>
  </w:num>
  <w:num w:numId="13">
    <w:abstractNumId w:val="25"/>
  </w:num>
  <w:num w:numId="14">
    <w:abstractNumId w:val="26"/>
  </w:num>
  <w:num w:numId="15">
    <w:abstractNumId w:val="24"/>
  </w:num>
  <w:num w:numId="16">
    <w:abstractNumId w:val="18"/>
  </w:num>
  <w:num w:numId="17">
    <w:abstractNumId w:val="21"/>
  </w:num>
  <w:num w:numId="18">
    <w:abstractNumId w:val="30"/>
  </w:num>
  <w:num w:numId="19">
    <w:abstractNumId w:val="29"/>
  </w:num>
  <w:num w:numId="20">
    <w:abstractNumId w:val="28"/>
  </w:num>
  <w:num w:numId="21">
    <w:abstractNumId w:val="13"/>
  </w:num>
  <w:num w:numId="22">
    <w:abstractNumId w:val="12"/>
  </w:num>
  <w:num w:numId="23">
    <w:abstractNumId w:val="20"/>
  </w:num>
  <w:num w:numId="24">
    <w:abstractNumId w:val="11"/>
  </w:num>
  <w:num w:numId="25">
    <w:abstractNumId w:val="8"/>
  </w:num>
  <w:num w:numId="26">
    <w:abstractNumId w:val="3"/>
  </w:num>
  <w:num w:numId="27">
    <w:abstractNumId w:val="2"/>
  </w:num>
  <w:num w:numId="28">
    <w:abstractNumId w:val="1"/>
  </w:num>
  <w:num w:numId="29">
    <w:abstractNumId w:val="0"/>
  </w:num>
  <w:num w:numId="30">
    <w:abstractNumId w:val="9"/>
  </w:num>
  <w:num w:numId="31">
    <w:abstractNumId w:val="7"/>
  </w:num>
  <w:num w:numId="32">
    <w:abstractNumId w:val="6"/>
  </w:num>
  <w:num w:numId="33">
    <w:abstractNumId w:val="5"/>
  </w:num>
  <w:num w:numId="34">
    <w:abstractNumId w:val="4"/>
  </w:num>
  <w:num w:numId="35">
    <w:abstractNumId w:val="20"/>
  </w:num>
  <w:num w:numId="36">
    <w:abstractNumId w:val="20"/>
  </w:num>
  <w:num w:numId="37">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hdrShapeDefaults>
    <o:shapedefaults v:ext="edit" spidmax="2049" fill="f" fillcolor="white" stroke="f">
      <v:fill color="white" on="f"/>
      <v:stroke on="f"/>
      <v:textbox inset=",,,1mm"/>
      <o:colormru v:ext="edit" colors="#eaeaea,#ddd,silver"/>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E1D"/>
    <w:rsid w:val="00000003"/>
    <w:rsid w:val="0000010E"/>
    <w:rsid w:val="00000927"/>
    <w:rsid w:val="000009E4"/>
    <w:rsid w:val="00000A09"/>
    <w:rsid w:val="00000A70"/>
    <w:rsid w:val="00000B18"/>
    <w:rsid w:val="00000D09"/>
    <w:rsid w:val="00000D77"/>
    <w:rsid w:val="00000E7C"/>
    <w:rsid w:val="00000EB4"/>
    <w:rsid w:val="00000F8F"/>
    <w:rsid w:val="000013A7"/>
    <w:rsid w:val="0000161A"/>
    <w:rsid w:val="0000165A"/>
    <w:rsid w:val="0000179E"/>
    <w:rsid w:val="00001BC1"/>
    <w:rsid w:val="00002005"/>
    <w:rsid w:val="000022B9"/>
    <w:rsid w:val="00002502"/>
    <w:rsid w:val="000027ED"/>
    <w:rsid w:val="000028CA"/>
    <w:rsid w:val="00002B96"/>
    <w:rsid w:val="00002D00"/>
    <w:rsid w:val="00002D6E"/>
    <w:rsid w:val="00002EA1"/>
    <w:rsid w:val="000031C9"/>
    <w:rsid w:val="00003619"/>
    <w:rsid w:val="000037C3"/>
    <w:rsid w:val="00003AB4"/>
    <w:rsid w:val="00004048"/>
    <w:rsid w:val="00004489"/>
    <w:rsid w:val="00004700"/>
    <w:rsid w:val="00004718"/>
    <w:rsid w:val="00004921"/>
    <w:rsid w:val="0000492D"/>
    <w:rsid w:val="00004BD4"/>
    <w:rsid w:val="00004CB5"/>
    <w:rsid w:val="00004DC0"/>
    <w:rsid w:val="00004F2D"/>
    <w:rsid w:val="00005127"/>
    <w:rsid w:val="000053F0"/>
    <w:rsid w:val="000055C2"/>
    <w:rsid w:val="000055C8"/>
    <w:rsid w:val="000056CA"/>
    <w:rsid w:val="000056D4"/>
    <w:rsid w:val="00005A3E"/>
    <w:rsid w:val="00005BAC"/>
    <w:rsid w:val="00005E65"/>
    <w:rsid w:val="00005F97"/>
    <w:rsid w:val="000060E6"/>
    <w:rsid w:val="00006321"/>
    <w:rsid w:val="00006632"/>
    <w:rsid w:val="000067A9"/>
    <w:rsid w:val="0000696F"/>
    <w:rsid w:val="0000697F"/>
    <w:rsid w:val="00006B8B"/>
    <w:rsid w:val="00006BF4"/>
    <w:rsid w:val="00006D3B"/>
    <w:rsid w:val="00006E45"/>
    <w:rsid w:val="00006E8C"/>
    <w:rsid w:val="0000745E"/>
    <w:rsid w:val="000075F8"/>
    <w:rsid w:val="000075FA"/>
    <w:rsid w:val="0000788C"/>
    <w:rsid w:val="000078D0"/>
    <w:rsid w:val="00007B83"/>
    <w:rsid w:val="00007C1A"/>
    <w:rsid w:val="00007CC3"/>
    <w:rsid w:val="00007D0E"/>
    <w:rsid w:val="00007DEE"/>
    <w:rsid w:val="00007E7D"/>
    <w:rsid w:val="00007EC9"/>
    <w:rsid w:val="00010106"/>
    <w:rsid w:val="0001014A"/>
    <w:rsid w:val="000103EE"/>
    <w:rsid w:val="00010637"/>
    <w:rsid w:val="000109D9"/>
    <w:rsid w:val="00010A08"/>
    <w:rsid w:val="00010A0F"/>
    <w:rsid w:val="00010E2B"/>
    <w:rsid w:val="00010EFA"/>
    <w:rsid w:val="00010FCF"/>
    <w:rsid w:val="00011043"/>
    <w:rsid w:val="0001156B"/>
    <w:rsid w:val="00011590"/>
    <w:rsid w:val="000116BE"/>
    <w:rsid w:val="000117A1"/>
    <w:rsid w:val="000119CF"/>
    <w:rsid w:val="00011BE1"/>
    <w:rsid w:val="00011C51"/>
    <w:rsid w:val="00011D6B"/>
    <w:rsid w:val="00012002"/>
    <w:rsid w:val="000120C1"/>
    <w:rsid w:val="00012131"/>
    <w:rsid w:val="00012892"/>
    <w:rsid w:val="00012B32"/>
    <w:rsid w:val="00012D6C"/>
    <w:rsid w:val="00012F2D"/>
    <w:rsid w:val="00012F33"/>
    <w:rsid w:val="00013095"/>
    <w:rsid w:val="000130BF"/>
    <w:rsid w:val="00013113"/>
    <w:rsid w:val="000133D4"/>
    <w:rsid w:val="00013621"/>
    <w:rsid w:val="000137A5"/>
    <w:rsid w:val="000137F4"/>
    <w:rsid w:val="00013944"/>
    <w:rsid w:val="00013A68"/>
    <w:rsid w:val="00013A75"/>
    <w:rsid w:val="00013B76"/>
    <w:rsid w:val="00013BA3"/>
    <w:rsid w:val="00013F38"/>
    <w:rsid w:val="00013F5C"/>
    <w:rsid w:val="0001443E"/>
    <w:rsid w:val="00014448"/>
    <w:rsid w:val="000148E8"/>
    <w:rsid w:val="000148ED"/>
    <w:rsid w:val="000149A1"/>
    <w:rsid w:val="00014EA2"/>
    <w:rsid w:val="00014ED2"/>
    <w:rsid w:val="00014F0E"/>
    <w:rsid w:val="00014F1F"/>
    <w:rsid w:val="00014F34"/>
    <w:rsid w:val="0001501D"/>
    <w:rsid w:val="0001511E"/>
    <w:rsid w:val="00015170"/>
    <w:rsid w:val="00015621"/>
    <w:rsid w:val="0001569E"/>
    <w:rsid w:val="000156C6"/>
    <w:rsid w:val="00015713"/>
    <w:rsid w:val="00015A0F"/>
    <w:rsid w:val="00015A73"/>
    <w:rsid w:val="00015B6F"/>
    <w:rsid w:val="00015BF5"/>
    <w:rsid w:val="00015DDD"/>
    <w:rsid w:val="00015EBA"/>
    <w:rsid w:val="000163FB"/>
    <w:rsid w:val="0001653D"/>
    <w:rsid w:val="000166EF"/>
    <w:rsid w:val="000167E4"/>
    <w:rsid w:val="00016A35"/>
    <w:rsid w:val="00016D57"/>
    <w:rsid w:val="00016E0D"/>
    <w:rsid w:val="00016E69"/>
    <w:rsid w:val="00016F70"/>
    <w:rsid w:val="0001713E"/>
    <w:rsid w:val="0001724A"/>
    <w:rsid w:val="00017523"/>
    <w:rsid w:val="000176EE"/>
    <w:rsid w:val="000178D7"/>
    <w:rsid w:val="00017B4D"/>
    <w:rsid w:val="00017B8C"/>
    <w:rsid w:val="00017BE4"/>
    <w:rsid w:val="00017CCB"/>
    <w:rsid w:val="00017FC7"/>
    <w:rsid w:val="0002024A"/>
    <w:rsid w:val="00020456"/>
    <w:rsid w:val="000204D4"/>
    <w:rsid w:val="000205F1"/>
    <w:rsid w:val="000206D1"/>
    <w:rsid w:val="0002090A"/>
    <w:rsid w:val="00020947"/>
    <w:rsid w:val="00020C50"/>
    <w:rsid w:val="00020EF4"/>
    <w:rsid w:val="00020F54"/>
    <w:rsid w:val="0002106D"/>
    <w:rsid w:val="00021182"/>
    <w:rsid w:val="000212D9"/>
    <w:rsid w:val="000213C7"/>
    <w:rsid w:val="00021541"/>
    <w:rsid w:val="00021821"/>
    <w:rsid w:val="00021B4B"/>
    <w:rsid w:val="00021C68"/>
    <w:rsid w:val="00021CF3"/>
    <w:rsid w:val="000223CF"/>
    <w:rsid w:val="00022BC1"/>
    <w:rsid w:val="00022C3D"/>
    <w:rsid w:val="00022C82"/>
    <w:rsid w:val="00023126"/>
    <w:rsid w:val="00023350"/>
    <w:rsid w:val="000234CC"/>
    <w:rsid w:val="000236BA"/>
    <w:rsid w:val="000236DF"/>
    <w:rsid w:val="0002383E"/>
    <w:rsid w:val="00023A3A"/>
    <w:rsid w:val="00023A88"/>
    <w:rsid w:val="00023F59"/>
    <w:rsid w:val="00024399"/>
    <w:rsid w:val="000243EC"/>
    <w:rsid w:val="0002443F"/>
    <w:rsid w:val="000244CA"/>
    <w:rsid w:val="0002462B"/>
    <w:rsid w:val="0002476F"/>
    <w:rsid w:val="00024A50"/>
    <w:rsid w:val="00024EAF"/>
    <w:rsid w:val="00024F19"/>
    <w:rsid w:val="000250B9"/>
    <w:rsid w:val="000252D6"/>
    <w:rsid w:val="000253D8"/>
    <w:rsid w:val="00025A14"/>
    <w:rsid w:val="00025B09"/>
    <w:rsid w:val="000260AE"/>
    <w:rsid w:val="0002628C"/>
    <w:rsid w:val="00026613"/>
    <w:rsid w:val="0002675C"/>
    <w:rsid w:val="00026892"/>
    <w:rsid w:val="00026AC8"/>
    <w:rsid w:val="00026B54"/>
    <w:rsid w:val="00026BCD"/>
    <w:rsid w:val="00026C11"/>
    <w:rsid w:val="00026C98"/>
    <w:rsid w:val="00026C99"/>
    <w:rsid w:val="00026D38"/>
    <w:rsid w:val="00027036"/>
    <w:rsid w:val="00027163"/>
    <w:rsid w:val="000275C5"/>
    <w:rsid w:val="00027705"/>
    <w:rsid w:val="000277EF"/>
    <w:rsid w:val="00027987"/>
    <w:rsid w:val="00027B5D"/>
    <w:rsid w:val="00027BC8"/>
    <w:rsid w:val="00027BF6"/>
    <w:rsid w:val="00027E34"/>
    <w:rsid w:val="00027EE2"/>
    <w:rsid w:val="000300AE"/>
    <w:rsid w:val="00030211"/>
    <w:rsid w:val="0003029A"/>
    <w:rsid w:val="000302E6"/>
    <w:rsid w:val="0003032F"/>
    <w:rsid w:val="00030394"/>
    <w:rsid w:val="00030931"/>
    <w:rsid w:val="00030A2E"/>
    <w:rsid w:val="00030C8E"/>
    <w:rsid w:val="00030F75"/>
    <w:rsid w:val="00030FEE"/>
    <w:rsid w:val="0003104D"/>
    <w:rsid w:val="000311B8"/>
    <w:rsid w:val="000311C7"/>
    <w:rsid w:val="000312E4"/>
    <w:rsid w:val="000318F8"/>
    <w:rsid w:val="000319C4"/>
    <w:rsid w:val="00031B00"/>
    <w:rsid w:val="00031B87"/>
    <w:rsid w:val="00031CF1"/>
    <w:rsid w:val="000320B0"/>
    <w:rsid w:val="000321B5"/>
    <w:rsid w:val="000321FA"/>
    <w:rsid w:val="00032243"/>
    <w:rsid w:val="00032483"/>
    <w:rsid w:val="000324DB"/>
    <w:rsid w:val="000325B7"/>
    <w:rsid w:val="00032864"/>
    <w:rsid w:val="000328C7"/>
    <w:rsid w:val="0003290E"/>
    <w:rsid w:val="00032CAF"/>
    <w:rsid w:val="00032D88"/>
    <w:rsid w:val="00032E52"/>
    <w:rsid w:val="00032F22"/>
    <w:rsid w:val="000334A1"/>
    <w:rsid w:val="00033632"/>
    <w:rsid w:val="00033778"/>
    <w:rsid w:val="0003394C"/>
    <w:rsid w:val="00033BF5"/>
    <w:rsid w:val="00033FB2"/>
    <w:rsid w:val="00034413"/>
    <w:rsid w:val="00034462"/>
    <w:rsid w:val="000344CF"/>
    <w:rsid w:val="00034572"/>
    <w:rsid w:val="00034971"/>
    <w:rsid w:val="00034E78"/>
    <w:rsid w:val="00034ECB"/>
    <w:rsid w:val="000351DC"/>
    <w:rsid w:val="0003521E"/>
    <w:rsid w:val="00035241"/>
    <w:rsid w:val="00035260"/>
    <w:rsid w:val="00035276"/>
    <w:rsid w:val="000356AE"/>
    <w:rsid w:val="00035A40"/>
    <w:rsid w:val="00035A5A"/>
    <w:rsid w:val="00035DBA"/>
    <w:rsid w:val="00035FAD"/>
    <w:rsid w:val="00036076"/>
    <w:rsid w:val="00036080"/>
    <w:rsid w:val="000364CB"/>
    <w:rsid w:val="00036529"/>
    <w:rsid w:val="000366DC"/>
    <w:rsid w:val="00036969"/>
    <w:rsid w:val="0003722F"/>
    <w:rsid w:val="0003732C"/>
    <w:rsid w:val="00037668"/>
    <w:rsid w:val="00037B17"/>
    <w:rsid w:val="00037C50"/>
    <w:rsid w:val="00037E03"/>
    <w:rsid w:val="00037FFA"/>
    <w:rsid w:val="00040121"/>
    <w:rsid w:val="000401DE"/>
    <w:rsid w:val="000403B3"/>
    <w:rsid w:val="00040C31"/>
    <w:rsid w:val="00040D5B"/>
    <w:rsid w:val="00040D65"/>
    <w:rsid w:val="00040F36"/>
    <w:rsid w:val="000412BF"/>
    <w:rsid w:val="00041303"/>
    <w:rsid w:val="00041440"/>
    <w:rsid w:val="00041950"/>
    <w:rsid w:val="00041BA5"/>
    <w:rsid w:val="00041D3D"/>
    <w:rsid w:val="00041D99"/>
    <w:rsid w:val="00041E79"/>
    <w:rsid w:val="00041FF7"/>
    <w:rsid w:val="000427DA"/>
    <w:rsid w:val="00042989"/>
    <w:rsid w:val="00042BA6"/>
    <w:rsid w:val="00042BF0"/>
    <w:rsid w:val="00042D0E"/>
    <w:rsid w:val="00042F61"/>
    <w:rsid w:val="00042F78"/>
    <w:rsid w:val="000431E1"/>
    <w:rsid w:val="00043232"/>
    <w:rsid w:val="000437B2"/>
    <w:rsid w:val="00043824"/>
    <w:rsid w:val="00043C8A"/>
    <w:rsid w:val="00044561"/>
    <w:rsid w:val="000445B9"/>
    <w:rsid w:val="0004462C"/>
    <w:rsid w:val="000447A9"/>
    <w:rsid w:val="000449B2"/>
    <w:rsid w:val="00044E2F"/>
    <w:rsid w:val="0004502F"/>
    <w:rsid w:val="00045191"/>
    <w:rsid w:val="000455F3"/>
    <w:rsid w:val="000457BF"/>
    <w:rsid w:val="00045901"/>
    <w:rsid w:val="00045D3B"/>
    <w:rsid w:val="00045F1F"/>
    <w:rsid w:val="0004650C"/>
    <w:rsid w:val="000465F8"/>
    <w:rsid w:val="00046687"/>
    <w:rsid w:val="0004685A"/>
    <w:rsid w:val="00046A09"/>
    <w:rsid w:val="0004702D"/>
    <w:rsid w:val="00047145"/>
    <w:rsid w:val="00047245"/>
    <w:rsid w:val="00047261"/>
    <w:rsid w:val="00047342"/>
    <w:rsid w:val="000474B3"/>
    <w:rsid w:val="00047575"/>
    <w:rsid w:val="00047838"/>
    <w:rsid w:val="00047B09"/>
    <w:rsid w:val="00047B89"/>
    <w:rsid w:val="00047C47"/>
    <w:rsid w:val="00050103"/>
    <w:rsid w:val="00050237"/>
    <w:rsid w:val="0005043A"/>
    <w:rsid w:val="0005077C"/>
    <w:rsid w:val="00050992"/>
    <w:rsid w:val="000509ED"/>
    <w:rsid w:val="00050C63"/>
    <w:rsid w:val="00050F8E"/>
    <w:rsid w:val="00051042"/>
    <w:rsid w:val="000510BC"/>
    <w:rsid w:val="0005144F"/>
    <w:rsid w:val="000516A8"/>
    <w:rsid w:val="000516B0"/>
    <w:rsid w:val="00051751"/>
    <w:rsid w:val="000521E4"/>
    <w:rsid w:val="000521FA"/>
    <w:rsid w:val="00052248"/>
    <w:rsid w:val="0005228C"/>
    <w:rsid w:val="00052605"/>
    <w:rsid w:val="0005281E"/>
    <w:rsid w:val="000528B6"/>
    <w:rsid w:val="00052A7B"/>
    <w:rsid w:val="00052D9D"/>
    <w:rsid w:val="00052F52"/>
    <w:rsid w:val="000531DE"/>
    <w:rsid w:val="00053270"/>
    <w:rsid w:val="000534AB"/>
    <w:rsid w:val="00053819"/>
    <w:rsid w:val="00053A6C"/>
    <w:rsid w:val="00053C1A"/>
    <w:rsid w:val="00053C79"/>
    <w:rsid w:val="00054195"/>
    <w:rsid w:val="000542F8"/>
    <w:rsid w:val="00054470"/>
    <w:rsid w:val="000545D9"/>
    <w:rsid w:val="00054A57"/>
    <w:rsid w:val="00054B12"/>
    <w:rsid w:val="00054B67"/>
    <w:rsid w:val="00054C23"/>
    <w:rsid w:val="00055337"/>
    <w:rsid w:val="0005535B"/>
    <w:rsid w:val="00055568"/>
    <w:rsid w:val="0005576F"/>
    <w:rsid w:val="00055BBF"/>
    <w:rsid w:val="00055BF9"/>
    <w:rsid w:val="00055CC3"/>
    <w:rsid w:val="00055FE7"/>
    <w:rsid w:val="0005614B"/>
    <w:rsid w:val="00056346"/>
    <w:rsid w:val="00056503"/>
    <w:rsid w:val="00056596"/>
    <w:rsid w:val="0005685A"/>
    <w:rsid w:val="00056A84"/>
    <w:rsid w:val="00056AD5"/>
    <w:rsid w:val="00056B07"/>
    <w:rsid w:val="00056E16"/>
    <w:rsid w:val="00056E29"/>
    <w:rsid w:val="00057008"/>
    <w:rsid w:val="000574CD"/>
    <w:rsid w:val="000575E9"/>
    <w:rsid w:val="00057681"/>
    <w:rsid w:val="00057C6E"/>
    <w:rsid w:val="00057E47"/>
    <w:rsid w:val="00057EAB"/>
    <w:rsid w:val="00060295"/>
    <w:rsid w:val="000602BB"/>
    <w:rsid w:val="000603D9"/>
    <w:rsid w:val="00060A17"/>
    <w:rsid w:val="00060E42"/>
    <w:rsid w:val="00061326"/>
    <w:rsid w:val="0006134A"/>
    <w:rsid w:val="00061463"/>
    <w:rsid w:val="000615C9"/>
    <w:rsid w:val="000617BA"/>
    <w:rsid w:val="00061893"/>
    <w:rsid w:val="00061AA9"/>
    <w:rsid w:val="00061C5E"/>
    <w:rsid w:val="00062184"/>
    <w:rsid w:val="000625B5"/>
    <w:rsid w:val="0006266F"/>
    <w:rsid w:val="000626DB"/>
    <w:rsid w:val="000627B9"/>
    <w:rsid w:val="000628E6"/>
    <w:rsid w:val="00062999"/>
    <w:rsid w:val="00062A4F"/>
    <w:rsid w:val="00062B0B"/>
    <w:rsid w:val="00062EA0"/>
    <w:rsid w:val="00062EC0"/>
    <w:rsid w:val="000631B4"/>
    <w:rsid w:val="00063304"/>
    <w:rsid w:val="0006334F"/>
    <w:rsid w:val="000634DE"/>
    <w:rsid w:val="0006358D"/>
    <w:rsid w:val="00063932"/>
    <w:rsid w:val="00063B11"/>
    <w:rsid w:val="00063B1C"/>
    <w:rsid w:val="00063B41"/>
    <w:rsid w:val="00063C7E"/>
    <w:rsid w:val="00063CF9"/>
    <w:rsid w:val="00063EB0"/>
    <w:rsid w:val="00064128"/>
    <w:rsid w:val="00064779"/>
    <w:rsid w:val="000647C2"/>
    <w:rsid w:val="00064B6F"/>
    <w:rsid w:val="000651A8"/>
    <w:rsid w:val="0006522D"/>
    <w:rsid w:val="00065471"/>
    <w:rsid w:val="00065492"/>
    <w:rsid w:val="00065521"/>
    <w:rsid w:val="00065A1D"/>
    <w:rsid w:val="00065B60"/>
    <w:rsid w:val="00065C38"/>
    <w:rsid w:val="0006637D"/>
    <w:rsid w:val="00066483"/>
    <w:rsid w:val="0006662E"/>
    <w:rsid w:val="0006679B"/>
    <w:rsid w:val="0006680E"/>
    <w:rsid w:val="00066876"/>
    <w:rsid w:val="00066AB3"/>
    <w:rsid w:val="00066B7E"/>
    <w:rsid w:val="00066D3E"/>
    <w:rsid w:val="00066EA1"/>
    <w:rsid w:val="00066F0E"/>
    <w:rsid w:val="00066F2F"/>
    <w:rsid w:val="00066F4A"/>
    <w:rsid w:val="00067195"/>
    <w:rsid w:val="0006763A"/>
    <w:rsid w:val="000676DA"/>
    <w:rsid w:val="000677B7"/>
    <w:rsid w:val="00067A10"/>
    <w:rsid w:val="00067EEB"/>
    <w:rsid w:val="0007073F"/>
    <w:rsid w:val="00070D77"/>
    <w:rsid w:val="00070E6D"/>
    <w:rsid w:val="00070F67"/>
    <w:rsid w:val="00071055"/>
    <w:rsid w:val="000712EF"/>
    <w:rsid w:val="0007142C"/>
    <w:rsid w:val="00071463"/>
    <w:rsid w:val="000714B9"/>
    <w:rsid w:val="00071699"/>
    <w:rsid w:val="00071722"/>
    <w:rsid w:val="00071B05"/>
    <w:rsid w:val="00071BB3"/>
    <w:rsid w:val="00071DE8"/>
    <w:rsid w:val="00071EF1"/>
    <w:rsid w:val="00072000"/>
    <w:rsid w:val="00072114"/>
    <w:rsid w:val="00072379"/>
    <w:rsid w:val="0007238F"/>
    <w:rsid w:val="0007249A"/>
    <w:rsid w:val="000727E2"/>
    <w:rsid w:val="00072B7C"/>
    <w:rsid w:val="00072BF0"/>
    <w:rsid w:val="00073054"/>
    <w:rsid w:val="00073080"/>
    <w:rsid w:val="000731F9"/>
    <w:rsid w:val="00073351"/>
    <w:rsid w:val="0007335B"/>
    <w:rsid w:val="00073447"/>
    <w:rsid w:val="0007344C"/>
    <w:rsid w:val="0007372C"/>
    <w:rsid w:val="00073DBF"/>
    <w:rsid w:val="00074042"/>
    <w:rsid w:val="00074092"/>
    <w:rsid w:val="00074186"/>
    <w:rsid w:val="00074258"/>
    <w:rsid w:val="000742A3"/>
    <w:rsid w:val="00074470"/>
    <w:rsid w:val="0007452A"/>
    <w:rsid w:val="0007472C"/>
    <w:rsid w:val="0007495B"/>
    <w:rsid w:val="00074B71"/>
    <w:rsid w:val="00074BC4"/>
    <w:rsid w:val="00074E3F"/>
    <w:rsid w:val="00074EB9"/>
    <w:rsid w:val="00074F2D"/>
    <w:rsid w:val="00074F82"/>
    <w:rsid w:val="0007518E"/>
    <w:rsid w:val="000751ED"/>
    <w:rsid w:val="00075439"/>
    <w:rsid w:val="00075661"/>
    <w:rsid w:val="000756E4"/>
    <w:rsid w:val="000756F9"/>
    <w:rsid w:val="0007574A"/>
    <w:rsid w:val="0007582E"/>
    <w:rsid w:val="00075946"/>
    <w:rsid w:val="000759BA"/>
    <w:rsid w:val="00075D4A"/>
    <w:rsid w:val="00075FEA"/>
    <w:rsid w:val="000761F5"/>
    <w:rsid w:val="000764EA"/>
    <w:rsid w:val="00076592"/>
    <w:rsid w:val="00076798"/>
    <w:rsid w:val="00076900"/>
    <w:rsid w:val="00076B22"/>
    <w:rsid w:val="00076B47"/>
    <w:rsid w:val="00076FD4"/>
    <w:rsid w:val="00077109"/>
    <w:rsid w:val="00077434"/>
    <w:rsid w:val="00077504"/>
    <w:rsid w:val="000777DF"/>
    <w:rsid w:val="000778AD"/>
    <w:rsid w:val="00077BAB"/>
    <w:rsid w:val="00077D57"/>
    <w:rsid w:val="00077D5E"/>
    <w:rsid w:val="00077EBD"/>
    <w:rsid w:val="000800A6"/>
    <w:rsid w:val="000801C0"/>
    <w:rsid w:val="00080362"/>
    <w:rsid w:val="000804EB"/>
    <w:rsid w:val="00080785"/>
    <w:rsid w:val="00080B96"/>
    <w:rsid w:val="00080CC3"/>
    <w:rsid w:val="00080D3B"/>
    <w:rsid w:val="00080E38"/>
    <w:rsid w:val="00080FCA"/>
    <w:rsid w:val="0008100B"/>
    <w:rsid w:val="000811B9"/>
    <w:rsid w:val="000811CD"/>
    <w:rsid w:val="00081316"/>
    <w:rsid w:val="0008134B"/>
    <w:rsid w:val="0008184C"/>
    <w:rsid w:val="0008191E"/>
    <w:rsid w:val="00081D09"/>
    <w:rsid w:val="00081F4D"/>
    <w:rsid w:val="00081F90"/>
    <w:rsid w:val="000821BC"/>
    <w:rsid w:val="000821DE"/>
    <w:rsid w:val="0008228F"/>
    <w:rsid w:val="000823E6"/>
    <w:rsid w:val="000827E8"/>
    <w:rsid w:val="00082814"/>
    <w:rsid w:val="00082A2B"/>
    <w:rsid w:val="00082A98"/>
    <w:rsid w:val="00082ADA"/>
    <w:rsid w:val="00082BFA"/>
    <w:rsid w:val="00082D31"/>
    <w:rsid w:val="00082E3A"/>
    <w:rsid w:val="00082EB6"/>
    <w:rsid w:val="00082FB3"/>
    <w:rsid w:val="00083077"/>
    <w:rsid w:val="000832D6"/>
    <w:rsid w:val="000834F3"/>
    <w:rsid w:val="000836A3"/>
    <w:rsid w:val="0008370F"/>
    <w:rsid w:val="00083879"/>
    <w:rsid w:val="00083B5E"/>
    <w:rsid w:val="00083F91"/>
    <w:rsid w:val="00083FB6"/>
    <w:rsid w:val="0008405C"/>
    <w:rsid w:val="000840CC"/>
    <w:rsid w:val="00084268"/>
    <w:rsid w:val="0008448E"/>
    <w:rsid w:val="00084593"/>
    <w:rsid w:val="000845D1"/>
    <w:rsid w:val="00084A16"/>
    <w:rsid w:val="00084A58"/>
    <w:rsid w:val="00084D52"/>
    <w:rsid w:val="00084E35"/>
    <w:rsid w:val="00084EF1"/>
    <w:rsid w:val="00085145"/>
    <w:rsid w:val="00085607"/>
    <w:rsid w:val="000856A4"/>
    <w:rsid w:val="000858CE"/>
    <w:rsid w:val="00085954"/>
    <w:rsid w:val="00085A7A"/>
    <w:rsid w:val="00085BE6"/>
    <w:rsid w:val="00085CCB"/>
    <w:rsid w:val="00085D17"/>
    <w:rsid w:val="00085FFA"/>
    <w:rsid w:val="000860BB"/>
    <w:rsid w:val="00086236"/>
    <w:rsid w:val="00086401"/>
    <w:rsid w:val="00086454"/>
    <w:rsid w:val="000866EB"/>
    <w:rsid w:val="000867A1"/>
    <w:rsid w:val="0008689C"/>
    <w:rsid w:val="00086CED"/>
    <w:rsid w:val="000870CB"/>
    <w:rsid w:val="0008717A"/>
    <w:rsid w:val="0008727E"/>
    <w:rsid w:val="00087433"/>
    <w:rsid w:val="0008745F"/>
    <w:rsid w:val="00087618"/>
    <w:rsid w:val="000876B7"/>
    <w:rsid w:val="0008773F"/>
    <w:rsid w:val="00087887"/>
    <w:rsid w:val="00087CBD"/>
    <w:rsid w:val="00087CE7"/>
    <w:rsid w:val="00087D5A"/>
    <w:rsid w:val="00087FAD"/>
    <w:rsid w:val="0009013A"/>
    <w:rsid w:val="000901D0"/>
    <w:rsid w:val="0009026B"/>
    <w:rsid w:val="0009066B"/>
    <w:rsid w:val="000911DB"/>
    <w:rsid w:val="000915E2"/>
    <w:rsid w:val="000917F1"/>
    <w:rsid w:val="0009195D"/>
    <w:rsid w:val="00091D3C"/>
    <w:rsid w:val="000920E5"/>
    <w:rsid w:val="0009236A"/>
    <w:rsid w:val="0009255A"/>
    <w:rsid w:val="000926C0"/>
    <w:rsid w:val="0009284D"/>
    <w:rsid w:val="00092854"/>
    <w:rsid w:val="000928EE"/>
    <w:rsid w:val="00092C0C"/>
    <w:rsid w:val="00092C3A"/>
    <w:rsid w:val="00092E13"/>
    <w:rsid w:val="00092EDA"/>
    <w:rsid w:val="00092FD0"/>
    <w:rsid w:val="00093141"/>
    <w:rsid w:val="00093301"/>
    <w:rsid w:val="0009330C"/>
    <w:rsid w:val="000933DB"/>
    <w:rsid w:val="000933DE"/>
    <w:rsid w:val="00093503"/>
    <w:rsid w:val="0009363D"/>
    <w:rsid w:val="0009366C"/>
    <w:rsid w:val="00093670"/>
    <w:rsid w:val="000936E7"/>
    <w:rsid w:val="00093812"/>
    <w:rsid w:val="00093921"/>
    <w:rsid w:val="00093AA3"/>
    <w:rsid w:val="00093ABB"/>
    <w:rsid w:val="00093C3B"/>
    <w:rsid w:val="00094163"/>
    <w:rsid w:val="000943BD"/>
    <w:rsid w:val="00094405"/>
    <w:rsid w:val="00094493"/>
    <w:rsid w:val="000944BD"/>
    <w:rsid w:val="0009459A"/>
    <w:rsid w:val="000945E8"/>
    <w:rsid w:val="00094895"/>
    <w:rsid w:val="00094942"/>
    <w:rsid w:val="00094962"/>
    <w:rsid w:val="00094B2F"/>
    <w:rsid w:val="00094B7D"/>
    <w:rsid w:val="00094BA0"/>
    <w:rsid w:val="00094CC6"/>
    <w:rsid w:val="00094E53"/>
    <w:rsid w:val="000950DC"/>
    <w:rsid w:val="000950DE"/>
    <w:rsid w:val="000952E8"/>
    <w:rsid w:val="0009551C"/>
    <w:rsid w:val="00095675"/>
    <w:rsid w:val="00095774"/>
    <w:rsid w:val="00095A03"/>
    <w:rsid w:val="00095AFE"/>
    <w:rsid w:val="00095C2D"/>
    <w:rsid w:val="00095C36"/>
    <w:rsid w:val="00095E42"/>
    <w:rsid w:val="00096026"/>
    <w:rsid w:val="000960E3"/>
    <w:rsid w:val="0009612E"/>
    <w:rsid w:val="000961EF"/>
    <w:rsid w:val="000962D4"/>
    <w:rsid w:val="00096931"/>
    <w:rsid w:val="00096BCD"/>
    <w:rsid w:val="00096C35"/>
    <w:rsid w:val="00096CE5"/>
    <w:rsid w:val="00096D24"/>
    <w:rsid w:val="00096D78"/>
    <w:rsid w:val="00096FC3"/>
    <w:rsid w:val="000971CB"/>
    <w:rsid w:val="000972BE"/>
    <w:rsid w:val="00097332"/>
    <w:rsid w:val="00097525"/>
    <w:rsid w:val="00097546"/>
    <w:rsid w:val="00097585"/>
    <w:rsid w:val="0009778E"/>
    <w:rsid w:val="000977DB"/>
    <w:rsid w:val="00097888"/>
    <w:rsid w:val="00097890"/>
    <w:rsid w:val="0009789C"/>
    <w:rsid w:val="000978A5"/>
    <w:rsid w:val="000979CA"/>
    <w:rsid w:val="000A00B0"/>
    <w:rsid w:val="000A046E"/>
    <w:rsid w:val="000A051E"/>
    <w:rsid w:val="000A0B3F"/>
    <w:rsid w:val="000A0B82"/>
    <w:rsid w:val="000A0C03"/>
    <w:rsid w:val="000A0D63"/>
    <w:rsid w:val="000A0FC6"/>
    <w:rsid w:val="000A13D8"/>
    <w:rsid w:val="000A1558"/>
    <w:rsid w:val="000A171D"/>
    <w:rsid w:val="000A1B0F"/>
    <w:rsid w:val="000A1D80"/>
    <w:rsid w:val="000A1EFF"/>
    <w:rsid w:val="000A1FE4"/>
    <w:rsid w:val="000A226C"/>
    <w:rsid w:val="000A25B2"/>
    <w:rsid w:val="000A2A63"/>
    <w:rsid w:val="000A2DC9"/>
    <w:rsid w:val="000A3464"/>
    <w:rsid w:val="000A3596"/>
    <w:rsid w:val="000A379A"/>
    <w:rsid w:val="000A397A"/>
    <w:rsid w:val="000A3D3C"/>
    <w:rsid w:val="000A3D53"/>
    <w:rsid w:val="000A3D94"/>
    <w:rsid w:val="000A3DCD"/>
    <w:rsid w:val="000A3EBD"/>
    <w:rsid w:val="000A427E"/>
    <w:rsid w:val="000A447B"/>
    <w:rsid w:val="000A45B3"/>
    <w:rsid w:val="000A460B"/>
    <w:rsid w:val="000A48FF"/>
    <w:rsid w:val="000A4C95"/>
    <w:rsid w:val="000A4D8E"/>
    <w:rsid w:val="000A4D93"/>
    <w:rsid w:val="000A4E59"/>
    <w:rsid w:val="000A4E6C"/>
    <w:rsid w:val="000A4F2F"/>
    <w:rsid w:val="000A4F4F"/>
    <w:rsid w:val="000A50B2"/>
    <w:rsid w:val="000A5107"/>
    <w:rsid w:val="000A51C9"/>
    <w:rsid w:val="000A520C"/>
    <w:rsid w:val="000A55BF"/>
    <w:rsid w:val="000A57B3"/>
    <w:rsid w:val="000A580D"/>
    <w:rsid w:val="000A585F"/>
    <w:rsid w:val="000A5A3E"/>
    <w:rsid w:val="000A5BC0"/>
    <w:rsid w:val="000A5EFB"/>
    <w:rsid w:val="000A61DF"/>
    <w:rsid w:val="000A6282"/>
    <w:rsid w:val="000A630C"/>
    <w:rsid w:val="000A6473"/>
    <w:rsid w:val="000A649F"/>
    <w:rsid w:val="000A64BE"/>
    <w:rsid w:val="000A652C"/>
    <w:rsid w:val="000A67D6"/>
    <w:rsid w:val="000A6840"/>
    <w:rsid w:val="000A68EB"/>
    <w:rsid w:val="000A692A"/>
    <w:rsid w:val="000A6A44"/>
    <w:rsid w:val="000A6C48"/>
    <w:rsid w:val="000A6C55"/>
    <w:rsid w:val="000A6E24"/>
    <w:rsid w:val="000A6E66"/>
    <w:rsid w:val="000A7149"/>
    <w:rsid w:val="000A724D"/>
    <w:rsid w:val="000A739C"/>
    <w:rsid w:val="000A73D0"/>
    <w:rsid w:val="000A742A"/>
    <w:rsid w:val="000A755B"/>
    <w:rsid w:val="000A765B"/>
    <w:rsid w:val="000A7687"/>
    <w:rsid w:val="000A7819"/>
    <w:rsid w:val="000A796C"/>
    <w:rsid w:val="000A7988"/>
    <w:rsid w:val="000A7D68"/>
    <w:rsid w:val="000B0036"/>
    <w:rsid w:val="000B00DF"/>
    <w:rsid w:val="000B0184"/>
    <w:rsid w:val="000B02C1"/>
    <w:rsid w:val="000B0433"/>
    <w:rsid w:val="000B07E2"/>
    <w:rsid w:val="000B08F4"/>
    <w:rsid w:val="000B0928"/>
    <w:rsid w:val="000B106E"/>
    <w:rsid w:val="000B1253"/>
    <w:rsid w:val="000B1364"/>
    <w:rsid w:val="000B1408"/>
    <w:rsid w:val="000B142C"/>
    <w:rsid w:val="000B147B"/>
    <w:rsid w:val="000B14EC"/>
    <w:rsid w:val="000B159C"/>
    <w:rsid w:val="000B15AD"/>
    <w:rsid w:val="000B17DC"/>
    <w:rsid w:val="000B194B"/>
    <w:rsid w:val="000B1954"/>
    <w:rsid w:val="000B1D5D"/>
    <w:rsid w:val="000B1EE7"/>
    <w:rsid w:val="000B1EED"/>
    <w:rsid w:val="000B2054"/>
    <w:rsid w:val="000B2328"/>
    <w:rsid w:val="000B234B"/>
    <w:rsid w:val="000B2506"/>
    <w:rsid w:val="000B2703"/>
    <w:rsid w:val="000B296E"/>
    <w:rsid w:val="000B2C19"/>
    <w:rsid w:val="000B2CCD"/>
    <w:rsid w:val="000B2FDD"/>
    <w:rsid w:val="000B3354"/>
    <w:rsid w:val="000B33E9"/>
    <w:rsid w:val="000B3482"/>
    <w:rsid w:val="000B361E"/>
    <w:rsid w:val="000B3886"/>
    <w:rsid w:val="000B38D6"/>
    <w:rsid w:val="000B393A"/>
    <w:rsid w:val="000B39FA"/>
    <w:rsid w:val="000B3D2C"/>
    <w:rsid w:val="000B3F06"/>
    <w:rsid w:val="000B3F23"/>
    <w:rsid w:val="000B3FE7"/>
    <w:rsid w:val="000B41AD"/>
    <w:rsid w:val="000B41D7"/>
    <w:rsid w:val="000B41F7"/>
    <w:rsid w:val="000B445B"/>
    <w:rsid w:val="000B4952"/>
    <w:rsid w:val="000B4B8A"/>
    <w:rsid w:val="000B4C8E"/>
    <w:rsid w:val="000B4CFA"/>
    <w:rsid w:val="000B4EB2"/>
    <w:rsid w:val="000B4EE0"/>
    <w:rsid w:val="000B4F1B"/>
    <w:rsid w:val="000B5044"/>
    <w:rsid w:val="000B5069"/>
    <w:rsid w:val="000B516B"/>
    <w:rsid w:val="000B544F"/>
    <w:rsid w:val="000B5662"/>
    <w:rsid w:val="000B590E"/>
    <w:rsid w:val="000B59D5"/>
    <w:rsid w:val="000B59F5"/>
    <w:rsid w:val="000B5AA6"/>
    <w:rsid w:val="000B5AE8"/>
    <w:rsid w:val="000B5BE7"/>
    <w:rsid w:val="000B5CDC"/>
    <w:rsid w:val="000B60E3"/>
    <w:rsid w:val="000B6250"/>
    <w:rsid w:val="000B628C"/>
    <w:rsid w:val="000B6336"/>
    <w:rsid w:val="000B6382"/>
    <w:rsid w:val="000B6594"/>
    <w:rsid w:val="000B6723"/>
    <w:rsid w:val="000B67DC"/>
    <w:rsid w:val="000B6947"/>
    <w:rsid w:val="000B69E1"/>
    <w:rsid w:val="000B6A7C"/>
    <w:rsid w:val="000B6CE0"/>
    <w:rsid w:val="000B6E5A"/>
    <w:rsid w:val="000B6EF7"/>
    <w:rsid w:val="000B6F59"/>
    <w:rsid w:val="000B6FE8"/>
    <w:rsid w:val="000B72D5"/>
    <w:rsid w:val="000B72FD"/>
    <w:rsid w:val="000B772B"/>
    <w:rsid w:val="000B7A0F"/>
    <w:rsid w:val="000B7A31"/>
    <w:rsid w:val="000B7AA9"/>
    <w:rsid w:val="000B7B9F"/>
    <w:rsid w:val="000B7C03"/>
    <w:rsid w:val="000B7C98"/>
    <w:rsid w:val="000B7DE7"/>
    <w:rsid w:val="000B7E2C"/>
    <w:rsid w:val="000B7E55"/>
    <w:rsid w:val="000C0224"/>
    <w:rsid w:val="000C0292"/>
    <w:rsid w:val="000C037B"/>
    <w:rsid w:val="000C04CC"/>
    <w:rsid w:val="000C0946"/>
    <w:rsid w:val="000C0C02"/>
    <w:rsid w:val="000C0DF0"/>
    <w:rsid w:val="000C139A"/>
    <w:rsid w:val="000C150B"/>
    <w:rsid w:val="000C16C0"/>
    <w:rsid w:val="000C16C5"/>
    <w:rsid w:val="000C17B1"/>
    <w:rsid w:val="000C1C84"/>
    <w:rsid w:val="000C1CD0"/>
    <w:rsid w:val="000C1F27"/>
    <w:rsid w:val="000C20E0"/>
    <w:rsid w:val="000C2883"/>
    <w:rsid w:val="000C29A7"/>
    <w:rsid w:val="000C303B"/>
    <w:rsid w:val="000C3155"/>
    <w:rsid w:val="000C31FC"/>
    <w:rsid w:val="000C3278"/>
    <w:rsid w:val="000C3744"/>
    <w:rsid w:val="000C3D80"/>
    <w:rsid w:val="000C3E34"/>
    <w:rsid w:val="000C3F34"/>
    <w:rsid w:val="000C400D"/>
    <w:rsid w:val="000C4271"/>
    <w:rsid w:val="000C4380"/>
    <w:rsid w:val="000C43B0"/>
    <w:rsid w:val="000C43DA"/>
    <w:rsid w:val="000C43EF"/>
    <w:rsid w:val="000C456C"/>
    <w:rsid w:val="000C4576"/>
    <w:rsid w:val="000C4577"/>
    <w:rsid w:val="000C479E"/>
    <w:rsid w:val="000C4B2D"/>
    <w:rsid w:val="000C4C4F"/>
    <w:rsid w:val="000C4C98"/>
    <w:rsid w:val="000C4D91"/>
    <w:rsid w:val="000C4E8D"/>
    <w:rsid w:val="000C4FBF"/>
    <w:rsid w:val="000C5111"/>
    <w:rsid w:val="000C51AD"/>
    <w:rsid w:val="000C53F4"/>
    <w:rsid w:val="000C540D"/>
    <w:rsid w:val="000C58E4"/>
    <w:rsid w:val="000C5DE3"/>
    <w:rsid w:val="000C603C"/>
    <w:rsid w:val="000C6348"/>
    <w:rsid w:val="000C64BC"/>
    <w:rsid w:val="000C65DD"/>
    <w:rsid w:val="000C664C"/>
    <w:rsid w:val="000C6920"/>
    <w:rsid w:val="000C69F9"/>
    <w:rsid w:val="000C6FC9"/>
    <w:rsid w:val="000C707A"/>
    <w:rsid w:val="000C72B1"/>
    <w:rsid w:val="000C767D"/>
    <w:rsid w:val="000C7856"/>
    <w:rsid w:val="000C7A60"/>
    <w:rsid w:val="000C7ADD"/>
    <w:rsid w:val="000C7BF1"/>
    <w:rsid w:val="000C7F3E"/>
    <w:rsid w:val="000D007F"/>
    <w:rsid w:val="000D0194"/>
    <w:rsid w:val="000D01D5"/>
    <w:rsid w:val="000D0227"/>
    <w:rsid w:val="000D0234"/>
    <w:rsid w:val="000D0450"/>
    <w:rsid w:val="000D051A"/>
    <w:rsid w:val="000D0704"/>
    <w:rsid w:val="000D0856"/>
    <w:rsid w:val="000D0861"/>
    <w:rsid w:val="000D0951"/>
    <w:rsid w:val="000D0C3B"/>
    <w:rsid w:val="000D0C6A"/>
    <w:rsid w:val="000D0D35"/>
    <w:rsid w:val="000D0EA0"/>
    <w:rsid w:val="000D1053"/>
    <w:rsid w:val="000D128B"/>
    <w:rsid w:val="000D1891"/>
    <w:rsid w:val="000D1A55"/>
    <w:rsid w:val="000D1A5B"/>
    <w:rsid w:val="000D1C53"/>
    <w:rsid w:val="000D1DF0"/>
    <w:rsid w:val="000D2015"/>
    <w:rsid w:val="000D2678"/>
    <w:rsid w:val="000D277F"/>
    <w:rsid w:val="000D27A7"/>
    <w:rsid w:val="000D3031"/>
    <w:rsid w:val="000D31C1"/>
    <w:rsid w:val="000D325B"/>
    <w:rsid w:val="000D34EA"/>
    <w:rsid w:val="000D352C"/>
    <w:rsid w:val="000D3599"/>
    <w:rsid w:val="000D369E"/>
    <w:rsid w:val="000D3825"/>
    <w:rsid w:val="000D391C"/>
    <w:rsid w:val="000D3A38"/>
    <w:rsid w:val="000D3BC9"/>
    <w:rsid w:val="000D3CC6"/>
    <w:rsid w:val="000D3F3C"/>
    <w:rsid w:val="000D4075"/>
    <w:rsid w:val="000D4306"/>
    <w:rsid w:val="000D44C4"/>
    <w:rsid w:val="000D44DA"/>
    <w:rsid w:val="000D48F9"/>
    <w:rsid w:val="000D4AE4"/>
    <w:rsid w:val="000D4BC1"/>
    <w:rsid w:val="000D4CCD"/>
    <w:rsid w:val="000D4CDE"/>
    <w:rsid w:val="000D4E22"/>
    <w:rsid w:val="000D4E52"/>
    <w:rsid w:val="000D515C"/>
    <w:rsid w:val="000D520C"/>
    <w:rsid w:val="000D5743"/>
    <w:rsid w:val="000D5C21"/>
    <w:rsid w:val="000D5FBF"/>
    <w:rsid w:val="000D6095"/>
    <w:rsid w:val="000D655F"/>
    <w:rsid w:val="000D65D2"/>
    <w:rsid w:val="000D6704"/>
    <w:rsid w:val="000D68F1"/>
    <w:rsid w:val="000D692B"/>
    <w:rsid w:val="000D69CE"/>
    <w:rsid w:val="000D6C59"/>
    <w:rsid w:val="000D6CDC"/>
    <w:rsid w:val="000D6CFC"/>
    <w:rsid w:val="000D6F91"/>
    <w:rsid w:val="000D7069"/>
    <w:rsid w:val="000D7086"/>
    <w:rsid w:val="000D7161"/>
    <w:rsid w:val="000D71AC"/>
    <w:rsid w:val="000D7262"/>
    <w:rsid w:val="000D728D"/>
    <w:rsid w:val="000D74D8"/>
    <w:rsid w:val="000D7543"/>
    <w:rsid w:val="000D76F0"/>
    <w:rsid w:val="000D7C12"/>
    <w:rsid w:val="000E00B4"/>
    <w:rsid w:val="000E0174"/>
    <w:rsid w:val="000E0195"/>
    <w:rsid w:val="000E0BF9"/>
    <w:rsid w:val="000E0C88"/>
    <w:rsid w:val="000E0F4A"/>
    <w:rsid w:val="000E1231"/>
    <w:rsid w:val="000E1449"/>
    <w:rsid w:val="000E1526"/>
    <w:rsid w:val="000E17B4"/>
    <w:rsid w:val="000E1A0C"/>
    <w:rsid w:val="000E1B85"/>
    <w:rsid w:val="000E1CD5"/>
    <w:rsid w:val="000E1E20"/>
    <w:rsid w:val="000E1E34"/>
    <w:rsid w:val="000E2019"/>
    <w:rsid w:val="000E215F"/>
    <w:rsid w:val="000E2218"/>
    <w:rsid w:val="000E22E5"/>
    <w:rsid w:val="000E25A1"/>
    <w:rsid w:val="000E2616"/>
    <w:rsid w:val="000E2638"/>
    <w:rsid w:val="000E2658"/>
    <w:rsid w:val="000E266A"/>
    <w:rsid w:val="000E26CB"/>
    <w:rsid w:val="000E2720"/>
    <w:rsid w:val="000E2950"/>
    <w:rsid w:val="000E29C2"/>
    <w:rsid w:val="000E29E5"/>
    <w:rsid w:val="000E2A06"/>
    <w:rsid w:val="000E2A94"/>
    <w:rsid w:val="000E2B0E"/>
    <w:rsid w:val="000E2E47"/>
    <w:rsid w:val="000E307A"/>
    <w:rsid w:val="000E3370"/>
    <w:rsid w:val="000E3470"/>
    <w:rsid w:val="000E386D"/>
    <w:rsid w:val="000E38DF"/>
    <w:rsid w:val="000E38EB"/>
    <w:rsid w:val="000E3A09"/>
    <w:rsid w:val="000E3BAE"/>
    <w:rsid w:val="000E3D10"/>
    <w:rsid w:val="000E4140"/>
    <w:rsid w:val="000E4457"/>
    <w:rsid w:val="000E44F7"/>
    <w:rsid w:val="000E4519"/>
    <w:rsid w:val="000E4537"/>
    <w:rsid w:val="000E4556"/>
    <w:rsid w:val="000E4781"/>
    <w:rsid w:val="000E47F9"/>
    <w:rsid w:val="000E4B6C"/>
    <w:rsid w:val="000E4F78"/>
    <w:rsid w:val="000E504D"/>
    <w:rsid w:val="000E5496"/>
    <w:rsid w:val="000E568C"/>
    <w:rsid w:val="000E58B0"/>
    <w:rsid w:val="000E5C3E"/>
    <w:rsid w:val="000E601F"/>
    <w:rsid w:val="000E61DC"/>
    <w:rsid w:val="000E6391"/>
    <w:rsid w:val="000E67CC"/>
    <w:rsid w:val="000E69EA"/>
    <w:rsid w:val="000E6C22"/>
    <w:rsid w:val="000E6C2F"/>
    <w:rsid w:val="000E6CBE"/>
    <w:rsid w:val="000E6DD8"/>
    <w:rsid w:val="000E6E2F"/>
    <w:rsid w:val="000E71A5"/>
    <w:rsid w:val="000E7344"/>
    <w:rsid w:val="000E73EA"/>
    <w:rsid w:val="000E74E1"/>
    <w:rsid w:val="000E74FD"/>
    <w:rsid w:val="000E7608"/>
    <w:rsid w:val="000E7908"/>
    <w:rsid w:val="000E7BD2"/>
    <w:rsid w:val="000E7C2D"/>
    <w:rsid w:val="000E7D26"/>
    <w:rsid w:val="000E7D4C"/>
    <w:rsid w:val="000F0013"/>
    <w:rsid w:val="000F0047"/>
    <w:rsid w:val="000F041C"/>
    <w:rsid w:val="000F04C8"/>
    <w:rsid w:val="000F063D"/>
    <w:rsid w:val="000F07CC"/>
    <w:rsid w:val="000F0860"/>
    <w:rsid w:val="000F0943"/>
    <w:rsid w:val="000F0A41"/>
    <w:rsid w:val="000F0ACD"/>
    <w:rsid w:val="000F0B0F"/>
    <w:rsid w:val="000F0F21"/>
    <w:rsid w:val="000F1030"/>
    <w:rsid w:val="000F133C"/>
    <w:rsid w:val="000F14D2"/>
    <w:rsid w:val="000F16ED"/>
    <w:rsid w:val="000F17C7"/>
    <w:rsid w:val="000F18F8"/>
    <w:rsid w:val="000F1D02"/>
    <w:rsid w:val="000F1D15"/>
    <w:rsid w:val="000F1DD1"/>
    <w:rsid w:val="000F203B"/>
    <w:rsid w:val="000F20A8"/>
    <w:rsid w:val="000F245E"/>
    <w:rsid w:val="000F24C4"/>
    <w:rsid w:val="000F2729"/>
    <w:rsid w:val="000F2B64"/>
    <w:rsid w:val="000F2CE6"/>
    <w:rsid w:val="000F2DF4"/>
    <w:rsid w:val="000F2E15"/>
    <w:rsid w:val="000F2E8A"/>
    <w:rsid w:val="000F2F65"/>
    <w:rsid w:val="000F2FD7"/>
    <w:rsid w:val="000F3307"/>
    <w:rsid w:val="000F33B7"/>
    <w:rsid w:val="000F340B"/>
    <w:rsid w:val="000F355A"/>
    <w:rsid w:val="000F3848"/>
    <w:rsid w:val="000F3883"/>
    <w:rsid w:val="000F39E4"/>
    <w:rsid w:val="000F3BB1"/>
    <w:rsid w:val="000F3BD3"/>
    <w:rsid w:val="000F3BEA"/>
    <w:rsid w:val="000F3D57"/>
    <w:rsid w:val="000F3DDC"/>
    <w:rsid w:val="000F3E77"/>
    <w:rsid w:val="000F4063"/>
    <w:rsid w:val="000F4169"/>
    <w:rsid w:val="000F423C"/>
    <w:rsid w:val="000F43C8"/>
    <w:rsid w:val="000F44CE"/>
    <w:rsid w:val="000F482D"/>
    <w:rsid w:val="000F4A19"/>
    <w:rsid w:val="000F5205"/>
    <w:rsid w:val="000F5390"/>
    <w:rsid w:val="000F579F"/>
    <w:rsid w:val="000F5878"/>
    <w:rsid w:val="000F58C3"/>
    <w:rsid w:val="000F5A2B"/>
    <w:rsid w:val="000F5D11"/>
    <w:rsid w:val="000F5E9F"/>
    <w:rsid w:val="000F5F33"/>
    <w:rsid w:val="000F61F6"/>
    <w:rsid w:val="000F629D"/>
    <w:rsid w:val="000F6380"/>
    <w:rsid w:val="000F6398"/>
    <w:rsid w:val="000F659D"/>
    <w:rsid w:val="000F6605"/>
    <w:rsid w:val="000F68BD"/>
    <w:rsid w:val="000F68E3"/>
    <w:rsid w:val="000F6C84"/>
    <w:rsid w:val="000F6E45"/>
    <w:rsid w:val="000F70CB"/>
    <w:rsid w:val="000F75F1"/>
    <w:rsid w:val="000F77A2"/>
    <w:rsid w:val="000F7910"/>
    <w:rsid w:val="000F7BBD"/>
    <w:rsid w:val="000F7C79"/>
    <w:rsid w:val="000F7CCD"/>
    <w:rsid w:val="000F7E5B"/>
    <w:rsid w:val="001004F1"/>
    <w:rsid w:val="0010052B"/>
    <w:rsid w:val="001008F9"/>
    <w:rsid w:val="00100A29"/>
    <w:rsid w:val="00100A34"/>
    <w:rsid w:val="00100A3D"/>
    <w:rsid w:val="00100AF6"/>
    <w:rsid w:val="00100BAA"/>
    <w:rsid w:val="00100E50"/>
    <w:rsid w:val="001011E1"/>
    <w:rsid w:val="00101233"/>
    <w:rsid w:val="00101398"/>
    <w:rsid w:val="0010145E"/>
    <w:rsid w:val="0010154A"/>
    <w:rsid w:val="00101B24"/>
    <w:rsid w:val="00101C2D"/>
    <w:rsid w:val="00101C52"/>
    <w:rsid w:val="00101E26"/>
    <w:rsid w:val="0010203B"/>
    <w:rsid w:val="0010228E"/>
    <w:rsid w:val="001023AB"/>
    <w:rsid w:val="0010284B"/>
    <w:rsid w:val="0010288D"/>
    <w:rsid w:val="00102ADD"/>
    <w:rsid w:val="00102E43"/>
    <w:rsid w:val="00102E52"/>
    <w:rsid w:val="00102EBB"/>
    <w:rsid w:val="0010310D"/>
    <w:rsid w:val="0010324C"/>
    <w:rsid w:val="0010325F"/>
    <w:rsid w:val="001032CB"/>
    <w:rsid w:val="001033D6"/>
    <w:rsid w:val="00103718"/>
    <w:rsid w:val="00103AAF"/>
    <w:rsid w:val="00103AE7"/>
    <w:rsid w:val="00103C1D"/>
    <w:rsid w:val="00103E60"/>
    <w:rsid w:val="0010425B"/>
    <w:rsid w:val="001043C5"/>
    <w:rsid w:val="00104941"/>
    <w:rsid w:val="00104957"/>
    <w:rsid w:val="00104C01"/>
    <w:rsid w:val="00104E81"/>
    <w:rsid w:val="00104FBE"/>
    <w:rsid w:val="00105035"/>
    <w:rsid w:val="00105207"/>
    <w:rsid w:val="0010527D"/>
    <w:rsid w:val="00105EBD"/>
    <w:rsid w:val="001061A5"/>
    <w:rsid w:val="001064C2"/>
    <w:rsid w:val="001064E3"/>
    <w:rsid w:val="00106834"/>
    <w:rsid w:val="001068D9"/>
    <w:rsid w:val="00106CA5"/>
    <w:rsid w:val="0010707A"/>
    <w:rsid w:val="0010707E"/>
    <w:rsid w:val="0010740C"/>
    <w:rsid w:val="00107489"/>
    <w:rsid w:val="00107611"/>
    <w:rsid w:val="001076DE"/>
    <w:rsid w:val="00107768"/>
    <w:rsid w:val="0010776B"/>
    <w:rsid w:val="0010789F"/>
    <w:rsid w:val="001079F8"/>
    <w:rsid w:val="00107C35"/>
    <w:rsid w:val="00107CBC"/>
    <w:rsid w:val="00107D37"/>
    <w:rsid w:val="00110064"/>
    <w:rsid w:val="00110103"/>
    <w:rsid w:val="00110341"/>
    <w:rsid w:val="00110542"/>
    <w:rsid w:val="001105AA"/>
    <w:rsid w:val="001106CC"/>
    <w:rsid w:val="001108E7"/>
    <w:rsid w:val="00110AA0"/>
    <w:rsid w:val="00110BE4"/>
    <w:rsid w:val="00110DB5"/>
    <w:rsid w:val="00110F79"/>
    <w:rsid w:val="0011112E"/>
    <w:rsid w:val="0011128A"/>
    <w:rsid w:val="001112CA"/>
    <w:rsid w:val="00111323"/>
    <w:rsid w:val="00111374"/>
    <w:rsid w:val="00111550"/>
    <w:rsid w:val="0011192C"/>
    <w:rsid w:val="00111950"/>
    <w:rsid w:val="00111A86"/>
    <w:rsid w:val="00111C8D"/>
    <w:rsid w:val="00111E39"/>
    <w:rsid w:val="001120EA"/>
    <w:rsid w:val="00112190"/>
    <w:rsid w:val="001121E9"/>
    <w:rsid w:val="00112384"/>
    <w:rsid w:val="00112391"/>
    <w:rsid w:val="0011243A"/>
    <w:rsid w:val="001127A6"/>
    <w:rsid w:val="00112AE1"/>
    <w:rsid w:val="00112D43"/>
    <w:rsid w:val="00113456"/>
    <w:rsid w:val="001134FE"/>
    <w:rsid w:val="001135E1"/>
    <w:rsid w:val="001136FA"/>
    <w:rsid w:val="0011386C"/>
    <w:rsid w:val="001139C5"/>
    <w:rsid w:val="00113A70"/>
    <w:rsid w:val="00113BE1"/>
    <w:rsid w:val="00113D53"/>
    <w:rsid w:val="00113E4D"/>
    <w:rsid w:val="00113E99"/>
    <w:rsid w:val="00113FEA"/>
    <w:rsid w:val="0011413F"/>
    <w:rsid w:val="00114427"/>
    <w:rsid w:val="00114682"/>
    <w:rsid w:val="0011494B"/>
    <w:rsid w:val="00114D10"/>
    <w:rsid w:val="00114F8E"/>
    <w:rsid w:val="001150FB"/>
    <w:rsid w:val="00115122"/>
    <w:rsid w:val="00115220"/>
    <w:rsid w:val="001155D3"/>
    <w:rsid w:val="001158ED"/>
    <w:rsid w:val="00115904"/>
    <w:rsid w:val="00115AA9"/>
    <w:rsid w:val="00115B5F"/>
    <w:rsid w:val="00115C11"/>
    <w:rsid w:val="00115C2B"/>
    <w:rsid w:val="00115C3C"/>
    <w:rsid w:val="00115CBE"/>
    <w:rsid w:val="00116003"/>
    <w:rsid w:val="001162D9"/>
    <w:rsid w:val="0011640E"/>
    <w:rsid w:val="0011647B"/>
    <w:rsid w:val="00116677"/>
    <w:rsid w:val="00116775"/>
    <w:rsid w:val="00116B29"/>
    <w:rsid w:val="00116CFB"/>
    <w:rsid w:val="00116FB2"/>
    <w:rsid w:val="00117050"/>
    <w:rsid w:val="001172ED"/>
    <w:rsid w:val="00117328"/>
    <w:rsid w:val="001174A0"/>
    <w:rsid w:val="00117913"/>
    <w:rsid w:val="0011792B"/>
    <w:rsid w:val="0011798A"/>
    <w:rsid w:val="00117B60"/>
    <w:rsid w:val="00117E90"/>
    <w:rsid w:val="001201C6"/>
    <w:rsid w:val="0012037A"/>
    <w:rsid w:val="001205C1"/>
    <w:rsid w:val="00120686"/>
    <w:rsid w:val="001207AF"/>
    <w:rsid w:val="00120B63"/>
    <w:rsid w:val="00120F74"/>
    <w:rsid w:val="00121067"/>
    <w:rsid w:val="001216BA"/>
    <w:rsid w:val="001217D1"/>
    <w:rsid w:val="00121821"/>
    <w:rsid w:val="00121982"/>
    <w:rsid w:val="00121983"/>
    <w:rsid w:val="00121ABD"/>
    <w:rsid w:val="00121BC2"/>
    <w:rsid w:val="00121CB7"/>
    <w:rsid w:val="00121DCE"/>
    <w:rsid w:val="00121DE4"/>
    <w:rsid w:val="00121EB3"/>
    <w:rsid w:val="00121F8D"/>
    <w:rsid w:val="00122039"/>
    <w:rsid w:val="001220AD"/>
    <w:rsid w:val="0012212F"/>
    <w:rsid w:val="001223BD"/>
    <w:rsid w:val="00122638"/>
    <w:rsid w:val="00122743"/>
    <w:rsid w:val="0012297F"/>
    <w:rsid w:val="00122AF5"/>
    <w:rsid w:val="00122CE4"/>
    <w:rsid w:val="00122D82"/>
    <w:rsid w:val="00122F03"/>
    <w:rsid w:val="00122F91"/>
    <w:rsid w:val="00123169"/>
    <w:rsid w:val="001232B4"/>
    <w:rsid w:val="00123369"/>
    <w:rsid w:val="001236E7"/>
    <w:rsid w:val="00123710"/>
    <w:rsid w:val="00123840"/>
    <w:rsid w:val="00123850"/>
    <w:rsid w:val="00123AAE"/>
    <w:rsid w:val="00123D03"/>
    <w:rsid w:val="00123D3F"/>
    <w:rsid w:val="00123F1F"/>
    <w:rsid w:val="001240FD"/>
    <w:rsid w:val="00124134"/>
    <w:rsid w:val="00124186"/>
    <w:rsid w:val="0012426E"/>
    <w:rsid w:val="0012443F"/>
    <w:rsid w:val="0012452F"/>
    <w:rsid w:val="0012483C"/>
    <w:rsid w:val="001248B6"/>
    <w:rsid w:val="00124966"/>
    <w:rsid w:val="00124BC2"/>
    <w:rsid w:val="00124DD4"/>
    <w:rsid w:val="00124DDD"/>
    <w:rsid w:val="00124DF1"/>
    <w:rsid w:val="00124DF5"/>
    <w:rsid w:val="00124F5A"/>
    <w:rsid w:val="00125053"/>
    <w:rsid w:val="0012509B"/>
    <w:rsid w:val="00125128"/>
    <w:rsid w:val="00125755"/>
    <w:rsid w:val="0012605D"/>
    <w:rsid w:val="00126075"/>
    <w:rsid w:val="0012624F"/>
    <w:rsid w:val="0012657C"/>
    <w:rsid w:val="0012670B"/>
    <w:rsid w:val="001267EB"/>
    <w:rsid w:val="001268AE"/>
    <w:rsid w:val="001268DE"/>
    <w:rsid w:val="00126BFD"/>
    <w:rsid w:val="00126C4E"/>
    <w:rsid w:val="00126FE4"/>
    <w:rsid w:val="00127265"/>
    <w:rsid w:val="00127592"/>
    <w:rsid w:val="00127671"/>
    <w:rsid w:val="001279B8"/>
    <w:rsid w:val="00127BB8"/>
    <w:rsid w:val="00127FEF"/>
    <w:rsid w:val="0013018A"/>
    <w:rsid w:val="00130328"/>
    <w:rsid w:val="00130358"/>
    <w:rsid w:val="00130409"/>
    <w:rsid w:val="00130410"/>
    <w:rsid w:val="0013086A"/>
    <w:rsid w:val="001308DA"/>
    <w:rsid w:val="00130918"/>
    <w:rsid w:val="00130CD7"/>
    <w:rsid w:val="00130D28"/>
    <w:rsid w:val="00130D46"/>
    <w:rsid w:val="00130EFE"/>
    <w:rsid w:val="00131606"/>
    <w:rsid w:val="00131698"/>
    <w:rsid w:val="0013178D"/>
    <w:rsid w:val="00131803"/>
    <w:rsid w:val="001319CD"/>
    <w:rsid w:val="00131A2F"/>
    <w:rsid w:val="00131D78"/>
    <w:rsid w:val="0013208A"/>
    <w:rsid w:val="001323F6"/>
    <w:rsid w:val="00132618"/>
    <w:rsid w:val="001327DF"/>
    <w:rsid w:val="00132874"/>
    <w:rsid w:val="00132F15"/>
    <w:rsid w:val="00133136"/>
    <w:rsid w:val="0013329E"/>
    <w:rsid w:val="00133363"/>
    <w:rsid w:val="00133423"/>
    <w:rsid w:val="00133470"/>
    <w:rsid w:val="0013369E"/>
    <w:rsid w:val="00133827"/>
    <w:rsid w:val="00133AD1"/>
    <w:rsid w:val="00133AD5"/>
    <w:rsid w:val="00133AE9"/>
    <w:rsid w:val="00133BDA"/>
    <w:rsid w:val="00133F46"/>
    <w:rsid w:val="00134090"/>
    <w:rsid w:val="0013409A"/>
    <w:rsid w:val="00134603"/>
    <w:rsid w:val="001347F5"/>
    <w:rsid w:val="00134A7F"/>
    <w:rsid w:val="00134AAD"/>
    <w:rsid w:val="00134D29"/>
    <w:rsid w:val="001350D1"/>
    <w:rsid w:val="00135212"/>
    <w:rsid w:val="001355DD"/>
    <w:rsid w:val="00135627"/>
    <w:rsid w:val="001356FE"/>
    <w:rsid w:val="001357CD"/>
    <w:rsid w:val="00135878"/>
    <w:rsid w:val="0013597A"/>
    <w:rsid w:val="00135B11"/>
    <w:rsid w:val="00135B45"/>
    <w:rsid w:val="00135B7E"/>
    <w:rsid w:val="00135C40"/>
    <w:rsid w:val="00135CF5"/>
    <w:rsid w:val="00135D97"/>
    <w:rsid w:val="00135DE5"/>
    <w:rsid w:val="00135E8C"/>
    <w:rsid w:val="00136249"/>
    <w:rsid w:val="00136434"/>
    <w:rsid w:val="00136452"/>
    <w:rsid w:val="0013686F"/>
    <w:rsid w:val="00136AC0"/>
    <w:rsid w:val="00136AC6"/>
    <w:rsid w:val="00136AE2"/>
    <w:rsid w:val="00136B48"/>
    <w:rsid w:val="00137188"/>
    <w:rsid w:val="001371A8"/>
    <w:rsid w:val="0013758F"/>
    <w:rsid w:val="00137B90"/>
    <w:rsid w:val="00137BBF"/>
    <w:rsid w:val="00137CC0"/>
    <w:rsid w:val="00137CD0"/>
    <w:rsid w:val="00137FA8"/>
    <w:rsid w:val="0014004C"/>
    <w:rsid w:val="00140084"/>
    <w:rsid w:val="0014067B"/>
    <w:rsid w:val="0014075D"/>
    <w:rsid w:val="00140A55"/>
    <w:rsid w:val="00140AA5"/>
    <w:rsid w:val="00140B64"/>
    <w:rsid w:val="00140E5F"/>
    <w:rsid w:val="00140FD0"/>
    <w:rsid w:val="001410A5"/>
    <w:rsid w:val="001411ED"/>
    <w:rsid w:val="0014124F"/>
    <w:rsid w:val="001415AD"/>
    <w:rsid w:val="00141679"/>
    <w:rsid w:val="00141E69"/>
    <w:rsid w:val="00141EDF"/>
    <w:rsid w:val="001422B8"/>
    <w:rsid w:val="00142338"/>
    <w:rsid w:val="00142455"/>
    <w:rsid w:val="0014246D"/>
    <w:rsid w:val="001425D1"/>
    <w:rsid w:val="00142633"/>
    <w:rsid w:val="00142660"/>
    <w:rsid w:val="0014274C"/>
    <w:rsid w:val="00142842"/>
    <w:rsid w:val="001428F7"/>
    <w:rsid w:val="00142AB0"/>
    <w:rsid w:val="00142ADE"/>
    <w:rsid w:val="00142B4F"/>
    <w:rsid w:val="00142BCF"/>
    <w:rsid w:val="00142C6E"/>
    <w:rsid w:val="001432A0"/>
    <w:rsid w:val="001434DD"/>
    <w:rsid w:val="001438BE"/>
    <w:rsid w:val="00143DDB"/>
    <w:rsid w:val="00143F96"/>
    <w:rsid w:val="00143FA8"/>
    <w:rsid w:val="00144167"/>
    <w:rsid w:val="001441F4"/>
    <w:rsid w:val="00144418"/>
    <w:rsid w:val="001444B6"/>
    <w:rsid w:val="001444B9"/>
    <w:rsid w:val="001446B8"/>
    <w:rsid w:val="001446E8"/>
    <w:rsid w:val="001448D1"/>
    <w:rsid w:val="001449DE"/>
    <w:rsid w:val="001449EA"/>
    <w:rsid w:val="00144A9A"/>
    <w:rsid w:val="00144A9F"/>
    <w:rsid w:val="00144ABE"/>
    <w:rsid w:val="00144AFB"/>
    <w:rsid w:val="00144C3B"/>
    <w:rsid w:val="00144D48"/>
    <w:rsid w:val="00144E9B"/>
    <w:rsid w:val="00144F25"/>
    <w:rsid w:val="00144F2A"/>
    <w:rsid w:val="00145042"/>
    <w:rsid w:val="00145524"/>
    <w:rsid w:val="00145914"/>
    <w:rsid w:val="00145D87"/>
    <w:rsid w:val="0014647B"/>
    <w:rsid w:val="001464B9"/>
    <w:rsid w:val="0014650C"/>
    <w:rsid w:val="00146936"/>
    <w:rsid w:val="001469EB"/>
    <w:rsid w:val="00146C6E"/>
    <w:rsid w:val="00146F51"/>
    <w:rsid w:val="0014724D"/>
    <w:rsid w:val="001473FD"/>
    <w:rsid w:val="00147708"/>
    <w:rsid w:val="00147832"/>
    <w:rsid w:val="00147BC0"/>
    <w:rsid w:val="00147E4F"/>
    <w:rsid w:val="00147F33"/>
    <w:rsid w:val="00147FD4"/>
    <w:rsid w:val="00150040"/>
    <w:rsid w:val="00150295"/>
    <w:rsid w:val="00150497"/>
    <w:rsid w:val="0015052A"/>
    <w:rsid w:val="0015062A"/>
    <w:rsid w:val="00150747"/>
    <w:rsid w:val="001508DB"/>
    <w:rsid w:val="00150996"/>
    <w:rsid w:val="00150A22"/>
    <w:rsid w:val="00150A4D"/>
    <w:rsid w:val="00150A50"/>
    <w:rsid w:val="00150C0A"/>
    <w:rsid w:val="00150E33"/>
    <w:rsid w:val="00151005"/>
    <w:rsid w:val="00151016"/>
    <w:rsid w:val="00151073"/>
    <w:rsid w:val="00151A3E"/>
    <w:rsid w:val="00151ACA"/>
    <w:rsid w:val="00151BF6"/>
    <w:rsid w:val="00151DB3"/>
    <w:rsid w:val="00151F2D"/>
    <w:rsid w:val="00152152"/>
    <w:rsid w:val="001522FE"/>
    <w:rsid w:val="00152840"/>
    <w:rsid w:val="001528F2"/>
    <w:rsid w:val="00152951"/>
    <w:rsid w:val="001529A4"/>
    <w:rsid w:val="001529E8"/>
    <w:rsid w:val="00152A6A"/>
    <w:rsid w:val="00152B68"/>
    <w:rsid w:val="00152F45"/>
    <w:rsid w:val="00153202"/>
    <w:rsid w:val="00153646"/>
    <w:rsid w:val="00153851"/>
    <w:rsid w:val="00153894"/>
    <w:rsid w:val="00153C4B"/>
    <w:rsid w:val="00153C84"/>
    <w:rsid w:val="00153CC9"/>
    <w:rsid w:val="00153CD0"/>
    <w:rsid w:val="00153E3D"/>
    <w:rsid w:val="00153EE3"/>
    <w:rsid w:val="00153EF9"/>
    <w:rsid w:val="0015400F"/>
    <w:rsid w:val="001541BC"/>
    <w:rsid w:val="001542FA"/>
    <w:rsid w:val="001544B1"/>
    <w:rsid w:val="0015469D"/>
    <w:rsid w:val="001547B7"/>
    <w:rsid w:val="001548E3"/>
    <w:rsid w:val="00154967"/>
    <w:rsid w:val="00154F65"/>
    <w:rsid w:val="00155875"/>
    <w:rsid w:val="00155A2F"/>
    <w:rsid w:val="00155E5C"/>
    <w:rsid w:val="00155ECD"/>
    <w:rsid w:val="00155EE7"/>
    <w:rsid w:val="00155F5E"/>
    <w:rsid w:val="00155FB5"/>
    <w:rsid w:val="001560B0"/>
    <w:rsid w:val="00156314"/>
    <w:rsid w:val="00156503"/>
    <w:rsid w:val="0015674B"/>
    <w:rsid w:val="00156833"/>
    <w:rsid w:val="001568EC"/>
    <w:rsid w:val="001569F3"/>
    <w:rsid w:val="00156E1F"/>
    <w:rsid w:val="00156F27"/>
    <w:rsid w:val="001572C6"/>
    <w:rsid w:val="001573C9"/>
    <w:rsid w:val="00157442"/>
    <w:rsid w:val="0015759D"/>
    <w:rsid w:val="001577D7"/>
    <w:rsid w:val="00157816"/>
    <w:rsid w:val="0015785D"/>
    <w:rsid w:val="00157C80"/>
    <w:rsid w:val="00157CAA"/>
    <w:rsid w:val="00157D0A"/>
    <w:rsid w:val="00157DFB"/>
    <w:rsid w:val="00157E7C"/>
    <w:rsid w:val="00157F7D"/>
    <w:rsid w:val="001600E8"/>
    <w:rsid w:val="0016036B"/>
    <w:rsid w:val="0016039A"/>
    <w:rsid w:val="001604A4"/>
    <w:rsid w:val="00160511"/>
    <w:rsid w:val="00160814"/>
    <w:rsid w:val="001608D7"/>
    <w:rsid w:val="0016093C"/>
    <w:rsid w:val="00160B7D"/>
    <w:rsid w:val="00160C3A"/>
    <w:rsid w:val="00160E6E"/>
    <w:rsid w:val="00160F4E"/>
    <w:rsid w:val="001610C9"/>
    <w:rsid w:val="00161169"/>
    <w:rsid w:val="0016139E"/>
    <w:rsid w:val="001613FE"/>
    <w:rsid w:val="00161415"/>
    <w:rsid w:val="00161636"/>
    <w:rsid w:val="0016183D"/>
    <w:rsid w:val="00161923"/>
    <w:rsid w:val="00161B18"/>
    <w:rsid w:val="00161BF1"/>
    <w:rsid w:val="00161D3B"/>
    <w:rsid w:val="001621A2"/>
    <w:rsid w:val="001624F4"/>
    <w:rsid w:val="0016269C"/>
    <w:rsid w:val="00162DB0"/>
    <w:rsid w:val="00162F6B"/>
    <w:rsid w:val="00162FC3"/>
    <w:rsid w:val="00162FC6"/>
    <w:rsid w:val="00163514"/>
    <w:rsid w:val="00163592"/>
    <w:rsid w:val="00163638"/>
    <w:rsid w:val="001638CD"/>
    <w:rsid w:val="001638FF"/>
    <w:rsid w:val="00163A32"/>
    <w:rsid w:val="00163A9E"/>
    <w:rsid w:val="00163D00"/>
    <w:rsid w:val="00163EBB"/>
    <w:rsid w:val="0016403C"/>
    <w:rsid w:val="001641C3"/>
    <w:rsid w:val="0016428D"/>
    <w:rsid w:val="001644F3"/>
    <w:rsid w:val="00164533"/>
    <w:rsid w:val="00164843"/>
    <w:rsid w:val="00164844"/>
    <w:rsid w:val="001648C3"/>
    <w:rsid w:val="001648D3"/>
    <w:rsid w:val="001648EA"/>
    <w:rsid w:val="00164982"/>
    <w:rsid w:val="00164AC3"/>
    <w:rsid w:val="00164E74"/>
    <w:rsid w:val="00164E78"/>
    <w:rsid w:val="00164EE3"/>
    <w:rsid w:val="00165080"/>
    <w:rsid w:val="0016524E"/>
    <w:rsid w:val="00165406"/>
    <w:rsid w:val="0016543D"/>
    <w:rsid w:val="001654F8"/>
    <w:rsid w:val="00165786"/>
    <w:rsid w:val="0016584F"/>
    <w:rsid w:val="00165853"/>
    <w:rsid w:val="0016588E"/>
    <w:rsid w:val="00165D4F"/>
    <w:rsid w:val="00165EA3"/>
    <w:rsid w:val="00166032"/>
    <w:rsid w:val="001660AA"/>
    <w:rsid w:val="00166150"/>
    <w:rsid w:val="00166386"/>
    <w:rsid w:val="0016644A"/>
    <w:rsid w:val="0016666B"/>
    <w:rsid w:val="0016693E"/>
    <w:rsid w:val="0016699A"/>
    <w:rsid w:val="00166A08"/>
    <w:rsid w:val="00166A5F"/>
    <w:rsid w:val="00166ACD"/>
    <w:rsid w:val="00166C55"/>
    <w:rsid w:val="00167048"/>
    <w:rsid w:val="00167162"/>
    <w:rsid w:val="00167205"/>
    <w:rsid w:val="001674C3"/>
    <w:rsid w:val="0016771A"/>
    <w:rsid w:val="0016773D"/>
    <w:rsid w:val="00167969"/>
    <w:rsid w:val="00167BEB"/>
    <w:rsid w:val="00167D71"/>
    <w:rsid w:val="00167F73"/>
    <w:rsid w:val="00170184"/>
    <w:rsid w:val="00170390"/>
    <w:rsid w:val="0017087D"/>
    <w:rsid w:val="00170AD3"/>
    <w:rsid w:val="00170E5E"/>
    <w:rsid w:val="00171019"/>
    <w:rsid w:val="00171056"/>
    <w:rsid w:val="00171220"/>
    <w:rsid w:val="00171277"/>
    <w:rsid w:val="0017174A"/>
    <w:rsid w:val="001717EF"/>
    <w:rsid w:val="00171801"/>
    <w:rsid w:val="001718C7"/>
    <w:rsid w:val="00171955"/>
    <w:rsid w:val="00171ABC"/>
    <w:rsid w:val="00171B79"/>
    <w:rsid w:val="00171DAA"/>
    <w:rsid w:val="00171EC4"/>
    <w:rsid w:val="001721DB"/>
    <w:rsid w:val="00172726"/>
    <w:rsid w:val="0017279F"/>
    <w:rsid w:val="001728B1"/>
    <w:rsid w:val="00172A0E"/>
    <w:rsid w:val="00172A2A"/>
    <w:rsid w:val="00172B40"/>
    <w:rsid w:val="00172BEB"/>
    <w:rsid w:val="00173174"/>
    <w:rsid w:val="00173198"/>
    <w:rsid w:val="00173239"/>
    <w:rsid w:val="00173300"/>
    <w:rsid w:val="00173735"/>
    <w:rsid w:val="001737B4"/>
    <w:rsid w:val="0017384A"/>
    <w:rsid w:val="00173975"/>
    <w:rsid w:val="00173B4E"/>
    <w:rsid w:val="00173BC1"/>
    <w:rsid w:val="00173BC6"/>
    <w:rsid w:val="00173D21"/>
    <w:rsid w:val="00173D52"/>
    <w:rsid w:val="00173FAA"/>
    <w:rsid w:val="00174057"/>
    <w:rsid w:val="001740CC"/>
    <w:rsid w:val="001743A5"/>
    <w:rsid w:val="001744D3"/>
    <w:rsid w:val="00174604"/>
    <w:rsid w:val="00174AD5"/>
    <w:rsid w:val="00174B61"/>
    <w:rsid w:val="00174CE6"/>
    <w:rsid w:val="00174E10"/>
    <w:rsid w:val="00174EAD"/>
    <w:rsid w:val="001751F2"/>
    <w:rsid w:val="001754FD"/>
    <w:rsid w:val="001755C2"/>
    <w:rsid w:val="00175640"/>
    <w:rsid w:val="001757B8"/>
    <w:rsid w:val="001758B1"/>
    <w:rsid w:val="00175A3A"/>
    <w:rsid w:val="00175AA6"/>
    <w:rsid w:val="00175C84"/>
    <w:rsid w:val="00175D4D"/>
    <w:rsid w:val="00175D5E"/>
    <w:rsid w:val="00176251"/>
    <w:rsid w:val="00176343"/>
    <w:rsid w:val="00176509"/>
    <w:rsid w:val="00176576"/>
    <w:rsid w:val="00176765"/>
    <w:rsid w:val="001767B0"/>
    <w:rsid w:val="001767F2"/>
    <w:rsid w:val="0017692D"/>
    <w:rsid w:val="00176A75"/>
    <w:rsid w:val="00176AC4"/>
    <w:rsid w:val="00176B8F"/>
    <w:rsid w:val="00176ECD"/>
    <w:rsid w:val="00176F39"/>
    <w:rsid w:val="00177030"/>
    <w:rsid w:val="001770CF"/>
    <w:rsid w:val="001771CD"/>
    <w:rsid w:val="0017751E"/>
    <w:rsid w:val="00177525"/>
    <w:rsid w:val="0017753A"/>
    <w:rsid w:val="0017764B"/>
    <w:rsid w:val="00177A04"/>
    <w:rsid w:val="00177A12"/>
    <w:rsid w:val="00177C91"/>
    <w:rsid w:val="00180309"/>
    <w:rsid w:val="00180512"/>
    <w:rsid w:val="001807A4"/>
    <w:rsid w:val="00180902"/>
    <w:rsid w:val="00180B7C"/>
    <w:rsid w:val="00180C38"/>
    <w:rsid w:val="00180D9A"/>
    <w:rsid w:val="00180EDA"/>
    <w:rsid w:val="0018103F"/>
    <w:rsid w:val="001810CD"/>
    <w:rsid w:val="001813F4"/>
    <w:rsid w:val="001816B1"/>
    <w:rsid w:val="001818D4"/>
    <w:rsid w:val="00181E0B"/>
    <w:rsid w:val="00181EF2"/>
    <w:rsid w:val="00181F70"/>
    <w:rsid w:val="00181FA1"/>
    <w:rsid w:val="0018214D"/>
    <w:rsid w:val="001823E9"/>
    <w:rsid w:val="00182614"/>
    <w:rsid w:val="0018271B"/>
    <w:rsid w:val="001829CE"/>
    <w:rsid w:val="00182BF5"/>
    <w:rsid w:val="00182D9C"/>
    <w:rsid w:val="00182EF7"/>
    <w:rsid w:val="00182FED"/>
    <w:rsid w:val="001830A1"/>
    <w:rsid w:val="001831BD"/>
    <w:rsid w:val="0018338F"/>
    <w:rsid w:val="001834C1"/>
    <w:rsid w:val="0018369A"/>
    <w:rsid w:val="001837D0"/>
    <w:rsid w:val="00183961"/>
    <w:rsid w:val="00183A4C"/>
    <w:rsid w:val="00183A67"/>
    <w:rsid w:val="00183BB7"/>
    <w:rsid w:val="00183BE8"/>
    <w:rsid w:val="00183C04"/>
    <w:rsid w:val="0018430A"/>
    <w:rsid w:val="0018444A"/>
    <w:rsid w:val="001845D1"/>
    <w:rsid w:val="001846F8"/>
    <w:rsid w:val="0018499A"/>
    <w:rsid w:val="00184DF1"/>
    <w:rsid w:val="00184EE6"/>
    <w:rsid w:val="00184F61"/>
    <w:rsid w:val="00185259"/>
    <w:rsid w:val="001853DF"/>
    <w:rsid w:val="001854D8"/>
    <w:rsid w:val="00185887"/>
    <w:rsid w:val="00185BE6"/>
    <w:rsid w:val="00185DA2"/>
    <w:rsid w:val="00186013"/>
    <w:rsid w:val="00186018"/>
    <w:rsid w:val="001860C4"/>
    <w:rsid w:val="00186253"/>
    <w:rsid w:val="0018652F"/>
    <w:rsid w:val="00186854"/>
    <w:rsid w:val="00186CE0"/>
    <w:rsid w:val="0018706E"/>
    <w:rsid w:val="00187312"/>
    <w:rsid w:val="0018735C"/>
    <w:rsid w:val="001876E2"/>
    <w:rsid w:val="00187986"/>
    <w:rsid w:val="00187A19"/>
    <w:rsid w:val="00187BF7"/>
    <w:rsid w:val="00187DF8"/>
    <w:rsid w:val="00187FAA"/>
    <w:rsid w:val="00190119"/>
    <w:rsid w:val="00190248"/>
    <w:rsid w:val="001902A9"/>
    <w:rsid w:val="001902DB"/>
    <w:rsid w:val="00190382"/>
    <w:rsid w:val="00190597"/>
    <w:rsid w:val="00190685"/>
    <w:rsid w:val="001907C1"/>
    <w:rsid w:val="00190947"/>
    <w:rsid w:val="00190B8E"/>
    <w:rsid w:val="00190C73"/>
    <w:rsid w:val="00190D59"/>
    <w:rsid w:val="00190DC7"/>
    <w:rsid w:val="0019108C"/>
    <w:rsid w:val="001910F0"/>
    <w:rsid w:val="001911BA"/>
    <w:rsid w:val="001914FF"/>
    <w:rsid w:val="001918AF"/>
    <w:rsid w:val="00191A96"/>
    <w:rsid w:val="00191AAB"/>
    <w:rsid w:val="00191CE9"/>
    <w:rsid w:val="00191E39"/>
    <w:rsid w:val="00191E9B"/>
    <w:rsid w:val="0019202D"/>
    <w:rsid w:val="0019233B"/>
    <w:rsid w:val="00192576"/>
    <w:rsid w:val="00192696"/>
    <w:rsid w:val="00192A0F"/>
    <w:rsid w:val="00192B0B"/>
    <w:rsid w:val="00192C7E"/>
    <w:rsid w:val="00192E66"/>
    <w:rsid w:val="0019305D"/>
    <w:rsid w:val="0019325B"/>
    <w:rsid w:val="001933CE"/>
    <w:rsid w:val="0019380B"/>
    <w:rsid w:val="00193949"/>
    <w:rsid w:val="00193DE6"/>
    <w:rsid w:val="00194115"/>
    <w:rsid w:val="0019439A"/>
    <w:rsid w:val="00194418"/>
    <w:rsid w:val="0019443D"/>
    <w:rsid w:val="00194697"/>
    <w:rsid w:val="001947ED"/>
    <w:rsid w:val="00194854"/>
    <w:rsid w:val="00194A21"/>
    <w:rsid w:val="00194B1B"/>
    <w:rsid w:val="00194BFD"/>
    <w:rsid w:val="00194DD1"/>
    <w:rsid w:val="00195186"/>
    <w:rsid w:val="001952E7"/>
    <w:rsid w:val="0019536D"/>
    <w:rsid w:val="00195522"/>
    <w:rsid w:val="00195B62"/>
    <w:rsid w:val="001963CE"/>
    <w:rsid w:val="0019674C"/>
    <w:rsid w:val="00196852"/>
    <w:rsid w:val="001968CD"/>
    <w:rsid w:val="001968DF"/>
    <w:rsid w:val="001969EF"/>
    <w:rsid w:val="00196A71"/>
    <w:rsid w:val="00196BF3"/>
    <w:rsid w:val="00196F13"/>
    <w:rsid w:val="001972A4"/>
    <w:rsid w:val="001972FE"/>
    <w:rsid w:val="001978B1"/>
    <w:rsid w:val="001979A9"/>
    <w:rsid w:val="00197CDD"/>
    <w:rsid w:val="00197DDB"/>
    <w:rsid w:val="00197E20"/>
    <w:rsid w:val="00197E82"/>
    <w:rsid w:val="00197F54"/>
    <w:rsid w:val="001A0422"/>
    <w:rsid w:val="001A05A4"/>
    <w:rsid w:val="001A072C"/>
    <w:rsid w:val="001A09C4"/>
    <w:rsid w:val="001A0A19"/>
    <w:rsid w:val="001A0F33"/>
    <w:rsid w:val="001A1050"/>
    <w:rsid w:val="001A10B5"/>
    <w:rsid w:val="001A1138"/>
    <w:rsid w:val="001A11B1"/>
    <w:rsid w:val="001A12A0"/>
    <w:rsid w:val="001A1373"/>
    <w:rsid w:val="001A1417"/>
    <w:rsid w:val="001A195B"/>
    <w:rsid w:val="001A19C5"/>
    <w:rsid w:val="001A1AC8"/>
    <w:rsid w:val="001A1ECF"/>
    <w:rsid w:val="001A2208"/>
    <w:rsid w:val="001A24A8"/>
    <w:rsid w:val="001A28F2"/>
    <w:rsid w:val="001A2945"/>
    <w:rsid w:val="001A2A58"/>
    <w:rsid w:val="001A3043"/>
    <w:rsid w:val="001A335B"/>
    <w:rsid w:val="001A335E"/>
    <w:rsid w:val="001A3377"/>
    <w:rsid w:val="001A37C9"/>
    <w:rsid w:val="001A3868"/>
    <w:rsid w:val="001A3916"/>
    <w:rsid w:val="001A3B99"/>
    <w:rsid w:val="001A3CCD"/>
    <w:rsid w:val="001A3F4B"/>
    <w:rsid w:val="001A40E3"/>
    <w:rsid w:val="001A41AA"/>
    <w:rsid w:val="001A42AB"/>
    <w:rsid w:val="001A450E"/>
    <w:rsid w:val="001A459C"/>
    <w:rsid w:val="001A460B"/>
    <w:rsid w:val="001A4722"/>
    <w:rsid w:val="001A47DE"/>
    <w:rsid w:val="001A4D01"/>
    <w:rsid w:val="001A4D44"/>
    <w:rsid w:val="001A4FD9"/>
    <w:rsid w:val="001A501C"/>
    <w:rsid w:val="001A5185"/>
    <w:rsid w:val="001A5227"/>
    <w:rsid w:val="001A5257"/>
    <w:rsid w:val="001A5286"/>
    <w:rsid w:val="001A571E"/>
    <w:rsid w:val="001A57B4"/>
    <w:rsid w:val="001A57CB"/>
    <w:rsid w:val="001A596D"/>
    <w:rsid w:val="001A5991"/>
    <w:rsid w:val="001A59F0"/>
    <w:rsid w:val="001A5A7D"/>
    <w:rsid w:val="001A5EDB"/>
    <w:rsid w:val="001A5F7B"/>
    <w:rsid w:val="001A6107"/>
    <w:rsid w:val="001A65D0"/>
    <w:rsid w:val="001A673E"/>
    <w:rsid w:val="001A676C"/>
    <w:rsid w:val="001A69E0"/>
    <w:rsid w:val="001A6C58"/>
    <w:rsid w:val="001A6C73"/>
    <w:rsid w:val="001A6E43"/>
    <w:rsid w:val="001A6F13"/>
    <w:rsid w:val="001A6FBF"/>
    <w:rsid w:val="001A764A"/>
    <w:rsid w:val="001A7A52"/>
    <w:rsid w:val="001A7A9C"/>
    <w:rsid w:val="001A7E21"/>
    <w:rsid w:val="001B02A3"/>
    <w:rsid w:val="001B04E2"/>
    <w:rsid w:val="001B0502"/>
    <w:rsid w:val="001B0528"/>
    <w:rsid w:val="001B05A6"/>
    <w:rsid w:val="001B0779"/>
    <w:rsid w:val="001B082F"/>
    <w:rsid w:val="001B089B"/>
    <w:rsid w:val="001B0B66"/>
    <w:rsid w:val="001B0C7A"/>
    <w:rsid w:val="001B0ECB"/>
    <w:rsid w:val="001B0EFF"/>
    <w:rsid w:val="001B109E"/>
    <w:rsid w:val="001B10BD"/>
    <w:rsid w:val="001B11D5"/>
    <w:rsid w:val="001B13AE"/>
    <w:rsid w:val="001B153B"/>
    <w:rsid w:val="001B15DF"/>
    <w:rsid w:val="001B16E2"/>
    <w:rsid w:val="001B18EB"/>
    <w:rsid w:val="001B194F"/>
    <w:rsid w:val="001B1EA8"/>
    <w:rsid w:val="001B1F47"/>
    <w:rsid w:val="001B1FA5"/>
    <w:rsid w:val="001B2598"/>
    <w:rsid w:val="001B2638"/>
    <w:rsid w:val="001B282D"/>
    <w:rsid w:val="001B297E"/>
    <w:rsid w:val="001B2BB1"/>
    <w:rsid w:val="001B2FE5"/>
    <w:rsid w:val="001B30CB"/>
    <w:rsid w:val="001B3357"/>
    <w:rsid w:val="001B3408"/>
    <w:rsid w:val="001B34DA"/>
    <w:rsid w:val="001B3592"/>
    <w:rsid w:val="001B38F6"/>
    <w:rsid w:val="001B39D3"/>
    <w:rsid w:val="001B3BE6"/>
    <w:rsid w:val="001B3DDE"/>
    <w:rsid w:val="001B3DFF"/>
    <w:rsid w:val="001B3F96"/>
    <w:rsid w:val="001B417B"/>
    <w:rsid w:val="001B48C4"/>
    <w:rsid w:val="001B49D9"/>
    <w:rsid w:val="001B49DE"/>
    <w:rsid w:val="001B4B1E"/>
    <w:rsid w:val="001B4BCD"/>
    <w:rsid w:val="001B4E00"/>
    <w:rsid w:val="001B4E0F"/>
    <w:rsid w:val="001B512D"/>
    <w:rsid w:val="001B56DF"/>
    <w:rsid w:val="001B5779"/>
    <w:rsid w:val="001B5E32"/>
    <w:rsid w:val="001B5EE1"/>
    <w:rsid w:val="001B6139"/>
    <w:rsid w:val="001B6282"/>
    <w:rsid w:val="001B6549"/>
    <w:rsid w:val="001B65A5"/>
    <w:rsid w:val="001B6648"/>
    <w:rsid w:val="001B67EC"/>
    <w:rsid w:val="001B688F"/>
    <w:rsid w:val="001B6949"/>
    <w:rsid w:val="001B6B44"/>
    <w:rsid w:val="001B6B93"/>
    <w:rsid w:val="001B6BA6"/>
    <w:rsid w:val="001B6E19"/>
    <w:rsid w:val="001B6E24"/>
    <w:rsid w:val="001B7012"/>
    <w:rsid w:val="001B7019"/>
    <w:rsid w:val="001B773B"/>
    <w:rsid w:val="001B7A26"/>
    <w:rsid w:val="001B7AAC"/>
    <w:rsid w:val="001B7B93"/>
    <w:rsid w:val="001B7BB2"/>
    <w:rsid w:val="001B7CAB"/>
    <w:rsid w:val="001B7CF9"/>
    <w:rsid w:val="001B7E15"/>
    <w:rsid w:val="001C0122"/>
    <w:rsid w:val="001C045E"/>
    <w:rsid w:val="001C0724"/>
    <w:rsid w:val="001C074F"/>
    <w:rsid w:val="001C07AF"/>
    <w:rsid w:val="001C085C"/>
    <w:rsid w:val="001C0AAB"/>
    <w:rsid w:val="001C0BF4"/>
    <w:rsid w:val="001C0E82"/>
    <w:rsid w:val="001C0EBD"/>
    <w:rsid w:val="001C0F64"/>
    <w:rsid w:val="001C0FAD"/>
    <w:rsid w:val="001C159B"/>
    <w:rsid w:val="001C16ED"/>
    <w:rsid w:val="001C18E7"/>
    <w:rsid w:val="001C1B4E"/>
    <w:rsid w:val="001C1C0B"/>
    <w:rsid w:val="001C1D45"/>
    <w:rsid w:val="001C212D"/>
    <w:rsid w:val="001C218C"/>
    <w:rsid w:val="001C2662"/>
    <w:rsid w:val="001C26A2"/>
    <w:rsid w:val="001C270F"/>
    <w:rsid w:val="001C28DF"/>
    <w:rsid w:val="001C29B2"/>
    <w:rsid w:val="001C2C98"/>
    <w:rsid w:val="001C2CA9"/>
    <w:rsid w:val="001C2D31"/>
    <w:rsid w:val="001C320E"/>
    <w:rsid w:val="001C349E"/>
    <w:rsid w:val="001C34A5"/>
    <w:rsid w:val="001C353D"/>
    <w:rsid w:val="001C39A9"/>
    <w:rsid w:val="001C39D9"/>
    <w:rsid w:val="001C3EC8"/>
    <w:rsid w:val="001C40D0"/>
    <w:rsid w:val="001C41F2"/>
    <w:rsid w:val="001C42D0"/>
    <w:rsid w:val="001C4389"/>
    <w:rsid w:val="001C43D4"/>
    <w:rsid w:val="001C453C"/>
    <w:rsid w:val="001C4668"/>
    <w:rsid w:val="001C4742"/>
    <w:rsid w:val="001C4941"/>
    <w:rsid w:val="001C4A20"/>
    <w:rsid w:val="001C4A22"/>
    <w:rsid w:val="001C4BBB"/>
    <w:rsid w:val="001C4C88"/>
    <w:rsid w:val="001C4E0F"/>
    <w:rsid w:val="001C4F6E"/>
    <w:rsid w:val="001C5072"/>
    <w:rsid w:val="001C51B2"/>
    <w:rsid w:val="001C57D8"/>
    <w:rsid w:val="001C5B7A"/>
    <w:rsid w:val="001C5C9A"/>
    <w:rsid w:val="001C5D70"/>
    <w:rsid w:val="001C5FD5"/>
    <w:rsid w:val="001C6153"/>
    <w:rsid w:val="001C62A4"/>
    <w:rsid w:val="001C642E"/>
    <w:rsid w:val="001C647E"/>
    <w:rsid w:val="001C67B6"/>
    <w:rsid w:val="001C682B"/>
    <w:rsid w:val="001C6CD8"/>
    <w:rsid w:val="001C6E26"/>
    <w:rsid w:val="001C6FB4"/>
    <w:rsid w:val="001C752B"/>
    <w:rsid w:val="001C776D"/>
    <w:rsid w:val="001C7CBB"/>
    <w:rsid w:val="001C7F37"/>
    <w:rsid w:val="001D0173"/>
    <w:rsid w:val="001D024D"/>
    <w:rsid w:val="001D0359"/>
    <w:rsid w:val="001D038F"/>
    <w:rsid w:val="001D03BF"/>
    <w:rsid w:val="001D051B"/>
    <w:rsid w:val="001D0B28"/>
    <w:rsid w:val="001D0F75"/>
    <w:rsid w:val="001D10ED"/>
    <w:rsid w:val="001D1243"/>
    <w:rsid w:val="001D1362"/>
    <w:rsid w:val="001D169D"/>
    <w:rsid w:val="001D1794"/>
    <w:rsid w:val="001D1C7A"/>
    <w:rsid w:val="001D1DFB"/>
    <w:rsid w:val="001D1E20"/>
    <w:rsid w:val="001D230C"/>
    <w:rsid w:val="001D235F"/>
    <w:rsid w:val="001D2513"/>
    <w:rsid w:val="001D2618"/>
    <w:rsid w:val="001D26A4"/>
    <w:rsid w:val="001D2979"/>
    <w:rsid w:val="001D29B0"/>
    <w:rsid w:val="001D2ABE"/>
    <w:rsid w:val="001D2B91"/>
    <w:rsid w:val="001D323C"/>
    <w:rsid w:val="001D340B"/>
    <w:rsid w:val="001D358F"/>
    <w:rsid w:val="001D36B3"/>
    <w:rsid w:val="001D38BA"/>
    <w:rsid w:val="001D4292"/>
    <w:rsid w:val="001D42BF"/>
    <w:rsid w:val="001D44FB"/>
    <w:rsid w:val="001D492B"/>
    <w:rsid w:val="001D4C75"/>
    <w:rsid w:val="001D4D36"/>
    <w:rsid w:val="001D4D5E"/>
    <w:rsid w:val="001D4DAE"/>
    <w:rsid w:val="001D4F56"/>
    <w:rsid w:val="001D5031"/>
    <w:rsid w:val="001D50B5"/>
    <w:rsid w:val="001D50D8"/>
    <w:rsid w:val="001D50FE"/>
    <w:rsid w:val="001D52BB"/>
    <w:rsid w:val="001D5309"/>
    <w:rsid w:val="001D58B3"/>
    <w:rsid w:val="001D59FE"/>
    <w:rsid w:val="001D5AD4"/>
    <w:rsid w:val="001D5D17"/>
    <w:rsid w:val="001D5EA2"/>
    <w:rsid w:val="001D6155"/>
    <w:rsid w:val="001D6199"/>
    <w:rsid w:val="001D64EB"/>
    <w:rsid w:val="001D6585"/>
    <w:rsid w:val="001D675C"/>
    <w:rsid w:val="001D6879"/>
    <w:rsid w:val="001D68C2"/>
    <w:rsid w:val="001D6B43"/>
    <w:rsid w:val="001D6BFB"/>
    <w:rsid w:val="001D6E0E"/>
    <w:rsid w:val="001D6F0A"/>
    <w:rsid w:val="001D6F94"/>
    <w:rsid w:val="001D7274"/>
    <w:rsid w:val="001D746F"/>
    <w:rsid w:val="001D74C5"/>
    <w:rsid w:val="001D7604"/>
    <w:rsid w:val="001D766C"/>
    <w:rsid w:val="001D7739"/>
    <w:rsid w:val="001D77DB"/>
    <w:rsid w:val="001D78F9"/>
    <w:rsid w:val="001D7B52"/>
    <w:rsid w:val="001D7F3B"/>
    <w:rsid w:val="001E006C"/>
    <w:rsid w:val="001E0601"/>
    <w:rsid w:val="001E080B"/>
    <w:rsid w:val="001E0840"/>
    <w:rsid w:val="001E0CE8"/>
    <w:rsid w:val="001E0FBE"/>
    <w:rsid w:val="001E10CC"/>
    <w:rsid w:val="001E11FE"/>
    <w:rsid w:val="001E14FE"/>
    <w:rsid w:val="001E1A6F"/>
    <w:rsid w:val="001E1B6F"/>
    <w:rsid w:val="001E1DE2"/>
    <w:rsid w:val="001E1FBD"/>
    <w:rsid w:val="001E24D5"/>
    <w:rsid w:val="001E2629"/>
    <w:rsid w:val="001E2A24"/>
    <w:rsid w:val="001E2BB7"/>
    <w:rsid w:val="001E2CDD"/>
    <w:rsid w:val="001E3498"/>
    <w:rsid w:val="001E3586"/>
    <w:rsid w:val="001E3608"/>
    <w:rsid w:val="001E3A2C"/>
    <w:rsid w:val="001E3B41"/>
    <w:rsid w:val="001E3B46"/>
    <w:rsid w:val="001E3B87"/>
    <w:rsid w:val="001E3BA6"/>
    <w:rsid w:val="001E3E08"/>
    <w:rsid w:val="001E3F49"/>
    <w:rsid w:val="001E3FFB"/>
    <w:rsid w:val="001E4011"/>
    <w:rsid w:val="001E41AC"/>
    <w:rsid w:val="001E43A8"/>
    <w:rsid w:val="001E447B"/>
    <w:rsid w:val="001E44DA"/>
    <w:rsid w:val="001E4694"/>
    <w:rsid w:val="001E4877"/>
    <w:rsid w:val="001E4954"/>
    <w:rsid w:val="001E4A02"/>
    <w:rsid w:val="001E4CF7"/>
    <w:rsid w:val="001E4E9A"/>
    <w:rsid w:val="001E4EC8"/>
    <w:rsid w:val="001E4EEA"/>
    <w:rsid w:val="001E4F40"/>
    <w:rsid w:val="001E4F75"/>
    <w:rsid w:val="001E511A"/>
    <w:rsid w:val="001E51E9"/>
    <w:rsid w:val="001E53F4"/>
    <w:rsid w:val="001E544D"/>
    <w:rsid w:val="001E54E3"/>
    <w:rsid w:val="001E5785"/>
    <w:rsid w:val="001E5B0D"/>
    <w:rsid w:val="001E5F39"/>
    <w:rsid w:val="001E603E"/>
    <w:rsid w:val="001E60C7"/>
    <w:rsid w:val="001E6157"/>
    <w:rsid w:val="001E627B"/>
    <w:rsid w:val="001E62DB"/>
    <w:rsid w:val="001E6906"/>
    <w:rsid w:val="001E69E1"/>
    <w:rsid w:val="001E69FB"/>
    <w:rsid w:val="001E6B5F"/>
    <w:rsid w:val="001E6B7C"/>
    <w:rsid w:val="001E6DDD"/>
    <w:rsid w:val="001E6EA3"/>
    <w:rsid w:val="001E70D8"/>
    <w:rsid w:val="001E7196"/>
    <w:rsid w:val="001E71A1"/>
    <w:rsid w:val="001E7250"/>
    <w:rsid w:val="001E7461"/>
    <w:rsid w:val="001E7618"/>
    <w:rsid w:val="001E767A"/>
    <w:rsid w:val="001E77A9"/>
    <w:rsid w:val="001E77F6"/>
    <w:rsid w:val="001E7A17"/>
    <w:rsid w:val="001E7BB6"/>
    <w:rsid w:val="001E7C7E"/>
    <w:rsid w:val="001E7DF5"/>
    <w:rsid w:val="001E7E7B"/>
    <w:rsid w:val="001E7E84"/>
    <w:rsid w:val="001F007B"/>
    <w:rsid w:val="001F00E3"/>
    <w:rsid w:val="001F025B"/>
    <w:rsid w:val="001F04D7"/>
    <w:rsid w:val="001F05D7"/>
    <w:rsid w:val="001F0608"/>
    <w:rsid w:val="001F0B64"/>
    <w:rsid w:val="001F0C80"/>
    <w:rsid w:val="001F0D61"/>
    <w:rsid w:val="001F0F48"/>
    <w:rsid w:val="001F1028"/>
    <w:rsid w:val="001F1063"/>
    <w:rsid w:val="001F10A6"/>
    <w:rsid w:val="001F116C"/>
    <w:rsid w:val="001F1263"/>
    <w:rsid w:val="001F1278"/>
    <w:rsid w:val="001F169A"/>
    <w:rsid w:val="001F17CC"/>
    <w:rsid w:val="001F190A"/>
    <w:rsid w:val="001F206F"/>
    <w:rsid w:val="001F2722"/>
    <w:rsid w:val="001F279E"/>
    <w:rsid w:val="001F2927"/>
    <w:rsid w:val="001F29D8"/>
    <w:rsid w:val="001F2AF0"/>
    <w:rsid w:val="001F2C34"/>
    <w:rsid w:val="001F2D58"/>
    <w:rsid w:val="001F2FBC"/>
    <w:rsid w:val="001F3043"/>
    <w:rsid w:val="001F30AA"/>
    <w:rsid w:val="001F31A8"/>
    <w:rsid w:val="001F3349"/>
    <w:rsid w:val="001F337E"/>
    <w:rsid w:val="001F33A2"/>
    <w:rsid w:val="001F34C6"/>
    <w:rsid w:val="001F3529"/>
    <w:rsid w:val="001F3603"/>
    <w:rsid w:val="001F3834"/>
    <w:rsid w:val="001F388A"/>
    <w:rsid w:val="001F3ADE"/>
    <w:rsid w:val="001F3D2E"/>
    <w:rsid w:val="001F3D59"/>
    <w:rsid w:val="001F3D69"/>
    <w:rsid w:val="001F4049"/>
    <w:rsid w:val="001F4059"/>
    <w:rsid w:val="001F4120"/>
    <w:rsid w:val="001F439C"/>
    <w:rsid w:val="001F453F"/>
    <w:rsid w:val="001F47AB"/>
    <w:rsid w:val="001F4825"/>
    <w:rsid w:val="001F4AD6"/>
    <w:rsid w:val="001F4E4C"/>
    <w:rsid w:val="001F5093"/>
    <w:rsid w:val="001F5150"/>
    <w:rsid w:val="001F52BC"/>
    <w:rsid w:val="001F5395"/>
    <w:rsid w:val="001F54FE"/>
    <w:rsid w:val="001F556A"/>
    <w:rsid w:val="001F55FA"/>
    <w:rsid w:val="001F5655"/>
    <w:rsid w:val="001F5731"/>
    <w:rsid w:val="001F5879"/>
    <w:rsid w:val="001F58B4"/>
    <w:rsid w:val="001F59B6"/>
    <w:rsid w:val="001F5B1E"/>
    <w:rsid w:val="001F5C0E"/>
    <w:rsid w:val="001F5C36"/>
    <w:rsid w:val="001F5C68"/>
    <w:rsid w:val="001F5D50"/>
    <w:rsid w:val="001F5E2F"/>
    <w:rsid w:val="001F5E49"/>
    <w:rsid w:val="001F5F29"/>
    <w:rsid w:val="001F6447"/>
    <w:rsid w:val="001F6A1B"/>
    <w:rsid w:val="001F6AA4"/>
    <w:rsid w:val="001F6B6E"/>
    <w:rsid w:val="001F6BD4"/>
    <w:rsid w:val="001F6BF0"/>
    <w:rsid w:val="001F6F7E"/>
    <w:rsid w:val="001F718F"/>
    <w:rsid w:val="001F78A0"/>
    <w:rsid w:val="001F7BBE"/>
    <w:rsid w:val="001F7C2A"/>
    <w:rsid w:val="001F7CDE"/>
    <w:rsid w:val="001F7ECA"/>
    <w:rsid w:val="00200032"/>
    <w:rsid w:val="00200093"/>
    <w:rsid w:val="002002E2"/>
    <w:rsid w:val="00200372"/>
    <w:rsid w:val="00200684"/>
    <w:rsid w:val="002006C1"/>
    <w:rsid w:val="00200A18"/>
    <w:rsid w:val="00200C77"/>
    <w:rsid w:val="00200D11"/>
    <w:rsid w:val="00200E83"/>
    <w:rsid w:val="00201329"/>
    <w:rsid w:val="00201493"/>
    <w:rsid w:val="00201518"/>
    <w:rsid w:val="0020184D"/>
    <w:rsid w:val="00201C59"/>
    <w:rsid w:val="00201EAA"/>
    <w:rsid w:val="00201FFF"/>
    <w:rsid w:val="00202088"/>
    <w:rsid w:val="00202116"/>
    <w:rsid w:val="00202121"/>
    <w:rsid w:val="0020246A"/>
    <w:rsid w:val="002025F4"/>
    <w:rsid w:val="00202691"/>
    <w:rsid w:val="00202774"/>
    <w:rsid w:val="0020287F"/>
    <w:rsid w:val="0020293D"/>
    <w:rsid w:val="002029A3"/>
    <w:rsid w:val="002029C8"/>
    <w:rsid w:val="00202D16"/>
    <w:rsid w:val="00202E68"/>
    <w:rsid w:val="002033A8"/>
    <w:rsid w:val="00203519"/>
    <w:rsid w:val="00203657"/>
    <w:rsid w:val="002036C7"/>
    <w:rsid w:val="0020374D"/>
    <w:rsid w:val="002039DD"/>
    <w:rsid w:val="00203B9B"/>
    <w:rsid w:val="00203BE3"/>
    <w:rsid w:val="00203C3D"/>
    <w:rsid w:val="00203D6A"/>
    <w:rsid w:val="00203EA2"/>
    <w:rsid w:val="00203F7B"/>
    <w:rsid w:val="002040F6"/>
    <w:rsid w:val="00204272"/>
    <w:rsid w:val="0020467E"/>
    <w:rsid w:val="002047C4"/>
    <w:rsid w:val="0020488A"/>
    <w:rsid w:val="002048EE"/>
    <w:rsid w:val="00204942"/>
    <w:rsid w:val="00204994"/>
    <w:rsid w:val="00204A8C"/>
    <w:rsid w:val="00204B75"/>
    <w:rsid w:val="00204F1E"/>
    <w:rsid w:val="00205017"/>
    <w:rsid w:val="00205177"/>
    <w:rsid w:val="00205189"/>
    <w:rsid w:val="0020530E"/>
    <w:rsid w:val="002055DB"/>
    <w:rsid w:val="002056CD"/>
    <w:rsid w:val="002056EE"/>
    <w:rsid w:val="0020572A"/>
    <w:rsid w:val="00205735"/>
    <w:rsid w:val="002058BB"/>
    <w:rsid w:val="002059CD"/>
    <w:rsid w:val="00205B66"/>
    <w:rsid w:val="00205BA3"/>
    <w:rsid w:val="00205CD1"/>
    <w:rsid w:val="00205E14"/>
    <w:rsid w:val="0020610E"/>
    <w:rsid w:val="00206134"/>
    <w:rsid w:val="00206359"/>
    <w:rsid w:val="002063CA"/>
    <w:rsid w:val="00206440"/>
    <w:rsid w:val="002065A7"/>
    <w:rsid w:val="0020666E"/>
    <w:rsid w:val="00206845"/>
    <w:rsid w:val="002069E6"/>
    <w:rsid w:val="00206D20"/>
    <w:rsid w:val="00206E14"/>
    <w:rsid w:val="00206F01"/>
    <w:rsid w:val="00207027"/>
    <w:rsid w:val="00207452"/>
    <w:rsid w:val="00207576"/>
    <w:rsid w:val="0020762F"/>
    <w:rsid w:val="00207644"/>
    <w:rsid w:val="00207910"/>
    <w:rsid w:val="00207A45"/>
    <w:rsid w:val="00207A94"/>
    <w:rsid w:val="00210096"/>
    <w:rsid w:val="00210121"/>
    <w:rsid w:val="0021013F"/>
    <w:rsid w:val="002101D4"/>
    <w:rsid w:val="00210333"/>
    <w:rsid w:val="00210537"/>
    <w:rsid w:val="0021091E"/>
    <w:rsid w:val="00210993"/>
    <w:rsid w:val="002109F4"/>
    <w:rsid w:val="00210B1C"/>
    <w:rsid w:val="00210CE6"/>
    <w:rsid w:val="002110B8"/>
    <w:rsid w:val="002110D1"/>
    <w:rsid w:val="0021111A"/>
    <w:rsid w:val="002111D4"/>
    <w:rsid w:val="0021131E"/>
    <w:rsid w:val="002113B4"/>
    <w:rsid w:val="0021143A"/>
    <w:rsid w:val="00211443"/>
    <w:rsid w:val="0021164A"/>
    <w:rsid w:val="00211B16"/>
    <w:rsid w:val="00211DC6"/>
    <w:rsid w:val="00211ECA"/>
    <w:rsid w:val="002120AF"/>
    <w:rsid w:val="002120F8"/>
    <w:rsid w:val="0021272B"/>
    <w:rsid w:val="00212A86"/>
    <w:rsid w:val="00212DFF"/>
    <w:rsid w:val="00213588"/>
    <w:rsid w:val="002136EB"/>
    <w:rsid w:val="0021388C"/>
    <w:rsid w:val="002138D6"/>
    <w:rsid w:val="002138E1"/>
    <w:rsid w:val="0021395E"/>
    <w:rsid w:val="002139E6"/>
    <w:rsid w:val="00213F73"/>
    <w:rsid w:val="0021404C"/>
    <w:rsid w:val="00214237"/>
    <w:rsid w:val="002142C0"/>
    <w:rsid w:val="002143BC"/>
    <w:rsid w:val="002144A5"/>
    <w:rsid w:val="00214859"/>
    <w:rsid w:val="002148B0"/>
    <w:rsid w:val="00214972"/>
    <w:rsid w:val="00214AEC"/>
    <w:rsid w:val="00214D43"/>
    <w:rsid w:val="00214E43"/>
    <w:rsid w:val="00214F84"/>
    <w:rsid w:val="002151AB"/>
    <w:rsid w:val="0021549D"/>
    <w:rsid w:val="00215586"/>
    <w:rsid w:val="00215801"/>
    <w:rsid w:val="002159C4"/>
    <w:rsid w:val="00215A55"/>
    <w:rsid w:val="00215C39"/>
    <w:rsid w:val="00215CCE"/>
    <w:rsid w:val="00215CEE"/>
    <w:rsid w:val="00215DE8"/>
    <w:rsid w:val="00215DF8"/>
    <w:rsid w:val="002161C3"/>
    <w:rsid w:val="00216272"/>
    <w:rsid w:val="002163F7"/>
    <w:rsid w:val="002164AD"/>
    <w:rsid w:val="002164B0"/>
    <w:rsid w:val="00216781"/>
    <w:rsid w:val="002169CE"/>
    <w:rsid w:val="00216A12"/>
    <w:rsid w:val="00216B8B"/>
    <w:rsid w:val="00216D2F"/>
    <w:rsid w:val="00216FE4"/>
    <w:rsid w:val="002175B0"/>
    <w:rsid w:val="002176D0"/>
    <w:rsid w:val="002177C0"/>
    <w:rsid w:val="00217A46"/>
    <w:rsid w:val="00217D29"/>
    <w:rsid w:val="00217E6F"/>
    <w:rsid w:val="00217F12"/>
    <w:rsid w:val="00220274"/>
    <w:rsid w:val="00220353"/>
    <w:rsid w:val="0022038C"/>
    <w:rsid w:val="0022046E"/>
    <w:rsid w:val="00220552"/>
    <w:rsid w:val="00220AD3"/>
    <w:rsid w:val="00220B4A"/>
    <w:rsid w:val="00220B9F"/>
    <w:rsid w:val="00220C20"/>
    <w:rsid w:val="00220D84"/>
    <w:rsid w:val="00220DB1"/>
    <w:rsid w:val="00220EAD"/>
    <w:rsid w:val="00221110"/>
    <w:rsid w:val="0022119F"/>
    <w:rsid w:val="00221559"/>
    <w:rsid w:val="002216AE"/>
    <w:rsid w:val="0022172B"/>
    <w:rsid w:val="00221849"/>
    <w:rsid w:val="002218D2"/>
    <w:rsid w:val="002219CC"/>
    <w:rsid w:val="00221BC3"/>
    <w:rsid w:val="00221CC1"/>
    <w:rsid w:val="00221D7F"/>
    <w:rsid w:val="00221E9A"/>
    <w:rsid w:val="00222624"/>
    <w:rsid w:val="002226D6"/>
    <w:rsid w:val="00222994"/>
    <w:rsid w:val="00222CFC"/>
    <w:rsid w:val="00222E04"/>
    <w:rsid w:val="00222FA9"/>
    <w:rsid w:val="00223065"/>
    <w:rsid w:val="002234D9"/>
    <w:rsid w:val="00223632"/>
    <w:rsid w:val="002237DA"/>
    <w:rsid w:val="00223910"/>
    <w:rsid w:val="00223969"/>
    <w:rsid w:val="00223B38"/>
    <w:rsid w:val="00223CBB"/>
    <w:rsid w:val="00223CF1"/>
    <w:rsid w:val="00223E6E"/>
    <w:rsid w:val="00223EC0"/>
    <w:rsid w:val="00223F49"/>
    <w:rsid w:val="00224016"/>
    <w:rsid w:val="002240DE"/>
    <w:rsid w:val="0022418B"/>
    <w:rsid w:val="00224360"/>
    <w:rsid w:val="002244C6"/>
    <w:rsid w:val="00224535"/>
    <w:rsid w:val="002246A6"/>
    <w:rsid w:val="0022493A"/>
    <w:rsid w:val="00224BE7"/>
    <w:rsid w:val="00224C08"/>
    <w:rsid w:val="00224F0F"/>
    <w:rsid w:val="00225065"/>
    <w:rsid w:val="002252C6"/>
    <w:rsid w:val="002253EC"/>
    <w:rsid w:val="0022549D"/>
    <w:rsid w:val="002254E6"/>
    <w:rsid w:val="00225545"/>
    <w:rsid w:val="00225AE4"/>
    <w:rsid w:val="00225B43"/>
    <w:rsid w:val="00225CBC"/>
    <w:rsid w:val="00225FE5"/>
    <w:rsid w:val="00226095"/>
    <w:rsid w:val="002262FA"/>
    <w:rsid w:val="00226367"/>
    <w:rsid w:val="00226392"/>
    <w:rsid w:val="0022647C"/>
    <w:rsid w:val="0022654F"/>
    <w:rsid w:val="002268CC"/>
    <w:rsid w:val="00226A7B"/>
    <w:rsid w:val="00226A96"/>
    <w:rsid w:val="00226B31"/>
    <w:rsid w:val="00226B5D"/>
    <w:rsid w:val="00226BBB"/>
    <w:rsid w:val="00226F85"/>
    <w:rsid w:val="0022713E"/>
    <w:rsid w:val="00227195"/>
    <w:rsid w:val="002271EC"/>
    <w:rsid w:val="0022752C"/>
    <w:rsid w:val="00227819"/>
    <w:rsid w:val="00227BF5"/>
    <w:rsid w:val="00227C10"/>
    <w:rsid w:val="00227DBD"/>
    <w:rsid w:val="00227E3E"/>
    <w:rsid w:val="00227EBD"/>
    <w:rsid w:val="00227EEF"/>
    <w:rsid w:val="00227F95"/>
    <w:rsid w:val="00230167"/>
    <w:rsid w:val="00230217"/>
    <w:rsid w:val="00230347"/>
    <w:rsid w:val="00230D78"/>
    <w:rsid w:val="00230FFB"/>
    <w:rsid w:val="0023116C"/>
    <w:rsid w:val="00231189"/>
    <w:rsid w:val="00231293"/>
    <w:rsid w:val="002312DE"/>
    <w:rsid w:val="00231341"/>
    <w:rsid w:val="00231466"/>
    <w:rsid w:val="0023149F"/>
    <w:rsid w:val="00231502"/>
    <w:rsid w:val="00231A56"/>
    <w:rsid w:val="00231AB8"/>
    <w:rsid w:val="00231AC1"/>
    <w:rsid w:val="00231C98"/>
    <w:rsid w:val="00231C9E"/>
    <w:rsid w:val="00231CB8"/>
    <w:rsid w:val="00231D40"/>
    <w:rsid w:val="00231DBF"/>
    <w:rsid w:val="00231DDD"/>
    <w:rsid w:val="00231E93"/>
    <w:rsid w:val="00231EEE"/>
    <w:rsid w:val="00231F38"/>
    <w:rsid w:val="00232008"/>
    <w:rsid w:val="00232191"/>
    <w:rsid w:val="002322AB"/>
    <w:rsid w:val="00232342"/>
    <w:rsid w:val="002326D3"/>
    <w:rsid w:val="00232AF7"/>
    <w:rsid w:val="00232CBC"/>
    <w:rsid w:val="00232D46"/>
    <w:rsid w:val="00232E7F"/>
    <w:rsid w:val="00232EF6"/>
    <w:rsid w:val="002332A3"/>
    <w:rsid w:val="0023358A"/>
    <w:rsid w:val="0023384E"/>
    <w:rsid w:val="002338C2"/>
    <w:rsid w:val="00233C75"/>
    <w:rsid w:val="00233E0D"/>
    <w:rsid w:val="00233EF9"/>
    <w:rsid w:val="002343EE"/>
    <w:rsid w:val="00234426"/>
    <w:rsid w:val="00234609"/>
    <w:rsid w:val="00234719"/>
    <w:rsid w:val="00234750"/>
    <w:rsid w:val="00234790"/>
    <w:rsid w:val="00234814"/>
    <w:rsid w:val="00234BFB"/>
    <w:rsid w:val="00234DC3"/>
    <w:rsid w:val="00234E74"/>
    <w:rsid w:val="00235071"/>
    <w:rsid w:val="002350DE"/>
    <w:rsid w:val="002351C2"/>
    <w:rsid w:val="002352B6"/>
    <w:rsid w:val="00235871"/>
    <w:rsid w:val="00235BED"/>
    <w:rsid w:val="00235D84"/>
    <w:rsid w:val="002360CF"/>
    <w:rsid w:val="002366D1"/>
    <w:rsid w:val="002367B5"/>
    <w:rsid w:val="0023699E"/>
    <w:rsid w:val="002369EA"/>
    <w:rsid w:val="00236AF1"/>
    <w:rsid w:val="00236B4D"/>
    <w:rsid w:val="00236DC4"/>
    <w:rsid w:val="00236E36"/>
    <w:rsid w:val="00236F62"/>
    <w:rsid w:val="00237000"/>
    <w:rsid w:val="00237066"/>
    <w:rsid w:val="0023714C"/>
    <w:rsid w:val="0023760A"/>
    <w:rsid w:val="0023765C"/>
    <w:rsid w:val="002376DF"/>
    <w:rsid w:val="00237B09"/>
    <w:rsid w:val="00237C98"/>
    <w:rsid w:val="0024013E"/>
    <w:rsid w:val="00240145"/>
    <w:rsid w:val="00240328"/>
    <w:rsid w:val="002407E0"/>
    <w:rsid w:val="00240ABB"/>
    <w:rsid w:val="00240B51"/>
    <w:rsid w:val="00240B55"/>
    <w:rsid w:val="00240C7C"/>
    <w:rsid w:val="00240E1C"/>
    <w:rsid w:val="00240EB5"/>
    <w:rsid w:val="00240EE1"/>
    <w:rsid w:val="002410B1"/>
    <w:rsid w:val="00241109"/>
    <w:rsid w:val="002412BF"/>
    <w:rsid w:val="00241503"/>
    <w:rsid w:val="00241857"/>
    <w:rsid w:val="002418AE"/>
    <w:rsid w:val="00241975"/>
    <w:rsid w:val="00241B33"/>
    <w:rsid w:val="00241C1B"/>
    <w:rsid w:val="00241CDB"/>
    <w:rsid w:val="00241D3A"/>
    <w:rsid w:val="00241D82"/>
    <w:rsid w:val="00241F69"/>
    <w:rsid w:val="002422D9"/>
    <w:rsid w:val="00242534"/>
    <w:rsid w:val="00242575"/>
    <w:rsid w:val="00242854"/>
    <w:rsid w:val="00242B13"/>
    <w:rsid w:val="00242C49"/>
    <w:rsid w:val="00242E72"/>
    <w:rsid w:val="002430D8"/>
    <w:rsid w:val="002430FC"/>
    <w:rsid w:val="00243397"/>
    <w:rsid w:val="002433CA"/>
    <w:rsid w:val="002433F1"/>
    <w:rsid w:val="0024368B"/>
    <w:rsid w:val="002436DC"/>
    <w:rsid w:val="002437CA"/>
    <w:rsid w:val="002437F3"/>
    <w:rsid w:val="0024395A"/>
    <w:rsid w:val="0024397B"/>
    <w:rsid w:val="00243C23"/>
    <w:rsid w:val="00243CA3"/>
    <w:rsid w:val="00243CD8"/>
    <w:rsid w:val="00243D51"/>
    <w:rsid w:val="00243E9B"/>
    <w:rsid w:val="00243FDC"/>
    <w:rsid w:val="0024408E"/>
    <w:rsid w:val="00244129"/>
    <w:rsid w:val="00244278"/>
    <w:rsid w:val="002443A1"/>
    <w:rsid w:val="00244885"/>
    <w:rsid w:val="00244BC1"/>
    <w:rsid w:val="00244D33"/>
    <w:rsid w:val="00244D5D"/>
    <w:rsid w:val="002450C8"/>
    <w:rsid w:val="00245210"/>
    <w:rsid w:val="002453CC"/>
    <w:rsid w:val="00245508"/>
    <w:rsid w:val="0024561C"/>
    <w:rsid w:val="00245640"/>
    <w:rsid w:val="0024569F"/>
    <w:rsid w:val="00245A64"/>
    <w:rsid w:val="00245B0A"/>
    <w:rsid w:val="00245C1E"/>
    <w:rsid w:val="002460D7"/>
    <w:rsid w:val="002460E8"/>
    <w:rsid w:val="002461C3"/>
    <w:rsid w:val="002463AC"/>
    <w:rsid w:val="002464E5"/>
    <w:rsid w:val="00246726"/>
    <w:rsid w:val="00246B3F"/>
    <w:rsid w:val="00246C11"/>
    <w:rsid w:val="00246C23"/>
    <w:rsid w:val="00246EB2"/>
    <w:rsid w:val="00247146"/>
    <w:rsid w:val="002472D6"/>
    <w:rsid w:val="002474AD"/>
    <w:rsid w:val="00247519"/>
    <w:rsid w:val="002479F9"/>
    <w:rsid w:val="00247A6D"/>
    <w:rsid w:val="00247C5B"/>
    <w:rsid w:val="00247CA3"/>
    <w:rsid w:val="00247D52"/>
    <w:rsid w:val="00247D93"/>
    <w:rsid w:val="0025032F"/>
    <w:rsid w:val="002503D1"/>
    <w:rsid w:val="00250587"/>
    <w:rsid w:val="00250944"/>
    <w:rsid w:val="002509A1"/>
    <w:rsid w:val="00250B9C"/>
    <w:rsid w:val="00250BA2"/>
    <w:rsid w:val="00250F64"/>
    <w:rsid w:val="002511D2"/>
    <w:rsid w:val="00251233"/>
    <w:rsid w:val="00251632"/>
    <w:rsid w:val="0025178D"/>
    <w:rsid w:val="00251808"/>
    <w:rsid w:val="00251984"/>
    <w:rsid w:val="002519AC"/>
    <w:rsid w:val="002519CC"/>
    <w:rsid w:val="00251ACC"/>
    <w:rsid w:val="00251B44"/>
    <w:rsid w:val="00251B45"/>
    <w:rsid w:val="00251D1E"/>
    <w:rsid w:val="00251F20"/>
    <w:rsid w:val="00252063"/>
    <w:rsid w:val="00252301"/>
    <w:rsid w:val="00252337"/>
    <w:rsid w:val="0025248A"/>
    <w:rsid w:val="002524D8"/>
    <w:rsid w:val="00252506"/>
    <w:rsid w:val="0025288A"/>
    <w:rsid w:val="0025292C"/>
    <w:rsid w:val="002529E1"/>
    <w:rsid w:val="00252A6C"/>
    <w:rsid w:val="00252ACF"/>
    <w:rsid w:val="00252C7F"/>
    <w:rsid w:val="00252CB1"/>
    <w:rsid w:val="00252DE9"/>
    <w:rsid w:val="0025349F"/>
    <w:rsid w:val="002534B7"/>
    <w:rsid w:val="0025356A"/>
    <w:rsid w:val="002537FF"/>
    <w:rsid w:val="0025383C"/>
    <w:rsid w:val="002538FF"/>
    <w:rsid w:val="00253B42"/>
    <w:rsid w:val="00253BDD"/>
    <w:rsid w:val="00253C68"/>
    <w:rsid w:val="00253D51"/>
    <w:rsid w:val="00253DC7"/>
    <w:rsid w:val="00253E89"/>
    <w:rsid w:val="0025412D"/>
    <w:rsid w:val="00254160"/>
    <w:rsid w:val="002541DE"/>
    <w:rsid w:val="002541F2"/>
    <w:rsid w:val="00254319"/>
    <w:rsid w:val="00254587"/>
    <w:rsid w:val="002545E4"/>
    <w:rsid w:val="00254816"/>
    <w:rsid w:val="002549BF"/>
    <w:rsid w:val="00254A74"/>
    <w:rsid w:val="00254E2C"/>
    <w:rsid w:val="00254E8B"/>
    <w:rsid w:val="002551BA"/>
    <w:rsid w:val="00255219"/>
    <w:rsid w:val="00255249"/>
    <w:rsid w:val="002552F6"/>
    <w:rsid w:val="00255416"/>
    <w:rsid w:val="00255441"/>
    <w:rsid w:val="00255582"/>
    <w:rsid w:val="002555BC"/>
    <w:rsid w:val="002557C2"/>
    <w:rsid w:val="00255811"/>
    <w:rsid w:val="00255D5B"/>
    <w:rsid w:val="00255EB2"/>
    <w:rsid w:val="00255FD3"/>
    <w:rsid w:val="002562CD"/>
    <w:rsid w:val="00256599"/>
    <w:rsid w:val="00256757"/>
    <w:rsid w:val="002568FE"/>
    <w:rsid w:val="00256B87"/>
    <w:rsid w:val="00256E23"/>
    <w:rsid w:val="0025709A"/>
    <w:rsid w:val="002575B4"/>
    <w:rsid w:val="002576D4"/>
    <w:rsid w:val="00257899"/>
    <w:rsid w:val="002578EB"/>
    <w:rsid w:val="002578FF"/>
    <w:rsid w:val="00257C15"/>
    <w:rsid w:val="00257DF7"/>
    <w:rsid w:val="002601DC"/>
    <w:rsid w:val="002602D3"/>
    <w:rsid w:val="00260471"/>
    <w:rsid w:val="002604E2"/>
    <w:rsid w:val="0026059B"/>
    <w:rsid w:val="0026073D"/>
    <w:rsid w:val="00260764"/>
    <w:rsid w:val="0026091C"/>
    <w:rsid w:val="00260A1D"/>
    <w:rsid w:val="00260E3B"/>
    <w:rsid w:val="002613B4"/>
    <w:rsid w:val="00261C40"/>
    <w:rsid w:val="00261CEC"/>
    <w:rsid w:val="00261F2F"/>
    <w:rsid w:val="0026211D"/>
    <w:rsid w:val="00262318"/>
    <w:rsid w:val="0026254A"/>
    <w:rsid w:val="002628C3"/>
    <w:rsid w:val="002628E4"/>
    <w:rsid w:val="002629AA"/>
    <w:rsid w:val="00262B81"/>
    <w:rsid w:val="00263537"/>
    <w:rsid w:val="002635FC"/>
    <w:rsid w:val="00263A44"/>
    <w:rsid w:val="00263E25"/>
    <w:rsid w:val="00263F62"/>
    <w:rsid w:val="00264118"/>
    <w:rsid w:val="00264287"/>
    <w:rsid w:val="00264AA8"/>
    <w:rsid w:val="00264AF4"/>
    <w:rsid w:val="00264D83"/>
    <w:rsid w:val="002655D0"/>
    <w:rsid w:val="002658ED"/>
    <w:rsid w:val="002659C3"/>
    <w:rsid w:val="00265AEF"/>
    <w:rsid w:val="00265B5C"/>
    <w:rsid w:val="00265C60"/>
    <w:rsid w:val="00265CB6"/>
    <w:rsid w:val="00265E32"/>
    <w:rsid w:val="00265F34"/>
    <w:rsid w:val="00265FBD"/>
    <w:rsid w:val="0026606A"/>
    <w:rsid w:val="0026628B"/>
    <w:rsid w:val="00266407"/>
    <w:rsid w:val="002665B7"/>
    <w:rsid w:val="002665D6"/>
    <w:rsid w:val="002665EA"/>
    <w:rsid w:val="002666F5"/>
    <w:rsid w:val="00266792"/>
    <w:rsid w:val="00266A03"/>
    <w:rsid w:val="00266C58"/>
    <w:rsid w:val="00266CBD"/>
    <w:rsid w:val="00266E94"/>
    <w:rsid w:val="00267174"/>
    <w:rsid w:val="00267254"/>
    <w:rsid w:val="0026736C"/>
    <w:rsid w:val="002674E0"/>
    <w:rsid w:val="002676A7"/>
    <w:rsid w:val="0026792A"/>
    <w:rsid w:val="00267BE9"/>
    <w:rsid w:val="00267D0E"/>
    <w:rsid w:val="00267D6A"/>
    <w:rsid w:val="00267DB1"/>
    <w:rsid w:val="00267E58"/>
    <w:rsid w:val="002701E8"/>
    <w:rsid w:val="0027063D"/>
    <w:rsid w:val="00270668"/>
    <w:rsid w:val="002707C6"/>
    <w:rsid w:val="0027086E"/>
    <w:rsid w:val="00270898"/>
    <w:rsid w:val="00270A7E"/>
    <w:rsid w:val="00270AB2"/>
    <w:rsid w:val="00270B65"/>
    <w:rsid w:val="00270DCF"/>
    <w:rsid w:val="00270DE0"/>
    <w:rsid w:val="00270FEA"/>
    <w:rsid w:val="00271068"/>
    <w:rsid w:val="002712CA"/>
    <w:rsid w:val="00271347"/>
    <w:rsid w:val="002713E2"/>
    <w:rsid w:val="0027153D"/>
    <w:rsid w:val="00271740"/>
    <w:rsid w:val="0027177C"/>
    <w:rsid w:val="00271804"/>
    <w:rsid w:val="00271A34"/>
    <w:rsid w:val="00271B58"/>
    <w:rsid w:val="00271BBC"/>
    <w:rsid w:val="00271C14"/>
    <w:rsid w:val="00271CC9"/>
    <w:rsid w:val="00271D94"/>
    <w:rsid w:val="00271FF5"/>
    <w:rsid w:val="002723F3"/>
    <w:rsid w:val="00272565"/>
    <w:rsid w:val="002726FE"/>
    <w:rsid w:val="0027282E"/>
    <w:rsid w:val="00272A23"/>
    <w:rsid w:val="00272C6D"/>
    <w:rsid w:val="00272CD7"/>
    <w:rsid w:val="00272CD9"/>
    <w:rsid w:val="00272E38"/>
    <w:rsid w:val="00273488"/>
    <w:rsid w:val="002735D8"/>
    <w:rsid w:val="00273666"/>
    <w:rsid w:val="00273779"/>
    <w:rsid w:val="00273837"/>
    <w:rsid w:val="00273924"/>
    <w:rsid w:val="00273B09"/>
    <w:rsid w:val="00273BFA"/>
    <w:rsid w:val="00273E2D"/>
    <w:rsid w:val="00273E33"/>
    <w:rsid w:val="00273E74"/>
    <w:rsid w:val="00274011"/>
    <w:rsid w:val="00274024"/>
    <w:rsid w:val="00274178"/>
    <w:rsid w:val="00274227"/>
    <w:rsid w:val="002744CB"/>
    <w:rsid w:val="0027479F"/>
    <w:rsid w:val="00274965"/>
    <w:rsid w:val="00274991"/>
    <w:rsid w:val="002749FC"/>
    <w:rsid w:val="00274ADB"/>
    <w:rsid w:val="00274D2B"/>
    <w:rsid w:val="00274DAD"/>
    <w:rsid w:val="00274E63"/>
    <w:rsid w:val="00275176"/>
    <w:rsid w:val="0027527A"/>
    <w:rsid w:val="002752AD"/>
    <w:rsid w:val="002752CA"/>
    <w:rsid w:val="0027556C"/>
    <w:rsid w:val="00275586"/>
    <w:rsid w:val="00275609"/>
    <w:rsid w:val="0027577D"/>
    <w:rsid w:val="002758CA"/>
    <w:rsid w:val="00276368"/>
    <w:rsid w:val="002766C3"/>
    <w:rsid w:val="002768DC"/>
    <w:rsid w:val="00276A72"/>
    <w:rsid w:val="00276AE6"/>
    <w:rsid w:val="00276F7A"/>
    <w:rsid w:val="00277187"/>
    <w:rsid w:val="002771DE"/>
    <w:rsid w:val="00277480"/>
    <w:rsid w:val="002776CB"/>
    <w:rsid w:val="00277ABE"/>
    <w:rsid w:val="00277C9A"/>
    <w:rsid w:val="00277D57"/>
    <w:rsid w:val="00280246"/>
    <w:rsid w:val="0028079B"/>
    <w:rsid w:val="0028092F"/>
    <w:rsid w:val="0028094F"/>
    <w:rsid w:val="00280BCD"/>
    <w:rsid w:val="002810F3"/>
    <w:rsid w:val="00281476"/>
    <w:rsid w:val="002815B8"/>
    <w:rsid w:val="0028160E"/>
    <w:rsid w:val="0028166A"/>
    <w:rsid w:val="002816F9"/>
    <w:rsid w:val="00281727"/>
    <w:rsid w:val="00281822"/>
    <w:rsid w:val="00281B7A"/>
    <w:rsid w:val="00281C66"/>
    <w:rsid w:val="0028210E"/>
    <w:rsid w:val="0028233E"/>
    <w:rsid w:val="00282359"/>
    <w:rsid w:val="002823F6"/>
    <w:rsid w:val="00282692"/>
    <w:rsid w:val="00282881"/>
    <w:rsid w:val="00282A0E"/>
    <w:rsid w:val="00282A4F"/>
    <w:rsid w:val="00282A5F"/>
    <w:rsid w:val="00282AB0"/>
    <w:rsid w:val="00282B41"/>
    <w:rsid w:val="00282C82"/>
    <w:rsid w:val="00282DFE"/>
    <w:rsid w:val="00282E44"/>
    <w:rsid w:val="00282EF5"/>
    <w:rsid w:val="002830BB"/>
    <w:rsid w:val="0028335B"/>
    <w:rsid w:val="002835D7"/>
    <w:rsid w:val="00283620"/>
    <w:rsid w:val="00283773"/>
    <w:rsid w:val="002838B0"/>
    <w:rsid w:val="00283A86"/>
    <w:rsid w:val="00283AA2"/>
    <w:rsid w:val="00283CBE"/>
    <w:rsid w:val="00283D8D"/>
    <w:rsid w:val="00283DC9"/>
    <w:rsid w:val="002840AA"/>
    <w:rsid w:val="00284327"/>
    <w:rsid w:val="002843F5"/>
    <w:rsid w:val="0028449B"/>
    <w:rsid w:val="00284680"/>
    <w:rsid w:val="002849B0"/>
    <w:rsid w:val="00284A55"/>
    <w:rsid w:val="00284B6F"/>
    <w:rsid w:val="002851E1"/>
    <w:rsid w:val="00285417"/>
    <w:rsid w:val="0028558C"/>
    <w:rsid w:val="002855C1"/>
    <w:rsid w:val="002856F6"/>
    <w:rsid w:val="00285813"/>
    <w:rsid w:val="002859BB"/>
    <w:rsid w:val="00285A76"/>
    <w:rsid w:val="00285BF1"/>
    <w:rsid w:val="00285D08"/>
    <w:rsid w:val="00285F6D"/>
    <w:rsid w:val="00285FF1"/>
    <w:rsid w:val="002860C4"/>
    <w:rsid w:val="002864B3"/>
    <w:rsid w:val="0028658C"/>
    <w:rsid w:val="00286606"/>
    <w:rsid w:val="0028675F"/>
    <w:rsid w:val="00286BA1"/>
    <w:rsid w:val="00286BBF"/>
    <w:rsid w:val="00286C0B"/>
    <w:rsid w:val="00286E05"/>
    <w:rsid w:val="00286E3B"/>
    <w:rsid w:val="00286F94"/>
    <w:rsid w:val="00287804"/>
    <w:rsid w:val="00287953"/>
    <w:rsid w:val="00287A89"/>
    <w:rsid w:val="00287C9D"/>
    <w:rsid w:val="00287D0E"/>
    <w:rsid w:val="00290024"/>
    <w:rsid w:val="0029027B"/>
    <w:rsid w:val="0029027F"/>
    <w:rsid w:val="00290437"/>
    <w:rsid w:val="0029057B"/>
    <w:rsid w:val="002908EA"/>
    <w:rsid w:val="002909E4"/>
    <w:rsid w:val="00290A0A"/>
    <w:rsid w:val="00290A52"/>
    <w:rsid w:val="00290BC0"/>
    <w:rsid w:val="00290CA4"/>
    <w:rsid w:val="00290EC7"/>
    <w:rsid w:val="00290ED4"/>
    <w:rsid w:val="00290F03"/>
    <w:rsid w:val="00291398"/>
    <w:rsid w:val="002915D9"/>
    <w:rsid w:val="002916D9"/>
    <w:rsid w:val="002918B9"/>
    <w:rsid w:val="00291947"/>
    <w:rsid w:val="00291A15"/>
    <w:rsid w:val="00291A44"/>
    <w:rsid w:val="00291AD7"/>
    <w:rsid w:val="00291D2B"/>
    <w:rsid w:val="00291D2D"/>
    <w:rsid w:val="00291DC0"/>
    <w:rsid w:val="0029216D"/>
    <w:rsid w:val="00292181"/>
    <w:rsid w:val="002921E0"/>
    <w:rsid w:val="00292732"/>
    <w:rsid w:val="0029282A"/>
    <w:rsid w:val="002928B1"/>
    <w:rsid w:val="00292AAE"/>
    <w:rsid w:val="00292BD3"/>
    <w:rsid w:val="00292C22"/>
    <w:rsid w:val="00293152"/>
    <w:rsid w:val="002931FF"/>
    <w:rsid w:val="00293228"/>
    <w:rsid w:val="00293849"/>
    <w:rsid w:val="00293AB6"/>
    <w:rsid w:val="00293B27"/>
    <w:rsid w:val="00293C2B"/>
    <w:rsid w:val="00293CDD"/>
    <w:rsid w:val="00293D29"/>
    <w:rsid w:val="002940A4"/>
    <w:rsid w:val="002943B3"/>
    <w:rsid w:val="00294477"/>
    <w:rsid w:val="0029471C"/>
    <w:rsid w:val="00294819"/>
    <w:rsid w:val="0029493A"/>
    <w:rsid w:val="00294BE5"/>
    <w:rsid w:val="00294EB4"/>
    <w:rsid w:val="00294F08"/>
    <w:rsid w:val="00294F54"/>
    <w:rsid w:val="0029503A"/>
    <w:rsid w:val="0029569C"/>
    <w:rsid w:val="0029588C"/>
    <w:rsid w:val="002959CB"/>
    <w:rsid w:val="00295A2B"/>
    <w:rsid w:val="00295B48"/>
    <w:rsid w:val="00295CEC"/>
    <w:rsid w:val="00295D1B"/>
    <w:rsid w:val="00295EA7"/>
    <w:rsid w:val="00296086"/>
    <w:rsid w:val="002960BE"/>
    <w:rsid w:val="00296150"/>
    <w:rsid w:val="002963B6"/>
    <w:rsid w:val="00296641"/>
    <w:rsid w:val="002968A5"/>
    <w:rsid w:val="00296902"/>
    <w:rsid w:val="00296B24"/>
    <w:rsid w:val="00296D4C"/>
    <w:rsid w:val="00296E18"/>
    <w:rsid w:val="0029707E"/>
    <w:rsid w:val="002970C9"/>
    <w:rsid w:val="00297148"/>
    <w:rsid w:val="002971E0"/>
    <w:rsid w:val="002973AD"/>
    <w:rsid w:val="002973FA"/>
    <w:rsid w:val="0029785C"/>
    <w:rsid w:val="0029796C"/>
    <w:rsid w:val="002979D3"/>
    <w:rsid w:val="00297B18"/>
    <w:rsid w:val="00297D5F"/>
    <w:rsid w:val="00297D97"/>
    <w:rsid w:val="002A0152"/>
    <w:rsid w:val="002A056F"/>
    <w:rsid w:val="002A05D1"/>
    <w:rsid w:val="002A070C"/>
    <w:rsid w:val="002A086E"/>
    <w:rsid w:val="002A0C90"/>
    <w:rsid w:val="002A10A7"/>
    <w:rsid w:val="002A10EA"/>
    <w:rsid w:val="002A1289"/>
    <w:rsid w:val="002A14E8"/>
    <w:rsid w:val="002A186C"/>
    <w:rsid w:val="002A1874"/>
    <w:rsid w:val="002A19E5"/>
    <w:rsid w:val="002A1CA2"/>
    <w:rsid w:val="002A1CB8"/>
    <w:rsid w:val="002A1D2D"/>
    <w:rsid w:val="002A1FF9"/>
    <w:rsid w:val="002A2013"/>
    <w:rsid w:val="002A2733"/>
    <w:rsid w:val="002A28B5"/>
    <w:rsid w:val="002A2E66"/>
    <w:rsid w:val="002A30F2"/>
    <w:rsid w:val="002A32D7"/>
    <w:rsid w:val="002A330B"/>
    <w:rsid w:val="002A3411"/>
    <w:rsid w:val="002A3434"/>
    <w:rsid w:val="002A392B"/>
    <w:rsid w:val="002A39E8"/>
    <w:rsid w:val="002A3C89"/>
    <w:rsid w:val="002A3EF2"/>
    <w:rsid w:val="002A3FA4"/>
    <w:rsid w:val="002A3FF6"/>
    <w:rsid w:val="002A416E"/>
    <w:rsid w:val="002A4489"/>
    <w:rsid w:val="002A44DD"/>
    <w:rsid w:val="002A44F6"/>
    <w:rsid w:val="002A4506"/>
    <w:rsid w:val="002A470F"/>
    <w:rsid w:val="002A474B"/>
    <w:rsid w:val="002A4A3F"/>
    <w:rsid w:val="002A4A96"/>
    <w:rsid w:val="002A4BB2"/>
    <w:rsid w:val="002A500E"/>
    <w:rsid w:val="002A5199"/>
    <w:rsid w:val="002A51F7"/>
    <w:rsid w:val="002A55CD"/>
    <w:rsid w:val="002A5613"/>
    <w:rsid w:val="002A5811"/>
    <w:rsid w:val="002A58CC"/>
    <w:rsid w:val="002A5924"/>
    <w:rsid w:val="002A59FC"/>
    <w:rsid w:val="002A5BB0"/>
    <w:rsid w:val="002A5E85"/>
    <w:rsid w:val="002A6131"/>
    <w:rsid w:val="002A61DA"/>
    <w:rsid w:val="002A6661"/>
    <w:rsid w:val="002A66A8"/>
    <w:rsid w:val="002A66DB"/>
    <w:rsid w:val="002A6734"/>
    <w:rsid w:val="002A678F"/>
    <w:rsid w:val="002A69BF"/>
    <w:rsid w:val="002A6B80"/>
    <w:rsid w:val="002A6CEE"/>
    <w:rsid w:val="002A6DF5"/>
    <w:rsid w:val="002A6F46"/>
    <w:rsid w:val="002A7061"/>
    <w:rsid w:val="002A7613"/>
    <w:rsid w:val="002A7702"/>
    <w:rsid w:val="002A7964"/>
    <w:rsid w:val="002A7D37"/>
    <w:rsid w:val="002A7FAA"/>
    <w:rsid w:val="002B00AE"/>
    <w:rsid w:val="002B0101"/>
    <w:rsid w:val="002B0157"/>
    <w:rsid w:val="002B03D8"/>
    <w:rsid w:val="002B07F1"/>
    <w:rsid w:val="002B0C3A"/>
    <w:rsid w:val="002B1057"/>
    <w:rsid w:val="002B10DB"/>
    <w:rsid w:val="002B1110"/>
    <w:rsid w:val="002B1128"/>
    <w:rsid w:val="002B11FA"/>
    <w:rsid w:val="002B12A9"/>
    <w:rsid w:val="002B1347"/>
    <w:rsid w:val="002B13B5"/>
    <w:rsid w:val="002B1567"/>
    <w:rsid w:val="002B166C"/>
    <w:rsid w:val="002B167C"/>
    <w:rsid w:val="002B19D6"/>
    <w:rsid w:val="002B1C9F"/>
    <w:rsid w:val="002B1D75"/>
    <w:rsid w:val="002B1EED"/>
    <w:rsid w:val="002B1EFD"/>
    <w:rsid w:val="002B231B"/>
    <w:rsid w:val="002B241E"/>
    <w:rsid w:val="002B24AA"/>
    <w:rsid w:val="002B2730"/>
    <w:rsid w:val="002B281E"/>
    <w:rsid w:val="002B2844"/>
    <w:rsid w:val="002B2A1B"/>
    <w:rsid w:val="002B2A96"/>
    <w:rsid w:val="002B2ADD"/>
    <w:rsid w:val="002B2BA7"/>
    <w:rsid w:val="002B2DCD"/>
    <w:rsid w:val="002B316E"/>
    <w:rsid w:val="002B31DB"/>
    <w:rsid w:val="002B33B5"/>
    <w:rsid w:val="002B34C9"/>
    <w:rsid w:val="002B34DC"/>
    <w:rsid w:val="002B35FD"/>
    <w:rsid w:val="002B3621"/>
    <w:rsid w:val="002B3862"/>
    <w:rsid w:val="002B392B"/>
    <w:rsid w:val="002B3A16"/>
    <w:rsid w:val="002B3C9E"/>
    <w:rsid w:val="002B3D43"/>
    <w:rsid w:val="002B3E7E"/>
    <w:rsid w:val="002B3F98"/>
    <w:rsid w:val="002B40F1"/>
    <w:rsid w:val="002B4256"/>
    <w:rsid w:val="002B42ED"/>
    <w:rsid w:val="002B434A"/>
    <w:rsid w:val="002B44C4"/>
    <w:rsid w:val="002B45FB"/>
    <w:rsid w:val="002B4A2D"/>
    <w:rsid w:val="002B4A65"/>
    <w:rsid w:val="002B4E9E"/>
    <w:rsid w:val="002B53D2"/>
    <w:rsid w:val="002B585D"/>
    <w:rsid w:val="002B593B"/>
    <w:rsid w:val="002B5A42"/>
    <w:rsid w:val="002B5AD9"/>
    <w:rsid w:val="002B5C9C"/>
    <w:rsid w:val="002B5CE1"/>
    <w:rsid w:val="002B5D92"/>
    <w:rsid w:val="002B5F9D"/>
    <w:rsid w:val="002B6335"/>
    <w:rsid w:val="002B6468"/>
    <w:rsid w:val="002B6620"/>
    <w:rsid w:val="002B666B"/>
    <w:rsid w:val="002B6994"/>
    <w:rsid w:val="002B6A0C"/>
    <w:rsid w:val="002B6A7F"/>
    <w:rsid w:val="002B6D2B"/>
    <w:rsid w:val="002B6EF7"/>
    <w:rsid w:val="002B6F04"/>
    <w:rsid w:val="002B7043"/>
    <w:rsid w:val="002B7047"/>
    <w:rsid w:val="002B709B"/>
    <w:rsid w:val="002B7127"/>
    <w:rsid w:val="002B7142"/>
    <w:rsid w:val="002B732E"/>
    <w:rsid w:val="002B7474"/>
    <w:rsid w:val="002B77F0"/>
    <w:rsid w:val="002B7B85"/>
    <w:rsid w:val="002B7C58"/>
    <w:rsid w:val="002B7CBF"/>
    <w:rsid w:val="002B7E58"/>
    <w:rsid w:val="002B7E75"/>
    <w:rsid w:val="002B7FE0"/>
    <w:rsid w:val="002C034C"/>
    <w:rsid w:val="002C0407"/>
    <w:rsid w:val="002C0B71"/>
    <w:rsid w:val="002C0D82"/>
    <w:rsid w:val="002C0F9E"/>
    <w:rsid w:val="002C10B9"/>
    <w:rsid w:val="002C13B9"/>
    <w:rsid w:val="002C183D"/>
    <w:rsid w:val="002C18DB"/>
    <w:rsid w:val="002C1A5C"/>
    <w:rsid w:val="002C1B3D"/>
    <w:rsid w:val="002C1B5A"/>
    <w:rsid w:val="002C1CDB"/>
    <w:rsid w:val="002C1DFE"/>
    <w:rsid w:val="002C2003"/>
    <w:rsid w:val="002C201C"/>
    <w:rsid w:val="002C2157"/>
    <w:rsid w:val="002C21B2"/>
    <w:rsid w:val="002C24E0"/>
    <w:rsid w:val="002C2683"/>
    <w:rsid w:val="002C2713"/>
    <w:rsid w:val="002C2A5C"/>
    <w:rsid w:val="002C2A75"/>
    <w:rsid w:val="002C2D0E"/>
    <w:rsid w:val="002C2D67"/>
    <w:rsid w:val="002C318D"/>
    <w:rsid w:val="002C38E7"/>
    <w:rsid w:val="002C3909"/>
    <w:rsid w:val="002C39AF"/>
    <w:rsid w:val="002C3BAA"/>
    <w:rsid w:val="002C3D4D"/>
    <w:rsid w:val="002C443F"/>
    <w:rsid w:val="002C466A"/>
    <w:rsid w:val="002C4A64"/>
    <w:rsid w:val="002C4BE9"/>
    <w:rsid w:val="002C4CF0"/>
    <w:rsid w:val="002C4E25"/>
    <w:rsid w:val="002C5404"/>
    <w:rsid w:val="002C55E8"/>
    <w:rsid w:val="002C57BD"/>
    <w:rsid w:val="002C59F9"/>
    <w:rsid w:val="002C5FF0"/>
    <w:rsid w:val="002C643D"/>
    <w:rsid w:val="002C65E0"/>
    <w:rsid w:val="002C6704"/>
    <w:rsid w:val="002C673C"/>
    <w:rsid w:val="002C6826"/>
    <w:rsid w:val="002C691F"/>
    <w:rsid w:val="002C69A4"/>
    <w:rsid w:val="002C6AE3"/>
    <w:rsid w:val="002C6B65"/>
    <w:rsid w:val="002C71A7"/>
    <w:rsid w:val="002C7214"/>
    <w:rsid w:val="002C79BB"/>
    <w:rsid w:val="002C7A79"/>
    <w:rsid w:val="002C7BD2"/>
    <w:rsid w:val="002C7BF6"/>
    <w:rsid w:val="002C7D72"/>
    <w:rsid w:val="002C7DFE"/>
    <w:rsid w:val="002C7E9E"/>
    <w:rsid w:val="002C7F5C"/>
    <w:rsid w:val="002D01B9"/>
    <w:rsid w:val="002D01DA"/>
    <w:rsid w:val="002D0446"/>
    <w:rsid w:val="002D0450"/>
    <w:rsid w:val="002D05AD"/>
    <w:rsid w:val="002D06A8"/>
    <w:rsid w:val="002D06CA"/>
    <w:rsid w:val="002D06F4"/>
    <w:rsid w:val="002D0825"/>
    <w:rsid w:val="002D0928"/>
    <w:rsid w:val="002D0944"/>
    <w:rsid w:val="002D0967"/>
    <w:rsid w:val="002D0B63"/>
    <w:rsid w:val="002D0C00"/>
    <w:rsid w:val="002D0F84"/>
    <w:rsid w:val="002D1114"/>
    <w:rsid w:val="002D1129"/>
    <w:rsid w:val="002D12FF"/>
    <w:rsid w:val="002D13FE"/>
    <w:rsid w:val="002D1411"/>
    <w:rsid w:val="002D14DA"/>
    <w:rsid w:val="002D2197"/>
    <w:rsid w:val="002D2226"/>
    <w:rsid w:val="002D26E0"/>
    <w:rsid w:val="002D26E5"/>
    <w:rsid w:val="002D28C2"/>
    <w:rsid w:val="002D2AC0"/>
    <w:rsid w:val="002D2BCE"/>
    <w:rsid w:val="002D2BF5"/>
    <w:rsid w:val="002D2C59"/>
    <w:rsid w:val="002D2CA1"/>
    <w:rsid w:val="002D2EB3"/>
    <w:rsid w:val="002D2FB5"/>
    <w:rsid w:val="002D3022"/>
    <w:rsid w:val="002D30D8"/>
    <w:rsid w:val="002D3737"/>
    <w:rsid w:val="002D392D"/>
    <w:rsid w:val="002D3938"/>
    <w:rsid w:val="002D3AC5"/>
    <w:rsid w:val="002D3BBE"/>
    <w:rsid w:val="002D3CE6"/>
    <w:rsid w:val="002D3E99"/>
    <w:rsid w:val="002D3EA8"/>
    <w:rsid w:val="002D4404"/>
    <w:rsid w:val="002D4421"/>
    <w:rsid w:val="002D4445"/>
    <w:rsid w:val="002D45C5"/>
    <w:rsid w:val="002D475B"/>
    <w:rsid w:val="002D488C"/>
    <w:rsid w:val="002D4B6C"/>
    <w:rsid w:val="002D4F08"/>
    <w:rsid w:val="002D5152"/>
    <w:rsid w:val="002D5171"/>
    <w:rsid w:val="002D5172"/>
    <w:rsid w:val="002D5382"/>
    <w:rsid w:val="002D54A1"/>
    <w:rsid w:val="002D583A"/>
    <w:rsid w:val="002D593F"/>
    <w:rsid w:val="002D5AD0"/>
    <w:rsid w:val="002D5D96"/>
    <w:rsid w:val="002D6108"/>
    <w:rsid w:val="002D61A1"/>
    <w:rsid w:val="002D6733"/>
    <w:rsid w:val="002D6867"/>
    <w:rsid w:val="002D69AB"/>
    <w:rsid w:val="002D69F9"/>
    <w:rsid w:val="002D6AE8"/>
    <w:rsid w:val="002D6BC9"/>
    <w:rsid w:val="002D6D80"/>
    <w:rsid w:val="002D6DA5"/>
    <w:rsid w:val="002D7058"/>
    <w:rsid w:val="002D72F0"/>
    <w:rsid w:val="002D734C"/>
    <w:rsid w:val="002D757E"/>
    <w:rsid w:val="002D7589"/>
    <w:rsid w:val="002D7B23"/>
    <w:rsid w:val="002D7B71"/>
    <w:rsid w:val="002D7CEE"/>
    <w:rsid w:val="002D7D95"/>
    <w:rsid w:val="002D7DF0"/>
    <w:rsid w:val="002D7E9C"/>
    <w:rsid w:val="002E00EA"/>
    <w:rsid w:val="002E0108"/>
    <w:rsid w:val="002E0389"/>
    <w:rsid w:val="002E0851"/>
    <w:rsid w:val="002E08C3"/>
    <w:rsid w:val="002E08C9"/>
    <w:rsid w:val="002E09D6"/>
    <w:rsid w:val="002E0CBB"/>
    <w:rsid w:val="002E0CDF"/>
    <w:rsid w:val="002E0E2C"/>
    <w:rsid w:val="002E0F08"/>
    <w:rsid w:val="002E0FFB"/>
    <w:rsid w:val="002E1088"/>
    <w:rsid w:val="002E10F8"/>
    <w:rsid w:val="002E13ED"/>
    <w:rsid w:val="002E154C"/>
    <w:rsid w:val="002E16C5"/>
    <w:rsid w:val="002E183F"/>
    <w:rsid w:val="002E1A7C"/>
    <w:rsid w:val="002E1F92"/>
    <w:rsid w:val="002E2056"/>
    <w:rsid w:val="002E205C"/>
    <w:rsid w:val="002E222E"/>
    <w:rsid w:val="002E235B"/>
    <w:rsid w:val="002E2509"/>
    <w:rsid w:val="002E251E"/>
    <w:rsid w:val="002E2629"/>
    <w:rsid w:val="002E27E9"/>
    <w:rsid w:val="002E2982"/>
    <w:rsid w:val="002E2ABF"/>
    <w:rsid w:val="002E2BAA"/>
    <w:rsid w:val="002E2D53"/>
    <w:rsid w:val="002E2F17"/>
    <w:rsid w:val="002E37B6"/>
    <w:rsid w:val="002E3945"/>
    <w:rsid w:val="002E3A44"/>
    <w:rsid w:val="002E3D2A"/>
    <w:rsid w:val="002E3D49"/>
    <w:rsid w:val="002E3E18"/>
    <w:rsid w:val="002E3EC9"/>
    <w:rsid w:val="002E3F95"/>
    <w:rsid w:val="002E4053"/>
    <w:rsid w:val="002E4257"/>
    <w:rsid w:val="002E42A1"/>
    <w:rsid w:val="002E4409"/>
    <w:rsid w:val="002E4545"/>
    <w:rsid w:val="002E4672"/>
    <w:rsid w:val="002E49CE"/>
    <w:rsid w:val="002E4C00"/>
    <w:rsid w:val="002E4C73"/>
    <w:rsid w:val="002E4CB7"/>
    <w:rsid w:val="002E4E59"/>
    <w:rsid w:val="002E4F1F"/>
    <w:rsid w:val="002E4F37"/>
    <w:rsid w:val="002E512D"/>
    <w:rsid w:val="002E5310"/>
    <w:rsid w:val="002E55E9"/>
    <w:rsid w:val="002E5884"/>
    <w:rsid w:val="002E5A63"/>
    <w:rsid w:val="002E5D0B"/>
    <w:rsid w:val="002E5D91"/>
    <w:rsid w:val="002E5E26"/>
    <w:rsid w:val="002E60E4"/>
    <w:rsid w:val="002E60E7"/>
    <w:rsid w:val="002E61F0"/>
    <w:rsid w:val="002E6693"/>
    <w:rsid w:val="002E6783"/>
    <w:rsid w:val="002E6839"/>
    <w:rsid w:val="002E68D3"/>
    <w:rsid w:val="002E6913"/>
    <w:rsid w:val="002E6D83"/>
    <w:rsid w:val="002E72AE"/>
    <w:rsid w:val="002E7447"/>
    <w:rsid w:val="002E76A1"/>
    <w:rsid w:val="002E76C3"/>
    <w:rsid w:val="002E7781"/>
    <w:rsid w:val="002E7897"/>
    <w:rsid w:val="002E7B8C"/>
    <w:rsid w:val="002E7BFF"/>
    <w:rsid w:val="002E7E27"/>
    <w:rsid w:val="002E7F50"/>
    <w:rsid w:val="002F0204"/>
    <w:rsid w:val="002F0435"/>
    <w:rsid w:val="002F0590"/>
    <w:rsid w:val="002F066E"/>
    <w:rsid w:val="002F06A4"/>
    <w:rsid w:val="002F07BD"/>
    <w:rsid w:val="002F0823"/>
    <w:rsid w:val="002F0B15"/>
    <w:rsid w:val="002F0C3C"/>
    <w:rsid w:val="002F0CC2"/>
    <w:rsid w:val="002F0F04"/>
    <w:rsid w:val="002F0F5B"/>
    <w:rsid w:val="002F0F60"/>
    <w:rsid w:val="002F1295"/>
    <w:rsid w:val="002F17B9"/>
    <w:rsid w:val="002F17F6"/>
    <w:rsid w:val="002F185B"/>
    <w:rsid w:val="002F1974"/>
    <w:rsid w:val="002F1B69"/>
    <w:rsid w:val="002F1DD4"/>
    <w:rsid w:val="002F1DE9"/>
    <w:rsid w:val="002F1DF5"/>
    <w:rsid w:val="002F1E81"/>
    <w:rsid w:val="002F1F10"/>
    <w:rsid w:val="002F1F77"/>
    <w:rsid w:val="002F1FB4"/>
    <w:rsid w:val="002F2152"/>
    <w:rsid w:val="002F21A3"/>
    <w:rsid w:val="002F2525"/>
    <w:rsid w:val="002F26BB"/>
    <w:rsid w:val="002F28BE"/>
    <w:rsid w:val="002F291C"/>
    <w:rsid w:val="002F3072"/>
    <w:rsid w:val="002F3157"/>
    <w:rsid w:val="002F33EF"/>
    <w:rsid w:val="002F3528"/>
    <w:rsid w:val="002F3649"/>
    <w:rsid w:val="002F39D7"/>
    <w:rsid w:val="002F3C58"/>
    <w:rsid w:val="002F3E89"/>
    <w:rsid w:val="002F3E8E"/>
    <w:rsid w:val="002F3F4C"/>
    <w:rsid w:val="002F451A"/>
    <w:rsid w:val="002F4656"/>
    <w:rsid w:val="002F467B"/>
    <w:rsid w:val="002F491C"/>
    <w:rsid w:val="002F4995"/>
    <w:rsid w:val="002F4B60"/>
    <w:rsid w:val="002F4BC8"/>
    <w:rsid w:val="002F4C5C"/>
    <w:rsid w:val="002F4C62"/>
    <w:rsid w:val="002F5276"/>
    <w:rsid w:val="002F5355"/>
    <w:rsid w:val="002F5526"/>
    <w:rsid w:val="002F55AF"/>
    <w:rsid w:val="002F586B"/>
    <w:rsid w:val="002F5AB6"/>
    <w:rsid w:val="002F5B8B"/>
    <w:rsid w:val="002F5C0B"/>
    <w:rsid w:val="002F5CD2"/>
    <w:rsid w:val="002F61D9"/>
    <w:rsid w:val="002F6213"/>
    <w:rsid w:val="002F6322"/>
    <w:rsid w:val="002F633A"/>
    <w:rsid w:val="002F6662"/>
    <w:rsid w:val="002F6683"/>
    <w:rsid w:val="002F680B"/>
    <w:rsid w:val="002F684F"/>
    <w:rsid w:val="002F6857"/>
    <w:rsid w:val="002F694F"/>
    <w:rsid w:val="002F6A04"/>
    <w:rsid w:val="002F6B9B"/>
    <w:rsid w:val="002F6C8B"/>
    <w:rsid w:val="002F717A"/>
    <w:rsid w:val="002F737A"/>
    <w:rsid w:val="002F76F8"/>
    <w:rsid w:val="002F7A12"/>
    <w:rsid w:val="002F7FEF"/>
    <w:rsid w:val="003000BB"/>
    <w:rsid w:val="0030013A"/>
    <w:rsid w:val="00300363"/>
    <w:rsid w:val="00300402"/>
    <w:rsid w:val="0030048D"/>
    <w:rsid w:val="003004A1"/>
    <w:rsid w:val="003004BD"/>
    <w:rsid w:val="00300532"/>
    <w:rsid w:val="003005A8"/>
    <w:rsid w:val="00300AE2"/>
    <w:rsid w:val="00300B87"/>
    <w:rsid w:val="00300BF9"/>
    <w:rsid w:val="00300D1C"/>
    <w:rsid w:val="00301162"/>
    <w:rsid w:val="00301320"/>
    <w:rsid w:val="0030136D"/>
    <w:rsid w:val="003015D3"/>
    <w:rsid w:val="003015D7"/>
    <w:rsid w:val="0030168F"/>
    <w:rsid w:val="003016CB"/>
    <w:rsid w:val="003016F0"/>
    <w:rsid w:val="00301993"/>
    <w:rsid w:val="00302297"/>
    <w:rsid w:val="00302716"/>
    <w:rsid w:val="003029D8"/>
    <w:rsid w:val="003029F5"/>
    <w:rsid w:val="003029FF"/>
    <w:rsid w:val="00302C35"/>
    <w:rsid w:val="00302DFB"/>
    <w:rsid w:val="00302E4E"/>
    <w:rsid w:val="00303077"/>
    <w:rsid w:val="003030AE"/>
    <w:rsid w:val="0030337E"/>
    <w:rsid w:val="00303524"/>
    <w:rsid w:val="003036B1"/>
    <w:rsid w:val="003036B5"/>
    <w:rsid w:val="00303732"/>
    <w:rsid w:val="00303D8E"/>
    <w:rsid w:val="00303DBA"/>
    <w:rsid w:val="00303DE4"/>
    <w:rsid w:val="00303E56"/>
    <w:rsid w:val="00303E84"/>
    <w:rsid w:val="00303EFD"/>
    <w:rsid w:val="00303F4C"/>
    <w:rsid w:val="00303F8A"/>
    <w:rsid w:val="0030405E"/>
    <w:rsid w:val="003040D3"/>
    <w:rsid w:val="00304346"/>
    <w:rsid w:val="0030475E"/>
    <w:rsid w:val="00304B48"/>
    <w:rsid w:val="00304B8B"/>
    <w:rsid w:val="00304C07"/>
    <w:rsid w:val="00304D8B"/>
    <w:rsid w:val="003051AB"/>
    <w:rsid w:val="0030520E"/>
    <w:rsid w:val="00305691"/>
    <w:rsid w:val="00305765"/>
    <w:rsid w:val="00305824"/>
    <w:rsid w:val="00305942"/>
    <w:rsid w:val="00305A0D"/>
    <w:rsid w:val="00305ADA"/>
    <w:rsid w:val="00305B86"/>
    <w:rsid w:val="00305E03"/>
    <w:rsid w:val="00305E83"/>
    <w:rsid w:val="00305FF7"/>
    <w:rsid w:val="003063FF"/>
    <w:rsid w:val="003066EF"/>
    <w:rsid w:val="003067DF"/>
    <w:rsid w:val="00306845"/>
    <w:rsid w:val="00306A26"/>
    <w:rsid w:val="00306AA8"/>
    <w:rsid w:val="00306BCC"/>
    <w:rsid w:val="00306C40"/>
    <w:rsid w:val="00306CF5"/>
    <w:rsid w:val="00306CFC"/>
    <w:rsid w:val="00306D24"/>
    <w:rsid w:val="00306EE9"/>
    <w:rsid w:val="00306FA2"/>
    <w:rsid w:val="00307038"/>
    <w:rsid w:val="00307451"/>
    <w:rsid w:val="003074E6"/>
    <w:rsid w:val="003075A4"/>
    <w:rsid w:val="00307613"/>
    <w:rsid w:val="003076EC"/>
    <w:rsid w:val="00307955"/>
    <w:rsid w:val="00307B1D"/>
    <w:rsid w:val="00307C24"/>
    <w:rsid w:val="00307D51"/>
    <w:rsid w:val="00310180"/>
    <w:rsid w:val="003101DB"/>
    <w:rsid w:val="00310272"/>
    <w:rsid w:val="003102C8"/>
    <w:rsid w:val="003104DE"/>
    <w:rsid w:val="00310B32"/>
    <w:rsid w:val="00310B67"/>
    <w:rsid w:val="00310B70"/>
    <w:rsid w:val="00310C35"/>
    <w:rsid w:val="00310C57"/>
    <w:rsid w:val="00310CCB"/>
    <w:rsid w:val="00310E7E"/>
    <w:rsid w:val="00310F9B"/>
    <w:rsid w:val="0031145D"/>
    <w:rsid w:val="00311527"/>
    <w:rsid w:val="0031167E"/>
    <w:rsid w:val="00311A71"/>
    <w:rsid w:val="00311ADE"/>
    <w:rsid w:val="00311B4E"/>
    <w:rsid w:val="00311B60"/>
    <w:rsid w:val="00311E02"/>
    <w:rsid w:val="00311E81"/>
    <w:rsid w:val="00311F45"/>
    <w:rsid w:val="003121BC"/>
    <w:rsid w:val="00312226"/>
    <w:rsid w:val="0031240B"/>
    <w:rsid w:val="003125F1"/>
    <w:rsid w:val="003125FD"/>
    <w:rsid w:val="00312698"/>
    <w:rsid w:val="003127AB"/>
    <w:rsid w:val="003127D0"/>
    <w:rsid w:val="00312987"/>
    <w:rsid w:val="00312AA1"/>
    <w:rsid w:val="00312C61"/>
    <w:rsid w:val="00312D88"/>
    <w:rsid w:val="00312EA5"/>
    <w:rsid w:val="00312EEE"/>
    <w:rsid w:val="00312F53"/>
    <w:rsid w:val="00313386"/>
    <w:rsid w:val="003134DF"/>
    <w:rsid w:val="003135DC"/>
    <w:rsid w:val="00313C33"/>
    <w:rsid w:val="00313CF9"/>
    <w:rsid w:val="00313FAD"/>
    <w:rsid w:val="00314013"/>
    <w:rsid w:val="00314440"/>
    <w:rsid w:val="00314548"/>
    <w:rsid w:val="00314647"/>
    <w:rsid w:val="003146B6"/>
    <w:rsid w:val="003148C8"/>
    <w:rsid w:val="00314927"/>
    <w:rsid w:val="00314C76"/>
    <w:rsid w:val="00314C8B"/>
    <w:rsid w:val="00314E0A"/>
    <w:rsid w:val="00314E37"/>
    <w:rsid w:val="00314F0B"/>
    <w:rsid w:val="00314F6D"/>
    <w:rsid w:val="00315349"/>
    <w:rsid w:val="00315472"/>
    <w:rsid w:val="003154BC"/>
    <w:rsid w:val="0031663D"/>
    <w:rsid w:val="003167B6"/>
    <w:rsid w:val="00316CA1"/>
    <w:rsid w:val="00316DB4"/>
    <w:rsid w:val="0031704F"/>
    <w:rsid w:val="003171E1"/>
    <w:rsid w:val="003172F6"/>
    <w:rsid w:val="00317454"/>
    <w:rsid w:val="003175F9"/>
    <w:rsid w:val="00317645"/>
    <w:rsid w:val="00317654"/>
    <w:rsid w:val="00317934"/>
    <w:rsid w:val="00317BA9"/>
    <w:rsid w:val="00317CA1"/>
    <w:rsid w:val="00317D8B"/>
    <w:rsid w:val="00317DCF"/>
    <w:rsid w:val="003201DA"/>
    <w:rsid w:val="0032032E"/>
    <w:rsid w:val="00320343"/>
    <w:rsid w:val="0032039E"/>
    <w:rsid w:val="00320687"/>
    <w:rsid w:val="003206D2"/>
    <w:rsid w:val="003207CD"/>
    <w:rsid w:val="0032093F"/>
    <w:rsid w:val="003209DF"/>
    <w:rsid w:val="00320D42"/>
    <w:rsid w:val="00320E96"/>
    <w:rsid w:val="00320F3A"/>
    <w:rsid w:val="00321403"/>
    <w:rsid w:val="003216FE"/>
    <w:rsid w:val="00321722"/>
    <w:rsid w:val="00321A89"/>
    <w:rsid w:val="00321AED"/>
    <w:rsid w:val="00321CA7"/>
    <w:rsid w:val="00321CC2"/>
    <w:rsid w:val="00321D30"/>
    <w:rsid w:val="00321E02"/>
    <w:rsid w:val="00321ED3"/>
    <w:rsid w:val="00321F22"/>
    <w:rsid w:val="00321F64"/>
    <w:rsid w:val="00322008"/>
    <w:rsid w:val="003220ED"/>
    <w:rsid w:val="003221B6"/>
    <w:rsid w:val="00322201"/>
    <w:rsid w:val="003223CE"/>
    <w:rsid w:val="00322543"/>
    <w:rsid w:val="003228D1"/>
    <w:rsid w:val="00322A92"/>
    <w:rsid w:val="00322AC5"/>
    <w:rsid w:val="00322F92"/>
    <w:rsid w:val="00322FB1"/>
    <w:rsid w:val="00323103"/>
    <w:rsid w:val="00323137"/>
    <w:rsid w:val="003233F5"/>
    <w:rsid w:val="00323633"/>
    <w:rsid w:val="0032367C"/>
    <w:rsid w:val="00323C7D"/>
    <w:rsid w:val="00323F79"/>
    <w:rsid w:val="003240F6"/>
    <w:rsid w:val="0032421A"/>
    <w:rsid w:val="003242A6"/>
    <w:rsid w:val="003245D7"/>
    <w:rsid w:val="00324ABE"/>
    <w:rsid w:val="00324D5E"/>
    <w:rsid w:val="003251F3"/>
    <w:rsid w:val="00325214"/>
    <w:rsid w:val="00325259"/>
    <w:rsid w:val="00325975"/>
    <w:rsid w:val="00325C1A"/>
    <w:rsid w:val="003260B7"/>
    <w:rsid w:val="003263C2"/>
    <w:rsid w:val="003267BE"/>
    <w:rsid w:val="00326902"/>
    <w:rsid w:val="00326D73"/>
    <w:rsid w:val="00326DB8"/>
    <w:rsid w:val="00326EFE"/>
    <w:rsid w:val="0032724D"/>
    <w:rsid w:val="003272A7"/>
    <w:rsid w:val="003272B9"/>
    <w:rsid w:val="003273F6"/>
    <w:rsid w:val="003274F5"/>
    <w:rsid w:val="00327631"/>
    <w:rsid w:val="0032783F"/>
    <w:rsid w:val="00327CD7"/>
    <w:rsid w:val="00327E02"/>
    <w:rsid w:val="0033008A"/>
    <w:rsid w:val="003302EC"/>
    <w:rsid w:val="003302EF"/>
    <w:rsid w:val="0033049E"/>
    <w:rsid w:val="00330651"/>
    <w:rsid w:val="003307B3"/>
    <w:rsid w:val="00330948"/>
    <w:rsid w:val="00330F0E"/>
    <w:rsid w:val="00330F3C"/>
    <w:rsid w:val="00330FF3"/>
    <w:rsid w:val="003310FD"/>
    <w:rsid w:val="0033120F"/>
    <w:rsid w:val="00331489"/>
    <w:rsid w:val="0033148B"/>
    <w:rsid w:val="003315D7"/>
    <w:rsid w:val="00331686"/>
    <w:rsid w:val="003316E1"/>
    <w:rsid w:val="00331705"/>
    <w:rsid w:val="0033175B"/>
    <w:rsid w:val="00331786"/>
    <w:rsid w:val="00331B33"/>
    <w:rsid w:val="00331C11"/>
    <w:rsid w:val="00331C55"/>
    <w:rsid w:val="00331C85"/>
    <w:rsid w:val="00331E4D"/>
    <w:rsid w:val="0033207B"/>
    <w:rsid w:val="0033210D"/>
    <w:rsid w:val="003324C5"/>
    <w:rsid w:val="00332658"/>
    <w:rsid w:val="003326A6"/>
    <w:rsid w:val="003326C9"/>
    <w:rsid w:val="00332744"/>
    <w:rsid w:val="003328E4"/>
    <w:rsid w:val="003328EC"/>
    <w:rsid w:val="00332919"/>
    <w:rsid w:val="00332BAA"/>
    <w:rsid w:val="00332C9F"/>
    <w:rsid w:val="0033327A"/>
    <w:rsid w:val="003334BA"/>
    <w:rsid w:val="003335B4"/>
    <w:rsid w:val="0033366E"/>
    <w:rsid w:val="00333A7F"/>
    <w:rsid w:val="00333C46"/>
    <w:rsid w:val="00333EF6"/>
    <w:rsid w:val="00333FDB"/>
    <w:rsid w:val="0033462B"/>
    <w:rsid w:val="00334663"/>
    <w:rsid w:val="0033497C"/>
    <w:rsid w:val="00334A13"/>
    <w:rsid w:val="00334AA5"/>
    <w:rsid w:val="00334D6D"/>
    <w:rsid w:val="00334D8E"/>
    <w:rsid w:val="00334F9D"/>
    <w:rsid w:val="0033504A"/>
    <w:rsid w:val="003350F9"/>
    <w:rsid w:val="00335230"/>
    <w:rsid w:val="00335238"/>
    <w:rsid w:val="003353A3"/>
    <w:rsid w:val="00335493"/>
    <w:rsid w:val="003355B7"/>
    <w:rsid w:val="00335699"/>
    <w:rsid w:val="00335957"/>
    <w:rsid w:val="003359B9"/>
    <w:rsid w:val="003359FE"/>
    <w:rsid w:val="00335BCA"/>
    <w:rsid w:val="00335C4D"/>
    <w:rsid w:val="00335F4B"/>
    <w:rsid w:val="00335FCF"/>
    <w:rsid w:val="003361AE"/>
    <w:rsid w:val="00336556"/>
    <w:rsid w:val="003366C0"/>
    <w:rsid w:val="00336979"/>
    <w:rsid w:val="003369D8"/>
    <w:rsid w:val="00336A69"/>
    <w:rsid w:val="00336BC7"/>
    <w:rsid w:val="00336C8A"/>
    <w:rsid w:val="00336DB5"/>
    <w:rsid w:val="00337055"/>
    <w:rsid w:val="003371F9"/>
    <w:rsid w:val="003373A6"/>
    <w:rsid w:val="003374FC"/>
    <w:rsid w:val="003375BD"/>
    <w:rsid w:val="003376E2"/>
    <w:rsid w:val="00337849"/>
    <w:rsid w:val="00337988"/>
    <w:rsid w:val="00337A64"/>
    <w:rsid w:val="00337A9C"/>
    <w:rsid w:val="00337ABF"/>
    <w:rsid w:val="00337C67"/>
    <w:rsid w:val="00337F51"/>
    <w:rsid w:val="00337FB0"/>
    <w:rsid w:val="003400AC"/>
    <w:rsid w:val="003401A5"/>
    <w:rsid w:val="003404B9"/>
    <w:rsid w:val="0034063E"/>
    <w:rsid w:val="003406E8"/>
    <w:rsid w:val="00340D75"/>
    <w:rsid w:val="00341140"/>
    <w:rsid w:val="0034114E"/>
    <w:rsid w:val="0034131C"/>
    <w:rsid w:val="003413F9"/>
    <w:rsid w:val="0034163D"/>
    <w:rsid w:val="003417B4"/>
    <w:rsid w:val="0034184A"/>
    <w:rsid w:val="00341C91"/>
    <w:rsid w:val="00341FEE"/>
    <w:rsid w:val="003422FA"/>
    <w:rsid w:val="003424AF"/>
    <w:rsid w:val="0034262D"/>
    <w:rsid w:val="0034266D"/>
    <w:rsid w:val="00342763"/>
    <w:rsid w:val="00342AA5"/>
    <w:rsid w:val="00342AD6"/>
    <w:rsid w:val="00342E80"/>
    <w:rsid w:val="00342F3E"/>
    <w:rsid w:val="00343643"/>
    <w:rsid w:val="00343721"/>
    <w:rsid w:val="00343774"/>
    <w:rsid w:val="003437A1"/>
    <w:rsid w:val="003437FD"/>
    <w:rsid w:val="003438C1"/>
    <w:rsid w:val="00343A0A"/>
    <w:rsid w:val="00343B14"/>
    <w:rsid w:val="00344071"/>
    <w:rsid w:val="00344198"/>
    <w:rsid w:val="0034459C"/>
    <w:rsid w:val="003446F4"/>
    <w:rsid w:val="00344823"/>
    <w:rsid w:val="00344925"/>
    <w:rsid w:val="00344932"/>
    <w:rsid w:val="00344BF0"/>
    <w:rsid w:val="00344C3C"/>
    <w:rsid w:val="00344F98"/>
    <w:rsid w:val="00345060"/>
    <w:rsid w:val="003451A7"/>
    <w:rsid w:val="003453B0"/>
    <w:rsid w:val="00345408"/>
    <w:rsid w:val="003454B9"/>
    <w:rsid w:val="00345677"/>
    <w:rsid w:val="00345714"/>
    <w:rsid w:val="003459C2"/>
    <w:rsid w:val="00345A6B"/>
    <w:rsid w:val="00345AA5"/>
    <w:rsid w:val="00346027"/>
    <w:rsid w:val="003460CF"/>
    <w:rsid w:val="00346120"/>
    <w:rsid w:val="00346162"/>
    <w:rsid w:val="00346343"/>
    <w:rsid w:val="003466C6"/>
    <w:rsid w:val="003466CF"/>
    <w:rsid w:val="00346806"/>
    <w:rsid w:val="00346A1A"/>
    <w:rsid w:val="00346AFF"/>
    <w:rsid w:val="00346B9C"/>
    <w:rsid w:val="0034717E"/>
    <w:rsid w:val="0034719A"/>
    <w:rsid w:val="00347239"/>
    <w:rsid w:val="00347311"/>
    <w:rsid w:val="00347582"/>
    <w:rsid w:val="0034773C"/>
    <w:rsid w:val="00347751"/>
    <w:rsid w:val="00347CFA"/>
    <w:rsid w:val="00347D63"/>
    <w:rsid w:val="00347E99"/>
    <w:rsid w:val="00350506"/>
    <w:rsid w:val="00350786"/>
    <w:rsid w:val="00350A4F"/>
    <w:rsid w:val="00350C33"/>
    <w:rsid w:val="00350E01"/>
    <w:rsid w:val="003511F0"/>
    <w:rsid w:val="0035131C"/>
    <w:rsid w:val="00351400"/>
    <w:rsid w:val="0035165B"/>
    <w:rsid w:val="00351695"/>
    <w:rsid w:val="00351710"/>
    <w:rsid w:val="003518DA"/>
    <w:rsid w:val="00351A13"/>
    <w:rsid w:val="00351B4C"/>
    <w:rsid w:val="00351ECC"/>
    <w:rsid w:val="0035213B"/>
    <w:rsid w:val="003521F1"/>
    <w:rsid w:val="0035235F"/>
    <w:rsid w:val="003524AE"/>
    <w:rsid w:val="00352504"/>
    <w:rsid w:val="003525C0"/>
    <w:rsid w:val="00352A9C"/>
    <w:rsid w:val="00352BED"/>
    <w:rsid w:val="00352D07"/>
    <w:rsid w:val="00352E1B"/>
    <w:rsid w:val="00352EB5"/>
    <w:rsid w:val="00352F5E"/>
    <w:rsid w:val="0035302D"/>
    <w:rsid w:val="0035305A"/>
    <w:rsid w:val="003530C8"/>
    <w:rsid w:val="0035316C"/>
    <w:rsid w:val="0035320E"/>
    <w:rsid w:val="00353218"/>
    <w:rsid w:val="00353418"/>
    <w:rsid w:val="00353488"/>
    <w:rsid w:val="003534A6"/>
    <w:rsid w:val="003535FD"/>
    <w:rsid w:val="003537DD"/>
    <w:rsid w:val="003539F9"/>
    <w:rsid w:val="00353B28"/>
    <w:rsid w:val="00353F31"/>
    <w:rsid w:val="00353FE0"/>
    <w:rsid w:val="00354141"/>
    <w:rsid w:val="0035417B"/>
    <w:rsid w:val="0035424B"/>
    <w:rsid w:val="003544E1"/>
    <w:rsid w:val="0035469A"/>
    <w:rsid w:val="003549D5"/>
    <w:rsid w:val="00354A0B"/>
    <w:rsid w:val="00354D10"/>
    <w:rsid w:val="00354D8B"/>
    <w:rsid w:val="00355198"/>
    <w:rsid w:val="003551A1"/>
    <w:rsid w:val="0035535F"/>
    <w:rsid w:val="0035554D"/>
    <w:rsid w:val="0035575B"/>
    <w:rsid w:val="00355802"/>
    <w:rsid w:val="00355805"/>
    <w:rsid w:val="00355C9E"/>
    <w:rsid w:val="00355EBC"/>
    <w:rsid w:val="00355F04"/>
    <w:rsid w:val="00356211"/>
    <w:rsid w:val="003564E0"/>
    <w:rsid w:val="00356734"/>
    <w:rsid w:val="003568EC"/>
    <w:rsid w:val="00356AEE"/>
    <w:rsid w:val="00356EC5"/>
    <w:rsid w:val="00356FC6"/>
    <w:rsid w:val="003570C3"/>
    <w:rsid w:val="003574C9"/>
    <w:rsid w:val="0035775F"/>
    <w:rsid w:val="00357D0A"/>
    <w:rsid w:val="00357D4E"/>
    <w:rsid w:val="00357E13"/>
    <w:rsid w:val="00357FBB"/>
    <w:rsid w:val="00360644"/>
    <w:rsid w:val="003608CB"/>
    <w:rsid w:val="00360CCF"/>
    <w:rsid w:val="00360E51"/>
    <w:rsid w:val="003611E9"/>
    <w:rsid w:val="00361685"/>
    <w:rsid w:val="0036183F"/>
    <w:rsid w:val="003619B4"/>
    <w:rsid w:val="00361C89"/>
    <w:rsid w:val="00361E23"/>
    <w:rsid w:val="00361E40"/>
    <w:rsid w:val="003621E2"/>
    <w:rsid w:val="003622AD"/>
    <w:rsid w:val="00362366"/>
    <w:rsid w:val="00362624"/>
    <w:rsid w:val="003627EC"/>
    <w:rsid w:val="003628CE"/>
    <w:rsid w:val="00362A5C"/>
    <w:rsid w:val="00362A89"/>
    <w:rsid w:val="00362AF7"/>
    <w:rsid w:val="00362BE1"/>
    <w:rsid w:val="00362C05"/>
    <w:rsid w:val="00362CD3"/>
    <w:rsid w:val="00363029"/>
    <w:rsid w:val="00363046"/>
    <w:rsid w:val="0036320F"/>
    <w:rsid w:val="003632FA"/>
    <w:rsid w:val="003633AA"/>
    <w:rsid w:val="0036341A"/>
    <w:rsid w:val="00363B67"/>
    <w:rsid w:val="00363BF1"/>
    <w:rsid w:val="00363C6E"/>
    <w:rsid w:val="00363DD3"/>
    <w:rsid w:val="00364251"/>
    <w:rsid w:val="00364315"/>
    <w:rsid w:val="0036442D"/>
    <w:rsid w:val="003648A4"/>
    <w:rsid w:val="003649C2"/>
    <w:rsid w:val="00364C5D"/>
    <w:rsid w:val="00364C7B"/>
    <w:rsid w:val="0036502E"/>
    <w:rsid w:val="003650C9"/>
    <w:rsid w:val="003652D5"/>
    <w:rsid w:val="00365387"/>
    <w:rsid w:val="00365561"/>
    <w:rsid w:val="00365850"/>
    <w:rsid w:val="00365D16"/>
    <w:rsid w:val="00365D6B"/>
    <w:rsid w:val="00365D9C"/>
    <w:rsid w:val="00365EC1"/>
    <w:rsid w:val="0036614F"/>
    <w:rsid w:val="00366162"/>
    <w:rsid w:val="00366222"/>
    <w:rsid w:val="0036639E"/>
    <w:rsid w:val="003663D0"/>
    <w:rsid w:val="00366444"/>
    <w:rsid w:val="0036653A"/>
    <w:rsid w:val="0036658E"/>
    <w:rsid w:val="003665D8"/>
    <w:rsid w:val="00366740"/>
    <w:rsid w:val="0036679F"/>
    <w:rsid w:val="0036695F"/>
    <w:rsid w:val="003669E6"/>
    <w:rsid w:val="003669EC"/>
    <w:rsid w:val="00366AE4"/>
    <w:rsid w:val="00366B07"/>
    <w:rsid w:val="0036718E"/>
    <w:rsid w:val="00367350"/>
    <w:rsid w:val="003674F1"/>
    <w:rsid w:val="003677B0"/>
    <w:rsid w:val="003677FB"/>
    <w:rsid w:val="00367885"/>
    <w:rsid w:val="003678C0"/>
    <w:rsid w:val="003678DA"/>
    <w:rsid w:val="00367B26"/>
    <w:rsid w:val="00367B9E"/>
    <w:rsid w:val="00367DC0"/>
    <w:rsid w:val="00367E0D"/>
    <w:rsid w:val="00367F56"/>
    <w:rsid w:val="003700A5"/>
    <w:rsid w:val="003705A6"/>
    <w:rsid w:val="003705EA"/>
    <w:rsid w:val="003706A5"/>
    <w:rsid w:val="0037075F"/>
    <w:rsid w:val="00370880"/>
    <w:rsid w:val="00370CF4"/>
    <w:rsid w:val="00370D81"/>
    <w:rsid w:val="00370F0E"/>
    <w:rsid w:val="00371231"/>
    <w:rsid w:val="00371319"/>
    <w:rsid w:val="003713AB"/>
    <w:rsid w:val="00371487"/>
    <w:rsid w:val="003718FC"/>
    <w:rsid w:val="00371D6B"/>
    <w:rsid w:val="00371F43"/>
    <w:rsid w:val="003722DE"/>
    <w:rsid w:val="00372494"/>
    <w:rsid w:val="00372526"/>
    <w:rsid w:val="00372670"/>
    <w:rsid w:val="00372735"/>
    <w:rsid w:val="00372749"/>
    <w:rsid w:val="00372C57"/>
    <w:rsid w:val="00372CC7"/>
    <w:rsid w:val="00372CDB"/>
    <w:rsid w:val="00372F3B"/>
    <w:rsid w:val="00372F71"/>
    <w:rsid w:val="00372F7B"/>
    <w:rsid w:val="003732B0"/>
    <w:rsid w:val="003732E9"/>
    <w:rsid w:val="00373337"/>
    <w:rsid w:val="003733FE"/>
    <w:rsid w:val="00373524"/>
    <w:rsid w:val="0037366C"/>
    <w:rsid w:val="00373817"/>
    <w:rsid w:val="003738C3"/>
    <w:rsid w:val="00373983"/>
    <w:rsid w:val="003739DA"/>
    <w:rsid w:val="00373DA6"/>
    <w:rsid w:val="00373DB8"/>
    <w:rsid w:val="00373DE0"/>
    <w:rsid w:val="00373E20"/>
    <w:rsid w:val="003740EE"/>
    <w:rsid w:val="00374187"/>
    <w:rsid w:val="00374223"/>
    <w:rsid w:val="0037431F"/>
    <w:rsid w:val="00374561"/>
    <w:rsid w:val="003745B1"/>
    <w:rsid w:val="0037488B"/>
    <w:rsid w:val="00374A57"/>
    <w:rsid w:val="00374B3E"/>
    <w:rsid w:val="00374E0B"/>
    <w:rsid w:val="00374F99"/>
    <w:rsid w:val="0037524B"/>
    <w:rsid w:val="00375352"/>
    <w:rsid w:val="003753AB"/>
    <w:rsid w:val="0037554C"/>
    <w:rsid w:val="003755E2"/>
    <w:rsid w:val="00375666"/>
    <w:rsid w:val="00375692"/>
    <w:rsid w:val="003757ED"/>
    <w:rsid w:val="00375893"/>
    <w:rsid w:val="003758C0"/>
    <w:rsid w:val="00375B75"/>
    <w:rsid w:val="00375C20"/>
    <w:rsid w:val="00375D19"/>
    <w:rsid w:val="00375DB5"/>
    <w:rsid w:val="00375EE3"/>
    <w:rsid w:val="0037604E"/>
    <w:rsid w:val="0037614D"/>
    <w:rsid w:val="003763E7"/>
    <w:rsid w:val="003764C5"/>
    <w:rsid w:val="003765FE"/>
    <w:rsid w:val="00376E2F"/>
    <w:rsid w:val="00377146"/>
    <w:rsid w:val="0037760B"/>
    <w:rsid w:val="00377BB8"/>
    <w:rsid w:val="00377D5A"/>
    <w:rsid w:val="0038014E"/>
    <w:rsid w:val="003802C6"/>
    <w:rsid w:val="00380336"/>
    <w:rsid w:val="003803C3"/>
    <w:rsid w:val="003804A6"/>
    <w:rsid w:val="00380564"/>
    <w:rsid w:val="0038057D"/>
    <w:rsid w:val="003805B3"/>
    <w:rsid w:val="003808A4"/>
    <w:rsid w:val="003809A9"/>
    <w:rsid w:val="00380A70"/>
    <w:rsid w:val="00380CA5"/>
    <w:rsid w:val="00380FC9"/>
    <w:rsid w:val="003811F1"/>
    <w:rsid w:val="0038126D"/>
    <w:rsid w:val="003812DA"/>
    <w:rsid w:val="0038182B"/>
    <w:rsid w:val="00381E58"/>
    <w:rsid w:val="003821A7"/>
    <w:rsid w:val="003822F7"/>
    <w:rsid w:val="00382447"/>
    <w:rsid w:val="003827E2"/>
    <w:rsid w:val="003829A0"/>
    <w:rsid w:val="00382DE2"/>
    <w:rsid w:val="00382E64"/>
    <w:rsid w:val="00382F5A"/>
    <w:rsid w:val="0038321F"/>
    <w:rsid w:val="0038324B"/>
    <w:rsid w:val="00383328"/>
    <w:rsid w:val="00383479"/>
    <w:rsid w:val="00383643"/>
    <w:rsid w:val="003837EC"/>
    <w:rsid w:val="00383A45"/>
    <w:rsid w:val="00383D45"/>
    <w:rsid w:val="00383E12"/>
    <w:rsid w:val="0038403E"/>
    <w:rsid w:val="003844C4"/>
    <w:rsid w:val="0038455E"/>
    <w:rsid w:val="00384A14"/>
    <w:rsid w:val="00384B57"/>
    <w:rsid w:val="00384BB2"/>
    <w:rsid w:val="00384E5A"/>
    <w:rsid w:val="00384F98"/>
    <w:rsid w:val="00384F9A"/>
    <w:rsid w:val="00385209"/>
    <w:rsid w:val="0038573F"/>
    <w:rsid w:val="003857CB"/>
    <w:rsid w:val="003858D5"/>
    <w:rsid w:val="00385B8F"/>
    <w:rsid w:val="00385CF4"/>
    <w:rsid w:val="00386231"/>
    <w:rsid w:val="003863A6"/>
    <w:rsid w:val="0038669C"/>
    <w:rsid w:val="003867A3"/>
    <w:rsid w:val="003868F2"/>
    <w:rsid w:val="00386B0D"/>
    <w:rsid w:val="00386C36"/>
    <w:rsid w:val="00386D8B"/>
    <w:rsid w:val="0038713D"/>
    <w:rsid w:val="003873B1"/>
    <w:rsid w:val="00387485"/>
    <w:rsid w:val="003874F3"/>
    <w:rsid w:val="00387512"/>
    <w:rsid w:val="003875B0"/>
    <w:rsid w:val="003875EA"/>
    <w:rsid w:val="00387A07"/>
    <w:rsid w:val="00387A38"/>
    <w:rsid w:val="00387ED0"/>
    <w:rsid w:val="003900B8"/>
    <w:rsid w:val="00390150"/>
    <w:rsid w:val="003904FE"/>
    <w:rsid w:val="00390785"/>
    <w:rsid w:val="003907E5"/>
    <w:rsid w:val="00390943"/>
    <w:rsid w:val="003909A3"/>
    <w:rsid w:val="00390D4C"/>
    <w:rsid w:val="00390E27"/>
    <w:rsid w:val="003910FC"/>
    <w:rsid w:val="00391244"/>
    <w:rsid w:val="003914F0"/>
    <w:rsid w:val="003915CF"/>
    <w:rsid w:val="0039186E"/>
    <w:rsid w:val="0039190D"/>
    <w:rsid w:val="00391A86"/>
    <w:rsid w:val="00391CE2"/>
    <w:rsid w:val="003925D2"/>
    <w:rsid w:val="00392797"/>
    <w:rsid w:val="0039287F"/>
    <w:rsid w:val="00392B05"/>
    <w:rsid w:val="00392B9D"/>
    <w:rsid w:val="00392E60"/>
    <w:rsid w:val="00392F19"/>
    <w:rsid w:val="00392FCE"/>
    <w:rsid w:val="003931A1"/>
    <w:rsid w:val="003933B0"/>
    <w:rsid w:val="00393415"/>
    <w:rsid w:val="0039350E"/>
    <w:rsid w:val="003936A6"/>
    <w:rsid w:val="003937D9"/>
    <w:rsid w:val="0039393C"/>
    <w:rsid w:val="003939E0"/>
    <w:rsid w:val="00393BC4"/>
    <w:rsid w:val="00393E32"/>
    <w:rsid w:val="00393EC5"/>
    <w:rsid w:val="00393EFF"/>
    <w:rsid w:val="0039410E"/>
    <w:rsid w:val="00394261"/>
    <w:rsid w:val="003942F2"/>
    <w:rsid w:val="003949A7"/>
    <w:rsid w:val="00394AF0"/>
    <w:rsid w:val="00394B37"/>
    <w:rsid w:val="00394CAF"/>
    <w:rsid w:val="00394D75"/>
    <w:rsid w:val="00394E06"/>
    <w:rsid w:val="00394E88"/>
    <w:rsid w:val="00394EAB"/>
    <w:rsid w:val="00395020"/>
    <w:rsid w:val="003952E3"/>
    <w:rsid w:val="00395373"/>
    <w:rsid w:val="0039540E"/>
    <w:rsid w:val="003955CB"/>
    <w:rsid w:val="00395707"/>
    <w:rsid w:val="0039575E"/>
    <w:rsid w:val="003957A2"/>
    <w:rsid w:val="0039589B"/>
    <w:rsid w:val="00395B2D"/>
    <w:rsid w:val="00395EED"/>
    <w:rsid w:val="0039612E"/>
    <w:rsid w:val="0039628A"/>
    <w:rsid w:val="003964CE"/>
    <w:rsid w:val="003968D0"/>
    <w:rsid w:val="00396B8F"/>
    <w:rsid w:val="00396BFF"/>
    <w:rsid w:val="00396D42"/>
    <w:rsid w:val="00396E74"/>
    <w:rsid w:val="003970D7"/>
    <w:rsid w:val="0039719C"/>
    <w:rsid w:val="003973C6"/>
    <w:rsid w:val="00397707"/>
    <w:rsid w:val="0039788C"/>
    <w:rsid w:val="00397D74"/>
    <w:rsid w:val="00397DCC"/>
    <w:rsid w:val="00397F28"/>
    <w:rsid w:val="00397FAF"/>
    <w:rsid w:val="003A0054"/>
    <w:rsid w:val="003A00F2"/>
    <w:rsid w:val="003A0120"/>
    <w:rsid w:val="003A07E0"/>
    <w:rsid w:val="003A08C1"/>
    <w:rsid w:val="003A0911"/>
    <w:rsid w:val="003A0A57"/>
    <w:rsid w:val="003A0BFE"/>
    <w:rsid w:val="003A0C35"/>
    <w:rsid w:val="003A0EC2"/>
    <w:rsid w:val="003A0FBD"/>
    <w:rsid w:val="003A1057"/>
    <w:rsid w:val="003A11D1"/>
    <w:rsid w:val="003A1285"/>
    <w:rsid w:val="003A13B3"/>
    <w:rsid w:val="003A14D0"/>
    <w:rsid w:val="003A16DD"/>
    <w:rsid w:val="003A1927"/>
    <w:rsid w:val="003A1A31"/>
    <w:rsid w:val="003A1CE2"/>
    <w:rsid w:val="003A1DA0"/>
    <w:rsid w:val="003A1EC7"/>
    <w:rsid w:val="003A22D1"/>
    <w:rsid w:val="003A2397"/>
    <w:rsid w:val="003A2417"/>
    <w:rsid w:val="003A25B9"/>
    <w:rsid w:val="003A264F"/>
    <w:rsid w:val="003A2721"/>
    <w:rsid w:val="003A28A8"/>
    <w:rsid w:val="003A2942"/>
    <w:rsid w:val="003A2950"/>
    <w:rsid w:val="003A2952"/>
    <w:rsid w:val="003A2CFD"/>
    <w:rsid w:val="003A2D9A"/>
    <w:rsid w:val="003A2FCE"/>
    <w:rsid w:val="003A31DE"/>
    <w:rsid w:val="003A31ED"/>
    <w:rsid w:val="003A3255"/>
    <w:rsid w:val="003A339E"/>
    <w:rsid w:val="003A33AE"/>
    <w:rsid w:val="003A35F6"/>
    <w:rsid w:val="003A376A"/>
    <w:rsid w:val="003A3865"/>
    <w:rsid w:val="003A3B29"/>
    <w:rsid w:val="003A3B67"/>
    <w:rsid w:val="003A3DD3"/>
    <w:rsid w:val="003A3FAA"/>
    <w:rsid w:val="003A40F3"/>
    <w:rsid w:val="003A4243"/>
    <w:rsid w:val="003A446A"/>
    <w:rsid w:val="003A4812"/>
    <w:rsid w:val="003A4845"/>
    <w:rsid w:val="003A4C3F"/>
    <w:rsid w:val="003A4CCF"/>
    <w:rsid w:val="003A504F"/>
    <w:rsid w:val="003A534A"/>
    <w:rsid w:val="003A56B2"/>
    <w:rsid w:val="003A56B5"/>
    <w:rsid w:val="003A597A"/>
    <w:rsid w:val="003A5A8E"/>
    <w:rsid w:val="003A5C55"/>
    <w:rsid w:val="003A5F85"/>
    <w:rsid w:val="003A5FCF"/>
    <w:rsid w:val="003A6008"/>
    <w:rsid w:val="003A6317"/>
    <w:rsid w:val="003A654D"/>
    <w:rsid w:val="003A66DB"/>
    <w:rsid w:val="003A68C2"/>
    <w:rsid w:val="003A6C35"/>
    <w:rsid w:val="003A6C6F"/>
    <w:rsid w:val="003A6DB2"/>
    <w:rsid w:val="003A70F7"/>
    <w:rsid w:val="003A7645"/>
    <w:rsid w:val="003A76A3"/>
    <w:rsid w:val="003A7862"/>
    <w:rsid w:val="003A794E"/>
    <w:rsid w:val="003A7C83"/>
    <w:rsid w:val="003A7CDE"/>
    <w:rsid w:val="003A7F3B"/>
    <w:rsid w:val="003A7F6D"/>
    <w:rsid w:val="003A7FBC"/>
    <w:rsid w:val="003B0110"/>
    <w:rsid w:val="003B0398"/>
    <w:rsid w:val="003B0499"/>
    <w:rsid w:val="003B06C8"/>
    <w:rsid w:val="003B07DC"/>
    <w:rsid w:val="003B0920"/>
    <w:rsid w:val="003B0AA3"/>
    <w:rsid w:val="003B0E18"/>
    <w:rsid w:val="003B1094"/>
    <w:rsid w:val="003B11DB"/>
    <w:rsid w:val="003B13AE"/>
    <w:rsid w:val="003B1487"/>
    <w:rsid w:val="003B15AD"/>
    <w:rsid w:val="003B178C"/>
    <w:rsid w:val="003B1A73"/>
    <w:rsid w:val="003B1C44"/>
    <w:rsid w:val="003B1D9F"/>
    <w:rsid w:val="003B1E70"/>
    <w:rsid w:val="003B1E7D"/>
    <w:rsid w:val="003B1F56"/>
    <w:rsid w:val="003B2000"/>
    <w:rsid w:val="003B21E9"/>
    <w:rsid w:val="003B2284"/>
    <w:rsid w:val="003B236A"/>
    <w:rsid w:val="003B2571"/>
    <w:rsid w:val="003B2879"/>
    <w:rsid w:val="003B28B6"/>
    <w:rsid w:val="003B2966"/>
    <w:rsid w:val="003B2995"/>
    <w:rsid w:val="003B2C27"/>
    <w:rsid w:val="003B303E"/>
    <w:rsid w:val="003B306F"/>
    <w:rsid w:val="003B3141"/>
    <w:rsid w:val="003B31C5"/>
    <w:rsid w:val="003B333A"/>
    <w:rsid w:val="003B36F0"/>
    <w:rsid w:val="003B3724"/>
    <w:rsid w:val="003B39DD"/>
    <w:rsid w:val="003B3DFB"/>
    <w:rsid w:val="003B4072"/>
    <w:rsid w:val="003B40DB"/>
    <w:rsid w:val="003B4250"/>
    <w:rsid w:val="003B4498"/>
    <w:rsid w:val="003B46DD"/>
    <w:rsid w:val="003B4B81"/>
    <w:rsid w:val="003B4C2C"/>
    <w:rsid w:val="003B4D21"/>
    <w:rsid w:val="003B4D5D"/>
    <w:rsid w:val="003B4E6D"/>
    <w:rsid w:val="003B4F1B"/>
    <w:rsid w:val="003B4F81"/>
    <w:rsid w:val="003B4FC1"/>
    <w:rsid w:val="003B5015"/>
    <w:rsid w:val="003B52A6"/>
    <w:rsid w:val="003B543C"/>
    <w:rsid w:val="003B5540"/>
    <w:rsid w:val="003B57CB"/>
    <w:rsid w:val="003B5A2E"/>
    <w:rsid w:val="003B5AAC"/>
    <w:rsid w:val="003B5BB9"/>
    <w:rsid w:val="003B5BFD"/>
    <w:rsid w:val="003B5CAA"/>
    <w:rsid w:val="003B60D0"/>
    <w:rsid w:val="003B6327"/>
    <w:rsid w:val="003B6661"/>
    <w:rsid w:val="003B67F0"/>
    <w:rsid w:val="003B68BF"/>
    <w:rsid w:val="003B6F52"/>
    <w:rsid w:val="003B6FB5"/>
    <w:rsid w:val="003B70B2"/>
    <w:rsid w:val="003B72B5"/>
    <w:rsid w:val="003B7487"/>
    <w:rsid w:val="003B7617"/>
    <w:rsid w:val="003B7837"/>
    <w:rsid w:val="003B7868"/>
    <w:rsid w:val="003B7BD0"/>
    <w:rsid w:val="003B7F99"/>
    <w:rsid w:val="003C02B3"/>
    <w:rsid w:val="003C04CA"/>
    <w:rsid w:val="003C0803"/>
    <w:rsid w:val="003C080A"/>
    <w:rsid w:val="003C0873"/>
    <w:rsid w:val="003C09B7"/>
    <w:rsid w:val="003C0B5C"/>
    <w:rsid w:val="003C0C02"/>
    <w:rsid w:val="003C1185"/>
    <w:rsid w:val="003C11E1"/>
    <w:rsid w:val="003C11F2"/>
    <w:rsid w:val="003C12F9"/>
    <w:rsid w:val="003C143B"/>
    <w:rsid w:val="003C1C34"/>
    <w:rsid w:val="003C1C53"/>
    <w:rsid w:val="003C1DD0"/>
    <w:rsid w:val="003C21D6"/>
    <w:rsid w:val="003C2664"/>
    <w:rsid w:val="003C266A"/>
    <w:rsid w:val="003C2730"/>
    <w:rsid w:val="003C27C9"/>
    <w:rsid w:val="003C2A33"/>
    <w:rsid w:val="003C2F39"/>
    <w:rsid w:val="003C2FE7"/>
    <w:rsid w:val="003C3331"/>
    <w:rsid w:val="003C334F"/>
    <w:rsid w:val="003C3363"/>
    <w:rsid w:val="003C339D"/>
    <w:rsid w:val="003C33D1"/>
    <w:rsid w:val="003C36B1"/>
    <w:rsid w:val="003C3B9C"/>
    <w:rsid w:val="003C3C58"/>
    <w:rsid w:val="003C3FF8"/>
    <w:rsid w:val="003C40B3"/>
    <w:rsid w:val="003C42D1"/>
    <w:rsid w:val="003C42FA"/>
    <w:rsid w:val="003C4422"/>
    <w:rsid w:val="003C4458"/>
    <w:rsid w:val="003C4731"/>
    <w:rsid w:val="003C4751"/>
    <w:rsid w:val="003C4807"/>
    <w:rsid w:val="003C4854"/>
    <w:rsid w:val="003C4855"/>
    <w:rsid w:val="003C494B"/>
    <w:rsid w:val="003C4CF7"/>
    <w:rsid w:val="003C507E"/>
    <w:rsid w:val="003C5113"/>
    <w:rsid w:val="003C5141"/>
    <w:rsid w:val="003C51F6"/>
    <w:rsid w:val="003C5416"/>
    <w:rsid w:val="003C5534"/>
    <w:rsid w:val="003C58DB"/>
    <w:rsid w:val="003C5D25"/>
    <w:rsid w:val="003C5F30"/>
    <w:rsid w:val="003C6099"/>
    <w:rsid w:val="003C6209"/>
    <w:rsid w:val="003C6724"/>
    <w:rsid w:val="003C6776"/>
    <w:rsid w:val="003C6791"/>
    <w:rsid w:val="003C6AC1"/>
    <w:rsid w:val="003C6AEA"/>
    <w:rsid w:val="003C6D8B"/>
    <w:rsid w:val="003C6DA7"/>
    <w:rsid w:val="003C6E9B"/>
    <w:rsid w:val="003C6F1D"/>
    <w:rsid w:val="003C6FA8"/>
    <w:rsid w:val="003C7020"/>
    <w:rsid w:val="003C718C"/>
    <w:rsid w:val="003C72F4"/>
    <w:rsid w:val="003C7877"/>
    <w:rsid w:val="003C7B45"/>
    <w:rsid w:val="003C7C4B"/>
    <w:rsid w:val="003D0141"/>
    <w:rsid w:val="003D02A3"/>
    <w:rsid w:val="003D02B8"/>
    <w:rsid w:val="003D0386"/>
    <w:rsid w:val="003D051B"/>
    <w:rsid w:val="003D0531"/>
    <w:rsid w:val="003D062B"/>
    <w:rsid w:val="003D0794"/>
    <w:rsid w:val="003D0AF8"/>
    <w:rsid w:val="003D0CE4"/>
    <w:rsid w:val="003D0EFE"/>
    <w:rsid w:val="003D0F95"/>
    <w:rsid w:val="003D1062"/>
    <w:rsid w:val="003D1465"/>
    <w:rsid w:val="003D14E7"/>
    <w:rsid w:val="003D156E"/>
    <w:rsid w:val="003D1929"/>
    <w:rsid w:val="003D19B1"/>
    <w:rsid w:val="003D19B6"/>
    <w:rsid w:val="003D1A54"/>
    <w:rsid w:val="003D1BBD"/>
    <w:rsid w:val="003D1C50"/>
    <w:rsid w:val="003D1C6C"/>
    <w:rsid w:val="003D1F5B"/>
    <w:rsid w:val="003D1F6F"/>
    <w:rsid w:val="003D1FBC"/>
    <w:rsid w:val="003D21B6"/>
    <w:rsid w:val="003D2206"/>
    <w:rsid w:val="003D2436"/>
    <w:rsid w:val="003D245E"/>
    <w:rsid w:val="003D250D"/>
    <w:rsid w:val="003D2573"/>
    <w:rsid w:val="003D2767"/>
    <w:rsid w:val="003D281B"/>
    <w:rsid w:val="003D2A5E"/>
    <w:rsid w:val="003D2A8E"/>
    <w:rsid w:val="003D2D9C"/>
    <w:rsid w:val="003D2EEF"/>
    <w:rsid w:val="003D330F"/>
    <w:rsid w:val="003D356D"/>
    <w:rsid w:val="003D363B"/>
    <w:rsid w:val="003D3758"/>
    <w:rsid w:val="003D3993"/>
    <w:rsid w:val="003D3A7A"/>
    <w:rsid w:val="003D3CEE"/>
    <w:rsid w:val="003D3EF4"/>
    <w:rsid w:val="003D422D"/>
    <w:rsid w:val="003D45C6"/>
    <w:rsid w:val="003D4643"/>
    <w:rsid w:val="003D4714"/>
    <w:rsid w:val="003D4726"/>
    <w:rsid w:val="003D495B"/>
    <w:rsid w:val="003D4ABC"/>
    <w:rsid w:val="003D4C8F"/>
    <w:rsid w:val="003D4D05"/>
    <w:rsid w:val="003D4D38"/>
    <w:rsid w:val="003D4E0E"/>
    <w:rsid w:val="003D4E84"/>
    <w:rsid w:val="003D4FF2"/>
    <w:rsid w:val="003D5024"/>
    <w:rsid w:val="003D51B3"/>
    <w:rsid w:val="003D565C"/>
    <w:rsid w:val="003D5677"/>
    <w:rsid w:val="003D567D"/>
    <w:rsid w:val="003D574C"/>
    <w:rsid w:val="003D5892"/>
    <w:rsid w:val="003D63CD"/>
    <w:rsid w:val="003D6509"/>
    <w:rsid w:val="003D6841"/>
    <w:rsid w:val="003D6970"/>
    <w:rsid w:val="003D6B58"/>
    <w:rsid w:val="003D6CB6"/>
    <w:rsid w:val="003D6CDC"/>
    <w:rsid w:val="003D6D21"/>
    <w:rsid w:val="003D7031"/>
    <w:rsid w:val="003D70E9"/>
    <w:rsid w:val="003D718F"/>
    <w:rsid w:val="003D71DD"/>
    <w:rsid w:val="003D7498"/>
    <w:rsid w:val="003D7769"/>
    <w:rsid w:val="003D7993"/>
    <w:rsid w:val="003D7F91"/>
    <w:rsid w:val="003E05E5"/>
    <w:rsid w:val="003E0679"/>
    <w:rsid w:val="003E09A8"/>
    <w:rsid w:val="003E0F13"/>
    <w:rsid w:val="003E100C"/>
    <w:rsid w:val="003E110B"/>
    <w:rsid w:val="003E11D0"/>
    <w:rsid w:val="003E12A6"/>
    <w:rsid w:val="003E13F4"/>
    <w:rsid w:val="003E1433"/>
    <w:rsid w:val="003E147E"/>
    <w:rsid w:val="003E1499"/>
    <w:rsid w:val="003E1503"/>
    <w:rsid w:val="003E15E3"/>
    <w:rsid w:val="003E167B"/>
    <w:rsid w:val="003E17C2"/>
    <w:rsid w:val="003E1BCE"/>
    <w:rsid w:val="003E1D38"/>
    <w:rsid w:val="003E214E"/>
    <w:rsid w:val="003E249A"/>
    <w:rsid w:val="003E24D6"/>
    <w:rsid w:val="003E24E3"/>
    <w:rsid w:val="003E2574"/>
    <w:rsid w:val="003E25E9"/>
    <w:rsid w:val="003E262A"/>
    <w:rsid w:val="003E28C7"/>
    <w:rsid w:val="003E2929"/>
    <w:rsid w:val="003E2A03"/>
    <w:rsid w:val="003E2C0A"/>
    <w:rsid w:val="003E2D28"/>
    <w:rsid w:val="003E2D5B"/>
    <w:rsid w:val="003E2D8D"/>
    <w:rsid w:val="003E2EFA"/>
    <w:rsid w:val="003E3588"/>
    <w:rsid w:val="003E3613"/>
    <w:rsid w:val="003E36EA"/>
    <w:rsid w:val="003E3871"/>
    <w:rsid w:val="003E393C"/>
    <w:rsid w:val="003E3A5C"/>
    <w:rsid w:val="003E3D14"/>
    <w:rsid w:val="003E3E2C"/>
    <w:rsid w:val="003E3E6C"/>
    <w:rsid w:val="003E3E90"/>
    <w:rsid w:val="003E416F"/>
    <w:rsid w:val="003E4789"/>
    <w:rsid w:val="003E49B2"/>
    <w:rsid w:val="003E4B6B"/>
    <w:rsid w:val="003E4C85"/>
    <w:rsid w:val="003E4D12"/>
    <w:rsid w:val="003E4E84"/>
    <w:rsid w:val="003E4EF9"/>
    <w:rsid w:val="003E4FB9"/>
    <w:rsid w:val="003E4FE6"/>
    <w:rsid w:val="003E5073"/>
    <w:rsid w:val="003E51ED"/>
    <w:rsid w:val="003E5258"/>
    <w:rsid w:val="003E5643"/>
    <w:rsid w:val="003E58E6"/>
    <w:rsid w:val="003E5986"/>
    <w:rsid w:val="003E5B5C"/>
    <w:rsid w:val="003E5E32"/>
    <w:rsid w:val="003E5F47"/>
    <w:rsid w:val="003E66C6"/>
    <w:rsid w:val="003E6F28"/>
    <w:rsid w:val="003E6F48"/>
    <w:rsid w:val="003E7021"/>
    <w:rsid w:val="003E7089"/>
    <w:rsid w:val="003E752D"/>
    <w:rsid w:val="003E75A4"/>
    <w:rsid w:val="003E78F6"/>
    <w:rsid w:val="003E7D6F"/>
    <w:rsid w:val="003E7DE0"/>
    <w:rsid w:val="003F006F"/>
    <w:rsid w:val="003F014E"/>
    <w:rsid w:val="003F01CF"/>
    <w:rsid w:val="003F0631"/>
    <w:rsid w:val="003F0AE7"/>
    <w:rsid w:val="003F0BEC"/>
    <w:rsid w:val="003F0C95"/>
    <w:rsid w:val="003F0DD7"/>
    <w:rsid w:val="003F0EF9"/>
    <w:rsid w:val="003F1101"/>
    <w:rsid w:val="003F135A"/>
    <w:rsid w:val="003F13F4"/>
    <w:rsid w:val="003F1479"/>
    <w:rsid w:val="003F147F"/>
    <w:rsid w:val="003F1639"/>
    <w:rsid w:val="003F17D0"/>
    <w:rsid w:val="003F1AD7"/>
    <w:rsid w:val="003F1C71"/>
    <w:rsid w:val="003F1CDD"/>
    <w:rsid w:val="003F1F06"/>
    <w:rsid w:val="003F226D"/>
    <w:rsid w:val="003F22DE"/>
    <w:rsid w:val="003F2428"/>
    <w:rsid w:val="003F273A"/>
    <w:rsid w:val="003F277F"/>
    <w:rsid w:val="003F27C9"/>
    <w:rsid w:val="003F27D8"/>
    <w:rsid w:val="003F295A"/>
    <w:rsid w:val="003F2BC3"/>
    <w:rsid w:val="003F2C64"/>
    <w:rsid w:val="003F2FB6"/>
    <w:rsid w:val="003F3008"/>
    <w:rsid w:val="003F305D"/>
    <w:rsid w:val="003F3094"/>
    <w:rsid w:val="003F30FC"/>
    <w:rsid w:val="003F3448"/>
    <w:rsid w:val="003F367C"/>
    <w:rsid w:val="003F3719"/>
    <w:rsid w:val="003F38BE"/>
    <w:rsid w:val="003F3A13"/>
    <w:rsid w:val="003F3C12"/>
    <w:rsid w:val="003F3C1C"/>
    <w:rsid w:val="003F3CDF"/>
    <w:rsid w:val="003F421D"/>
    <w:rsid w:val="003F42D2"/>
    <w:rsid w:val="003F44C5"/>
    <w:rsid w:val="003F45BE"/>
    <w:rsid w:val="003F47A0"/>
    <w:rsid w:val="003F4946"/>
    <w:rsid w:val="003F4A19"/>
    <w:rsid w:val="003F4A7E"/>
    <w:rsid w:val="003F4C50"/>
    <w:rsid w:val="003F4EB9"/>
    <w:rsid w:val="003F513D"/>
    <w:rsid w:val="003F52C1"/>
    <w:rsid w:val="003F532D"/>
    <w:rsid w:val="003F571A"/>
    <w:rsid w:val="003F586E"/>
    <w:rsid w:val="003F5AF6"/>
    <w:rsid w:val="003F5B7B"/>
    <w:rsid w:val="003F5CA8"/>
    <w:rsid w:val="003F5D84"/>
    <w:rsid w:val="003F5DCD"/>
    <w:rsid w:val="003F6370"/>
    <w:rsid w:val="003F65A6"/>
    <w:rsid w:val="003F6B43"/>
    <w:rsid w:val="003F6CD2"/>
    <w:rsid w:val="003F6DF3"/>
    <w:rsid w:val="003F72DC"/>
    <w:rsid w:val="003F777A"/>
    <w:rsid w:val="003F7850"/>
    <w:rsid w:val="003F7A2D"/>
    <w:rsid w:val="003F7AD3"/>
    <w:rsid w:val="003F7AD7"/>
    <w:rsid w:val="004002AC"/>
    <w:rsid w:val="004002D3"/>
    <w:rsid w:val="004004A0"/>
    <w:rsid w:val="004006B5"/>
    <w:rsid w:val="00400A3E"/>
    <w:rsid w:val="00400D02"/>
    <w:rsid w:val="00400D53"/>
    <w:rsid w:val="00400ECB"/>
    <w:rsid w:val="004017A7"/>
    <w:rsid w:val="00401A3E"/>
    <w:rsid w:val="00401BE9"/>
    <w:rsid w:val="00401D17"/>
    <w:rsid w:val="00401DE6"/>
    <w:rsid w:val="0040203A"/>
    <w:rsid w:val="004022FA"/>
    <w:rsid w:val="00402503"/>
    <w:rsid w:val="0040257D"/>
    <w:rsid w:val="004025CF"/>
    <w:rsid w:val="00402628"/>
    <w:rsid w:val="004027B8"/>
    <w:rsid w:val="004027EB"/>
    <w:rsid w:val="004028B1"/>
    <w:rsid w:val="00402A2F"/>
    <w:rsid w:val="00402A47"/>
    <w:rsid w:val="00402BF7"/>
    <w:rsid w:val="00402C34"/>
    <w:rsid w:val="00402FC4"/>
    <w:rsid w:val="004034DE"/>
    <w:rsid w:val="004034FC"/>
    <w:rsid w:val="00403531"/>
    <w:rsid w:val="00403541"/>
    <w:rsid w:val="004036A8"/>
    <w:rsid w:val="004037F8"/>
    <w:rsid w:val="00403AB0"/>
    <w:rsid w:val="00403B0E"/>
    <w:rsid w:val="00403CEC"/>
    <w:rsid w:val="00403D4A"/>
    <w:rsid w:val="00403FF3"/>
    <w:rsid w:val="0040414E"/>
    <w:rsid w:val="004041BC"/>
    <w:rsid w:val="004042F1"/>
    <w:rsid w:val="004043CA"/>
    <w:rsid w:val="0040442D"/>
    <w:rsid w:val="004047F8"/>
    <w:rsid w:val="0040492A"/>
    <w:rsid w:val="00404BB9"/>
    <w:rsid w:val="00404E13"/>
    <w:rsid w:val="00404E7E"/>
    <w:rsid w:val="00404FF1"/>
    <w:rsid w:val="004052BD"/>
    <w:rsid w:val="004052E5"/>
    <w:rsid w:val="004057F1"/>
    <w:rsid w:val="0040598D"/>
    <w:rsid w:val="00405A7D"/>
    <w:rsid w:val="00405CFD"/>
    <w:rsid w:val="00405F84"/>
    <w:rsid w:val="0040607A"/>
    <w:rsid w:val="00406179"/>
    <w:rsid w:val="004064E9"/>
    <w:rsid w:val="00406534"/>
    <w:rsid w:val="0040667B"/>
    <w:rsid w:val="004067B6"/>
    <w:rsid w:val="0040694B"/>
    <w:rsid w:val="004069F7"/>
    <w:rsid w:val="00406A10"/>
    <w:rsid w:val="00406CE4"/>
    <w:rsid w:val="00406DD2"/>
    <w:rsid w:val="00406F2A"/>
    <w:rsid w:val="0040704B"/>
    <w:rsid w:val="004070F2"/>
    <w:rsid w:val="00407100"/>
    <w:rsid w:val="00407144"/>
    <w:rsid w:val="00407191"/>
    <w:rsid w:val="004072C7"/>
    <w:rsid w:val="00407494"/>
    <w:rsid w:val="004074EB"/>
    <w:rsid w:val="004077AE"/>
    <w:rsid w:val="004077D6"/>
    <w:rsid w:val="00407833"/>
    <w:rsid w:val="004078FF"/>
    <w:rsid w:val="00407B38"/>
    <w:rsid w:val="00407D18"/>
    <w:rsid w:val="00410175"/>
    <w:rsid w:val="00410239"/>
    <w:rsid w:val="004102AB"/>
    <w:rsid w:val="00410324"/>
    <w:rsid w:val="0041033F"/>
    <w:rsid w:val="004103D5"/>
    <w:rsid w:val="00410675"/>
    <w:rsid w:val="004109C3"/>
    <w:rsid w:val="00410AC7"/>
    <w:rsid w:val="00410B34"/>
    <w:rsid w:val="00410DCB"/>
    <w:rsid w:val="0041100C"/>
    <w:rsid w:val="0041119A"/>
    <w:rsid w:val="00411358"/>
    <w:rsid w:val="00411389"/>
    <w:rsid w:val="004113DD"/>
    <w:rsid w:val="00411C14"/>
    <w:rsid w:val="004122AC"/>
    <w:rsid w:val="004123D8"/>
    <w:rsid w:val="004124DD"/>
    <w:rsid w:val="00412523"/>
    <w:rsid w:val="004128B1"/>
    <w:rsid w:val="00412E25"/>
    <w:rsid w:val="00412EB6"/>
    <w:rsid w:val="00413312"/>
    <w:rsid w:val="004133FE"/>
    <w:rsid w:val="0041343B"/>
    <w:rsid w:val="0041344C"/>
    <w:rsid w:val="004134BA"/>
    <w:rsid w:val="00413501"/>
    <w:rsid w:val="0041350C"/>
    <w:rsid w:val="0041376E"/>
    <w:rsid w:val="00413879"/>
    <w:rsid w:val="004138FB"/>
    <w:rsid w:val="00413C4D"/>
    <w:rsid w:val="00413E0E"/>
    <w:rsid w:val="00413E54"/>
    <w:rsid w:val="00414015"/>
    <w:rsid w:val="0041402F"/>
    <w:rsid w:val="00414068"/>
    <w:rsid w:val="004143EE"/>
    <w:rsid w:val="00414762"/>
    <w:rsid w:val="00414B88"/>
    <w:rsid w:val="00414BF9"/>
    <w:rsid w:val="00414D6A"/>
    <w:rsid w:val="0041500B"/>
    <w:rsid w:val="00415206"/>
    <w:rsid w:val="00415281"/>
    <w:rsid w:val="004152CC"/>
    <w:rsid w:val="004157B9"/>
    <w:rsid w:val="00415902"/>
    <w:rsid w:val="00415A4F"/>
    <w:rsid w:val="00415B78"/>
    <w:rsid w:val="00415D83"/>
    <w:rsid w:val="00415E32"/>
    <w:rsid w:val="004160E1"/>
    <w:rsid w:val="00416155"/>
    <w:rsid w:val="0041636F"/>
    <w:rsid w:val="0041642C"/>
    <w:rsid w:val="0041654A"/>
    <w:rsid w:val="004165A5"/>
    <w:rsid w:val="00416808"/>
    <w:rsid w:val="00416937"/>
    <w:rsid w:val="00416A45"/>
    <w:rsid w:val="00416D5D"/>
    <w:rsid w:val="00416D9A"/>
    <w:rsid w:val="004171B5"/>
    <w:rsid w:val="0041736B"/>
    <w:rsid w:val="0041756C"/>
    <w:rsid w:val="00417667"/>
    <w:rsid w:val="00417759"/>
    <w:rsid w:val="00417CF8"/>
    <w:rsid w:val="00417E72"/>
    <w:rsid w:val="00420316"/>
    <w:rsid w:val="004205E2"/>
    <w:rsid w:val="0042072C"/>
    <w:rsid w:val="004209A6"/>
    <w:rsid w:val="00420C0C"/>
    <w:rsid w:val="00420C8F"/>
    <w:rsid w:val="00420E76"/>
    <w:rsid w:val="004211EC"/>
    <w:rsid w:val="0042120E"/>
    <w:rsid w:val="004215B1"/>
    <w:rsid w:val="004215EC"/>
    <w:rsid w:val="004217D7"/>
    <w:rsid w:val="0042186F"/>
    <w:rsid w:val="004218AD"/>
    <w:rsid w:val="004218E6"/>
    <w:rsid w:val="004219E9"/>
    <w:rsid w:val="00421D17"/>
    <w:rsid w:val="00421E6C"/>
    <w:rsid w:val="00422034"/>
    <w:rsid w:val="0042208A"/>
    <w:rsid w:val="004220DF"/>
    <w:rsid w:val="0042246F"/>
    <w:rsid w:val="00422761"/>
    <w:rsid w:val="00422CFA"/>
    <w:rsid w:val="00423370"/>
    <w:rsid w:val="004233B9"/>
    <w:rsid w:val="00423653"/>
    <w:rsid w:val="00423A64"/>
    <w:rsid w:val="00423B2B"/>
    <w:rsid w:val="00423C81"/>
    <w:rsid w:val="00423D1C"/>
    <w:rsid w:val="00423E68"/>
    <w:rsid w:val="00423EFF"/>
    <w:rsid w:val="004240E2"/>
    <w:rsid w:val="00424304"/>
    <w:rsid w:val="004243F6"/>
    <w:rsid w:val="00424406"/>
    <w:rsid w:val="00424681"/>
    <w:rsid w:val="0042485B"/>
    <w:rsid w:val="00424B63"/>
    <w:rsid w:val="00424B90"/>
    <w:rsid w:val="00424D0E"/>
    <w:rsid w:val="00424E13"/>
    <w:rsid w:val="00424EEA"/>
    <w:rsid w:val="00425295"/>
    <w:rsid w:val="004252CB"/>
    <w:rsid w:val="00425363"/>
    <w:rsid w:val="004257A0"/>
    <w:rsid w:val="00425B76"/>
    <w:rsid w:val="00426035"/>
    <w:rsid w:val="004265F1"/>
    <w:rsid w:val="00426658"/>
    <w:rsid w:val="0042666C"/>
    <w:rsid w:val="0042693B"/>
    <w:rsid w:val="00426965"/>
    <w:rsid w:val="00426C32"/>
    <w:rsid w:val="00426D6A"/>
    <w:rsid w:val="00426E40"/>
    <w:rsid w:val="00426F11"/>
    <w:rsid w:val="00426F7A"/>
    <w:rsid w:val="0042706A"/>
    <w:rsid w:val="00427187"/>
    <w:rsid w:val="00427488"/>
    <w:rsid w:val="004274DD"/>
    <w:rsid w:val="004275C4"/>
    <w:rsid w:val="004275D7"/>
    <w:rsid w:val="0042765D"/>
    <w:rsid w:val="0042768B"/>
    <w:rsid w:val="004276B9"/>
    <w:rsid w:val="0042785D"/>
    <w:rsid w:val="00427978"/>
    <w:rsid w:val="00427992"/>
    <w:rsid w:val="00427B81"/>
    <w:rsid w:val="00427DF7"/>
    <w:rsid w:val="00427E86"/>
    <w:rsid w:val="0043029C"/>
    <w:rsid w:val="0043037F"/>
    <w:rsid w:val="004307E3"/>
    <w:rsid w:val="00430823"/>
    <w:rsid w:val="00430920"/>
    <w:rsid w:val="00430EA7"/>
    <w:rsid w:val="00431294"/>
    <w:rsid w:val="00431863"/>
    <w:rsid w:val="004318C4"/>
    <w:rsid w:val="0043194A"/>
    <w:rsid w:val="00431AAC"/>
    <w:rsid w:val="00431BA5"/>
    <w:rsid w:val="00431CDC"/>
    <w:rsid w:val="00431E08"/>
    <w:rsid w:val="004325CB"/>
    <w:rsid w:val="00432605"/>
    <w:rsid w:val="004327F4"/>
    <w:rsid w:val="00432D42"/>
    <w:rsid w:val="00432FA1"/>
    <w:rsid w:val="004333E3"/>
    <w:rsid w:val="00433408"/>
    <w:rsid w:val="0043346F"/>
    <w:rsid w:val="004335CC"/>
    <w:rsid w:val="00433951"/>
    <w:rsid w:val="00434058"/>
    <w:rsid w:val="004342CB"/>
    <w:rsid w:val="004343EA"/>
    <w:rsid w:val="004345DC"/>
    <w:rsid w:val="004345E7"/>
    <w:rsid w:val="0043464B"/>
    <w:rsid w:val="0043477A"/>
    <w:rsid w:val="004347CC"/>
    <w:rsid w:val="00434CD8"/>
    <w:rsid w:val="00434E06"/>
    <w:rsid w:val="00434E07"/>
    <w:rsid w:val="00434F6D"/>
    <w:rsid w:val="004350B4"/>
    <w:rsid w:val="004351C2"/>
    <w:rsid w:val="00435241"/>
    <w:rsid w:val="00435334"/>
    <w:rsid w:val="004354D3"/>
    <w:rsid w:val="004359FD"/>
    <w:rsid w:val="00435AC6"/>
    <w:rsid w:val="00435AE2"/>
    <w:rsid w:val="00435B16"/>
    <w:rsid w:val="00435BAF"/>
    <w:rsid w:val="00435C32"/>
    <w:rsid w:val="00435D53"/>
    <w:rsid w:val="00435E28"/>
    <w:rsid w:val="00435F2D"/>
    <w:rsid w:val="0043615E"/>
    <w:rsid w:val="00436430"/>
    <w:rsid w:val="00436655"/>
    <w:rsid w:val="0043695B"/>
    <w:rsid w:val="0043699A"/>
    <w:rsid w:val="00436AE3"/>
    <w:rsid w:val="00436C18"/>
    <w:rsid w:val="0043714C"/>
    <w:rsid w:val="004372B6"/>
    <w:rsid w:val="004375C2"/>
    <w:rsid w:val="004377D6"/>
    <w:rsid w:val="00437893"/>
    <w:rsid w:val="004378B7"/>
    <w:rsid w:val="004379E1"/>
    <w:rsid w:val="004379F6"/>
    <w:rsid w:val="00437E55"/>
    <w:rsid w:val="00440050"/>
    <w:rsid w:val="004400CB"/>
    <w:rsid w:val="00440485"/>
    <w:rsid w:val="004404BE"/>
    <w:rsid w:val="004406E6"/>
    <w:rsid w:val="004406EE"/>
    <w:rsid w:val="00440817"/>
    <w:rsid w:val="00440894"/>
    <w:rsid w:val="00440B29"/>
    <w:rsid w:val="00440B6D"/>
    <w:rsid w:val="00440DDC"/>
    <w:rsid w:val="00440E35"/>
    <w:rsid w:val="004410CE"/>
    <w:rsid w:val="00441184"/>
    <w:rsid w:val="004411D7"/>
    <w:rsid w:val="004412DF"/>
    <w:rsid w:val="004413DB"/>
    <w:rsid w:val="00441759"/>
    <w:rsid w:val="004417E5"/>
    <w:rsid w:val="004417F3"/>
    <w:rsid w:val="004418FE"/>
    <w:rsid w:val="00441DA1"/>
    <w:rsid w:val="0044216B"/>
    <w:rsid w:val="0044227C"/>
    <w:rsid w:val="004426DD"/>
    <w:rsid w:val="004428E5"/>
    <w:rsid w:val="004429BD"/>
    <w:rsid w:val="004429F9"/>
    <w:rsid w:val="00442A32"/>
    <w:rsid w:val="00442A7B"/>
    <w:rsid w:val="00442B00"/>
    <w:rsid w:val="00442D9F"/>
    <w:rsid w:val="00442E0B"/>
    <w:rsid w:val="00442E9D"/>
    <w:rsid w:val="00442F99"/>
    <w:rsid w:val="00443178"/>
    <w:rsid w:val="0044329A"/>
    <w:rsid w:val="00443536"/>
    <w:rsid w:val="00443788"/>
    <w:rsid w:val="0044379A"/>
    <w:rsid w:val="00443863"/>
    <w:rsid w:val="00443A79"/>
    <w:rsid w:val="00443C1B"/>
    <w:rsid w:val="00443D45"/>
    <w:rsid w:val="00443F3B"/>
    <w:rsid w:val="004441EA"/>
    <w:rsid w:val="004442A1"/>
    <w:rsid w:val="004442C1"/>
    <w:rsid w:val="004442D4"/>
    <w:rsid w:val="00444413"/>
    <w:rsid w:val="00444698"/>
    <w:rsid w:val="0044472E"/>
    <w:rsid w:val="0044482B"/>
    <w:rsid w:val="004449B7"/>
    <w:rsid w:val="00444D52"/>
    <w:rsid w:val="00444DDB"/>
    <w:rsid w:val="00444F10"/>
    <w:rsid w:val="00444F3C"/>
    <w:rsid w:val="00445010"/>
    <w:rsid w:val="0044501E"/>
    <w:rsid w:val="00445390"/>
    <w:rsid w:val="004453CF"/>
    <w:rsid w:val="00445527"/>
    <w:rsid w:val="004458CD"/>
    <w:rsid w:val="0044597E"/>
    <w:rsid w:val="0044598D"/>
    <w:rsid w:val="00445AC9"/>
    <w:rsid w:val="00445ADA"/>
    <w:rsid w:val="00445C4D"/>
    <w:rsid w:val="00445D44"/>
    <w:rsid w:val="00445DD5"/>
    <w:rsid w:val="00445E92"/>
    <w:rsid w:val="004461A8"/>
    <w:rsid w:val="00446507"/>
    <w:rsid w:val="004466A8"/>
    <w:rsid w:val="004466B1"/>
    <w:rsid w:val="00446ACF"/>
    <w:rsid w:val="00446B50"/>
    <w:rsid w:val="00447275"/>
    <w:rsid w:val="00447324"/>
    <w:rsid w:val="00447A3A"/>
    <w:rsid w:val="00447BCC"/>
    <w:rsid w:val="00447C76"/>
    <w:rsid w:val="00447FA6"/>
    <w:rsid w:val="00447FEB"/>
    <w:rsid w:val="00447FF9"/>
    <w:rsid w:val="00450029"/>
    <w:rsid w:val="0045023A"/>
    <w:rsid w:val="0045031A"/>
    <w:rsid w:val="0045099D"/>
    <w:rsid w:val="00450D78"/>
    <w:rsid w:val="00450DC2"/>
    <w:rsid w:val="00450DD2"/>
    <w:rsid w:val="00450FB7"/>
    <w:rsid w:val="00451139"/>
    <w:rsid w:val="00451234"/>
    <w:rsid w:val="004512D3"/>
    <w:rsid w:val="004513A6"/>
    <w:rsid w:val="004517CD"/>
    <w:rsid w:val="00451B19"/>
    <w:rsid w:val="00451B22"/>
    <w:rsid w:val="00451C12"/>
    <w:rsid w:val="00451E3A"/>
    <w:rsid w:val="00452047"/>
    <w:rsid w:val="00452061"/>
    <w:rsid w:val="004521D2"/>
    <w:rsid w:val="004523F9"/>
    <w:rsid w:val="00452425"/>
    <w:rsid w:val="0045242D"/>
    <w:rsid w:val="00452455"/>
    <w:rsid w:val="0045259E"/>
    <w:rsid w:val="004525A1"/>
    <w:rsid w:val="004528B1"/>
    <w:rsid w:val="00452C99"/>
    <w:rsid w:val="00452D03"/>
    <w:rsid w:val="00453123"/>
    <w:rsid w:val="0045336F"/>
    <w:rsid w:val="00453518"/>
    <w:rsid w:val="004539D2"/>
    <w:rsid w:val="00453BD1"/>
    <w:rsid w:val="0045434A"/>
    <w:rsid w:val="00454445"/>
    <w:rsid w:val="00454694"/>
    <w:rsid w:val="004546B8"/>
    <w:rsid w:val="00454E41"/>
    <w:rsid w:val="004550F5"/>
    <w:rsid w:val="0045536D"/>
    <w:rsid w:val="0045537F"/>
    <w:rsid w:val="00455401"/>
    <w:rsid w:val="004558B0"/>
    <w:rsid w:val="00455EC6"/>
    <w:rsid w:val="004561F9"/>
    <w:rsid w:val="004561FF"/>
    <w:rsid w:val="0045623B"/>
    <w:rsid w:val="0045661F"/>
    <w:rsid w:val="0045679C"/>
    <w:rsid w:val="00456844"/>
    <w:rsid w:val="004568C8"/>
    <w:rsid w:val="00456FAE"/>
    <w:rsid w:val="004570E3"/>
    <w:rsid w:val="004571BE"/>
    <w:rsid w:val="004574C6"/>
    <w:rsid w:val="004575CF"/>
    <w:rsid w:val="0045769D"/>
    <w:rsid w:val="004579A8"/>
    <w:rsid w:val="004579D4"/>
    <w:rsid w:val="00457A4D"/>
    <w:rsid w:val="00457C76"/>
    <w:rsid w:val="0046017F"/>
    <w:rsid w:val="00460516"/>
    <w:rsid w:val="0046093B"/>
    <w:rsid w:val="004609DA"/>
    <w:rsid w:val="00460A35"/>
    <w:rsid w:val="00460BA0"/>
    <w:rsid w:val="00460C46"/>
    <w:rsid w:val="00460D38"/>
    <w:rsid w:val="00460FA6"/>
    <w:rsid w:val="00460FDA"/>
    <w:rsid w:val="00461009"/>
    <w:rsid w:val="004610AC"/>
    <w:rsid w:val="0046141C"/>
    <w:rsid w:val="00461615"/>
    <w:rsid w:val="00461B1A"/>
    <w:rsid w:val="00461EB1"/>
    <w:rsid w:val="00461FAA"/>
    <w:rsid w:val="00461FDB"/>
    <w:rsid w:val="0046206E"/>
    <w:rsid w:val="0046228D"/>
    <w:rsid w:val="004622A9"/>
    <w:rsid w:val="0046264E"/>
    <w:rsid w:val="0046265A"/>
    <w:rsid w:val="004628E6"/>
    <w:rsid w:val="00462A23"/>
    <w:rsid w:val="00462D5D"/>
    <w:rsid w:val="00463592"/>
    <w:rsid w:val="0046397B"/>
    <w:rsid w:val="004639C5"/>
    <w:rsid w:val="00463A7C"/>
    <w:rsid w:val="00464001"/>
    <w:rsid w:val="00464018"/>
    <w:rsid w:val="004640DD"/>
    <w:rsid w:val="004642FD"/>
    <w:rsid w:val="004644B8"/>
    <w:rsid w:val="00464A60"/>
    <w:rsid w:val="00464EE3"/>
    <w:rsid w:val="0046515C"/>
    <w:rsid w:val="004651F6"/>
    <w:rsid w:val="004653FD"/>
    <w:rsid w:val="0046551B"/>
    <w:rsid w:val="00465557"/>
    <w:rsid w:val="00465855"/>
    <w:rsid w:val="004659A7"/>
    <w:rsid w:val="00465BA4"/>
    <w:rsid w:val="00465C7F"/>
    <w:rsid w:val="00465C8C"/>
    <w:rsid w:val="00465FC8"/>
    <w:rsid w:val="00466142"/>
    <w:rsid w:val="0046628A"/>
    <w:rsid w:val="004662A5"/>
    <w:rsid w:val="004662E3"/>
    <w:rsid w:val="0046661B"/>
    <w:rsid w:val="00466662"/>
    <w:rsid w:val="0046666F"/>
    <w:rsid w:val="004667E1"/>
    <w:rsid w:val="004669AF"/>
    <w:rsid w:val="00466A5B"/>
    <w:rsid w:val="00466B64"/>
    <w:rsid w:val="00466C35"/>
    <w:rsid w:val="00466CB7"/>
    <w:rsid w:val="00466D24"/>
    <w:rsid w:val="00466E4B"/>
    <w:rsid w:val="004673DD"/>
    <w:rsid w:val="00467C02"/>
    <w:rsid w:val="00467C44"/>
    <w:rsid w:val="00467D3E"/>
    <w:rsid w:val="00467D62"/>
    <w:rsid w:val="00467DCC"/>
    <w:rsid w:val="00467FEB"/>
    <w:rsid w:val="0047010A"/>
    <w:rsid w:val="004701B3"/>
    <w:rsid w:val="00470324"/>
    <w:rsid w:val="00470386"/>
    <w:rsid w:val="004705A8"/>
    <w:rsid w:val="00470980"/>
    <w:rsid w:val="004709AA"/>
    <w:rsid w:val="00470BF5"/>
    <w:rsid w:val="00470DBA"/>
    <w:rsid w:val="00471044"/>
    <w:rsid w:val="0047109A"/>
    <w:rsid w:val="0047144F"/>
    <w:rsid w:val="004717DA"/>
    <w:rsid w:val="0047190F"/>
    <w:rsid w:val="00471A31"/>
    <w:rsid w:val="00471E12"/>
    <w:rsid w:val="00471E88"/>
    <w:rsid w:val="00472158"/>
    <w:rsid w:val="004722B8"/>
    <w:rsid w:val="00472472"/>
    <w:rsid w:val="004726DE"/>
    <w:rsid w:val="00472A2B"/>
    <w:rsid w:val="00472B8C"/>
    <w:rsid w:val="00472DA6"/>
    <w:rsid w:val="00472FA5"/>
    <w:rsid w:val="0047300D"/>
    <w:rsid w:val="00473033"/>
    <w:rsid w:val="00473216"/>
    <w:rsid w:val="00473262"/>
    <w:rsid w:val="004733A3"/>
    <w:rsid w:val="0047354A"/>
    <w:rsid w:val="0047357A"/>
    <w:rsid w:val="00473972"/>
    <w:rsid w:val="004739DD"/>
    <w:rsid w:val="00473A21"/>
    <w:rsid w:val="00473CB6"/>
    <w:rsid w:val="00473CBF"/>
    <w:rsid w:val="00473E2C"/>
    <w:rsid w:val="00474350"/>
    <w:rsid w:val="00474B45"/>
    <w:rsid w:val="00474C2A"/>
    <w:rsid w:val="00474F05"/>
    <w:rsid w:val="00474FEB"/>
    <w:rsid w:val="00475131"/>
    <w:rsid w:val="00475512"/>
    <w:rsid w:val="004755DE"/>
    <w:rsid w:val="004756D3"/>
    <w:rsid w:val="00475C43"/>
    <w:rsid w:val="00475E48"/>
    <w:rsid w:val="00475E9A"/>
    <w:rsid w:val="00476168"/>
    <w:rsid w:val="004762F3"/>
    <w:rsid w:val="0047681B"/>
    <w:rsid w:val="0047686D"/>
    <w:rsid w:val="0047686E"/>
    <w:rsid w:val="00476931"/>
    <w:rsid w:val="00476DDC"/>
    <w:rsid w:val="00476F83"/>
    <w:rsid w:val="00476F84"/>
    <w:rsid w:val="004771E7"/>
    <w:rsid w:val="00477201"/>
    <w:rsid w:val="00477661"/>
    <w:rsid w:val="00477663"/>
    <w:rsid w:val="0047769E"/>
    <w:rsid w:val="004776C9"/>
    <w:rsid w:val="004777B3"/>
    <w:rsid w:val="00477898"/>
    <w:rsid w:val="004779EA"/>
    <w:rsid w:val="00477B98"/>
    <w:rsid w:val="00477BFC"/>
    <w:rsid w:val="00477D29"/>
    <w:rsid w:val="00477DFC"/>
    <w:rsid w:val="00477E32"/>
    <w:rsid w:val="004802E0"/>
    <w:rsid w:val="00480358"/>
    <w:rsid w:val="00480362"/>
    <w:rsid w:val="0048059A"/>
    <w:rsid w:val="004806E1"/>
    <w:rsid w:val="004809C9"/>
    <w:rsid w:val="00480AC6"/>
    <w:rsid w:val="00480C2F"/>
    <w:rsid w:val="00480D6D"/>
    <w:rsid w:val="00480E01"/>
    <w:rsid w:val="00481047"/>
    <w:rsid w:val="00481064"/>
    <w:rsid w:val="00481169"/>
    <w:rsid w:val="0048135E"/>
    <w:rsid w:val="00481473"/>
    <w:rsid w:val="0048173E"/>
    <w:rsid w:val="0048180E"/>
    <w:rsid w:val="004818C8"/>
    <w:rsid w:val="00481AFA"/>
    <w:rsid w:val="00481BA4"/>
    <w:rsid w:val="00481BB5"/>
    <w:rsid w:val="00481C69"/>
    <w:rsid w:val="00481D32"/>
    <w:rsid w:val="00481DAE"/>
    <w:rsid w:val="00481DEA"/>
    <w:rsid w:val="00481E46"/>
    <w:rsid w:val="00481E52"/>
    <w:rsid w:val="00481F51"/>
    <w:rsid w:val="004821EE"/>
    <w:rsid w:val="0048236E"/>
    <w:rsid w:val="004824A8"/>
    <w:rsid w:val="004824FF"/>
    <w:rsid w:val="00482671"/>
    <w:rsid w:val="0048269B"/>
    <w:rsid w:val="00482750"/>
    <w:rsid w:val="004828AB"/>
    <w:rsid w:val="0048292A"/>
    <w:rsid w:val="004829EE"/>
    <w:rsid w:val="00482D66"/>
    <w:rsid w:val="00482DC4"/>
    <w:rsid w:val="00482E24"/>
    <w:rsid w:val="00483104"/>
    <w:rsid w:val="00483239"/>
    <w:rsid w:val="00483510"/>
    <w:rsid w:val="004835D9"/>
    <w:rsid w:val="004837CD"/>
    <w:rsid w:val="004838BD"/>
    <w:rsid w:val="00483B06"/>
    <w:rsid w:val="00483B0C"/>
    <w:rsid w:val="00483BEC"/>
    <w:rsid w:val="00483D22"/>
    <w:rsid w:val="00484055"/>
    <w:rsid w:val="004842E4"/>
    <w:rsid w:val="00484432"/>
    <w:rsid w:val="004845D8"/>
    <w:rsid w:val="004845DB"/>
    <w:rsid w:val="004845FF"/>
    <w:rsid w:val="004847D7"/>
    <w:rsid w:val="00484D45"/>
    <w:rsid w:val="00484F67"/>
    <w:rsid w:val="0048505D"/>
    <w:rsid w:val="0048552A"/>
    <w:rsid w:val="00485689"/>
    <w:rsid w:val="004856C8"/>
    <w:rsid w:val="004857C8"/>
    <w:rsid w:val="004859F5"/>
    <w:rsid w:val="00485AC0"/>
    <w:rsid w:val="00485D6D"/>
    <w:rsid w:val="00485F87"/>
    <w:rsid w:val="00486146"/>
    <w:rsid w:val="00486249"/>
    <w:rsid w:val="00486407"/>
    <w:rsid w:val="00486632"/>
    <w:rsid w:val="004867BB"/>
    <w:rsid w:val="004867BF"/>
    <w:rsid w:val="00486965"/>
    <w:rsid w:val="00486ABF"/>
    <w:rsid w:val="00486AD4"/>
    <w:rsid w:val="00486C1E"/>
    <w:rsid w:val="00486D3C"/>
    <w:rsid w:val="00486D8A"/>
    <w:rsid w:val="00486E2A"/>
    <w:rsid w:val="00486E98"/>
    <w:rsid w:val="00487046"/>
    <w:rsid w:val="0048712F"/>
    <w:rsid w:val="00487178"/>
    <w:rsid w:val="00487437"/>
    <w:rsid w:val="00487519"/>
    <w:rsid w:val="00487535"/>
    <w:rsid w:val="0048760B"/>
    <w:rsid w:val="0048774F"/>
    <w:rsid w:val="00487A93"/>
    <w:rsid w:val="00487C2C"/>
    <w:rsid w:val="00487C8C"/>
    <w:rsid w:val="00487CBA"/>
    <w:rsid w:val="00487D7A"/>
    <w:rsid w:val="00490117"/>
    <w:rsid w:val="0049026E"/>
    <w:rsid w:val="0049082A"/>
    <w:rsid w:val="00490945"/>
    <w:rsid w:val="00490B16"/>
    <w:rsid w:val="00490D19"/>
    <w:rsid w:val="00490F50"/>
    <w:rsid w:val="004910B6"/>
    <w:rsid w:val="00491273"/>
    <w:rsid w:val="004912D8"/>
    <w:rsid w:val="00491398"/>
    <w:rsid w:val="004913DD"/>
    <w:rsid w:val="00491448"/>
    <w:rsid w:val="004915F9"/>
    <w:rsid w:val="0049161D"/>
    <w:rsid w:val="004917D6"/>
    <w:rsid w:val="004917EB"/>
    <w:rsid w:val="004919F8"/>
    <w:rsid w:val="00491A57"/>
    <w:rsid w:val="00491BE6"/>
    <w:rsid w:val="00491BF8"/>
    <w:rsid w:val="00491DFA"/>
    <w:rsid w:val="00491EEC"/>
    <w:rsid w:val="00491F64"/>
    <w:rsid w:val="0049255E"/>
    <w:rsid w:val="004925B3"/>
    <w:rsid w:val="0049286F"/>
    <w:rsid w:val="00492964"/>
    <w:rsid w:val="004929D4"/>
    <w:rsid w:val="00492D78"/>
    <w:rsid w:val="004931CB"/>
    <w:rsid w:val="004931D7"/>
    <w:rsid w:val="0049325D"/>
    <w:rsid w:val="00493302"/>
    <w:rsid w:val="00493358"/>
    <w:rsid w:val="00493546"/>
    <w:rsid w:val="00493A33"/>
    <w:rsid w:val="00493C94"/>
    <w:rsid w:val="00493E2D"/>
    <w:rsid w:val="00493E7B"/>
    <w:rsid w:val="00493FC3"/>
    <w:rsid w:val="00493FD4"/>
    <w:rsid w:val="004944E5"/>
    <w:rsid w:val="00494522"/>
    <w:rsid w:val="004947DB"/>
    <w:rsid w:val="0049485B"/>
    <w:rsid w:val="00494AD4"/>
    <w:rsid w:val="00494CF5"/>
    <w:rsid w:val="00494E7E"/>
    <w:rsid w:val="00495043"/>
    <w:rsid w:val="00495086"/>
    <w:rsid w:val="0049521C"/>
    <w:rsid w:val="004952D2"/>
    <w:rsid w:val="0049542A"/>
    <w:rsid w:val="004955F7"/>
    <w:rsid w:val="004956E4"/>
    <w:rsid w:val="00495889"/>
    <w:rsid w:val="00495AD9"/>
    <w:rsid w:val="00495B49"/>
    <w:rsid w:val="00495C81"/>
    <w:rsid w:val="00495CFD"/>
    <w:rsid w:val="004960E7"/>
    <w:rsid w:val="0049610A"/>
    <w:rsid w:val="00496272"/>
    <w:rsid w:val="004965F7"/>
    <w:rsid w:val="00496AC9"/>
    <w:rsid w:val="00496BD2"/>
    <w:rsid w:val="00496DA5"/>
    <w:rsid w:val="00496E3E"/>
    <w:rsid w:val="00496E6C"/>
    <w:rsid w:val="00496E94"/>
    <w:rsid w:val="00496F86"/>
    <w:rsid w:val="0049709E"/>
    <w:rsid w:val="0049713D"/>
    <w:rsid w:val="004971EA"/>
    <w:rsid w:val="00497313"/>
    <w:rsid w:val="004973F9"/>
    <w:rsid w:val="0049740D"/>
    <w:rsid w:val="00497533"/>
    <w:rsid w:val="0049767E"/>
    <w:rsid w:val="0049786E"/>
    <w:rsid w:val="004978D9"/>
    <w:rsid w:val="00497BFD"/>
    <w:rsid w:val="00497D2F"/>
    <w:rsid w:val="00497FB9"/>
    <w:rsid w:val="004A0162"/>
    <w:rsid w:val="004A0202"/>
    <w:rsid w:val="004A03FD"/>
    <w:rsid w:val="004A0444"/>
    <w:rsid w:val="004A04F2"/>
    <w:rsid w:val="004A05B7"/>
    <w:rsid w:val="004A0652"/>
    <w:rsid w:val="004A0966"/>
    <w:rsid w:val="004A0B6B"/>
    <w:rsid w:val="004A0C4C"/>
    <w:rsid w:val="004A0E15"/>
    <w:rsid w:val="004A0E51"/>
    <w:rsid w:val="004A1020"/>
    <w:rsid w:val="004A10C5"/>
    <w:rsid w:val="004A1181"/>
    <w:rsid w:val="004A15EE"/>
    <w:rsid w:val="004A1627"/>
    <w:rsid w:val="004A16CA"/>
    <w:rsid w:val="004A1828"/>
    <w:rsid w:val="004A18A4"/>
    <w:rsid w:val="004A18BB"/>
    <w:rsid w:val="004A1BDD"/>
    <w:rsid w:val="004A1BE3"/>
    <w:rsid w:val="004A1CED"/>
    <w:rsid w:val="004A1D7C"/>
    <w:rsid w:val="004A1FF3"/>
    <w:rsid w:val="004A21B3"/>
    <w:rsid w:val="004A224C"/>
    <w:rsid w:val="004A2254"/>
    <w:rsid w:val="004A2654"/>
    <w:rsid w:val="004A2BD6"/>
    <w:rsid w:val="004A2D25"/>
    <w:rsid w:val="004A2D39"/>
    <w:rsid w:val="004A2D8F"/>
    <w:rsid w:val="004A2E51"/>
    <w:rsid w:val="004A3463"/>
    <w:rsid w:val="004A3633"/>
    <w:rsid w:val="004A37C7"/>
    <w:rsid w:val="004A3841"/>
    <w:rsid w:val="004A402F"/>
    <w:rsid w:val="004A41C1"/>
    <w:rsid w:val="004A4315"/>
    <w:rsid w:val="004A4318"/>
    <w:rsid w:val="004A450E"/>
    <w:rsid w:val="004A4629"/>
    <w:rsid w:val="004A46F0"/>
    <w:rsid w:val="004A492C"/>
    <w:rsid w:val="004A4AAD"/>
    <w:rsid w:val="004A4C05"/>
    <w:rsid w:val="004A4C17"/>
    <w:rsid w:val="004A4E1E"/>
    <w:rsid w:val="004A4F9D"/>
    <w:rsid w:val="004A5096"/>
    <w:rsid w:val="004A5139"/>
    <w:rsid w:val="004A5147"/>
    <w:rsid w:val="004A532A"/>
    <w:rsid w:val="004A53F2"/>
    <w:rsid w:val="004A544C"/>
    <w:rsid w:val="004A54A2"/>
    <w:rsid w:val="004A5739"/>
    <w:rsid w:val="004A5CAB"/>
    <w:rsid w:val="004A5DC2"/>
    <w:rsid w:val="004A6347"/>
    <w:rsid w:val="004A640E"/>
    <w:rsid w:val="004A65BB"/>
    <w:rsid w:val="004A67A7"/>
    <w:rsid w:val="004A69DB"/>
    <w:rsid w:val="004A6A05"/>
    <w:rsid w:val="004A6A92"/>
    <w:rsid w:val="004A6B7C"/>
    <w:rsid w:val="004A6BED"/>
    <w:rsid w:val="004A6DFF"/>
    <w:rsid w:val="004A6E3E"/>
    <w:rsid w:val="004A6EAB"/>
    <w:rsid w:val="004A7262"/>
    <w:rsid w:val="004A749C"/>
    <w:rsid w:val="004A7928"/>
    <w:rsid w:val="004A7B92"/>
    <w:rsid w:val="004B03DE"/>
    <w:rsid w:val="004B03E8"/>
    <w:rsid w:val="004B043C"/>
    <w:rsid w:val="004B0867"/>
    <w:rsid w:val="004B0929"/>
    <w:rsid w:val="004B0EB3"/>
    <w:rsid w:val="004B0EF0"/>
    <w:rsid w:val="004B100B"/>
    <w:rsid w:val="004B1084"/>
    <w:rsid w:val="004B115B"/>
    <w:rsid w:val="004B11C0"/>
    <w:rsid w:val="004B1507"/>
    <w:rsid w:val="004B155F"/>
    <w:rsid w:val="004B176A"/>
    <w:rsid w:val="004B182C"/>
    <w:rsid w:val="004B1B36"/>
    <w:rsid w:val="004B1B39"/>
    <w:rsid w:val="004B1B95"/>
    <w:rsid w:val="004B1D68"/>
    <w:rsid w:val="004B20E2"/>
    <w:rsid w:val="004B2190"/>
    <w:rsid w:val="004B222F"/>
    <w:rsid w:val="004B22A5"/>
    <w:rsid w:val="004B23FE"/>
    <w:rsid w:val="004B25BA"/>
    <w:rsid w:val="004B25E5"/>
    <w:rsid w:val="004B272A"/>
    <w:rsid w:val="004B2777"/>
    <w:rsid w:val="004B27E3"/>
    <w:rsid w:val="004B2A6D"/>
    <w:rsid w:val="004B2C02"/>
    <w:rsid w:val="004B2EEA"/>
    <w:rsid w:val="004B3057"/>
    <w:rsid w:val="004B30AA"/>
    <w:rsid w:val="004B30EA"/>
    <w:rsid w:val="004B357A"/>
    <w:rsid w:val="004B35D7"/>
    <w:rsid w:val="004B3988"/>
    <w:rsid w:val="004B3BE0"/>
    <w:rsid w:val="004B3DA5"/>
    <w:rsid w:val="004B3F56"/>
    <w:rsid w:val="004B45CF"/>
    <w:rsid w:val="004B4613"/>
    <w:rsid w:val="004B4879"/>
    <w:rsid w:val="004B4933"/>
    <w:rsid w:val="004B4B51"/>
    <w:rsid w:val="004B4C89"/>
    <w:rsid w:val="004B4CA9"/>
    <w:rsid w:val="004B4D89"/>
    <w:rsid w:val="004B4F0F"/>
    <w:rsid w:val="004B5040"/>
    <w:rsid w:val="004B53C9"/>
    <w:rsid w:val="004B557F"/>
    <w:rsid w:val="004B55F1"/>
    <w:rsid w:val="004B58CD"/>
    <w:rsid w:val="004B5CC1"/>
    <w:rsid w:val="004B5E8D"/>
    <w:rsid w:val="004B5EE7"/>
    <w:rsid w:val="004B5F3C"/>
    <w:rsid w:val="004B6091"/>
    <w:rsid w:val="004B638A"/>
    <w:rsid w:val="004B6465"/>
    <w:rsid w:val="004B6700"/>
    <w:rsid w:val="004B67EF"/>
    <w:rsid w:val="004B6B19"/>
    <w:rsid w:val="004B6EC6"/>
    <w:rsid w:val="004B6F32"/>
    <w:rsid w:val="004B7093"/>
    <w:rsid w:val="004B70E0"/>
    <w:rsid w:val="004B7176"/>
    <w:rsid w:val="004B73EF"/>
    <w:rsid w:val="004B7430"/>
    <w:rsid w:val="004B75E3"/>
    <w:rsid w:val="004B75FD"/>
    <w:rsid w:val="004B75FF"/>
    <w:rsid w:val="004B76CC"/>
    <w:rsid w:val="004B77AD"/>
    <w:rsid w:val="004B77C8"/>
    <w:rsid w:val="004B7B8D"/>
    <w:rsid w:val="004B7C15"/>
    <w:rsid w:val="004B7C4D"/>
    <w:rsid w:val="004B7DA1"/>
    <w:rsid w:val="004C0109"/>
    <w:rsid w:val="004C014C"/>
    <w:rsid w:val="004C0497"/>
    <w:rsid w:val="004C0569"/>
    <w:rsid w:val="004C0638"/>
    <w:rsid w:val="004C06F3"/>
    <w:rsid w:val="004C07CF"/>
    <w:rsid w:val="004C0A9F"/>
    <w:rsid w:val="004C128E"/>
    <w:rsid w:val="004C132C"/>
    <w:rsid w:val="004C1391"/>
    <w:rsid w:val="004C13C6"/>
    <w:rsid w:val="004C13DD"/>
    <w:rsid w:val="004C147A"/>
    <w:rsid w:val="004C1502"/>
    <w:rsid w:val="004C15DF"/>
    <w:rsid w:val="004C1678"/>
    <w:rsid w:val="004C1877"/>
    <w:rsid w:val="004C18F1"/>
    <w:rsid w:val="004C1A3E"/>
    <w:rsid w:val="004C1F31"/>
    <w:rsid w:val="004C21F4"/>
    <w:rsid w:val="004C2284"/>
    <w:rsid w:val="004C254D"/>
    <w:rsid w:val="004C2AE7"/>
    <w:rsid w:val="004C2B15"/>
    <w:rsid w:val="004C2BD4"/>
    <w:rsid w:val="004C2BDD"/>
    <w:rsid w:val="004C2D4D"/>
    <w:rsid w:val="004C2DE8"/>
    <w:rsid w:val="004C3028"/>
    <w:rsid w:val="004C3050"/>
    <w:rsid w:val="004C31AA"/>
    <w:rsid w:val="004C320E"/>
    <w:rsid w:val="004C3405"/>
    <w:rsid w:val="004C35A6"/>
    <w:rsid w:val="004C3639"/>
    <w:rsid w:val="004C372E"/>
    <w:rsid w:val="004C37CF"/>
    <w:rsid w:val="004C3964"/>
    <w:rsid w:val="004C3A81"/>
    <w:rsid w:val="004C3CBF"/>
    <w:rsid w:val="004C3D47"/>
    <w:rsid w:val="004C3E25"/>
    <w:rsid w:val="004C3F6E"/>
    <w:rsid w:val="004C444D"/>
    <w:rsid w:val="004C45DB"/>
    <w:rsid w:val="004C4632"/>
    <w:rsid w:val="004C4814"/>
    <w:rsid w:val="004C48A1"/>
    <w:rsid w:val="004C49B5"/>
    <w:rsid w:val="004C4B70"/>
    <w:rsid w:val="004C4CC6"/>
    <w:rsid w:val="004C4F85"/>
    <w:rsid w:val="004C511A"/>
    <w:rsid w:val="004C515E"/>
    <w:rsid w:val="004C516C"/>
    <w:rsid w:val="004C52A1"/>
    <w:rsid w:val="004C5914"/>
    <w:rsid w:val="004C59D1"/>
    <w:rsid w:val="004C5AD0"/>
    <w:rsid w:val="004C5BBB"/>
    <w:rsid w:val="004C5BCA"/>
    <w:rsid w:val="004C5CC5"/>
    <w:rsid w:val="004C5D54"/>
    <w:rsid w:val="004C5F26"/>
    <w:rsid w:val="004C6057"/>
    <w:rsid w:val="004C621F"/>
    <w:rsid w:val="004C622E"/>
    <w:rsid w:val="004C6309"/>
    <w:rsid w:val="004C637F"/>
    <w:rsid w:val="004C6889"/>
    <w:rsid w:val="004C6950"/>
    <w:rsid w:val="004C6956"/>
    <w:rsid w:val="004C6A57"/>
    <w:rsid w:val="004C6AAE"/>
    <w:rsid w:val="004C6BB2"/>
    <w:rsid w:val="004C6BD6"/>
    <w:rsid w:val="004C6DC4"/>
    <w:rsid w:val="004C6DC5"/>
    <w:rsid w:val="004C6FDD"/>
    <w:rsid w:val="004C7109"/>
    <w:rsid w:val="004C71EA"/>
    <w:rsid w:val="004C72CD"/>
    <w:rsid w:val="004C72F2"/>
    <w:rsid w:val="004C7523"/>
    <w:rsid w:val="004C7739"/>
    <w:rsid w:val="004C777A"/>
    <w:rsid w:val="004C77BB"/>
    <w:rsid w:val="004C7920"/>
    <w:rsid w:val="004C79D5"/>
    <w:rsid w:val="004C7B4B"/>
    <w:rsid w:val="004C7B77"/>
    <w:rsid w:val="004C7BCA"/>
    <w:rsid w:val="004C7BFF"/>
    <w:rsid w:val="004C7CED"/>
    <w:rsid w:val="004C7EBF"/>
    <w:rsid w:val="004D00AE"/>
    <w:rsid w:val="004D024F"/>
    <w:rsid w:val="004D0256"/>
    <w:rsid w:val="004D04AA"/>
    <w:rsid w:val="004D04D1"/>
    <w:rsid w:val="004D05B8"/>
    <w:rsid w:val="004D070D"/>
    <w:rsid w:val="004D0854"/>
    <w:rsid w:val="004D0FBA"/>
    <w:rsid w:val="004D12F7"/>
    <w:rsid w:val="004D13BE"/>
    <w:rsid w:val="004D14B7"/>
    <w:rsid w:val="004D152A"/>
    <w:rsid w:val="004D163B"/>
    <w:rsid w:val="004D1720"/>
    <w:rsid w:val="004D1975"/>
    <w:rsid w:val="004D1AC7"/>
    <w:rsid w:val="004D1BBC"/>
    <w:rsid w:val="004D1C7C"/>
    <w:rsid w:val="004D1CED"/>
    <w:rsid w:val="004D1D69"/>
    <w:rsid w:val="004D1EC4"/>
    <w:rsid w:val="004D1F3B"/>
    <w:rsid w:val="004D2006"/>
    <w:rsid w:val="004D226E"/>
    <w:rsid w:val="004D239E"/>
    <w:rsid w:val="004D24E8"/>
    <w:rsid w:val="004D258E"/>
    <w:rsid w:val="004D276A"/>
    <w:rsid w:val="004D2771"/>
    <w:rsid w:val="004D27DA"/>
    <w:rsid w:val="004D2817"/>
    <w:rsid w:val="004D2850"/>
    <w:rsid w:val="004D29FB"/>
    <w:rsid w:val="004D2C17"/>
    <w:rsid w:val="004D2C6F"/>
    <w:rsid w:val="004D31ED"/>
    <w:rsid w:val="004D3299"/>
    <w:rsid w:val="004D33E8"/>
    <w:rsid w:val="004D349A"/>
    <w:rsid w:val="004D3989"/>
    <w:rsid w:val="004D3D14"/>
    <w:rsid w:val="004D3D96"/>
    <w:rsid w:val="004D40B5"/>
    <w:rsid w:val="004D416E"/>
    <w:rsid w:val="004D41E6"/>
    <w:rsid w:val="004D4606"/>
    <w:rsid w:val="004D4719"/>
    <w:rsid w:val="004D47C3"/>
    <w:rsid w:val="004D47DD"/>
    <w:rsid w:val="004D4AE8"/>
    <w:rsid w:val="004D4B6F"/>
    <w:rsid w:val="004D4B7A"/>
    <w:rsid w:val="004D4EEA"/>
    <w:rsid w:val="004D4F4A"/>
    <w:rsid w:val="004D5085"/>
    <w:rsid w:val="004D5519"/>
    <w:rsid w:val="004D557A"/>
    <w:rsid w:val="004D5721"/>
    <w:rsid w:val="004D598A"/>
    <w:rsid w:val="004D5AE6"/>
    <w:rsid w:val="004D5BD3"/>
    <w:rsid w:val="004D5CE8"/>
    <w:rsid w:val="004D5E75"/>
    <w:rsid w:val="004D5F88"/>
    <w:rsid w:val="004D60D4"/>
    <w:rsid w:val="004D6303"/>
    <w:rsid w:val="004D656D"/>
    <w:rsid w:val="004D6819"/>
    <w:rsid w:val="004D6953"/>
    <w:rsid w:val="004D6BDC"/>
    <w:rsid w:val="004D6D3A"/>
    <w:rsid w:val="004D6E9D"/>
    <w:rsid w:val="004D7129"/>
    <w:rsid w:val="004D729A"/>
    <w:rsid w:val="004D72B5"/>
    <w:rsid w:val="004D78F0"/>
    <w:rsid w:val="004D7BAA"/>
    <w:rsid w:val="004D7D94"/>
    <w:rsid w:val="004D7F3E"/>
    <w:rsid w:val="004D7F90"/>
    <w:rsid w:val="004E023D"/>
    <w:rsid w:val="004E08EA"/>
    <w:rsid w:val="004E0D10"/>
    <w:rsid w:val="004E0E0C"/>
    <w:rsid w:val="004E0EDC"/>
    <w:rsid w:val="004E10F6"/>
    <w:rsid w:val="004E118C"/>
    <w:rsid w:val="004E1259"/>
    <w:rsid w:val="004E127D"/>
    <w:rsid w:val="004E14C9"/>
    <w:rsid w:val="004E15F5"/>
    <w:rsid w:val="004E163D"/>
    <w:rsid w:val="004E18E4"/>
    <w:rsid w:val="004E1C26"/>
    <w:rsid w:val="004E1CF9"/>
    <w:rsid w:val="004E1DE9"/>
    <w:rsid w:val="004E1E33"/>
    <w:rsid w:val="004E2020"/>
    <w:rsid w:val="004E2070"/>
    <w:rsid w:val="004E225F"/>
    <w:rsid w:val="004E2342"/>
    <w:rsid w:val="004E2406"/>
    <w:rsid w:val="004E26F8"/>
    <w:rsid w:val="004E27EA"/>
    <w:rsid w:val="004E290F"/>
    <w:rsid w:val="004E2EB5"/>
    <w:rsid w:val="004E3122"/>
    <w:rsid w:val="004E31D6"/>
    <w:rsid w:val="004E3261"/>
    <w:rsid w:val="004E334F"/>
    <w:rsid w:val="004E3545"/>
    <w:rsid w:val="004E356A"/>
    <w:rsid w:val="004E35B7"/>
    <w:rsid w:val="004E35D2"/>
    <w:rsid w:val="004E3668"/>
    <w:rsid w:val="004E39EE"/>
    <w:rsid w:val="004E3B76"/>
    <w:rsid w:val="004E3C53"/>
    <w:rsid w:val="004E3D6C"/>
    <w:rsid w:val="004E3FB8"/>
    <w:rsid w:val="004E4022"/>
    <w:rsid w:val="004E44C4"/>
    <w:rsid w:val="004E44E2"/>
    <w:rsid w:val="004E48DA"/>
    <w:rsid w:val="004E48F4"/>
    <w:rsid w:val="004E4915"/>
    <w:rsid w:val="004E4D38"/>
    <w:rsid w:val="004E4F3A"/>
    <w:rsid w:val="004E503A"/>
    <w:rsid w:val="004E534A"/>
    <w:rsid w:val="004E543E"/>
    <w:rsid w:val="004E5461"/>
    <w:rsid w:val="004E55F7"/>
    <w:rsid w:val="004E56FF"/>
    <w:rsid w:val="004E577C"/>
    <w:rsid w:val="004E5A54"/>
    <w:rsid w:val="004E625B"/>
    <w:rsid w:val="004E6631"/>
    <w:rsid w:val="004E669A"/>
    <w:rsid w:val="004E6BCD"/>
    <w:rsid w:val="004E6C75"/>
    <w:rsid w:val="004E7628"/>
    <w:rsid w:val="004E77BD"/>
    <w:rsid w:val="004E77C3"/>
    <w:rsid w:val="004E78E5"/>
    <w:rsid w:val="004F02CE"/>
    <w:rsid w:val="004F0366"/>
    <w:rsid w:val="004F07DD"/>
    <w:rsid w:val="004F0A38"/>
    <w:rsid w:val="004F0C10"/>
    <w:rsid w:val="004F0CCB"/>
    <w:rsid w:val="004F0DBD"/>
    <w:rsid w:val="004F0E2A"/>
    <w:rsid w:val="004F145E"/>
    <w:rsid w:val="004F1515"/>
    <w:rsid w:val="004F1557"/>
    <w:rsid w:val="004F1657"/>
    <w:rsid w:val="004F1669"/>
    <w:rsid w:val="004F1797"/>
    <w:rsid w:val="004F1916"/>
    <w:rsid w:val="004F1D42"/>
    <w:rsid w:val="004F1D85"/>
    <w:rsid w:val="004F22BB"/>
    <w:rsid w:val="004F2588"/>
    <w:rsid w:val="004F25E4"/>
    <w:rsid w:val="004F275F"/>
    <w:rsid w:val="004F2794"/>
    <w:rsid w:val="004F27F5"/>
    <w:rsid w:val="004F2937"/>
    <w:rsid w:val="004F29BC"/>
    <w:rsid w:val="004F2A82"/>
    <w:rsid w:val="004F2C42"/>
    <w:rsid w:val="004F2EE3"/>
    <w:rsid w:val="004F2F4E"/>
    <w:rsid w:val="004F3454"/>
    <w:rsid w:val="004F34B4"/>
    <w:rsid w:val="004F3594"/>
    <w:rsid w:val="004F37CB"/>
    <w:rsid w:val="004F3857"/>
    <w:rsid w:val="004F389C"/>
    <w:rsid w:val="004F38CE"/>
    <w:rsid w:val="004F3A51"/>
    <w:rsid w:val="004F3A64"/>
    <w:rsid w:val="004F3B38"/>
    <w:rsid w:val="004F3CE6"/>
    <w:rsid w:val="004F3E29"/>
    <w:rsid w:val="004F3F21"/>
    <w:rsid w:val="004F44D2"/>
    <w:rsid w:val="004F450A"/>
    <w:rsid w:val="004F4598"/>
    <w:rsid w:val="004F47B3"/>
    <w:rsid w:val="004F4828"/>
    <w:rsid w:val="004F4866"/>
    <w:rsid w:val="004F48F2"/>
    <w:rsid w:val="004F4A01"/>
    <w:rsid w:val="004F4A2F"/>
    <w:rsid w:val="004F4FCE"/>
    <w:rsid w:val="004F54D1"/>
    <w:rsid w:val="004F5542"/>
    <w:rsid w:val="004F559A"/>
    <w:rsid w:val="004F5638"/>
    <w:rsid w:val="004F56D4"/>
    <w:rsid w:val="004F5B71"/>
    <w:rsid w:val="004F5D0D"/>
    <w:rsid w:val="004F63CB"/>
    <w:rsid w:val="004F648F"/>
    <w:rsid w:val="004F660F"/>
    <w:rsid w:val="004F6643"/>
    <w:rsid w:val="004F68DB"/>
    <w:rsid w:val="004F690C"/>
    <w:rsid w:val="004F6B2B"/>
    <w:rsid w:val="004F6C21"/>
    <w:rsid w:val="004F706A"/>
    <w:rsid w:val="004F70AE"/>
    <w:rsid w:val="004F7211"/>
    <w:rsid w:val="004F7404"/>
    <w:rsid w:val="004F75ED"/>
    <w:rsid w:val="004F7656"/>
    <w:rsid w:val="004F769B"/>
    <w:rsid w:val="004F771B"/>
    <w:rsid w:val="004F775B"/>
    <w:rsid w:val="004F784A"/>
    <w:rsid w:val="004F7B46"/>
    <w:rsid w:val="004F7CBD"/>
    <w:rsid w:val="004F7E2E"/>
    <w:rsid w:val="004F7F31"/>
    <w:rsid w:val="005003BD"/>
    <w:rsid w:val="00500741"/>
    <w:rsid w:val="005008CF"/>
    <w:rsid w:val="00500BD4"/>
    <w:rsid w:val="0050110E"/>
    <w:rsid w:val="00501119"/>
    <w:rsid w:val="00501158"/>
    <w:rsid w:val="005011B3"/>
    <w:rsid w:val="0050137B"/>
    <w:rsid w:val="00501539"/>
    <w:rsid w:val="005015FF"/>
    <w:rsid w:val="0050171A"/>
    <w:rsid w:val="005017EA"/>
    <w:rsid w:val="005017EB"/>
    <w:rsid w:val="00501B0D"/>
    <w:rsid w:val="00501B0F"/>
    <w:rsid w:val="00501B59"/>
    <w:rsid w:val="00501CEB"/>
    <w:rsid w:val="00501D0A"/>
    <w:rsid w:val="00501E5D"/>
    <w:rsid w:val="00501ECA"/>
    <w:rsid w:val="00501F5C"/>
    <w:rsid w:val="0050203A"/>
    <w:rsid w:val="00502136"/>
    <w:rsid w:val="00502637"/>
    <w:rsid w:val="005026E6"/>
    <w:rsid w:val="005027D4"/>
    <w:rsid w:val="0050295A"/>
    <w:rsid w:val="00502991"/>
    <w:rsid w:val="005029B4"/>
    <w:rsid w:val="00502BBF"/>
    <w:rsid w:val="00502E0B"/>
    <w:rsid w:val="00503054"/>
    <w:rsid w:val="0050339B"/>
    <w:rsid w:val="005033A3"/>
    <w:rsid w:val="00503468"/>
    <w:rsid w:val="00503591"/>
    <w:rsid w:val="0050399D"/>
    <w:rsid w:val="005039FD"/>
    <w:rsid w:val="00503C5A"/>
    <w:rsid w:val="00503DF1"/>
    <w:rsid w:val="00503F7B"/>
    <w:rsid w:val="00504006"/>
    <w:rsid w:val="00504009"/>
    <w:rsid w:val="0050417A"/>
    <w:rsid w:val="005043E2"/>
    <w:rsid w:val="005044BD"/>
    <w:rsid w:val="005045F8"/>
    <w:rsid w:val="005047E3"/>
    <w:rsid w:val="005047E9"/>
    <w:rsid w:val="00504CA8"/>
    <w:rsid w:val="00504DCF"/>
    <w:rsid w:val="0050510D"/>
    <w:rsid w:val="00505234"/>
    <w:rsid w:val="00505416"/>
    <w:rsid w:val="00505538"/>
    <w:rsid w:val="00505613"/>
    <w:rsid w:val="0050561D"/>
    <w:rsid w:val="00505B3D"/>
    <w:rsid w:val="00505C8F"/>
    <w:rsid w:val="00505DBB"/>
    <w:rsid w:val="00505E80"/>
    <w:rsid w:val="005061C2"/>
    <w:rsid w:val="0050643C"/>
    <w:rsid w:val="005065A2"/>
    <w:rsid w:val="00506623"/>
    <w:rsid w:val="00506748"/>
    <w:rsid w:val="00506BB6"/>
    <w:rsid w:val="00506C75"/>
    <w:rsid w:val="00506DE7"/>
    <w:rsid w:val="00507003"/>
    <w:rsid w:val="0050708B"/>
    <w:rsid w:val="0050716C"/>
    <w:rsid w:val="00507298"/>
    <w:rsid w:val="00507417"/>
    <w:rsid w:val="00507596"/>
    <w:rsid w:val="00507656"/>
    <w:rsid w:val="00507DDC"/>
    <w:rsid w:val="00507F64"/>
    <w:rsid w:val="00507FAB"/>
    <w:rsid w:val="00507FC8"/>
    <w:rsid w:val="0051003B"/>
    <w:rsid w:val="005100A1"/>
    <w:rsid w:val="005102A2"/>
    <w:rsid w:val="005102B4"/>
    <w:rsid w:val="005102D6"/>
    <w:rsid w:val="0051030E"/>
    <w:rsid w:val="00510314"/>
    <w:rsid w:val="0051055F"/>
    <w:rsid w:val="005105F4"/>
    <w:rsid w:val="00510976"/>
    <w:rsid w:val="005109DF"/>
    <w:rsid w:val="00510A8E"/>
    <w:rsid w:val="00510B53"/>
    <w:rsid w:val="00510B60"/>
    <w:rsid w:val="00510BF9"/>
    <w:rsid w:val="00510C5B"/>
    <w:rsid w:val="00510CA7"/>
    <w:rsid w:val="00510EF2"/>
    <w:rsid w:val="00510EF4"/>
    <w:rsid w:val="00510F71"/>
    <w:rsid w:val="00510FE8"/>
    <w:rsid w:val="005110FD"/>
    <w:rsid w:val="00511251"/>
    <w:rsid w:val="005112E4"/>
    <w:rsid w:val="005113A3"/>
    <w:rsid w:val="005114C4"/>
    <w:rsid w:val="0051163B"/>
    <w:rsid w:val="00511671"/>
    <w:rsid w:val="0051197E"/>
    <w:rsid w:val="00511B1F"/>
    <w:rsid w:val="00511B9B"/>
    <w:rsid w:val="00511C16"/>
    <w:rsid w:val="00511D05"/>
    <w:rsid w:val="00511EC2"/>
    <w:rsid w:val="00511F5C"/>
    <w:rsid w:val="0051250D"/>
    <w:rsid w:val="00512511"/>
    <w:rsid w:val="005125DE"/>
    <w:rsid w:val="00512714"/>
    <w:rsid w:val="005128E0"/>
    <w:rsid w:val="00512AB2"/>
    <w:rsid w:val="00512D7C"/>
    <w:rsid w:val="00512E63"/>
    <w:rsid w:val="00512EFA"/>
    <w:rsid w:val="00512EFD"/>
    <w:rsid w:val="00513092"/>
    <w:rsid w:val="00513151"/>
    <w:rsid w:val="005131F9"/>
    <w:rsid w:val="0051343C"/>
    <w:rsid w:val="0051350B"/>
    <w:rsid w:val="005136DB"/>
    <w:rsid w:val="00513895"/>
    <w:rsid w:val="0051395E"/>
    <w:rsid w:val="0051399A"/>
    <w:rsid w:val="005139ED"/>
    <w:rsid w:val="00513EE8"/>
    <w:rsid w:val="0051409A"/>
    <w:rsid w:val="005141AC"/>
    <w:rsid w:val="005143EE"/>
    <w:rsid w:val="005145BE"/>
    <w:rsid w:val="00514A9C"/>
    <w:rsid w:val="00514AF4"/>
    <w:rsid w:val="00514B69"/>
    <w:rsid w:val="00514BA4"/>
    <w:rsid w:val="00514CDD"/>
    <w:rsid w:val="00514DAC"/>
    <w:rsid w:val="0051500E"/>
    <w:rsid w:val="00515572"/>
    <w:rsid w:val="00515756"/>
    <w:rsid w:val="00515902"/>
    <w:rsid w:val="00515984"/>
    <w:rsid w:val="00515CEC"/>
    <w:rsid w:val="00515E46"/>
    <w:rsid w:val="005160B0"/>
    <w:rsid w:val="00516145"/>
    <w:rsid w:val="00516298"/>
    <w:rsid w:val="005166D4"/>
    <w:rsid w:val="005167DA"/>
    <w:rsid w:val="00516818"/>
    <w:rsid w:val="00516B94"/>
    <w:rsid w:val="00516E9C"/>
    <w:rsid w:val="00516F06"/>
    <w:rsid w:val="005171DD"/>
    <w:rsid w:val="005174EC"/>
    <w:rsid w:val="00517681"/>
    <w:rsid w:val="005179D4"/>
    <w:rsid w:val="00517C53"/>
    <w:rsid w:val="005201A0"/>
    <w:rsid w:val="00520255"/>
    <w:rsid w:val="0052039D"/>
    <w:rsid w:val="005203C4"/>
    <w:rsid w:val="00520465"/>
    <w:rsid w:val="00520558"/>
    <w:rsid w:val="00520672"/>
    <w:rsid w:val="0052072A"/>
    <w:rsid w:val="00520753"/>
    <w:rsid w:val="00520878"/>
    <w:rsid w:val="00520B55"/>
    <w:rsid w:val="00520BC1"/>
    <w:rsid w:val="00520CFA"/>
    <w:rsid w:val="00520D2E"/>
    <w:rsid w:val="00520F6E"/>
    <w:rsid w:val="00521015"/>
    <w:rsid w:val="00521596"/>
    <w:rsid w:val="005215D5"/>
    <w:rsid w:val="00521857"/>
    <w:rsid w:val="005219DD"/>
    <w:rsid w:val="00521B37"/>
    <w:rsid w:val="00521E62"/>
    <w:rsid w:val="00521EC4"/>
    <w:rsid w:val="0052202A"/>
    <w:rsid w:val="005220E0"/>
    <w:rsid w:val="0052213D"/>
    <w:rsid w:val="00522174"/>
    <w:rsid w:val="0052222C"/>
    <w:rsid w:val="0052241F"/>
    <w:rsid w:val="00522C1A"/>
    <w:rsid w:val="00522C6D"/>
    <w:rsid w:val="00522E30"/>
    <w:rsid w:val="00522F26"/>
    <w:rsid w:val="005230CF"/>
    <w:rsid w:val="005234B8"/>
    <w:rsid w:val="005235B9"/>
    <w:rsid w:val="0052367A"/>
    <w:rsid w:val="00523864"/>
    <w:rsid w:val="00523884"/>
    <w:rsid w:val="00523915"/>
    <w:rsid w:val="00523A87"/>
    <w:rsid w:val="00523F86"/>
    <w:rsid w:val="005245FD"/>
    <w:rsid w:val="0052480F"/>
    <w:rsid w:val="00524832"/>
    <w:rsid w:val="00524B05"/>
    <w:rsid w:val="00524BAE"/>
    <w:rsid w:val="00524C39"/>
    <w:rsid w:val="00524DD6"/>
    <w:rsid w:val="00524EBD"/>
    <w:rsid w:val="005251EB"/>
    <w:rsid w:val="00525332"/>
    <w:rsid w:val="0052569F"/>
    <w:rsid w:val="00525882"/>
    <w:rsid w:val="005259C2"/>
    <w:rsid w:val="00525C9E"/>
    <w:rsid w:val="00525D5E"/>
    <w:rsid w:val="00525E5B"/>
    <w:rsid w:val="00525FC5"/>
    <w:rsid w:val="005261A9"/>
    <w:rsid w:val="0052626D"/>
    <w:rsid w:val="0052657A"/>
    <w:rsid w:val="005265CE"/>
    <w:rsid w:val="00526767"/>
    <w:rsid w:val="00526AFB"/>
    <w:rsid w:val="00526CFA"/>
    <w:rsid w:val="00526DB7"/>
    <w:rsid w:val="005271C4"/>
    <w:rsid w:val="005272F3"/>
    <w:rsid w:val="00527643"/>
    <w:rsid w:val="005276F3"/>
    <w:rsid w:val="00527789"/>
    <w:rsid w:val="00527815"/>
    <w:rsid w:val="005278B6"/>
    <w:rsid w:val="00527992"/>
    <w:rsid w:val="00527A1B"/>
    <w:rsid w:val="00527B36"/>
    <w:rsid w:val="00527EDC"/>
    <w:rsid w:val="00527F68"/>
    <w:rsid w:val="00527FCD"/>
    <w:rsid w:val="00530024"/>
    <w:rsid w:val="00530185"/>
    <w:rsid w:val="0053027F"/>
    <w:rsid w:val="00530351"/>
    <w:rsid w:val="00530360"/>
    <w:rsid w:val="0053052C"/>
    <w:rsid w:val="00530867"/>
    <w:rsid w:val="00530925"/>
    <w:rsid w:val="00530ACF"/>
    <w:rsid w:val="00530E4E"/>
    <w:rsid w:val="00530EAF"/>
    <w:rsid w:val="00530FEA"/>
    <w:rsid w:val="00531020"/>
    <w:rsid w:val="00531025"/>
    <w:rsid w:val="0053156D"/>
    <w:rsid w:val="0053167F"/>
    <w:rsid w:val="00531721"/>
    <w:rsid w:val="005317D9"/>
    <w:rsid w:val="00531963"/>
    <w:rsid w:val="005319C0"/>
    <w:rsid w:val="00531D76"/>
    <w:rsid w:val="00531D77"/>
    <w:rsid w:val="00531E57"/>
    <w:rsid w:val="005320D3"/>
    <w:rsid w:val="005322C3"/>
    <w:rsid w:val="00532344"/>
    <w:rsid w:val="00532577"/>
    <w:rsid w:val="005326C4"/>
    <w:rsid w:val="005326E1"/>
    <w:rsid w:val="0053280E"/>
    <w:rsid w:val="00532B4C"/>
    <w:rsid w:val="00532B58"/>
    <w:rsid w:val="00532C9D"/>
    <w:rsid w:val="00532DF1"/>
    <w:rsid w:val="00532EBA"/>
    <w:rsid w:val="00532F6E"/>
    <w:rsid w:val="00533025"/>
    <w:rsid w:val="00533087"/>
    <w:rsid w:val="0053320B"/>
    <w:rsid w:val="00533225"/>
    <w:rsid w:val="0053322A"/>
    <w:rsid w:val="005334F2"/>
    <w:rsid w:val="00533733"/>
    <w:rsid w:val="00533922"/>
    <w:rsid w:val="00533AA2"/>
    <w:rsid w:val="00533AD4"/>
    <w:rsid w:val="00533C6B"/>
    <w:rsid w:val="00533EED"/>
    <w:rsid w:val="0053434F"/>
    <w:rsid w:val="0053441A"/>
    <w:rsid w:val="005344B0"/>
    <w:rsid w:val="00534808"/>
    <w:rsid w:val="00534A6F"/>
    <w:rsid w:val="00534C85"/>
    <w:rsid w:val="00534E18"/>
    <w:rsid w:val="00534E87"/>
    <w:rsid w:val="00534F10"/>
    <w:rsid w:val="00535129"/>
    <w:rsid w:val="0053519B"/>
    <w:rsid w:val="0053532F"/>
    <w:rsid w:val="005355B5"/>
    <w:rsid w:val="00535604"/>
    <w:rsid w:val="005356F1"/>
    <w:rsid w:val="005358ED"/>
    <w:rsid w:val="00535964"/>
    <w:rsid w:val="00535BFF"/>
    <w:rsid w:val="00535E27"/>
    <w:rsid w:val="00535EBF"/>
    <w:rsid w:val="00535EF8"/>
    <w:rsid w:val="00535F65"/>
    <w:rsid w:val="005362A8"/>
    <w:rsid w:val="0053645E"/>
    <w:rsid w:val="00536521"/>
    <w:rsid w:val="0053655D"/>
    <w:rsid w:val="005368BD"/>
    <w:rsid w:val="005368CE"/>
    <w:rsid w:val="00536A1D"/>
    <w:rsid w:val="00536C32"/>
    <w:rsid w:val="00536D9D"/>
    <w:rsid w:val="00536E4A"/>
    <w:rsid w:val="0053722D"/>
    <w:rsid w:val="0053747C"/>
    <w:rsid w:val="005374AC"/>
    <w:rsid w:val="00537781"/>
    <w:rsid w:val="0053781D"/>
    <w:rsid w:val="00537829"/>
    <w:rsid w:val="0053786B"/>
    <w:rsid w:val="00537B5E"/>
    <w:rsid w:val="00537B66"/>
    <w:rsid w:val="00537DEC"/>
    <w:rsid w:val="00537F5C"/>
    <w:rsid w:val="00540115"/>
    <w:rsid w:val="0054011E"/>
    <w:rsid w:val="00540166"/>
    <w:rsid w:val="005401A0"/>
    <w:rsid w:val="005403A4"/>
    <w:rsid w:val="005403E3"/>
    <w:rsid w:val="00540486"/>
    <w:rsid w:val="0054051C"/>
    <w:rsid w:val="0054086F"/>
    <w:rsid w:val="00540977"/>
    <w:rsid w:val="00540A72"/>
    <w:rsid w:val="00540C5D"/>
    <w:rsid w:val="00540D92"/>
    <w:rsid w:val="005412DC"/>
    <w:rsid w:val="00541316"/>
    <w:rsid w:val="00541570"/>
    <w:rsid w:val="0054169E"/>
    <w:rsid w:val="00541716"/>
    <w:rsid w:val="005418BB"/>
    <w:rsid w:val="005419DE"/>
    <w:rsid w:val="00541BE9"/>
    <w:rsid w:val="00541C4B"/>
    <w:rsid w:val="0054204D"/>
    <w:rsid w:val="005422F4"/>
    <w:rsid w:val="0054238D"/>
    <w:rsid w:val="00542496"/>
    <w:rsid w:val="005424C0"/>
    <w:rsid w:val="005424C3"/>
    <w:rsid w:val="005424F0"/>
    <w:rsid w:val="005429E6"/>
    <w:rsid w:val="00542C4C"/>
    <w:rsid w:val="00542DF0"/>
    <w:rsid w:val="00542E38"/>
    <w:rsid w:val="0054301F"/>
    <w:rsid w:val="00543694"/>
    <w:rsid w:val="0054392B"/>
    <w:rsid w:val="00543A8C"/>
    <w:rsid w:val="00543B98"/>
    <w:rsid w:val="00543DE1"/>
    <w:rsid w:val="00543E4F"/>
    <w:rsid w:val="005440FD"/>
    <w:rsid w:val="005441C6"/>
    <w:rsid w:val="005441F3"/>
    <w:rsid w:val="00544335"/>
    <w:rsid w:val="005443C2"/>
    <w:rsid w:val="00544579"/>
    <w:rsid w:val="005446CB"/>
    <w:rsid w:val="00544820"/>
    <w:rsid w:val="00544B8F"/>
    <w:rsid w:val="00544E03"/>
    <w:rsid w:val="00544ED0"/>
    <w:rsid w:val="00544F91"/>
    <w:rsid w:val="00545075"/>
    <w:rsid w:val="005450AB"/>
    <w:rsid w:val="005454C6"/>
    <w:rsid w:val="00545622"/>
    <w:rsid w:val="0054580B"/>
    <w:rsid w:val="00545967"/>
    <w:rsid w:val="005459B3"/>
    <w:rsid w:val="00545A5C"/>
    <w:rsid w:val="00545B10"/>
    <w:rsid w:val="00545B91"/>
    <w:rsid w:val="00545C94"/>
    <w:rsid w:val="00545CF4"/>
    <w:rsid w:val="00545DA1"/>
    <w:rsid w:val="00545EDF"/>
    <w:rsid w:val="00546001"/>
    <w:rsid w:val="005460C5"/>
    <w:rsid w:val="00546209"/>
    <w:rsid w:val="00546287"/>
    <w:rsid w:val="00546309"/>
    <w:rsid w:val="00546572"/>
    <w:rsid w:val="00546620"/>
    <w:rsid w:val="005466E1"/>
    <w:rsid w:val="00546714"/>
    <w:rsid w:val="00546775"/>
    <w:rsid w:val="005467F6"/>
    <w:rsid w:val="00546D7F"/>
    <w:rsid w:val="00546E0D"/>
    <w:rsid w:val="00546F34"/>
    <w:rsid w:val="00547029"/>
    <w:rsid w:val="00547191"/>
    <w:rsid w:val="00547574"/>
    <w:rsid w:val="005475D8"/>
    <w:rsid w:val="005475DB"/>
    <w:rsid w:val="0054772E"/>
    <w:rsid w:val="005478A5"/>
    <w:rsid w:val="00547C9D"/>
    <w:rsid w:val="00547D65"/>
    <w:rsid w:val="00547F0D"/>
    <w:rsid w:val="005501E4"/>
    <w:rsid w:val="00550588"/>
    <w:rsid w:val="00550C62"/>
    <w:rsid w:val="00550D69"/>
    <w:rsid w:val="00550E6E"/>
    <w:rsid w:val="005510C6"/>
    <w:rsid w:val="005513DF"/>
    <w:rsid w:val="00551481"/>
    <w:rsid w:val="00551801"/>
    <w:rsid w:val="00551836"/>
    <w:rsid w:val="005518B8"/>
    <w:rsid w:val="00551A5A"/>
    <w:rsid w:val="00551A94"/>
    <w:rsid w:val="00551BB9"/>
    <w:rsid w:val="00551C69"/>
    <w:rsid w:val="00551D2B"/>
    <w:rsid w:val="00551D91"/>
    <w:rsid w:val="00552059"/>
    <w:rsid w:val="00552131"/>
    <w:rsid w:val="0055220D"/>
    <w:rsid w:val="0055249D"/>
    <w:rsid w:val="005524F7"/>
    <w:rsid w:val="00552781"/>
    <w:rsid w:val="00552811"/>
    <w:rsid w:val="00552B31"/>
    <w:rsid w:val="00552C5C"/>
    <w:rsid w:val="00552D4A"/>
    <w:rsid w:val="00553015"/>
    <w:rsid w:val="005533F1"/>
    <w:rsid w:val="00553500"/>
    <w:rsid w:val="0055373E"/>
    <w:rsid w:val="0055377C"/>
    <w:rsid w:val="005537AF"/>
    <w:rsid w:val="00553F74"/>
    <w:rsid w:val="00553FEB"/>
    <w:rsid w:val="005543AF"/>
    <w:rsid w:val="00554470"/>
    <w:rsid w:val="005547B7"/>
    <w:rsid w:val="005547E4"/>
    <w:rsid w:val="0055482B"/>
    <w:rsid w:val="00554B08"/>
    <w:rsid w:val="00554B2E"/>
    <w:rsid w:val="005550FD"/>
    <w:rsid w:val="005551C5"/>
    <w:rsid w:val="005551D8"/>
    <w:rsid w:val="0055564D"/>
    <w:rsid w:val="00555961"/>
    <w:rsid w:val="00555AAF"/>
    <w:rsid w:val="00555CFB"/>
    <w:rsid w:val="005560A0"/>
    <w:rsid w:val="005563AD"/>
    <w:rsid w:val="005563D1"/>
    <w:rsid w:val="00556618"/>
    <w:rsid w:val="005566F9"/>
    <w:rsid w:val="00556703"/>
    <w:rsid w:val="0055672A"/>
    <w:rsid w:val="00556BE4"/>
    <w:rsid w:val="00556C15"/>
    <w:rsid w:val="00556DEB"/>
    <w:rsid w:val="00556F26"/>
    <w:rsid w:val="0055714A"/>
    <w:rsid w:val="005571D3"/>
    <w:rsid w:val="005577BF"/>
    <w:rsid w:val="005577EA"/>
    <w:rsid w:val="00557A16"/>
    <w:rsid w:val="00557B5F"/>
    <w:rsid w:val="00557C0B"/>
    <w:rsid w:val="00557DA5"/>
    <w:rsid w:val="0056013C"/>
    <w:rsid w:val="005601A6"/>
    <w:rsid w:val="0056042A"/>
    <w:rsid w:val="0056064F"/>
    <w:rsid w:val="00560D03"/>
    <w:rsid w:val="00560DE1"/>
    <w:rsid w:val="00560E29"/>
    <w:rsid w:val="00560ECC"/>
    <w:rsid w:val="0056112C"/>
    <w:rsid w:val="0056165C"/>
    <w:rsid w:val="00561724"/>
    <w:rsid w:val="00561A3B"/>
    <w:rsid w:val="00561DBC"/>
    <w:rsid w:val="0056224C"/>
    <w:rsid w:val="005623D1"/>
    <w:rsid w:val="0056240E"/>
    <w:rsid w:val="00562604"/>
    <w:rsid w:val="0056329C"/>
    <w:rsid w:val="005634A0"/>
    <w:rsid w:val="005638BC"/>
    <w:rsid w:val="00563AEC"/>
    <w:rsid w:val="00563BC3"/>
    <w:rsid w:val="00563BCB"/>
    <w:rsid w:val="00563E23"/>
    <w:rsid w:val="00563E66"/>
    <w:rsid w:val="00564088"/>
    <w:rsid w:val="005647EF"/>
    <w:rsid w:val="00564853"/>
    <w:rsid w:val="00564946"/>
    <w:rsid w:val="00564B51"/>
    <w:rsid w:val="005655E0"/>
    <w:rsid w:val="005657C4"/>
    <w:rsid w:val="005657CE"/>
    <w:rsid w:val="00565945"/>
    <w:rsid w:val="00566000"/>
    <w:rsid w:val="0056601E"/>
    <w:rsid w:val="005662DA"/>
    <w:rsid w:val="00566652"/>
    <w:rsid w:val="00566986"/>
    <w:rsid w:val="00566A81"/>
    <w:rsid w:val="00566FFA"/>
    <w:rsid w:val="00567125"/>
    <w:rsid w:val="00567179"/>
    <w:rsid w:val="005672F4"/>
    <w:rsid w:val="00567510"/>
    <w:rsid w:val="00567595"/>
    <w:rsid w:val="00567699"/>
    <w:rsid w:val="00567D3A"/>
    <w:rsid w:val="00567D76"/>
    <w:rsid w:val="005706D9"/>
    <w:rsid w:val="00570739"/>
    <w:rsid w:val="0057073D"/>
    <w:rsid w:val="0057085C"/>
    <w:rsid w:val="0057086A"/>
    <w:rsid w:val="005709F6"/>
    <w:rsid w:val="00570B21"/>
    <w:rsid w:val="00570D4D"/>
    <w:rsid w:val="00570EEA"/>
    <w:rsid w:val="00570EFA"/>
    <w:rsid w:val="005712FA"/>
    <w:rsid w:val="0057152F"/>
    <w:rsid w:val="0057156F"/>
    <w:rsid w:val="005716BD"/>
    <w:rsid w:val="00571B2E"/>
    <w:rsid w:val="00571FF0"/>
    <w:rsid w:val="005720A4"/>
    <w:rsid w:val="0057225B"/>
    <w:rsid w:val="0057242C"/>
    <w:rsid w:val="00572495"/>
    <w:rsid w:val="0057271E"/>
    <w:rsid w:val="005727BF"/>
    <w:rsid w:val="00572837"/>
    <w:rsid w:val="00572ACC"/>
    <w:rsid w:val="00572B6F"/>
    <w:rsid w:val="00572D1B"/>
    <w:rsid w:val="00572F6A"/>
    <w:rsid w:val="0057306C"/>
    <w:rsid w:val="005731F6"/>
    <w:rsid w:val="0057336B"/>
    <w:rsid w:val="005733B5"/>
    <w:rsid w:val="005733B6"/>
    <w:rsid w:val="00573637"/>
    <w:rsid w:val="00573828"/>
    <w:rsid w:val="005738BD"/>
    <w:rsid w:val="00573A0F"/>
    <w:rsid w:val="00573ABB"/>
    <w:rsid w:val="00573B9F"/>
    <w:rsid w:val="00573C5F"/>
    <w:rsid w:val="00573E29"/>
    <w:rsid w:val="00573F26"/>
    <w:rsid w:val="00573FF4"/>
    <w:rsid w:val="005742B5"/>
    <w:rsid w:val="00574360"/>
    <w:rsid w:val="00574425"/>
    <w:rsid w:val="00574666"/>
    <w:rsid w:val="005746AC"/>
    <w:rsid w:val="00574815"/>
    <w:rsid w:val="00574AAE"/>
    <w:rsid w:val="00574AB3"/>
    <w:rsid w:val="00574DAE"/>
    <w:rsid w:val="00575051"/>
    <w:rsid w:val="0057507A"/>
    <w:rsid w:val="005750A1"/>
    <w:rsid w:val="00575118"/>
    <w:rsid w:val="005753C4"/>
    <w:rsid w:val="00575428"/>
    <w:rsid w:val="00575474"/>
    <w:rsid w:val="0057550C"/>
    <w:rsid w:val="005755F0"/>
    <w:rsid w:val="005759A7"/>
    <w:rsid w:val="00575B2F"/>
    <w:rsid w:val="00575CF0"/>
    <w:rsid w:val="00575F2E"/>
    <w:rsid w:val="005760C2"/>
    <w:rsid w:val="00576580"/>
    <w:rsid w:val="00576919"/>
    <w:rsid w:val="00576B1D"/>
    <w:rsid w:val="00576D25"/>
    <w:rsid w:val="00576FDF"/>
    <w:rsid w:val="00577039"/>
    <w:rsid w:val="005773BD"/>
    <w:rsid w:val="005773FD"/>
    <w:rsid w:val="00577721"/>
    <w:rsid w:val="00577855"/>
    <w:rsid w:val="00577D32"/>
    <w:rsid w:val="00577D58"/>
    <w:rsid w:val="005806F2"/>
    <w:rsid w:val="00580969"/>
    <w:rsid w:val="00580DB2"/>
    <w:rsid w:val="0058110F"/>
    <w:rsid w:val="00581644"/>
    <w:rsid w:val="005816FD"/>
    <w:rsid w:val="0058187F"/>
    <w:rsid w:val="00581A27"/>
    <w:rsid w:val="00581B5E"/>
    <w:rsid w:val="00581D25"/>
    <w:rsid w:val="0058243F"/>
    <w:rsid w:val="005824A4"/>
    <w:rsid w:val="00582503"/>
    <w:rsid w:val="0058271D"/>
    <w:rsid w:val="005828A6"/>
    <w:rsid w:val="00582CEC"/>
    <w:rsid w:val="0058308A"/>
    <w:rsid w:val="00583413"/>
    <w:rsid w:val="0058382E"/>
    <w:rsid w:val="0058389F"/>
    <w:rsid w:val="005839CC"/>
    <w:rsid w:val="00583A38"/>
    <w:rsid w:val="00583D5D"/>
    <w:rsid w:val="00583D83"/>
    <w:rsid w:val="00584013"/>
    <w:rsid w:val="0058435F"/>
    <w:rsid w:val="0058448F"/>
    <w:rsid w:val="00584533"/>
    <w:rsid w:val="005845F6"/>
    <w:rsid w:val="005847DE"/>
    <w:rsid w:val="00584C0A"/>
    <w:rsid w:val="00584C20"/>
    <w:rsid w:val="00584C81"/>
    <w:rsid w:val="00584CF0"/>
    <w:rsid w:val="00584EE6"/>
    <w:rsid w:val="005851B7"/>
    <w:rsid w:val="0058561D"/>
    <w:rsid w:val="00585A9F"/>
    <w:rsid w:val="00585B08"/>
    <w:rsid w:val="00585F62"/>
    <w:rsid w:val="00586344"/>
    <w:rsid w:val="0058644C"/>
    <w:rsid w:val="005864F4"/>
    <w:rsid w:val="0058664B"/>
    <w:rsid w:val="005866A7"/>
    <w:rsid w:val="00586704"/>
    <w:rsid w:val="00586742"/>
    <w:rsid w:val="005867F5"/>
    <w:rsid w:val="00586891"/>
    <w:rsid w:val="0058694F"/>
    <w:rsid w:val="00586B7C"/>
    <w:rsid w:val="00586FB4"/>
    <w:rsid w:val="005871A1"/>
    <w:rsid w:val="0058729D"/>
    <w:rsid w:val="0058762C"/>
    <w:rsid w:val="0058782D"/>
    <w:rsid w:val="0058796B"/>
    <w:rsid w:val="005879B2"/>
    <w:rsid w:val="00587EEE"/>
    <w:rsid w:val="0059051F"/>
    <w:rsid w:val="00590582"/>
    <w:rsid w:val="0059063D"/>
    <w:rsid w:val="00590681"/>
    <w:rsid w:val="00590DC6"/>
    <w:rsid w:val="00590E48"/>
    <w:rsid w:val="005911B6"/>
    <w:rsid w:val="00591547"/>
    <w:rsid w:val="0059162C"/>
    <w:rsid w:val="0059167C"/>
    <w:rsid w:val="00591826"/>
    <w:rsid w:val="005919F4"/>
    <w:rsid w:val="00591BDF"/>
    <w:rsid w:val="00591D86"/>
    <w:rsid w:val="005921F5"/>
    <w:rsid w:val="00592241"/>
    <w:rsid w:val="00592254"/>
    <w:rsid w:val="0059230B"/>
    <w:rsid w:val="00592461"/>
    <w:rsid w:val="005924A2"/>
    <w:rsid w:val="00592516"/>
    <w:rsid w:val="0059275B"/>
    <w:rsid w:val="00592795"/>
    <w:rsid w:val="00592B83"/>
    <w:rsid w:val="00592D07"/>
    <w:rsid w:val="00592E62"/>
    <w:rsid w:val="00592E8E"/>
    <w:rsid w:val="005930B3"/>
    <w:rsid w:val="005930C4"/>
    <w:rsid w:val="00593144"/>
    <w:rsid w:val="00593237"/>
    <w:rsid w:val="005933D3"/>
    <w:rsid w:val="005936A6"/>
    <w:rsid w:val="00593771"/>
    <w:rsid w:val="0059384F"/>
    <w:rsid w:val="005938CD"/>
    <w:rsid w:val="0059397E"/>
    <w:rsid w:val="00593A20"/>
    <w:rsid w:val="00593DDA"/>
    <w:rsid w:val="00593E5D"/>
    <w:rsid w:val="00593EF6"/>
    <w:rsid w:val="005940FA"/>
    <w:rsid w:val="00594532"/>
    <w:rsid w:val="00594707"/>
    <w:rsid w:val="00594728"/>
    <w:rsid w:val="00594732"/>
    <w:rsid w:val="005947EA"/>
    <w:rsid w:val="0059488A"/>
    <w:rsid w:val="00594901"/>
    <w:rsid w:val="00594A40"/>
    <w:rsid w:val="00594B63"/>
    <w:rsid w:val="00594E84"/>
    <w:rsid w:val="00594F07"/>
    <w:rsid w:val="00595052"/>
    <w:rsid w:val="005951DE"/>
    <w:rsid w:val="005954AA"/>
    <w:rsid w:val="005954B5"/>
    <w:rsid w:val="005955DB"/>
    <w:rsid w:val="00595744"/>
    <w:rsid w:val="00595767"/>
    <w:rsid w:val="00595E0A"/>
    <w:rsid w:val="00595EEC"/>
    <w:rsid w:val="0059603F"/>
    <w:rsid w:val="005961AC"/>
    <w:rsid w:val="005962B9"/>
    <w:rsid w:val="0059630E"/>
    <w:rsid w:val="00596311"/>
    <w:rsid w:val="005964BE"/>
    <w:rsid w:val="005965E9"/>
    <w:rsid w:val="00596D94"/>
    <w:rsid w:val="00597222"/>
    <w:rsid w:val="005972B6"/>
    <w:rsid w:val="005974D9"/>
    <w:rsid w:val="005976E9"/>
    <w:rsid w:val="005979D7"/>
    <w:rsid w:val="00597ADB"/>
    <w:rsid w:val="00597DBA"/>
    <w:rsid w:val="00597F18"/>
    <w:rsid w:val="00597F4C"/>
    <w:rsid w:val="005A0290"/>
    <w:rsid w:val="005A037E"/>
    <w:rsid w:val="005A04DF"/>
    <w:rsid w:val="005A05FE"/>
    <w:rsid w:val="005A068B"/>
    <w:rsid w:val="005A103E"/>
    <w:rsid w:val="005A11CF"/>
    <w:rsid w:val="005A157C"/>
    <w:rsid w:val="005A174D"/>
    <w:rsid w:val="005A190C"/>
    <w:rsid w:val="005A1BC0"/>
    <w:rsid w:val="005A1D11"/>
    <w:rsid w:val="005A1ECB"/>
    <w:rsid w:val="005A1F23"/>
    <w:rsid w:val="005A2055"/>
    <w:rsid w:val="005A206A"/>
    <w:rsid w:val="005A21E8"/>
    <w:rsid w:val="005A227D"/>
    <w:rsid w:val="005A2325"/>
    <w:rsid w:val="005A242C"/>
    <w:rsid w:val="005A2627"/>
    <w:rsid w:val="005A2C7E"/>
    <w:rsid w:val="005A2EA8"/>
    <w:rsid w:val="005A2EC3"/>
    <w:rsid w:val="005A2EE2"/>
    <w:rsid w:val="005A3010"/>
    <w:rsid w:val="005A3099"/>
    <w:rsid w:val="005A30C1"/>
    <w:rsid w:val="005A329F"/>
    <w:rsid w:val="005A32A4"/>
    <w:rsid w:val="005A32D7"/>
    <w:rsid w:val="005A34FA"/>
    <w:rsid w:val="005A3672"/>
    <w:rsid w:val="005A3AB8"/>
    <w:rsid w:val="005A3EAA"/>
    <w:rsid w:val="005A4158"/>
    <w:rsid w:val="005A4315"/>
    <w:rsid w:val="005A435D"/>
    <w:rsid w:val="005A46DF"/>
    <w:rsid w:val="005A4859"/>
    <w:rsid w:val="005A48B9"/>
    <w:rsid w:val="005A4BF3"/>
    <w:rsid w:val="005A4EA0"/>
    <w:rsid w:val="005A4EA1"/>
    <w:rsid w:val="005A4F56"/>
    <w:rsid w:val="005A4FFC"/>
    <w:rsid w:val="005A5194"/>
    <w:rsid w:val="005A53CD"/>
    <w:rsid w:val="005A548D"/>
    <w:rsid w:val="005A558C"/>
    <w:rsid w:val="005A598E"/>
    <w:rsid w:val="005A5E5A"/>
    <w:rsid w:val="005A6269"/>
    <w:rsid w:val="005A62F6"/>
    <w:rsid w:val="005A6462"/>
    <w:rsid w:val="005A652E"/>
    <w:rsid w:val="005A65D2"/>
    <w:rsid w:val="005A6630"/>
    <w:rsid w:val="005A67CA"/>
    <w:rsid w:val="005A6812"/>
    <w:rsid w:val="005A68B3"/>
    <w:rsid w:val="005A6A7A"/>
    <w:rsid w:val="005A6D55"/>
    <w:rsid w:val="005A6E40"/>
    <w:rsid w:val="005A708C"/>
    <w:rsid w:val="005A721F"/>
    <w:rsid w:val="005A7281"/>
    <w:rsid w:val="005A73BC"/>
    <w:rsid w:val="005A74AD"/>
    <w:rsid w:val="005A74B9"/>
    <w:rsid w:val="005A793E"/>
    <w:rsid w:val="005A79DF"/>
    <w:rsid w:val="005A7CE3"/>
    <w:rsid w:val="005A7E76"/>
    <w:rsid w:val="005A7FC4"/>
    <w:rsid w:val="005B001E"/>
    <w:rsid w:val="005B00EF"/>
    <w:rsid w:val="005B0164"/>
    <w:rsid w:val="005B04FE"/>
    <w:rsid w:val="005B06C2"/>
    <w:rsid w:val="005B0740"/>
    <w:rsid w:val="005B0825"/>
    <w:rsid w:val="005B08AE"/>
    <w:rsid w:val="005B0A3B"/>
    <w:rsid w:val="005B0A83"/>
    <w:rsid w:val="005B0C6D"/>
    <w:rsid w:val="005B0D36"/>
    <w:rsid w:val="005B0E09"/>
    <w:rsid w:val="005B1104"/>
    <w:rsid w:val="005B124F"/>
    <w:rsid w:val="005B1251"/>
    <w:rsid w:val="005B1291"/>
    <w:rsid w:val="005B13FE"/>
    <w:rsid w:val="005B1508"/>
    <w:rsid w:val="005B1563"/>
    <w:rsid w:val="005B176A"/>
    <w:rsid w:val="005B1799"/>
    <w:rsid w:val="005B1BD1"/>
    <w:rsid w:val="005B1D15"/>
    <w:rsid w:val="005B1D39"/>
    <w:rsid w:val="005B20D2"/>
    <w:rsid w:val="005B2252"/>
    <w:rsid w:val="005B241C"/>
    <w:rsid w:val="005B24C7"/>
    <w:rsid w:val="005B25D8"/>
    <w:rsid w:val="005B2778"/>
    <w:rsid w:val="005B29DE"/>
    <w:rsid w:val="005B2BEF"/>
    <w:rsid w:val="005B2E55"/>
    <w:rsid w:val="005B2F84"/>
    <w:rsid w:val="005B34F4"/>
    <w:rsid w:val="005B36B3"/>
    <w:rsid w:val="005B3960"/>
    <w:rsid w:val="005B3A5B"/>
    <w:rsid w:val="005B43F3"/>
    <w:rsid w:val="005B4439"/>
    <w:rsid w:val="005B4530"/>
    <w:rsid w:val="005B48BF"/>
    <w:rsid w:val="005B4950"/>
    <w:rsid w:val="005B4A79"/>
    <w:rsid w:val="005B4B96"/>
    <w:rsid w:val="005B51B8"/>
    <w:rsid w:val="005B5215"/>
    <w:rsid w:val="005B5363"/>
    <w:rsid w:val="005B53ED"/>
    <w:rsid w:val="005B548B"/>
    <w:rsid w:val="005B559E"/>
    <w:rsid w:val="005B583E"/>
    <w:rsid w:val="005B5AFE"/>
    <w:rsid w:val="005B5B4D"/>
    <w:rsid w:val="005B5BE4"/>
    <w:rsid w:val="005B5D34"/>
    <w:rsid w:val="005B5E64"/>
    <w:rsid w:val="005B5EEE"/>
    <w:rsid w:val="005B5F16"/>
    <w:rsid w:val="005B61DD"/>
    <w:rsid w:val="005B6377"/>
    <w:rsid w:val="005B6516"/>
    <w:rsid w:val="005B66C8"/>
    <w:rsid w:val="005B672F"/>
    <w:rsid w:val="005B6934"/>
    <w:rsid w:val="005B696B"/>
    <w:rsid w:val="005B69A4"/>
    <w:rsid w:val="005B6DB8"/>
    <w:rsid w:val="005B70A7"/>
    <w:rsid w:val="005B7A22"/>
    <w:rsid w:val="005B7B18"/>
    <w:rsid w:val="005C0003"/>
    <w:rsid w:val="005C0099"/>
    <w:rsid w:val="005C0179"/>
    <w:rsid w:val="005C017E"/>
    <w:rsid w:val="005C01CA"/>
    <w:rsid w:val="005C024E"/>
    <w:rsid w:val="005C0446"/>
    <w:rsid w:val="005C0651"/>
    <w:rsid w:val="005C0803"/>
    <w:rsid w:val="005C0978"/>
    <w:rsid w:val="005C0A86"/>
    <w:rsid w:val="005C0CF6"/>
    <w:rsid w:val="005C0DA2"/>
    <w:rsid w:val="005C0EBE"/>
    <w:rsid w:val="005C0F1F"/>
    <w:rsid w:val="005C106D"/>
    <w:rsid w:val="005C1731"/>
    <w:rsid w:val="005C17A6"/>
    <w:rsid w:val="005C196A"/>
    <w:rsid w:val="005C1CDE"/>
    <w:rsid w:val="005C1DCE"/>
    <w:rsid w:val="005C1E6B"/>
    <w:rsid w:val="005C1ECE"/>
    <w:rsid w:val="005C1F51"/>
    <w:rsid w:val="005C202F"/>
    <w:rsid w:val="005C2099"/>
    <w:rsid w:val="005C2169"/>
    <w:rsid w:val="005C21DD"/>
    <w:rsid w:val="005C2224"/>
    <w:rsid w:val="005C232B"/>
    <w:rsid w:val="005C250B"/>
    <w:rsid w:val="005C2746"/>
    <w:rsid w:val="005C2894"/>
    <w:rsid w:val="005C294E"/>
    <w:rsid w:val="005C2BFC"/>
    <w:rsid w:val="005C2DFD"/>
    <w:rsid w:val="005C30A8"/>
    <w:rsid w:val="005C3147"/>
    <w:rsid w:val="005C381D"/>
    <w:rsid w:val="005C38AA"/>
    <w:rsid w:val="005C3960"/>
    <w:rsid w:val="005C39D3"/>
    <w:rsid w:val="005C39DF"/>
    <w:rsid w:val="005C3A85"/>
    <w:rsid w:val="005C3E77"/>
    <w:rsid w:val="005C3E94"/>
    <w:rsid w:val="005C3EFE"/>
    <w:rsid w:val="005C3F60"/>
    <w:rsid w:val="005C4139"/>
    <w:rsid w:val="005C4472"/>
    <w:rsid w:val="005C4505"/>
    <w:rsid w:val="005C4511"/>
    <w:rsid w:val="005C46C6"/>
    <w:rsid w:val="005C4730"/>
    <w:rsid w:val="005C47C6"/>
    <w:rsid w:val="005C47CC"/>
    <w:rsid w:val="005C4D74"/>
    <w:rsid w:val="005C4DA9"/>
    <w:rsid w:val="005C4FB5"/>
    <w:rsid w:val="005C516B"/>
    <w:rsid w:val="005C5177"/>
    <w:rsid w:val="005C5337"/>
    <w:rsid w:val="005C53C1"/>
    <w:rsid w:val="005C5496"/>
    <w:rsid w:val="005C54D6"/>
    <w:rsid w:val="005C5566"/>
    <w:rsid w:val="005C5866"/>
    <w:rsid w:val="005C5A95"/>
    <w:rsid w:val="005C5B23"/>
    <w:rsid w:val="005C5C39"/>
    <w:rsid w:val="005C5F15"/>
    <w:rsid w:val="005C644A"/>
    <w:rsid w:val="005C67B5"/>
    <w:rsid w:val="005C69E0"/>
    <w:rsid w:val="005C6A81"/>
    <w:rsid w:val="005C6C38"/>
    <w:rsid w:val="005C7072"/>
    <w:rsid w:val="005C7153"/>
    <w:rsid w:val="005C7171"/>
    <w:rsid w:val="005C774A"/>
    <w:rsid w:val="005C775C"/>
    <w:rsid w:val="005C77D3"/>
    <w:rsid w:val="005C77DE"/>
    <w:rsid w:val="005C78D1"/>
    <w:rsid w:val="005C79A2"/>
    <w:rsid w:val="005C7A01"/>
    <w:rsid w:val="005C7B22"/>
    <w:rsid w:val="005C7B46"/>
    <w:rsid w:val="005C7C09"/>
    <w:rsid w:val="005C7CBC"/>
    <w:rsid w:val="005C7CF6"/>
    <w:rsid w:val="005C7DAA"/>
    <w:rsid w:val="005C7E22"/>
    <w:rsid w:val="005D07CA"/>
    <w:rsid w:val="005D0D4C"/>
    <w:rsid w:val="005D0E99"/>
    <w:rsid w:val="005D13D4"/>
    <w:rsid w:val="005D1473"/>
    <w:rsid w:val="005D156F"/>
    <w:rsid w:val="005D1820"/>
    <w:rsid w:val="005D18B9"/>
    <w:rsid w:val="005D198B"/>
    <w:rsid w:val="005D1BA6"/>
    <w:rsid w:val="005D1C6B"/>
    <w:rsid w:val="005D1E55"/>
    <w:rsid w:val="005D1F92"/>
    <w:rsid w:val="005D2100"/>
    <w:rsid w:val="005D281A"/>
    <w:rsid w:val="005D29C0"/>
    <w:rsid w:val="005D29CC"/>
    <w:rsid w:val="005D2D1F"/>
    <w:rsid w:val="005D2EC4"/>
    <w:rsid w:val="005D2FCF"/>
    <w:rsid w:val="005D35DD"/>
    <w:rsid w:val="005D3859"/>
    <w:rsid w:val="005D38DB"/>
    <w:rsid w:val="005D3900"/>
    <w:rsid w:val="005D3952"/>
    <w:rsid w:val="005D3D79"/>
    <w:rsid w:val="005D3E35"/>
    <w:rsid w:val="005D3EE2"/>
    <w:rsid w:val="005D437E"/>
    <w:rsid w:val="005D44EF"/>
    <w:rsid w:val="005D4529"/>
    <w:rsid w:val="005D45BF"/>
    <w:rsid w:val="005D46E8"/>
    <w:rsid w:val="005D492E"/>
    <w:rsid w:val="005D497E"/>
    <w:rsid w:val="005D4A67"/>
    <w:rsid w:val="005D4F0E"/>
    <w:rsid w:val="005D4FAE"/>
    <w:rsid w:val="005D5121"/>
    <w:rsid w:val="005D5402"/>
    <w:rsid w:val="005D5408"/>
    <w:rsid w:val="005D55AF"/>
    <w:rsid w:val="005D582B"/>
    <w:rsid w:val="005D58ED"/>
    <w:rsid w:val="005D5BEA"/>
    <w:rsid w:val="005D617D"/>
    <w:rsid w:val="005D628F"/>
    <w:rsid w:val="005D6648"/>
    <w:rsid w:val="005D666A"/>
    <w:rsid w:val="005D688D"/>
    <w:rsid w:val="005D68FB"/>
    <w:rsid w:val="005D6C5A"/>
    <w:rsid w:val="005D6FE6"/>
    <w:rsid w:val="005D7124"/>
    <w:rsid w:val="005D7285"/>
    <w:rsid w:val="005D728E"/>
    <w:rsid w:val="005D73E0"/>
    <w:rsid w:val="005D7B9F"/>
    <w:rsid w:val="005D7D29"/>
    <w:rsid w:val="005D7E30"/>
    <w:rsid w:val="005D7E7D"/>
    <w:rsid w:val="005D7F8F"/>
    <w:rsid w:val="005E0192"/>
    <w:rsid w:val="005E0303"/>
    <w:rsid w:val="005E039D"/>
    <w:rsid w:val="005E04A3"/>
    <w:rsid w:val="005E054E"/>
    <w:rsid w:val="005E0887"/>
    <w:rsid w:val="005E08F6"/>
    <w:rsid w:val="005E09F9"/>
    <w:rsid w:val="005E09FB"/>
    <w:rsid w:val="005E0D90"/>
    <w:rsid w:val="005E1120"/>
    <w:rsid w:val="005E1492"/>
    <w:rsid w:val="005E1569"/>
    <w:rsid w:val="005E180D"/>
    <w:rsid w:val="005E1AB8"/>
    <w:rsid w:val="005E1CAD"/>
    <w:rsid w:val="005E1CDF"/>
    <w:rsid w:val="005E1DCF"/>
    <w:rsid w:val="005E1E33"/>
    <w:rsid w:val="005E1EC2"/>
    <w:rsid w:val="005E1F56"/>
    <w:rsid w:val="005E1F86"/>
    <w:rsid w:val="005E2398"/>
    <w:rsid w:val="005E2C2B"/>
    <w:rsid w:val="005E2EE4"/>
    <w:rsid w:val="005E2F06"/>
    <w:rsid w:val="005E3292"/>
    <w:rsid w:val="005E32F5"/>
    <w:rsid w:val="005E3373"/>
    <w:rsid w:val="005E3574"/>
    <w:rsid w:val="005E35BD"/>
    <w:rsid w:val="005E3976"/>
    <w:rsid w:val="005E3D92"/>
    <w:rsid w:val="005E3FCD"/>
    <w:rsid w:val="005E4107"/>
    <w:rsid w:val="005E41C4"/>
    <w:rsid w:val="005E41C7"/>
    <w:rsid w:val="005E43C4"/>
    <w:rsid w:val="005E4603"/>
    <w:rsid w:val="005E462F"/>
    <w:rsid w:val="005E469C"/>
    <w:rsid w:val="005E4940"/>
    <w:rsid w:val="005E4C7D"/>
    <w:rsid w:val="005E4DFC"/>
    <w:rsid w:val="005E5617"/>
    <w:rsid w:val="005E5705"/>
    <w:rsid w:val="005E5894"/>
    <w:rsid w:val="005E5B83"/>
    <w:rsid w:val="005E5B9F"/>
    <w:rsid w:val="005E5C23"/>
    <w:rsid w:val="005E5D43"/>
    <w:rsid w:val="005E6004"/>
    <w:rsid w:val="005E606B"/>
    <w:rsid w:val="005E60F9"/>
    <w:rsid w:val="005E63F8"/>
    <w:rsid w:val="005E67A4"/>
    <w:rsid w:val="005E6892"/>
    <w:rsid w:val="005E68FE"/>
    <w:rsid w:val="005E69B8"/>
    <w:rsid w:val="005E6B71"/>
    <w:rsid w:val="005E6E33"/>
    <w:rsid w:val="005E6F90"/>
    <w:rsid w:val="005E70AC"/>
    <w:rsid w:val="005E72CD"/>
    <w:rsid w:val="005E734F"/>
    <w:rsid w:val="005E748B"/>
    <w:rsid w:val="005E7AE4"/>
    <w:rsid w:val="005E7BC4"/>
    <w:rsid w:val="005E7DC9"/>
    <w:rsid w:val="005E7EBC"/>
    <w:rsid w:val="005E7EC6"/>
    <w:rsid w:val="005E7EF9"/>
    <w:rsid w:val="005E7FDC"/>
    <w:rsid w:val="005F0008"/>
    <w:rsid w:val="005F00DE"/>
    <w:rsid w:val="005F021D"/>
    <w:rsid w:val="005F05C3"/>
    <w:rsid w:val="005F07A4"/>
    <w:rsid w:val="005F07CF"/>
    <w:rsid w:val="005F081C"/>
    <w:rsid w:val="005F083E"/>
    <w:rsid w:val="005F0BAC"/>
    <w:rsid w:val="005F0C6F"/>
    <w:rsid w:val="005F0CB0"/>
    <w:rsid w:val="005F0D7B"/>
    <w:rsid w:val="005F0F24"/>
    <w:rsid w:val="005F129B"/>
    <w:rsid w:val="005F1528"/>
    <w:rsid w:val="005F1553"/>
    <w:rsid w:val="005F19D4"/>
    <w:rsid w:val="005F1B1F"/>
    <w:rsid w:val="005F1BA8"/>
    <w:rsid w:val="005F1CC6"/>
    <w:rsid w:val="005F2081"/>
    <w:rsid w:val="005F23C2"/>
    <w:rsid w:val="005F24A1"/>
    <w:rsid w:val="005F26DC"/>
    <w:rsid w:val="005F2774"/>
    <w:rsid w:val="005F29FB"/>
    <w:rsid w:val="005F2A42"/>
    <w:rsid w:val="005F2C1F"/>
    <w:rsid w:val="005F2CE5"/>
    <w:rsid w:val="005F2D5D"/>
    <w:rsid w:val="005F2E45"/>
    <w:rsid w:val="005F2E65"/>
    <w:rsid w:val="005F2FF8"/>
    <w:rsid w:val="005F3165"/>
    <w:rsid w:val="005F36C6"/>
    <w:rsid w:val="005F3752"/>
    <w:rsid w:val="005F38B2"/>
    <w:rsid w:val="005F38ED"/>
    <w:rsid w:val="005F4194"/>
    <w:rsid w:val="005F47B8"/>
    <w:rsid w:val="005F4A72"/>
    <w:rsid w:val="005F4D67"/>
    <w:rsid w:val="005F4E8E"/>
    <w:rsid w:val="005F4EFD"/>
    <w:rsid w:val="005F5368"/>
    <w:rsid w:val="005F53F4"/>
    <w:rsid w:val="005F5443"/>
    <w:rsid w:val="005F54A4"/>
    <w:rsid w:val="005F54C9"/>
    <w:rsid w:val="005F5645"/>
    <w:rsid w:val="005F58D3"/>
    <w:rsid w:val="005F5952"/>
    <w:rsid w:val="005F5B00"/>
    <w:rsid w:val="005F5F13"/>
    <w:rsid w:val="005F5F8C"/>
    <w:rsid w:val="005F6039"/>
    <w:rsid w:val="005F60D3"/>
    <w:rsid w:val="005F632B"/>
    <w:rsid w:val="005F637D"/>
    <w:rsid w:val="005F696E"/>
    <w:rsid w:val="005F6C14"/>
    <w:rsid w:val="005F7024"/>
    <w:rsid w:val="005F742D"/>
    <w:rsid w:val="005F7559"/>
    <w:rsid w:val="005F7747"/>
    <w:rsid w:val="005F77BA"/>
    <w:rsid w:val="005F7898"/>
    <w:rsid w:val="005F78B5"/>
    <w:rsid w:val="005F7ADD"/>
    <w:rsid w:val="005F7BDF"/>
    <w:rsid w:val="005F7E2F"/>
    <w:rsid w:val="006002C1"/>
    <w:rsid w:val="00600405"/>
    <w:rsid w:val="0060044E"/>
    <w:rsid w:val="00600465"/>
    <w:rsid w:val="00600711"/>
    <w:rsid w:val="006009C1"/>
    <w:rsid w:val="00600A85"/>
    <w:rsid w:val="00600AFF"/>
    <w:rsid w:val="00600EBA"/>
    <w:rsid w:val="006012CF"/>
    <w:rsid w:val="006012D1"/>
    <w:rsid w:val="006015DB"/>
    <w:rsid w:val="006017B3"/>
    <w:rsid w:val="00601923"/>
    <w:rsid w:val="0060195F"/>
    <w:rsid w:val="00601AFD"/>
    <w:rsid w:val="0060202B"/>
    <w:rsid w:val="006021CF"/>
    <w:rsid w:val="00602219"/>
    <w:rsid w:val="006023D0"/>
    <w:rsid w:val="0060263A"/>
    <w:rsid w:val="006027E6"/>
    <w:rsid w:val="006028D2"/>
    <w:rsid w:val="00602EB6"/>
    <w:rsid w:val="00603145"/>
    <w:rsid w:val="0060322A"/>
    <w:rsid w:val="00603670"/>
    <w:rsid w:val="006036B1"/>
    <w:rsid w:val="00603A02"/>
    <w:rsid w:val="00603D75"/>
    <w:rsid w:val="00603DC3"/>
    <w:rsid w:val="00603ED1"/>
    <w:rsid w:val="00604075"/>
    <w:rsid w:val="00604178"/>
    <w:rsid w:val="006044DD"/>
    <w:rsid w:val="0060455E"/>
    <w:rsid w:val="006046CD"/>
    <w:rsid w:val="0060476F"/>
    <w:rsid w:val="006047B2"/>
    <w:rsid w:val="006047DC"/>
    <w:rsid w:val="0060488B"/>
    <w:rsid w:val="00604BBD"/>
    <w:rsid w:val="00604D0A"/>
    <w:rsid w:val="00604E53"/>
    <w:rsid w:val="00604F9F"/>
    <w:rsid w:val="00605029"/>
    <w:rsid w:val="0060531B"/>
    <w:rsid w:val="00605594"/>
    <w:rsid w:val="00605732"/>
    <w:rsid w:val="006058A2"/>
    <w:rsid w:val="00605B06"/>
    <w:rsid w:val="00605B26"/>
    <w:rsid w:val="00605BE3"/>
    <w:rsid w:val="00605D3E"/>
    <w:rsid w:val="00606164"/>
    <w:rsid w:val="00606208"/>
    <w:rsid w:val="00606356"/>
    <w:rsid w:val="006065D2"/>
    <w:rsid w:val="006067F8"/>
    <w:rsid w:val="00606A8C"/>
    <w:rsid w:val="00606B44"/>
    <w:rsid w:val="00606C1F"/>
    <w:rsid w:val="00606C57"/>
    <w:rsid w:val="00607038"/>
    <w:rsid w:val="0060786D"/>
    <w:rsid w:val="006078A1"/>
    <w:rsid w:val="006078F7"/>
    <w:rsid w:val="00607970"/>
    <w:rsid w:val="006079FE"/>
    <w:rsid w:val="00607D60"/>
    <w:rsid w:val="00607D63"/>
    <w:rsid w:val="00607D71"/>
    <w:rsid w:val="00607DCE"/>
    <w:rsid w:val="00607F4E"/>
    <w:rsid w:val="00607F89"/>
    <w:rsid w:val="0061001C"/>
    <w:rsid w:val="006101EF"/>
    <w:rsid w:val="006105A3"/>
    <w:rsid w:val="006105C2"/>
    <w:rsid w:val="0061070F"/>
    <w:rsid w:val="0061079F"/>
    <w:rsid w:val="006108D2"/>
    <w:rsid w:val="00610911"/>
    <w:rsid w:val="00610D44"/>
    <w:rsid w:val="00610F68"/>
    <w:rsid w:val="006112D7"/>
    <w:rsid w:val="006114DF"/>
    <w:rsid w:val="006118F8"/>
    <w:rsid w:val="00611968"/>
    <w:rsid w:val="006119D8"/>
    <w:rsid w:val="00611BEF"/>
    <w:rsid w:val="00611C20"/>
    <w:rsid w:val="00611EEE"/>
    <w:rsid w:val="00612358"/>
    <w:rsid w:val="006123D9"/>
    <w:rsid w:val="006126DB"/>
    <w:rsid w:val="006129F5"/>
    <w:rsid w:val="00612BFA"/>
    <w:rsid w:val="00612C50"/>
    <w:rsid w:val="00612CB5"/>
    <w:rsid w:val="00612CFA"/>
    <w:rsid w:val="00612E1D"/>
    <w:rsid w:val="00612EFF"/>
    <w:rsid w:val="00613105"/>
    <w:rsid w:val="006132AC"/>
    <w:rsid w:val="006139B1"/>
    <w:rsid w:val="00613D2D"/>
    <w:rsid w:val="00613D44"/>
    <w:rsid w:val="00613DEF"/>
    <w:rsid w:val="00613EF1"/>
    <w:rsid w:val="00613FD8"/>
    <w:rsid w:val="006142CA"/>
    <w:rsid w:val="00614369"/>
    <w:rsid w:val="0061436B"/>
    <w:rsid w:val="00614842"/>
    <w:rsid w:val="006149EC"/>
    <w:rsid w:val="00614BFE"/>
    <w:rsid w:val="00614C87"/>
    <w:rsid w:val="00614E20"/>
    <w:rsid w:val="00614F14"/>
    <w:rsid w:val="00614F35"/>
    <w:rsid w:val="00615081"/>
    <w:rsid w:val="00615395"/>
    <w:rsid w:val="006153F2"/>
    <w:rsid w:val="006154B8"/>
    <w:rsid w:val="00615A6C"/>
    <w:rsid w:val="00615C73"/>
    <w:rsid w:val="00615F16"/>
    <w:rsid w:val="00615F3C"/>
    <w:rsid w:val="00616020"/>
    <w:rsid w:val="0061626F"/>
    <w:rsid w:val="0061632D"/>
    <w:rsid w:val="0061640B"/>
    <w:rsid w:val="006165BE"/>
    <w:rsid w:val="00616610"/>
    <w:rsid w:val="00616935"/>
    <w:rsid w:val="00616A20"/>
    <w:rsid w:val="00616A55"/>
    <w:rsid w:val="00616CEA"/>
    <w:rsid w:val="00616D1F"/>
    <w:rsid w:val="00616D42"/>
    <w:rsid w:val="00616D56"/>
    <w:rsid w:val="006170D8"/>
    <w:rsid w:val="0061716B"/>
    <w:rsid w:val="0061736B"/>
    <w:rsid w:val="00617387"/>
    <w:rsid w:val="006173C5"/>
    <w:rsid w:val="00617763"/>
    <w:rsid w:val="00617879"/>
    <w:rsid w:val="00617ED2"/>
    <w:rsid w:val="00620141"/>
    <w:rsid w:val="00620498"/>
    <w:rsid w:val="0062056E"/>
    <w:rsid w:val="00620739"/>
    <w:rsid w:val="00620987"/>
    <w:rsid w:val="00620BE6"/>
    <w:rsid w:val="00620E1D"/>
    <w:rsid w:val="00621053"/>
    <w:rsid w:val="006213F8"/>
    <w:rsid w:val="00621727"/>
    <w:rsid w:val="006218A0"/>
    <w:rsid w:val="006218A1"/>
    <w:rsid w:val="00621D7E"/>
    <w:rsid w:val="00621D83"/>
    <w:rsid w:val="00621E1A"/>
    <w:rsid w:val="00621E39"/>
    <w:rsid w:val="006221BA"/>
    <w:rsid w:val="006226A2"/>
    <w:rsid w:val="00622724"/>
    <w:rsid w:val="006227DB"/>
    <w:rsid w:val="0062281F"/>
    <w:rsid w:val="006228B6"/>
    <w:rsid w:val="006228C1"/>
    <w:rsid w:val="00622C34"/>
    <w:rsid w:val="00622CEE"/>
    <w:rsid w:val="00622D9F"/>
    <w:rsid w:val="0062300A"/>
    <w:rsid w:val="0062324E"/>
    <w:rsid w:val="00623489"/>
    <w:rsid w:val="00623760"/>
    <w:rsid w:val="006238D4"/>
    <w:rsid w:val="00623C13"/>
    <w:rsid w:val="00623C78"/>
    <w:rsid w:val="00623CAC"/>
    <w:rsid w:val="00623D3D"/>
    <w:rsid w:val="00623FD3"/>
    <w:rsid w:val="00623FE4"/>
    <w:rsid w:val="0062400E"/>
    <w:rsid w:val="0062434F"/>
    <w:rsid w:val="00624420"/>
    <w:rsid w:val="00624507"/>
    <w:rsid w:val="00624538"/>
    <w:rsid w:val="0062461E"/>
    <w:rsid w:val="00624C4E"/>
    <w:rsid w:val="00624C63"/>
    <w:rsid w:val="00624F6B"/>
    <w:rsid w:val="00625094"/>
    <w:rsid w:val="00625104"/>
    <w:rsid w:val="0062538B"/>
    <w:rsid w:val="00625400"/>
    <w:rsid w:val="00625591"/>
    <w:rsid w:val="006255BE"/>
    <w:rsid w:val="006258CE"/>
    <w:rsid w:val="006259E9"/>
    <w:rsid w:val="00625B65"/>
    <w:rsid w:val="00625E7C"/>
    <w:rsid w:val="00625F6E"/>
    <w:rsid w:val="00625F7E"/>
    <w:rsid w:val="00625F8B"/>
    <w:rsid w:val="00626062"/>
    <w:rsid w:val="00626138"/>
    <w:rsid w:val="0062653E"/>
    <w:rsid w:val="006266EF"/>
    <w:rsid w:val="0062673F"/>
    <w:rsid w:val="00626771"/>
    <w:rsid w:val="006267E3"/>
    <w:rsid w:val="00626C44"/>
    <w:rsid w:val="00626D85"/>
    <w:rsid w:val="00626E71"/>
    <w:rsid w:val="00626FAA"/>
    <w:rsid w:val="00626FFE"/>
    <w:rsid w:val="00627007"/>
    <w:rsid w:val="006274A3"/>
    <w:rsid w:val="00627580"/>
    <w:rsid w:val="006278EC"/>
    <w:rsid w:val="0062791D"/>
    <w:rsid w:val="00627A54"/>
    <w:rsid w:val="00627C28"/>
    <w:rsid w:val="00627E30"/>
    <w:rsid w:val="0063003D"/>
    <w:rsid w:val="006300D3"/>
    <w:rsid w:val="00630153"/>
    <w:rsid w:val="00630684"/>
    <w:rsid w:val="006306EA"/>
    <w:rsid w:val="0063088C"/>
    <w:rsid w:val="00630AEF"/>
    <w:rsid w:val="00630B7C"/>
    <w:rsid w:val="00630E49"/>
    <w:rsid w:val="00631038"/>
    <w:rsid w:val="006310B0"/>
    <w:rsid w:val="0063113D"/>
    <w:rsid w:val="006311E2"/>
    <w:rsid w:val="00631430"/>
    <w:rsid w:val="00631C08"/>
    <w:rsid w:val="00631C7A"/>
    <w:rsid w:val="00631CCB"/>
    <w:rsid w:val="00631CFA"/>
    <w:rsid w:val="00632064"/>
    <w:rsid w:val="006320B0"/>
    <w:rsid w:val="00632411"/>
    <w:rsid w:val="00632CE7"/>
    <w:rsid w:val="00632EBE"/>
    <w:rsid w:val="00633266"/>
    <w:rsid w:val="00633873"/>
    <w:rsid w:val="00633897"/>
    <w:rsid w:val="00633A60"/>
    <w:rsid w:val="00633A82"/>
    <w:rsid w:val="00633BE5"/>
    <w:rsid w:val="00633CEA"/>
    <w:rsid w:val="00634089"/>
    <w:rsid w:val="006344A0"/>
    <w:rsid w:val="0063471B"/>
    <w:rsid w:val="006348DA"/>
    <w:rsid w:val="00634A2D"/>
    <w:rsid w:val="00634A91"/>
    <w:rsid w:val="00634CDC"/>
    <w:rsid w:val="00634FC4"/>
    <w:rsid w:val="0063543F"/>
    <w:rsid w:val="00635584"/>
    <w:rsid w:val="006357C5"/>
    <w:rsid w:val="006357CD"/>
    <w:rsid w:val="006359CC"/>
    <w:rsid w:val="00635BAC"/>
    <w:rsid w:val="00635C32"/>
    <w:rsid w:val="00635EEF"/>
    <w:rsid w:val="00636138"/>
    <w:rsid w:val="00636265"/>
    <w:rsid w:val="00636272"/>
    <w:rsid w:val="0063633B"/>
    <w:rsid w:val="006363EA"/>
    <w:rsid w:val="0063649B"/>
    <w:rsid w:val="00636642"/>
    <w:rsid w:val="006367DD"/>
    <w:rsid w:val="00636E8A"/>
    <w:rsid w:val="0063700D"/>
    <w:rsid w:val="0063711C"/>
    <w:rsid w:val="006372B9"/>
    <w:rsid w:val="0063730D"/>
    <w:rsid w:val="006373EC"/>
    <w:rsid w:val="00637472"/>
    <w:rsid w:val="0063749E"/>
    <w:rsid w:val="006374BE"/>
    <w:rsid w:val="00637602"/>
    <w:rsid w:val="00637866"/>
    <w:rsid w:val="0063786B"/>
    <w:rsid w:val="006379FB"/>
    <w:rsid w:val="00637AAE"/>
    <w:rsid w:val="00637AC2"/>
    <w:rsid w:val="00637B42"/>
    <w:rsid w:val="00637C28"/>
    <w:rsid w:val="00637C8E"/>
    <w:rsid w:val="00637D03"/>
    <w:rsid w:val="006401EC"/>
    <w:rsid w:val="00640384"/>
    <w:rsid w:val="00640791"/>
    <w:rsid w:val="006408AD"/>
    <w:rsid w:val="0064096F"/>
    <w:rsid w:val="00640D31"/>
    <w:rsid w:val="00640DF2"/>
    <w:rsid w:val="00641130"/>
    <w:rsid w:val="006411A0"/>
    <w:rsid w:val="006411AF"/>
    <w:rsid w:val="00641378"/>
    <w:rsid w:val="006415D3"/>
    <w:rsid w:val="006416E0"/>
    <w:rsid w:val="006417BC"/>
    <w:rsid w:val="0064195B"/>
    <w:rsid w:val="00641A95"/>
    <w:rsid w:val="00641BE6"/>
    <w:rsid w:val="00641EF3"/>
    <w:rsid w:val="0064226A"/>
    <w:rsid w:val="006422B2"/>
    <w:rsid w:val="00642451"/>
    <w:rsid w:val="006424E3"/>
    <w:rsid w:val="006424F4"/>
    <w:rsid w:val="00642524"/>
    <w:rsid w:val="00642592"/>
    <w:rsid w:val="0064285C"/>
    <w:rsid w:val="006428F8"/>
    <w:rsid w:val="00642931"/>
    <w:rsid w:val="00642BCF"/>
    <w:rsid w:val="00642C34"/>
    <w:rsid w:val="00642CA3"/>
    <w:rsid w:val="00642F28"/>
    <w:rsid w:val="006430D1"/>
    <w:rsid w:val="006431C8"/>
    <w:rsid w:val="006434BC"/>
    <w:rsid w:val="00643673"/>
    <w:rsid w:val="006436B0"/>
    <w:rsid w:val="00643824"/>
    <w:rsid w:val="006438A9"/>
    <w:rsid w:val="00643964"/>
    <w:rsid w:val="00643C21"/>
    <w:rsid w:val="00643EF0"/>
    <w:rsid w:val="00643F04"/>
    <w:rsid w:val="00644051"/>
    <w:rsid w:val="0064413E"/>
    <w:rsid w:val="0064424B"/>
    <w:rsid w:val="006442C1"/>
    <w:rsid w:val="006442CF"/>
    <w:rsid w:val="006443F9"/>
    <w:rsid w:val="00644403"/>
    <w:rsid w:val="0064486B"/>
    <w:rsid w:val="006448A2"/>
    <w:rsid w:val="006448E8"/>
    <w:rsid w:val="006449CB"/>
    <w:rsid w:val="00644D36"/>
    <w:rsid w:val="00645281"/>
    <w:rsid w:val="0064539C"/>
    <w:rsid w:val="00645594"/>
    <w:rsid w:val="006456E0"/>
    <w:rsid w:val="006456F7"/>
    <w:rsid w:val="0064570F"/>
    <w:rsid w:val="00645857"/>
    <w:rsid w:val="006459F9"/>
    <w:rsid w:val="00645AC0"/>
    <w:rsid w:val="00645C35"/>
    <w:rsid w:val="00645C8D"/>
    <w:rsid w:val="00645CC4"/>
    <w:rsid w:val="00645F42"/>
    <w:rsid w:val="00645FCC"/>
    <w:rsid w:val="00646210"/>
    <w:rsid w:val="00646280"/>
    <w:rsid w:val="0064633E"/>
    <w:rsid w:val="006465DA"/>
    <w:rsid w:val="006465EF"/>
    <w:rsid w:val="00646644"/>
    <w:rsid w:val="00646814"/>
    <w:rsid w:val="0064682E"/>
    <w:rsid w:val="00646832"/>
    <w:rsid w:val="0064698B"/>
    <w:rsid w:val="00646AE6"/>
    <w:rsid w:val="00646BB4"/>
    <w:rsid w:val="00646C9A"/>
    <w:rsid w:val="00646D30"/>
    <w:rsid w:val="00646D64"/>
    <w:rsid w:val="00646E96"/>
    <w:rsid w:val="00646FE9"/>
    <w:rsid w:val="006472E2"/>
    <w:rsid w:val="006473AE"/>
    <w:rsid w:val="006474CB"/>
    <w:rsid w:val="00647D57"/>
    <w:rsid w:val="00650039"/>
    <w:rsid w:val="00650125"/>
    <w:rsid w:val="006503EB"/>
    <w:rsid w:val="00650596"/>
    <w:rsid w:val="00650613"/>
    <w:rsid w:val="0065078F"/>
    <w:rsid w:val="00650C7B"/>
    <w:rsid w:val="00650C93"/>
    <w:rsid w:val="00650E11"/>
    <w:rsid w:val="00651003"/>
    <w:rsid w:val="006511C8"/>
    <w:rsid w:val="00651245"/>
    <w:rsid w:val="006516B7"/>
    <w:rsid w:val="00651722"/>
    <w:rsid w:val="0065181C"/>
    <w:rsid w:val="006518F1"/>
    <w:rsid w:val="00651CD9"/>
    <w:rsid w:val="00651DA8"/>
    <w:rsid w:val="00651DB0"/>
    <w:rsid w:val="00651DF5"/>
    <w:rsid w:val="00651E10"/>
    <w:rsid w:val="00651E30"/>
    <w:rsid w:val="00651EB6"/>
    <w:rsid w:val="006520E2"/>
    <w:rsid w:val="0065255E"/>
    <w:rsid w:val="006528A5"/>
    <w:rsid w:val="006528F3"/>
    <w:rsid w:val="00652906"/>
    <w:rsid w:val="0065294E"/>
    <w:rsid w:val="00652C0C"/>
    <w:rsid w:val="00652C86"/>
    <w:rsid w:val="00652D50"/>
    <w:rsid w:val="00652DF8"/>
    <w:rsid w:val="0065306B"/>
    <w:rsid w:val="0065314F"/>
    <w:rsid w:val="0065338A"/>
    <w:rsid w:val="006537A5"/>
    <w:rsid w:val="006537F7"/>
    <w:rsid w:val="00654158"/>
    <w:rsid w:val="006545C6"/>
    <w:rsid w:val="006546E6"/>
    <w:rsid w:val="00654703"/>
    <w:rsid w:val="00654755"/>
    <w:rsid w:val="00654856"/>
    <w:rsid w:val="00654A37"/>
    <w:rsid w:val="00654BC2"/>
    <w:rsid w:val="00654C7A"/>
    <w:rsid w:val="00654CA5"/>
    <w:rsid w:val="00654F0E"/>
    <w:rsid w:val="006552DB"/>
    <w:rsid w:val="0065533A"/>
    <w:rsid w:val="0065539D"/>
    <w:rsid w:val="006554AF"/>
    <w:rsid w:val="00655599"/>
    <w:rsid w:val="0065576C"/>
    <w:rsid w:val="006557F0"/>
    <w:rsid w:val="00655B72"/>
    <w:rsid w:val="00655CD4"/>
    <w:rsid w:val="00656012"/>
    <w:rsid w:val="006564F2"/>
    <w:rsid w:val="00656717"/>
    <w:rsid w:val="00656758"/>
    <w:rsid w:val="00656E61"/>
    <w:rsid w:val="00656EEC"/>
    <w:rsid w:val="00656F1B"/>
    <w:rsid w:val="0065730D"/>
    <w:rsid w:val="0065736A"/>
    <w:rsid w:val="006574AA"/>
    <w:rsid w:val="00657685"/>
    <w:rsid w:val="00657877"/>
    <w:rsid w:val="00657A0E"/>
    <w:rsid w:val="00657ADD"/>
    <w:rsid w:val="00657CFD"/>
    <w:rsid w:val="00657D2F"/>
    <w:rsid w:val="00660142"/>
    <w:rsid w:val="0066031C"/>
    <w:rsid w:val="00660347"/>
    <w:rsid w:val="006604EA"/>
    <w:rsid w:val="00660BB0"/>
    <w:rsid w:val="00660C69"/>
    <w:rsid w:val="00660DAA"/>
    <w:rsid w:val="0066118D"/>
    <w:rsid w:val="006611EE"/>
    <w:rsid w:val="00661945"/>
    <w:rsid w:val="00661AAF"/>
    <w:rsid w:val="00662180"/>
    <w:rsid w:val="006626D9"/>
    <w:rsid w:val="00662C36"/>
    <w:rsid w:val="00662DB0"/>
    <w:rsid w:val="00662E90"/>
    <w:rsid w:val="00662F15"/>
    <w:rsid w:val="0066302B"/>
    <w:rsid w:val="0066306B"/>
    <w:rsid w:val="00663146"/>
    <w:rsid w:val="0066336C"/>
    <w:rsid w:val="00663563"/>
    <w:rsid w:val="0066392A"/>
    <w:rsid w:val="00663968"/>
    <w:rsid w:val="006639CA"/>
    <w:rsid w:val="00663A1B"/>
    <w:rsid w:val="00663A83"/>
    <w:rsid w:val="00663E44"/>
    <w:rsid w:val="00663F04"/>
    <w:rsid w:val="00663F79"/>
    <w:rsid w:val="00663F7F"/>
    <w:rsid w:val="00664309"/>
    <w:rsid w:val="006643F7"/>
    <w:rsid w:val="006645CE"/>
    <w:rsid w:val="006648A6"/>
    <w:rsid w:val="00664AB4"/>
    <w:rsid w:val="00664BC0"/>
    <w:rsid w:val="00664BD4"/>
    <w:rsid w:val="00664C1C"/>
    <w:rsid w:val="00664C41"/>
    <w:rsid w:val="00664E11"/>
    <w:rsid w:val="00664E53"/>
    <w:rsid w:val="0066504F"/>
    <w:rsid w:val="006650EF"/>
    <w:rsid w:val="00665446"/>
    <w:rsid w:val="00665932"/>
    <w:rsid w:val="00665AF7"/>
    <w:rsid w:val="00665CA9"/>
    <w:rsid w:val="00665DD1"/>
    <w:rsid w:val="00666172"/>
    <w:rsid w:val="00666205"/>
    <w:rsid w:val="0066631C"/>
    <w:rsid w:val="00666547"/>
    <w:rsid w:val="006668E0"/>
    <w:rsid w:val="00666935"/>
    <w:rsid w:val="0066699F"/>
    <w:rsid w:val="00666AF2"/>
    <w:rsid w:val="00666B54"/>
    <w:rsid w:val="0066705B"/>
    <w:rsid w:val="00667070"/>
    <w:rsid w:val="0066723B"/>
    <w:rsid w:val="006672EF"/>
    <w:rsid w:val="0066741C"/>
    <w:rsid w:val="006678BA"/>
    <w:rsid w:val="0066793C"/>
    <w:rsid w:val="006679FA"/>
    <w:rsid w:val="00667C2F"/>
    <w:rsid w:val="0067001D"/>
    <w:rsid w:val="00670150"/>
    <w:rsid w:val="00670246"/>
    <w:rsid w:val="00670248"/>
    <w:rsid w:val="0067044E"/>
    <w:rsid w:val="006707B9"/>
    <w:rsid w:val="006707F5"/>
    <w:rsid w:val="00670848"/>
    <w:rsid w:val="00670960"/>
    <w:rsid w:val="00670A99"/>
    <w:rsid w:val="00670D41"/>
    <w:rsid w:val="006711C0"/>
    <w:rsid w:val="006714F7"/>
    <w:rsid w:val="0067160C"/>
    <w:rsid w:val="00671E35"/>
    <w:rsid w:val="00672237"/>
    <w:rsid w:val="0067237D"/>
    <w:rsid w:val="00672456"/>
    <w:rsid w:val="00672B45"/>
    <w:rsid w:val="00672E90"/>
    <w:rsid w:val="00672F27"/>
    <w:rsid w:val="00672FC5"/>
    <w:rsid w:val="006730B0"/>
    <w:rsid w:val="006730F5"/>
    <w:rsid w:val="006733CA"/>
    <w:rsid w:val="006733F9"/>
    <w:rsid w:val="0067377B"/>
    <w:rsid w:val="00673893"/>
    <w:rsid w:val="006738D0"/>
    <w:rsid w:val="006739A0"/>
    <w:rsid w:val="00673A98"/>
    <w:rsid w:val="00673CCE"/>
    <w:rsid w:val="00673DA7"/>
    <w:rsid w:val="00673F5D"/>
    <w:rsid w:val="00673F95"/>
    <w:rsid w:val="0067404A"/>
    <w:rsid w:val="00674130"/>
    <w:rsid w:val="0067421D"/>
    <w:rsid w:val="006742AA"/>
    <w:rsid w:val="0067430B"/>
    <w:rsid w:val="0067466C"/>
    <w:rsid w:val="006746AD"/>
    <w:rsid w:val="00674748"/>
    <w:rsid w:val="006747AE"/>
    <w:rsid w:val="00674850"/>
    <w:rsid w:val="00674878"/>
    <w:rsid w:val="00674B28"/>
    <w:rsid w:val="00674D7C"/>
    <w:rsid w:val="00675002"/>
    <w:rsid w:val="006750EA"/>
    <w:rsid w:val="006752D9"/>
    <w:rsid w:val="006752EB"/>
    <w:rsid w:val="0067560C"/>
    <w:rsid w:val="0067580B"/>
    <w:rsid w:val="00675894"/>
    <w:rsid w:val="00675AD3"/>
    <w:rsid w:val="00675B4B"/>
    <w:rsid w:val="00675CA1"/>
    <w:rsid w:val="00675DEC"/>
    <w:rsid w:val="00675F00"/>
    <w:rsid w:val="00676017"/>
    <w:rsid w:val="00676261"/>
    <w:rsid w:val="00676427"/>
    <w:rsid w:val="006765A2"/>
    <w:rsid w:val="00676623"/>
    <w:rsid w:val="00676966"/>
    <w:rsid w:val="006769BE"/>
    <w:rsid w:val="00676BBC"/>
    <w:rsid w:val="00676F51"/>
    <w:rsid w:val="00677093"/>
    <w:rsid w:val="00677295"/>
    <w:rsid w:val="006772AA"/>
    <w:rsid w:val="00677364"/>
    <w:rsid w:val="006775D2"/>
    <w:rsid w:val="006779DB"/>
    <w:rsid w:val="00677C43"/>
    <w:rsid w:val="00677EFF"/>
    <w:rsid w:val="00680253"/>
    <w:rsid w:val="00680464"/>
    <w:rsid w:val="006806A7"/>
    <w:rsid w:val="00680877"/>
    <w:rsid w:val="0068088B"/>
    <w:rsid w:val="0068194C"/>
    <w:rsid w:val="00681A58"/>
    <w:rsid w:val="00681AE5"/>
    <w:rsid w:val="00681B2C"/>
    <w:rsid w:val="00681C88"/>
    <w:rsid w:val="00681CAD"/>
    <w:rsid w:val="00681DD0"/>
    <w:rsid w:val="006820A9"/>
    <w:rsid w:val="00682157"/>
    <w:rsid w:val="006821FB"/>
    <w:rsid w:val="00682385"/>
    <w:rsid w:val="00682453"/>
    <w:rsid w:val="006825E6"/>
    <w:rsid w:val="00682802"/>
    <w:rsid w:val="006828EF"/>
    <w:rsid w:val="00682ABF"/>
    <w:rsid w:val="00682D7C"/>
    <w:rsid w:val="00682DDB"/>
    <w:rsid w:val="00683327"/>
    <w:rsid w:val="00683360"/>
    <w:rsid w:val="006834C5"/>
    <w:rsid w:val="006834FB"/>
    <w:rsid w:val="00683702"/>
    <w:rsid w:val="0068383C"/>
    <w:rsid w:val="00683851"/>
    <w:rsid w:val="006839C3"/>
    <w:rsid w:val="00683AF2"/>
    <w:rsid w:val="00683D14"/>
    <w:rsid w:val="00683E3B"/>
    <w:rsid w:val="00683E8A"/>
    <w:rsid w:val="00683EC0"/>
    <w:rsid w:val="00684310"/>
    <w:rsid w:val="006843D7"/>
    <w:rsid w:val="00684548"/>
    <w:rsid w:val="006846CC"/>
    <w:rsid w:val="006848EA"/>
    <w:rsid w:val="00684BCF"/>
    <w:rsid w:val="00684D17"/>
    <w:rsid w:val="00684D1D"/>
    <w:rsid w:val="00684EEF"/>
    <w:rsid w:val="00684FB1"/>
    <w:rsid w:val="00685095"/>
    <w:rsid w:val="006851B0"/>
    <w:rsid w:val="00685337"/>
    <w:rsid w:val="00685709"/>
    <w:rsid w:val="0068592F"/>
    <w:rsid w:val="00685933"/>
    <w:rsid w:val="00685997"/>
    <w:rsid w:val="006859F0"/>
    <w:rsid w:val="00685D00"/>
    <w:rsid w:val="00685E43"/>
    <w:rsid w:val="00686118"/>
    <w:rsid w:val="00686374"/>
    <w:rsid w:val="00686473"/>
    <w:rsid w:val="006865D0"/>
    <w:rsid w:val="00686666"/>
    <w:rsid w:val="00686716"/>
    <w:rsid w:val="00686992"/>
    <w:rsid w:val="006869C5"/>
    <w:rsid w:val="00686B07"/>
    <w:rsid w:val="0068707E"/>
    <w:rsid w:val="006874CF"/>
    <w:rsid w:val="00687571"/>
    <w:rsid w:val="006876EA"/>
    <w:rsid w:val="006877C7"/>
    <w:rsid w:val="006878B6"/>
    <w:rsid w:val="00687946"/>
    <w:rsid w:val="00687DDF"/>
    <w:rsid w:val="00687E32"/>
    <w:rsid w:val="00690173"/>
    <w:rsid w:val="0069017C"/>
    <w:rsid w:val="0069026A"/>
    <w:rsid w:val="006902BC"/>
    <w:rsid w:val="006902DB"/>
    <w:rsid w:val="006904D8"/>
    <w:rsid w:val="0069061D"/>
    <w:rsid w:val="0069067E"/>
    <w:rsid w:val="0069086E"/>
    <w:rsid w:val="006908B9"/>
    <w:rsid w:val="0069099E"/>
    <w:rsid w:val="006909BB"/>
    <w:rsid w:val="006909E0"/>
    <w:rsid w:val="00690AC0"/>
    <w:rsid w:val="006910A2"/>
    <w:rsid w:val="006910EB"/>
    <w:rsid w:val="0069123A"/>
    <w:rsid w:val="00691489"/>
    <w:rsid w:val="006914BD"/>
    <w:rsid w:val="0069154C"/>
    <w:rsid w:val="00691726"/>
    <w:rsid w:val="0069176B"/>
    <w:rsid w:val="006917D6"/>
    <w:rsid w:val="006919E8"/>
    <w:rsid w:val="00691DA4"/>
    <w:rsid w:val="0069239A"/>
    <w:rsid w:val="006923A2"/>
    <w:rsid w:val="0069247B"/>
    <w:rsid w:val="00692685"/>
    <w:rsid w:val="0069274C"/>
    <w:rsid w:val="006927E5"/>
    <w:rsid w:val="00692B02"/>
    <w:rsid w:val="00692C22"/>
    <w:rsid w:val="00692C7D"/>
    <w:rsid w:val="00692F0D"/>
    <w:rsid w:val="00692FBE"/>
    <w:rsid w:val="0069308D"/>
    <w:rsid w:val="006930A1"/>
    <w:rsid w:val="00693183"/>
    <w:rsid w:val="00693399"/>
    <w:rsid w:val="00693401"/>
    <w:rsid w:val="006934FF"/>
    <w:rsid w:val="0069364D"/>
    <w:rsid w:val="00693A94"/>
    <w:rsid w:val="00693BD9"/>
    <w:rsid w:val="00693C00"/>
    <w:rsid w:val="0069405D"/>
    <w:rsid w:val="00694138"/>
    <w:rsid w:val="0069418F"/>
    <w:rsid w:val="006943A7"/>
    <w:rsid w:val="0069447B"/>
    <w:rsid w:val="006945F8"/>
    <w:rsid w:val="00694648"/>
    <w:rsid w:val="006947A2"/>
    <w:rsid w:val="00694855"/>
    <w:rsid w:val="006948A9"/>
    <w:rsid w:val="00694AEB"/>
    <w:rsid w:val="00694CE5"/>
    <w:rsid w:val="00694D28"/>
    <w:rsid w:val="00694D43"/>
    <w:rsid w:val="00694FCB"/>
    <w:rsid w:val="006950E8"/>
    <w:rsid w:val="006950F3"/>
    <w:rsid w:val="006953F4"/>
    <w:rsid w:val="00695459"/>
    <w:rsid w:val="0069556F"/>
    <w:rsid w:val="00695775"/>
    <w:rsid w:val="00695784"/>
    <w:rsid w:val="00695973"/>
    <w:rsid w:val="006959EA"/>
    <w:rsid w:val="00695AB1"/>
    <w:rsid w:val="00695B08"/>
    <w:rsid w:val="00695B0F"/>
    <w:rsid w:val="006960D9"/>
    <w:rsid w:val="00696205"/>
    <w:rsid w:val="0069629F"/>
    <w:rsid w:val="00696494"/>
    <w:rsid w:val="006966DB"/>
    <w:rsid w:val="0069674E"/>
    <w:rsid w:val="00696792"/>
    <w:rsid w:val="006968AF"/>
    <w:rsid w:val="006969C9"/>
    <w:rsid w:val="00696A4E"/>
    <w:rsid w:val="00696E1B"/>
    <w:rsid w:val="00696ECA"/>
    <w:rsid w:val="00697103"/>
    <w:rsid w:val="006971B1"/>
    <w:rsid w:val="006972F8"/>
    <w:rsid w:val="006975DE"/>
    <w:rsid w:val="006977ED"/>
    <w:rsid w:val="006978AE"/>
    <w:rsid w:val="00697AA6"/>
    <w:rsid w:val="00697BFB"/>
    <w:rsid w:val="00697D1F"/>
    <w:rsid w:val="006A015D"/>
    <w:rsid w:val="006A01AA"/>
    <w:rsid w:val="006A03C0"/>
    <w:rsid w:val="006A03DD"/>
    <w:rsid w:val="006A0423"/>
    <w:rsid w:val="006A09AC"/>
    <w:rsid w:val="006A09E6"/>
    <w:rsid w:val="006A0A75"/>
    <w:rsid w:val="006A0D09"/>
    <w:rsid w:val="006A0DF0"/>
    <w:rsid w:val="006A0FD6"/>
    <w:rsid w:val="006A18DE"/>
    <w:rsid w:val="006A18FE"/>
    <w:rsid w:val="006A1988"/>
    <w:rsid w:val="006A1AF3"/>
    <w:rsid w:val="006A1DF4"/>
    <w:rsid w:val="006A2138"/>
    <w:rsid w:val="006A2153"/>
    <w:rsid w:val="006A2461"/>
    <w:rsid w:val="006A272B"/>
    <w:rsid w:val="006A2759"/>
    <w:rsid w:val="006A2B45"/>
    <w:rsid w:val="006A2DA1"/>
    <w:rsid w:val="006A2EB9"/>
    <w:rsid w:val="006A30A8"/>
    <w:rsid w:val="006A33F8"/>
    <w:rsid w:val="006A3690"/>
    <w:rsid w:val="006A36B9"/>
    <w:rsid w:val="006A3888"/>
    <w:rsid w:val="006A3A9A"/>
    <w:rsid w:val="006A3B7F"/>
    <w:rsid w:val="006A3CA5"/>
    <w:rsid w:val="006A3E09"/>
    <w:rsid w:val="006A3E9F"/>
    <w:rsid w:val="006A4095"/>
    <w:rsid w:val="006A411D"/>
    <w:rsid w:val="006A416F"/>
    <w:rsid w:val="006A41BF"/>
    <w:rsid w:val="006A4955"/>
    <w:rsid w:val="006A49DE"/>
    <w:rsid w:val="006A4A34"/>
    <w:rsid w:val="006A4ADD"/>
    <w:rsid w:val="006A4B26"/>
    <w:rsid w:val="006A4B46"/>
    <w:rsid w:val="006A4C6C"/>
    <w:rsid w:val="006A4C6F"/>
    <w:rsid w:val="006A4DA3"/>
    <w:rsid w:val="006A4FC4"/>
    <w:rsid w:val="006A5150"/>
    <w:rsid w:val="006A51FA"/>
    <w:rsid w:val="006A5214"/>
    <w:rsid w:val="006A5327"/>
    <w:rsid w:val="006A5404"/>
    <w:rsid w:val="006A568D"/>
    <w:rsid w:val="006A5954"/>
    <w:rsid w:val="006A5BE1"/>
    <w:rsid w:val="006A5D22"/>
    <w:rsid w:val="006A5DBA"/>
    <w:rsid w:val="006A5EA3"/>
    <w:rsid w:val="006A5FF6"/>
    <w:rsid w:val="006A6043"/>
    <w:rsid w:val="006A6150"/>
    <w:rsid w:val="006A61A0"/>
    <w:rsid w:val="006A62F6"/>
    <w:rsid w:val="006A64E2"/>
    <w:rsid w:val="006A6516"/>
    <w:rsid w:val="006A66EE"/>
    <w:rsid w:val="006A68AE"/>
    <w:rsid w:val="006A6A0A"/>
    <w:rsid w:val="006A6B33"/>
    <w:rsid w:val="006A6F36"/>
    <w:rsid w:val="006A725B"/>
    <w:rsid w:val="006A74BA"/>
    <w:rsid w:val="006A7548"/>
    <w:rsid w:val="006A77E9"/>
    <w:rsid w:val="006A790B"/>
    <w:rsid w:val="006A7C52"/>
    <w:rsid w:val="006A7CEF"/>
    <w:rsid w:val="006A7FEA"/>
    <w:rsid w:val="006B000D"/>
    <w:rsid w:val="006B003B"/>
    <w:rsid w:val="006B05E4"/>
    <w:rsid w:val="006B06C4"/>
    <w:rsid w:val="006B0958"/>
    <w:rsid w:val="006B0BFB"/>
    <w:rsid w:val="006B0C79"/>
    <w:rsid w:val="006B10F6"/>
    <w:rsid w:val="006B12E5"/>
    <w:rsid w:val="006B139D"/>
    <w:rsid w:val="006B14CD"/>
    <w:rsid w:val="006B1694"/>
    <w:rsid w:val="006B192D"/>
    <w:rsid w:val="006B1960"/>
    <w:rsid w:val="006B1A4C"/>
    <w:rsid w:val="006B1D4C"/>
    <w:rsid w:val="006B20D5"/>
    <w:rsid w:val="006B20F7"/>
    <w:rsid w:val="006B2371"/>
    <w:rsid w:val="006B244D"/>
    <w:rsid w:val="006B2576"/>
    <w:rsid w:val="006B2719"/>
    <w:rsid w:val="006B2721"/>
    <w:rsid w:val="006B286A"/>
    <w:rsid w:val="006B2B4F"/>
    <w:rsid w:val="006B2B6C"/>
    <w:rsid w:val="006B2B99"/>
    <w:rsid w:val="006B2ED2"/>
    <w:rsid w:val="006B2FE2"/>
    <w:rsid w:val="006B3121"/>
    <w:rsid w:val="006B3126"/>
    <w:rsid w:val="006B31A1"/>
    <w:rsid w:val="006B33EE"/>
    <w:rsid w:val="006B389F"/>
    <w:rsid w:val="006B396F"/>
    <w:rsid w:val="006B3A39"/>
    <w:rsid w:val="006B3B87"/>
    <w:rsid w:val="006B3C54"/>
    <w:rsid w:val="006B3CF6"/>
    <w:rsid w:val="006B3E07"/>
    <w:rsid w:val="006B4080"/>
    <w:rsid w:val="006B4215"/>
    <w:rsid w:val="006B42B6"/>
    <w:rsid w:val="006B4380"/>
    <w:rsid w:val="006B468B"/>
    <w:rsid w:val="006B46D8"/>
    <w:rsid w:val="006B4816"/>
    <w:rsid w:val="006B488A"/>
    <w:rsid w:val="006B4ABE"/>
    <w:rsid w:val="006B4C76"/>
    <w:rsid w:val="006B4CEC"/>
    <w:rsid w:val="006B50B8"/>
    <w:rsid w:val="006B5185"/>
    <w:rsid w:val="006B5191"/>
    <w:rsid w:val="006B5449"/>
    <w:rsid w:val="006B576D"/>
    <w:rsid w:val="006B5A59"/>
    <w:rsid w:val="006B5BD5"/>
    <w:rsid w:val="006B5CED"/>
    <w:rsid w:val="006B5E0C"/>
    <w:rsid w:val="006B6065"/>
    <w:rsid w:val="006B6112"/>
    <w:rsid w:val="006B636A"/>
    <w:rsid w:val="006B64AE"/>
    <w:rsid w:val="006B6A5A"/>
    <w:rsid w:val="006B6A91"/>
    <w:rsid w:val="006B6B62"/>
    <w:rsid w:val="006B6C15"/>
    <w:rsid w:val="006B6FAE"/>
    <w:rsid w:val="006B6FF1"/>
    <w:rsid w:val="006B7015"/>
    <w:rsid w:val="006B74E8"/>
    <w:rsid w:val="006B75A2"/>
    <w:rsid w:val="006B760A"/>
    <w:rsid w:val="006B766C"/>
    <w:rsid w:val="006B776B"/>
    <w:rsid w:val="006B7888"/>
    <w:rsid w:val="006B79FA"/>
    <w:rsid w:val="006B7AB9"/>
    <w:rsid w:val="006B7BDE"/>
    <w:rsid w:val="006B7C1E"/>
    <w:rsid w:val="006C0027"/>
    <w:rsid w:val="006C012E"/>
    <w:rsid w:val="006C01F4"/>
    <w:rsid w:val="006C02E5"/>
    <w:rsid w:val="006C02F2"/>
    <w:rsid w:val="006C035E"/>
    <w:rsid w:val="006C0376"/>
    <w:rsid w:val="006C045A"/>
    <w:rsid w:val="006C0655"/>
    <w:rsid w:val="006C078D"/>
    <w:rsid w:val="006C079F"/>
    <w:rsid w:val="006C08AD"/>
    <w:rsid w:val="006C0AD1"/>
    <w:rsid w:val="006C0C3D"/>
    <w:rsid w:val="006C0D13"/>
    <w:rsid w:val="006C0E14"/>
    <w:rsid w:val="006C102D"/>
    <w:rsid w:val="006C12AB"/>
    <w:rsid w:val="006C1741"/>
    <w:rsid w:val="006C1920"/>
    <w:rsid w:val="006C1971"/>
    <w:rsid w:val="006C1983"/>
    <w:rsid w:val="006C1E5A"/>
    <w:rsid w:val="006C2083"/>
    <w:rsid w:val="006C21FB"/>
    <w:rsid w:val="006C226A"/>
    <w:rsid w:val="006C22F1"/>
    <w:rsid w:val="006C24CF"/>
    <w:rsid w:val="006C25A5"/>
    <w:rsid w:val="006C264F"/>
    <w:rsid w:val="006C2719"/>
    <w:rsid w:val="006C2776"/>
    <w:rsid w:val="006C2908"/>
    <w:rsid w:val="006C2A0D"/>
    <w:rsid w:val="006C2A16"/>
    <w:rsid w:val="006C2AD2"/>
    <w:rsid w:val="006C2BBA"/>
    <w:rsid w:val="006C309A"/>
    <w:rsid w:val="006C31FE"/>
    <w:rsid w:val="006C3342"/>
    <w:rsid w:val="006C334A"/>
    <w:rsid w:val="006C3842"/>
    <w:rsid w:val="006C3928"/>
    <w:rsid w:val="006C3B87"/>
    <w:rsid w:val="006C3C42"/>
    <w:rsid w:val="006C3E62"/>
    <w:rsid w:val="006C3FBB"/>
    <w:rsid w:val="006C40E6"/>
    <w:rsid w:val="006C423D"/>
    <w:rsid w:val="006C4250"/>
    <w:rsid w:val="006C435B"/>
    <w:rsid w:val="006C43FC"/>
    <w:rsid w:val="006C485A"/>
    <w:rsid w:val="006C4863"/>
    <w:rsid w:val="006C4972"/>
    <w:rsid w:val="006C49D9"/>
    <w:rsid w:val="006C49E5"/>
    <w:rsid w:val="006C4BE4"/>
    <w:rsid w:val="006C4BE6"/>
    <w:rsid w:val="006C4F40"/>
    <w:rsid w:val="006C4FB6"/>
    <w:rsid w:val="006C5684"/>
    <w:rsid w:val="006C5738"/>
    <w:rsid w:val="006C5849"/>
    <w:rsid w:val="006C585E"/>
    <w:rsid w:val="006C58B1"/>
    <w:rsid w:val="006C5C06"/>
    <w:rsid w:val="006C5C82"/>
    <w:rsid w:val="006C5D8D"/>
    <w:rsid w:val="006C5EE8"/>
    <w:rsid w:val="006C5FD8"/>
    <w:rsid w:val="006C6039"/>
    <w:rsid w:val="006C6524"/>
    <w:rsid w:val="006C65BB"/>
    <w:rsid w:val="006C66BD"/>
    <w:rsid w:val="006C67BD"/>
    <w:rsid w:val="006C6BF4"/>
    <w:rsid w:val="006C6BFB"/>
    <w:rsid w:val="006C6D87"/>
    <w:rsid w:val="006C6ECF"/>
    <w:rsid w:val="006C6F90"/>
    <w:rsid w:val="006C7043"/>
    <w:rsid w:val="006C7044"/>
    <w:rsid w:val="006C707F"/>
    <w:rsid w:val="006C7152"/>
    <w:rsid w:val="006C742B"/>
    <w:rsid w:val="006C7786"/>
    <w:rsid w:val="006C7890"/>
    <w:rsid w:val="006C7986"/>
    <w:rsid w:val="006C7CCA"/>
    <w:rsid w:val="006C7E31"/>
    <w:rsid w:val="006C7E8C"/>
    <w:rsid w:val="006D0097"/>
    <w:rsid w:val="006D02A4"/>
    <w:rsid w:val="006D06DA"/>
    <w:rsid w:val="006D07A8"/>
    <w:rsid w:val="006D07EE"/>
    <w:rsid w:val="006D0873"/>
    <w:rsid w:val="006D0909"/>
    <w:rsid w:val="006D092B"/>
    <w:rsid w:val="006D0976"/>
    <w:rsid w:val="006D0E4F"/>
    <w:rsid w:val="006D0EEB"/>
    <w:rsid w:val="006D1030"/>
    <w:rsid w:val="006D1417"/>
    <w:rsid w:val="006D1535"/>
    <w:rsid w:val="006D1594"/>
    <w:rsid w:val="006D1773"/>
    <w:rsid w:val="006D18BA"/>
    <w:rsid w:val="006D194A"/>
    <w:rsid w:val="006D222B"/>
    <w:rsid w:val="006D2459"/>
    <w:rsid w:val="006D24A6"/>
    <w:rsid w:val="006D2969"/>
    <w:rsid w:val="006D318F"/>
    <w:rsid w:val="006D32B1"/>
    <w:rsid w:val="006D3485"/>
    <w:rsid w:val="006D3651"/>
    <w:rsid w:val="006D39F5"/>
    <w:rsid w:val="006D3BAB"/>
    <w:rsid w:val="006D3CB4"/>
    <w:rsid w:val="006D3CE4"/>
    <w:rsid w:val="006D3ED1"/>
    <w:rsid w:val="006D405A"/>
    <w:rsid w:val="006D41F4"/>
    <w:rsid w:val="006D4240"/>
    <w:rsid w:val="006D42B8"/>
    <w:rsid w:val="006D4669"/>
    <w:rsid w:val="006D4BFE"/>
    <w:rsid w:val="006D4C0D"/>
    <w:rsid w:val="006D4FB5"/>
    <w:rsid w:val="006D503C"/>
    <w:rsid w:val="006D52B6"/>
    <w:rsid w:val="006D5452"/>
    <w:rsid w:val="006D54F0"/>
    <w:rsid w:val="006D553C"/>
    <w:rsid w:val="006D5705"/>
    <w:rsid w:val="006D5C86"/>
    <w:rsid w:val="006D5E45"/>
    <w:rsid w:val="006D61BD"/>
    <w:rsid w:val="006D62CF"/>
    <w:rsid w:val="006D6422"/>
    <w:rsid w:val="006D6490"/>
    <w:rsid w:val="006D64E5"/>
    <w:rsid w:val="006D6599"/>
    <w:rsid w:val="006D66D2"/>
    <w:rsid w:val="006D66DE"/>
    <w:rsid w:val="006D67A9"/>
    <w:rsid w:val="006D6818"/>
    <w:rsid w:val="006D68D0"/>
    <w:rsid w:val="006D68F3"/>
    <w:rsid w:val="006D6A07"/>
    <w:rsid w:val="006D6A52"/>
    <w:rsid w:val="006D6C28"/>
    <w:rsid w:val="006D6D9A"/>
    <w:rsid w:val="006D74E0"/>
    <w:rsid w:val="006D7654"/>
    <w:rsid w:val="006D76DF"/>
    <w:rsid w:val="006D7996"/>
    <w:rsid w:val="006D7B9F"/>
    <w:rsid w:val="006D7C24"/>
    <w:rsid w:val="006E00A9"/>
    <w:rsid w:val="006E00D1"/>
    <w:rsid w:val="006E0152"/>
    <w:rsid w:val="006E020F"/>
    <w:rsid w:val="006E0239"/>
    <w:rsid w:val="006E03B3"/>
    <w:rsid w:val="006E054A"/>
    <w:rsid w:val="006E059C"/>
    <w:rsid w:val="006E0625"/>
    <w:rsid w:val="006E102B"/>
    <w:rsid w:val="006E14AE"/>
    <w:rsid w:val="006E1578"/>
    <w:rsid w:val="006E1607"/>
    <w:rsid w:val="006E16EA"/>
    <w:rsid w:val="006E1904"/>
    <w:rsid w:val="006E19C1"/>
    <w:rsid w:val="006E1A31"/>
    <w:rsid w:val="006E1BA0"/>
    <w:rsid w:val="006E1CCA"/>
    <w:rsid w:val="006E1FAB"/>
    <w:rsid w:val="006E200C"/>
    <w:rsid w:val="006E206F"/>
    <w:rsid w:val="006E2294"/>
    <w:rsid w:val="006E23F2"/>
    <w:rsid w:val="006E27E1"/>
    <w:rsid w:val="006E2C12"/>
    <w:rsid w:val="006E2E7A"/>
    <w:rsid w:val="006E2EA2"/>
    <w:rsid w:val="006E2F00"/>
    <w:rsid w:val="006E30AD"/>
    <w:rsid w:val="006E31A1"/>
    <w:rsid w:val="006E37BE"/>
    <w:rsid w:val="006E3CB5"/>
    <w:rsid w:val="006E3CD5"/>
    <w:rsid w:val="006E3D40"/>
    <w:rsid w:val="006E3DF7"/>
    <w:rsid w:val="006E3EFE"/>
    <w:rsid w:val="006E3F24"/>
    <w:rsid w:val="006E4024"/>
    <w:rsid w:val="006E40CA"/>
    <w:rsid w:val="006E4170"/>
    <w:rsid w:val="006E43AE"/>
    <w:rsid w:val="006E44EF"/>
    <w:rsid w:val="006E45FA"/>
    <w:rsid w:val="006E4880"/>
    <w:rsid w:val="006E494F"/>
    <w:rsid w:val="006E4A73"/>
    <w:rsid w:val="006E4BF5"/>
    <w:rsid w:val="006E5137"/>
    <w:rsid w:val="006E51B4"/>
    <w:rsid w:val="006E562B"/>
    <w:rsid w:val="006E5641"/>
    <w:rsid w:val="006E56EA"/>
    <w:rsid w:val="006E591A"/>
    <w:rsid w:val="006E5A27"/>
    <w:rsid w:val="006E5B4A"/>
    <w:rsid w:val="006E6158"/>
    <w:rsid w:val="006E61C5"/>
    <w:rsid w:val="006E6741"/>
    <w:rsid w:val="006E6A82"/>
    <w:rsid w:val="006E6AB7"/>
    <w:rsid w:val="006E6DF4"/>
    <w:rsid w:val="006E6E15"/>
    <w:rsid w:val="006E6E28"/>
    <w:rsid w:val="006E703F"/>
    <w:rsid w:val="006E774E"/>
    <w:rsid w:val="006E78F6"/>
    <w:rsid w:val="006E79FE"/>
    <w:rsid w:val="006E7CA2"/>
    <w:rsid w:val="006E7E52"/>
    <w:rsid w:val="006E7EDA"/>
    <w:rsid w:val="006E7F12"/>
    <w:rsid w:val="006E7F7E"/>
    <w:rsid w:val="006F0148"/>
    <w:rsid w:val="006F0779"/>
    <w:rsid w:val="006F0A87"/>
    <w:rsid w:val="006F0A8A"/>
    <w:rsid w:val="006F0C24"/>
    <w:rsid w:val="006F0D30"/>
    <w:rsid w:val="006F0FD2"/>
    <w:rsid w:val="006F10E2"/>
    <w:rsid w:val="006F12AC"/>
    <w:rsid w:val="006F165D"/>
    <w:rsid w:val="006F1713"/>
    <w:rsid w:val="006F193E"/>
    <w:rsid w:val="006F1B8D"/>
    <w:rsid w:val="006F1C48"/>
    <w:rsid w:val="006F1D67"/>
    <w:rsid w:val="006F246F"/>
    <w:rsid w:val="006F2515"/>
    <w:rsid w:val="006F2787"/>
    <w:rsid w:val="006F29A4"/>
    <w:rsid w:val="006F29AA"/>
    <w:rsid w:val="006F2EE2"/>
    <w:rsid w:val="006F333B"/>
    <w:rsid w:val="006F33BA"/>
    <w:rsid w:val="006F3540"/>
    <w:rsid w:val="006F35C1"/>
    <w:rsid w:val="006F363A"/>
    <w:rsid w:val="006F38F7"/>
    <w:rsid w:val="006F399F"/>
    <w:rsid w:val="006F3A77"/>
    <w:rsid w:val="006F3DD1"/>
    <w:rsid w:val="006F3EBB"/>
    <w:rsid w:val="006F3F5B"/>
    <w:rsid w:val="006F421E"/>
    <w:rsid w:val="006F4664"/>
    <w:rsid w:val="006F466B"/>
    <w:rsid w:val="006F47B4"/>
    <w:rsid w:val="006F4806"/>
    <w:rsid w:val="006F4B01"/>
    <w:rsid w:val="006F4CA5"/>
    <w:rsid w:val="006F4F9F"/>
    <w:rsid w:val="006F4FD7"/>
    <w:rsid w:val="006F503B"/>
    <w:rsid w:val="006F5095"/>
    <w:rsid w:val="006F50DA"/>
    <w:rsid w:val="006F51BF"/>
    <w:rsid w:val="006F5316"/>
    <w:rsid w:val="006F536A"/>
    <w:rsid w:val="006F5649"/>
    <w:rsid w:val="006F570F"/>
    <w:rsid w:val="006F5771"/>
    <w:rsid w:val="006F5C97"/>
    <w:rsid w:val="006F5E49"/>
    <w:rsid w:val="006F5FB1"/>
    <w:rsid w:val="006F6514"/>
    <w:rsid w:val="006F65E5"/>
    <w:rsid w:val="006F668B"/>
    <w:rsid w:val="006F688D"/>
    <w:rsid w:val="006F6A06"/>
    <w:rsid w:val="006F6DDD"/>
    <w:rsid w:val="006F6EC7"/>
    <w:rsid w:val="006F71CE"/>
    <w:rsid w:val="006F7282"/>
    <w:rsid w:val="006F7417"/>
    <w:rsid w:val="006F743C"/>
    <w:rsid w:val="006F7464"/>
    <w:rsid w:val="006F747A"/>
    <w:rsid w:val="006F7497"/>
    <w:rsid w:val="006F7910"/>
    <w:rsid w:val="006F7A09"/>
    <w:rsid w:val="006F7A24"/>
    <w:rsid w:val="006F7ABB"/>
    <w:rsid w:val="006F7C4C"/>
    <w:rsid w:val="006F7D8F"/>
    <w:rsid w:val="006F7F5E"/>
    <w:rsid w:val="007000CB"/>
    <w:rsid w:val="0070013D"/>
    <w:rsid w:val="00700367"/>
    <w:rsid w:val="007004D3"/>
    <w:rsid w:val="007006A6"/>
    <w:rsid w:val="0070071C"/>
    <w:rsid w:val="00700877"/>
    <w:rsid w:val="00700A38"/>
    <w:rsid w:val="00700B28"/>
    <w:rsid w:val="00700BF3"/>
    <w:rsid w:val="007010AE"/>
    <w:rsid w:val="0070127C"/>
    <w:rsid w:val="007013AE"/>
    <w:rsid w:val="007013D4"/>
    <w:rsid w:val="007014FA"/>
    <w:rsid w:val="00701632"/>
    <w:rsid w:val="0070171E"/>
    <w:rsid w:val="0070172C"/>
    <w:rsid w:val="007018C7"/>
    <w:rsid w:val="0070193B"/>
    <w:rsid w:val="00701AC9"/>
    <w:rsid w:val="00701B12"/>
    <w:rsid w:val="00701C4E"/>
    <w:rsid w:val="00701CFD"/>
    <w:rsid w:val="0070209C"/>
    <w:rsid w:val="0070226D"/>
    <w:rsid w:val="007024F4"/>
    <w:rsid w:val="00702666"/>
    <w:rsid w:val="0070277D"/>
    <w:rsid w:val="00702A57"/>
    <w:rsid w:val="00702A76"/>
    <w:rsid w:val="00702CCC"/>
    <w:rsid w:val="00702FB1"/>
    <w:rsid w:val="007033C3"/>
    <w:rsid w:val="0070342B"/>
    <w:rsid w:val="00703529"/>
    <w:rsid w:val="00703A39"/>
    <w:rsid w:val="00703A7C"/>
    <w:rsid w:val="00703D0D"/>
    <w:rsid w:val="00703F57"/>
    <w:rsid w:val="00704626"/>
    <w:rsid w:val="007049E4"/>
    <w:rsid w:val="00704E74"/>
    <w:rsid w:val="00704E94"/>
    <w:rsid w:val="00704EB6"/>
    <w:rsid w:val="00704EE7"/>
    <w:rsid w:val="00705159"/>
    <w:rsid w:val="0070566D"/>
    <w:rsid w:val="007058CA"/>
    <w:rsid w:val="00705B00"/>
    <w:rsid w:val="00705B1D"/>
    <w:rsid w:val="00705BC3"/>
    <w:rsid w:val="00705D61"/>
    <w:rsid w:val="00705FE9"/>
    <w:rsid w:val="0070613F"/>
    <w:rsid w:val="00706190"/>
    <w:rsid w:val="0070637C"/>
    <w:rsid w:val="007064F9"/>
    <w:rsid w:val="0070665B"/>
    <w:rsid w:val="0070665D"/>
    <w:rsid w:val="007067C0"/>
    <w:rsid w:val="007068BE"/>
    <w:rsid w:val="00706C3B"/>
    <w:rsid w:val="00706EF7"/>
    <w:rsid w:val="00706F6E"/>
    <w:rsid w:val="00706FFD"/>
    <w:rsid w:val="007076D7"/>
    <w:rsid w:val="0070773D"/>
    <w:rsid w:val="007079E7"/>
    <w:rsid w:val="00707BE6"/>
    <w:rsid w:val="00707BF3"/>
    <w:rsid w:val="00707C6F"/>
    <w:rsid w:val="00707C71"/>
    <w:rsid w:val="00707E37"/>
    <w:rsid w:val="00707F3E"/>
    <w:rsid w:val="00707FBF"/>
    <w:rsid w:val="00710057"/>
    <w:rsid w:val="00710113"/>
    <w:rsid w:val="007104EC"/>
    <w:rsid w:val="00710501"/>
    <w:rsid w:val="0071090B"/>
    <w:rsid w:val="0071098F"/>
    <w:rsid w:val="00710B6A"/>
    <w:rsid w:val="00710BBC"/>
    <w:rsid w:val="00710DCB"/>
    <w:rsid w:val="00711187"/>
    <w:rsid w:val="007111FC"/>
    <w:rsid w:val="00711390"/>
    <w:rsid w:val="007113EE"/>
    <w:rsid w:val="00711446"/>
    <w:rsid w:val="007114C6"/>
    <w:rsid w:val="00711637"/>
    <w:rsid w:val="00711734"/>
    <w:rsid w:val="00711744"/>
    <w:rsid w:val="00711BA7"/>
    <w:rsid w:val="00711E11"/>
    <w:rsid w:val="00711F79"/>
    <w:rsid w:val="00711FB3"/>
    <w:rsid w:val="00711FB5"/>
    <w:rsid w:val="00712023"/>
    <w:rsid w:val="007121D5"/>
    <w:rsid w:val="007122DC"/>
    <w:rsid w:val="00712431"/>
    <w:rsid w:val="0071272A"/>
    <w:rsid w:val="00712A14"/>
    <w:rsid w:val="00712A4E"/>
    <w:rsid w:val="00712AF1"/>
    <w:rsid w:val="00712C9C"/>
    <w:rsid w:val="00712D97"/>
    <w:rsid w:val="00712DD1"/>
    <w:rsid w:val="00712E74"/>
    <w:rsid w:val="00712F1B"/>
    <w:rsid w:val="00712F4B"/>
    <w:rsid w:val="007131D4"/>
    <w:rsid w:val="007137E2"/>
    <w:rsid w:val="00713A77"/>
    <w:rsid w:val="00713B0C"/>
    <w:rsid w:val="00713B80"/>
    <w:rsid w:val="00713F35"/>
    <w:rsid w:val="00714090"/>
    <w:rsid w:val="0071451B"/>
    <w:rsid w:val="0071452B"/>
    <w:rsid w:val="0071457E"/>
    <w:rsid w:val="00714599"/>
    <w:rsid w:val="007146CD"/>
    <w:rsid w:val="0071477D"/>
    <w:rsid w:val="007147F1"/>
    <w:rsid w:val="007148EF"/>
    <w:rsid w:val="0071498F"/>
    <w:rsid w:val="007149FC"/>
    <w:rsid w:val="007149FE"/>
    <w:rsid w:val="00714B96"/>
    <w:rsid w:val="00714C10"/>
    <w:rsid w:val="00714EE4"/>
    <w:rsid w:val="00714FDF"/>
    <w:rsid w:val="00715047"/>
    <w:rsid w:val="00715071"/>
    <w:rsid w:val="007150B0"/>
    <w:rsid w:val="00715108"/>
    <w:rsid w:val="00715154"/>
    <w:rsid w:val="007151E7"/>
    <w:rsid w:val="0071584C"/>
    <w:rsid w:val="00715864"/>
    <w:rsid w:val="00715B9C"/>
    <w:rsid w:val="00715D81"/>
    <w:rsid w:val="00715EC9"/>
    <w:rsid w:val="00715F4E"/>
    <w:rsid w:val="00716420"/>
    <w:rsid w:val="007167DC"/>
    <w:rsid w:val="007169C1"/>
    <w:rsid w:val="00716B5C"/>
    <w:rsid w:val="00716DB9"/>
    <w:rsid w:val="00716E5D"/>
    <w:rsid w:val="00716F49"/>
    <w:rsid w:val="00717204"/>
    <w:rsid w:val="0071792F"/>
    <w:rsid w:val="00717B7B"/>
    <w:rsid w:val="00717CB8"/>
    <w:rsid w:val="00717E97"/>
    <w:rsid w:val="00717EA8"/>
    <w:rsid w:val="007200F7"/>
    <w:rsid w:val="0072012B"/>
    <w:rsid w:val="007201AD"/>
    <w:rsid w:val="007202A6"/>
    <w:rsid w:val="007204F1"/>
    <w:rsid w:val="007207CA"/>
    <w:rsid w:val="00720A8C"/>
    <w:rsid w:val="00720C7D"/>
    <w:rsid w:val="00720F22"/>
    <w:rsid w:val="00720F27"/>
    <w:rsid w:val="007210BE"/>
    <w:rsid w:val="007210E2"/>
    <w:rsid w:val="00721162"/>
    <w:rsid w:val="00721371"/>
    <w:rsid w:val="00721671"/>
    <w:rsid w:val="00721711"/>
    <w:rsid w:val="007218B1"/>
    <w:rsid w:val="007218D0"/>
    <w:rsid w:val="007219A7"/>
    <w:rsid w:val="00721AF4"/>
    <w:rsid w:val="00721C88"/>
    <w:rsid w:val="00721EF8"/>
    <w:rsid w:val="0072218E"/>
    <w:rsid w:val="007221FA"/>
    <w:rsid w:val="0072229D"/>
    <w:rsid w:val="0072231E"/>
    <w:rsid w:val="0072257E"/>
    <w:rsid w:val="00722695"/>
    <w:rsid w:val="00722AB9"/>
    <w:rsid w:val="00722C6A"/>
    <w:rsid w:val="00722D47"/>
    <w:rsid w:val="0072341A"/>
    <w:rsid w:val="007236EC"/>
    <w:rsid w:val="007239E1"/>
    <w:rsid w:val="00723A15"/>
    <w:rsid w:val="00723C97"/>
    <w:rsid w:val="00723CB7"/>
    <w:rsid w:val="00723D8A"/>
    <w:rsid w:val="00723EDF"/>
    <w:rsid w:val="00723FC4"/>
    <w:rsid w:val="007242B2"/>
    <w:rsid w:val="0072435D"/>
    <w:rsid w:val="007244A3"/>
    <w:rsid w:val="0072457B"/>
    <w:rsid w:val="007249EC"/>
    <w:rsid w:val="00724A20"/>
    <w:rsid w:val="00724A5C"/>
    <w:rsid w:val="00724BF4"/>
    <w:rsid w:val="00724CA8"/>
    <w:rsid w:val="00724DBB"/>
    <w:rsid w:val="00724DD4"/>
    <w:rsid w:val="0072515C"/>
    <w:rsid w:val="00725268"/>
    <w:rsid w:val="00725293"/>
    <w:rsid w:val="0072552C"/>
    <w:rsid w:val="00725952"/>
    <w:rsid w:val="0072599F"/>
    <w:rsid w:val="00725CD4"/>
    <w:rsid w:val="00725DCD"/>
    <w:rsid w:val="00725DDD"/>
    <w:rsid w:val="00725E65"/>
    <w:rsid w:val="00725F6A"/>
    <w:rsid w:val="00725F8C"/>
    <w:rsid w:val="0072612D"/>
    <w:rsid w:val="007261B3"/>
    <w:rsid w:val="007261DA"/>
    <w:rsid w:val="007261FD"/>
    <w:rsid w:val="0072633D"/>
    <w:rsid w:val="00726472"/>
    <w:rsid w:val="00726587"/>
    <w:rsid w:val="007266FC"/>
    <w:rsid w:val="00726718"/>
    <w:rsid w:val="007268A1"/>
    <w:rsid w:val="00726A91"/>
    <w:rsid w:val="00726EF1"/>
    <w:rsid w:val="00726FC2"/>
    <w:rsid w:val="007274AC"/>
    <w:rsid w:val="00727726"/>
    <w:rsid w:val="0072786F"/>
    <w:rsid w:val="00727B33"/>
    <w:rsid w:val="00727C1A"/>
    <w:rsid w:val="00730166"/>
    <w:rsid w:val="007306AD"/>
    <w:rsid w:val="0073082B"/>
    <w:rsid w:val="00730A53"/>
    <w:rsid w:val="00730A81"/>
    <w:rsid w:val="00730B57"/>
    <w:rsid w:val="00730D71"/>
    <w:rsid w:val="007311C9"/>
    <w:rsid w:val="00731301"/>
    <w:rsid w:val="00731672"/>
    <w:rsid w:val="007317D4"/>
    <w:rsid w:val="007318CC"/>
    <w:rsid w:val="00731B07"/>
    <w:rsid w:val="00731B86"/>
    <w:rsid w:val="00731CFA"/>
    <w:rsid w:val="00731DAB"/>
    <w:rsid w:val="00731F94"/>
    <w:rsid w:val="007323F2"/>
    <w:rsid w:val="007324BB"/>
    <w:rsid w:val="00732510"/>
    <w:rsid w:val="00732574"/>
    <w:rsid w:val="00732807"/>
    <w:rsid w:val="007328B8"/>
    <w:rsid w:val="00732A12"/>
    <w:rsid w:val="00732A96"/>
    <w:rsid w:val="00732B97"/>
    <w:rsid w:val="00732EF1"/>
    <w:rsid w:val="007331EC"/>
    <w:rsid w:val="007332AE"/>
    <w:rsid w:val="0073358C"/>
    <w:rsid w:val="007336EA"/>
    <w:rsid w:val="00733911"/>
    <w:rsid w:val="00733980"/>
    <w:rsid w:val="00733A6D"/>
    <w:rsid w:val="00733AD8"/>
    <w:rsid w:val="00733F02"/>
    <w:rsid w:val="00734670"/>
    <w:rsid w:val="0073468D"/>
    <w:rsid w:val="00734818"/>
    <w:rsid w:val="00734BA5"/>
    <w:rsid w:val="00734C48"/>
    <w:rsid w:val="00734E40"/>
    <w:rsid w:val="00734EA0"/>
    <w:rsid w:val="00734FFC"/>
    <w:rsid w:val="00735005"/>
    <w:rsid w:val="00735100"/>
    <w:rsid w:val="00735101"/>
    <w:rsid w:val="007351F9"/>
    <w:rsid w:val="00735204"/>
    <w:rsid w:val="00735738"/>
    <w:rsid w:val="00735913"/>
    <w:rsid w:val="00735991"/>
    <w:rsid w:val="00735A17"/>
    <w:rsid w:val="00735ADB"/>
    <w:rsid w:val="00735B34"/>
    <w:rsid w:val="00735F60"/>
    <w:rsid w:val="00735F6C"/>
    <w:rsid w:val="007361B3"/>
    <w:rsid w:val="0073639F"/>
    <w:rsid w:val="007363A2"/>
    <w:rsid w:val="00736484"/>
    <w:rsid w:val="0073652B"/>
    <w:rsid w:val="00736799"/>
    <w:rsid w:val="007369A7"/>
    <w:rsid w:val="00736C44"/>
    <w:rsid w:val="00737197"/>
    <w:rsid w:val="007371FC"/>
    <w:rsid w:val="007374B8"/>
    <w:rsid w:val="00737541"/>
    <w:rsid w:val="00737A02"/>
    <w:rsid w:val="00737A39"/>
    <w:rsid w:val="00737A91"/>
    <w:rsid w:val="00737FEF"/>
    <w:rsid w:val="007401EC"/>
    <w:rsid w:val="00740294"/>
    <w:rsid w:val="007402B7"/>
    <w:rsid w:val="00740491"/>
    <w:rsid w:val="00740519"/>
    <w:rsid w:val="0074053A"/>
    <w:rsid w:val="00740653"/>
    <w:rsid w:val="00740750"/>
    <w:rsid w:val="0074086F"/>
    <w:rsid w:val="00740A29"/>
    <w:rsid w:val="00740E2B"/>
    <w:rsid w:val="00740E60"/>
    <w:rsid w:val="00740F4C"/>
    <w:rsid w:val="00740FD9"/>
    <w:rsid w:val="00741026"/>
    <w:rsid w:val="00741186"/>
    <w:rsid w:val="00741293"/>
    <w:rsid w:val="007413B2"/>
    <w:rsid w:val="0074141E"/>
    <w:rsid w:val="00741627"/>
    <w:rsid w:val="007418F4"/>
    <w:rsid w:val="007419CE"/>
    <w:rsid w:val="007419ED"/>
    <w:rsid w:val="00741D1C"/>
    <w:rsid w:val="00741F99"/>
    <w:rsid w:val="00742138"/>
    <w:rsid w:val="007423B5"/>
    <w:rsid w:val="0074245F"/>
    <w:rsid w:val="00742505"/>
    <w:rsid w:val="007429EE"/>
    <w:rsid w:val="00742A03"/>
    <w:rsid w:val="007438DA"/>
    <w:rsid w:val="00743903"/>
    <w:rsid w:val="007439D0"/>
    <w:rsid w:val="00743A4B"/>
    <w:rsid w:val="00743DFC"/>
    <w:rsid w:val="00743FFD"/>
    <w:rsid w:val="0074446B"/>
    <w:rsid w:val="007444DF"/>
    <w:rsid w:val="00744659"/>
    <w:rsid w:val="00744857"/>
    <w:rsid w:val="0074489F"/>
    <w:rsid w:val="00744A35"/>
    <w:rsid w:val="00744B09"/>
    <w:rsid w:val="00745144"/>
    <w:rsid w:val="007451E8"/>
    <w:rsid w:val="00745388"/>
    <w:rsid w:val="007453E8"/>
    <w:rsid w:val="00745404"/>
    <w:rsid w:val="00745686"/>
    <w:rsid w:val="007458E6"/>
    <w:rsid w:val="00745952"/>
    <w:rsid w:val="00745A4F"/>
    <w:rsid w:val="00745E40"/>
    <w:rsid w:val="00745EC6"/>
    <w:rsid w:val="00746035"/>
    <w:rsid w:val="007461E1"/>
    <w:rsid w:val="007462A4"/>
    <w:rsid w:val="007468B9"/>
    <w:rsid w:val="00746948"/>
    <w:rsid w:val="00746AF7"/>
    <w:rsid w:val="00746C14"/>
    <w:rsid w:val="00746D0C"/>
    <w:rsid w:val="00746FA6"/>
    <w:rsid w:val="00747060"/>
    <w:rsid w:val="00747275"/>
    <w:rsid w:val="007473AB"/>
    <w:rsid w:val="00747640"/>
    <w:rsid w:val="007477D9"/>
    <w:rsid w:val="00747A95"/>
    <w:rsid w:val="00747B76"/>
    <w:rsid w:val="00747D32"/>
    <w:rsid w:val="00750265"/>
    <w:rsid w:val="0075026D"/>
    <w:rsid w:val="007506E1"/>
    <w:rsid w:val="007508EC"/>
    <w:rsid w:val="00750A2D"/>
    <w:rsid w:val="00750A9F"/>
    <w:rsid w:val="00750CD5"/>
    <w:rsid w:val="007510A2"/>
    <w:rsid w:val="007512CA"/>
    <w:rsid w:val="007512F1"/>
    <w:rsid w:val="00751498"/>
    <w:rsid w:val="007516C2"/>
    <w:rsid w:val="007519C6"/>
    <w:rsid w:val="00751A67"/>
    <w:rsid w:val="00751A8A"/>
    <w:rsid w:val="00751B3C"/>
    <w:rsid w:val="00751C17"/>
    <w:rsid w:val="00751D37"/>
    <w:rsid w:val="00751F0C"/>
    <w:rsid w:val="00752079"/>
    <w:rsid w:val="007521F4"/>
    <w:rsid w:val="007522B8"/>
    <w:rsid w:val="007523FD"/>
    <w:rsid w:val="007527C7"/>
    <w:rsid w:val="007527DA"/>
    <w:rsid w:val="00752823"/>
    <w:rsid w:val="00752883"/>
    <w:rsid w:val="00752D17"/>
    <w:rsid w:val="00753079"/>
    <w:rsid w:val="007530E3"/>
    <w:rsid w:val="007531C9"/>
    <w:rsid w:val="007532C0"/>
    <w:rsid w:val="00753412"/>
    <w:rsid w:val="00753462"/>
    <w:rsid w:val="0075350C"/>
    <w:rsid w:val="00753A8B"/>
    <w:rsid w:val="00753D2B"/>
    <w:rsid w:val="00753D69"/>
    <w:rsid w:val="00753E25"/>
    <w:rsid w:val="00753E26"/>
    <w:rsid w:val="00753E73"/>
    <w:rsid w:val="00753F30"/>
    <w:rsid w:val="007541BB"/>
    <w:rsid w:val="0075428F"/>
    <w:rsid w:val="0075443D"/>
    <w:rsid w:val="007546AB"/>
    <w:rsid w:val="00754A21"/>
    <w:rsid w:val="00754C63"/>
    <w:rsid w:val="00754C67"/>
    <w:rsid w:val="00754C6A"/>
    <w:rsid w:val="00754CE7"/>
    <w:rsid w:val="00755069"/>
    <w:rsid w:val="007553D0"/>
    <w:rsid w:val="0075542F"/>
    <w:rsid w:val="0075550A"/>
    <w:rsid w:val="00755601"/>
    <w:rsid w:val="00755689"/>
    <w:rsid w:val="007557EC"/>
    <w:rsid w:val="007558CD"/>
    <w:rsid w:val="00755CCC"/>
    <w:rsid w:val="00755E4A"/>
    <w:rsid w:val="007562CB"/>
    <w:rsid w:val="007563AA"/>
    <w:rsid w:val="00756479"/>
    <w:rsid w:val="0075656F"/>
    <w:rsid w:val="007565E5"/>
    <w:rsid w:val="007565F9"/>
    <w:rsid w:val="0075670D"/>
    <w:rsid w:val="00756774"/>
    <w:rsid w:val="00756795"/>
    <w:rsid w:val="00756801"/>
    <w:rsid w:val="00756861"/>
    <w:rsid w:val="00756988"/>
    <w:rsid w:val="00756A7E"/>
    <w:rsid w:val="00756BED"/>
    <w:rsid w:val="00756D00"/>
    <w:rsid w:val="00756D32"/>
    <w:rsid w:val="00756E79"/>
    <w:rsid w:val="00756F0A"/>
    <w:rsid w:val="00756F52"/>
    <w:rsid w:val="00756F93"/>
    <w:rsid w:val="007570EF"/>
    <w:rsid w:val="0075715B"/>
    <w:rsid w:val="0075725F"/>
    <w:rsid w:val="00757271"/>
    <w:rsid w:val="0075748C"/>
    <w:rsid w:val="007578C3"/>
    <w:rsid w:val="00757C7A"/>
    <w:rsid w:val="00757CC8"/>
    <w:rsid w:val="00757D6C"/>
    <w:rsid w:val="00757F02"/>
    <w:rsid w:val="00760016"/>
    <w:rsid w:val="007601DF"/>
    <w:rsid w:val="00760431"/>
    <w:rsid w:val="00760740"/>
    <w:rsid w:val="0076088F"/>
    <w:rsid w:val="00760901"/>
    <w:rsid w:val="00760C7D"/>
    <w:rsid w:val="00760DF1"/>
    <w:rsid w:val="00760E26"/>
    <w:rsid w:val="00760FAC"/>
    <w:rsid w:val="007613A8"/>
    <w:rsid w:val="007617A3"/>
    <w:rsid w:val="00761945"/>
    <w:rsid w:val="00761A73"/>
    <w:rsid w:val="00761BB4"/>
    <w:rsid w:val="007620C4"/>
    <w:rsid w:val="0076226B"/>
    <w:rsid w:val="0076234A"/>
    <w:rsid w:val="00762386"/>
    <w:rsid w:val="00762621"/>
    <w:rsid w:val="00762625"/>
    <w:rsid w:val="0076287A"/>
    <w:rsid w:val="007629B7"/>
    <w:rsid w:val="00762BCE"/>
    <w:rsid w:val="00762CE4"/>
    <w:rsid w:val="00762E50"/>
    <w:rsid w:val="00762EDD"/>
    <w:rsid w:val="00762F13"/>
    <w:rsid w:val="0076305D"/>
    <w:rsid w:val="007632FA"/>
    <w:rsid w:val="007633E5"/>
    <w:rsid w:val="007634C8"/>
    <w:rsid w:val="0076395D"/>
    <w:rsid w:val="00763CC5"/>
    <w:rsid w:val="00763D61"/>
    <w:rsid w:val="0076407D"/>
    <w:rsid w:val="007640C2"/>
    <w:rsid w:val="0076417F"/>
    <w:rsid w:val="0076433D"/>
    <w:rsid w:val="00764379"/>
    <w:rsid w:val="00764381"/>
    <w:rsid w:val="00764468"/>
    <w:rsid w:val="007646D0"/>
    <w:rsid w:val="00764902"/>
    <w:rsid w:val="00764974"/>
    <w:rsid w:val="00764A58"/>
    <w:rsid w:val="00764D21"/>
    <w:rsid w:val="00764DC2"/>
    <w:rsid w:val="00764E7A"/>
    <w:rsid w:val="007651B4"/>
    <w:rsid w:val="007653C4"/>
    <w:rsid w:val="00765437"/>
    <w:rsid w:val="0076584D"/>
    <w:rsid w:val="007659D2"/>
    <w:rsid w:val="00765A3E"/>
    <w:rsid w:val="00765CE4"/>
    <w:rsid w:val="00765D37"/>
    <w:rsid w:val="00765E03"/>
    <w:rsid w:val="00765E26"/>
    <w:rsid w:val="00765F7A"/>
    <w:rsid w:val="00765FAE"/>
    <w:rsid w:val="00766248"/>
    <w:rsid w:val="007667E9"/>
    <w:rsid w:val="00766D8F"/>
    <w:rsid w:val="00767326"/>
    <w:rsid w:val="00767381"/>
    <w:rsid w:val="00767519"/>
    <w:rsid w:val="00767576"/>
    <w:rsid w:val="00767B52"/>
    <w:rsid w:val="00767BD1"/>
    <w:rsid w:val="00767C12"/>
    <w:rsid w:val="00767D74"/>
    <w:rsid w:val="00767E08"/>
    <w:rsid w:val="00767E4C"/>
    <w:rsid w:val="00767E4F"/>
    <w:rsid w:val="00767EFA"/>
    <w:rsid w:val="00767EFF"/>
    <w:rsid w:val="0077000E"/>
    <w:rsid w:val="007701F2"/>
    <w:rsid w:val="007702F2"/>
    <w:rsid w:val="00770305"/>
    <w:rsid w:val="00770995"/>
    <w:rsid w:val="00770B34"/>
    <w:rsid w:val="00770B3F"/>
    <w:rsid w:val="00770DE2"/>
    <w:rsid w:val="00770E7F"/>
    <w:rsid w:val="00770F60"/>
    <w:rsid w:val="0077127F"/>
    <w:rsid w:val="007712B0"/>
    <w:rsid w:val="007712FF"/>
    <w:rsid w:val="007718F9"/>
    <w:rsid w:val="00771A28"/>
    <w:rsid w:val="00771C00"/>
    <w:rsid w:val="00771C29"/>
    <w:rsid w:val="00771F05"/>
    <w:rsid w:val="00771FE5"/>
    <w:rsid w:val="00772048"/>
    <w:rsid w:val="007720F1"/>
    <w:rsid w:val="00772310"/>
    <w:rsid w:val="00772421"/>
    <w:rsid w:val="007724CC"/>
    <w:rsid w:val="0077252A"/>
    <w:rsid w:val="0077254E"/>
    <w:rsid w:val="007725C4"/>
    <w:rsid w:val="00772F2C"/>
    <w:rsid w:val="0077302A"/>
    <w:rsid w:val="00773283"/>
    <w:rsid w:val="00773658"/>
    <w:rsid w:val="007736F1"/>
    <w:rsid w:val="007738EB"/>
    <w:rsid w:val="00773926"/>
    <w:rsid w:val="00773A5E"/>
    <w:rsid w:val="00773A82"/>
    <w:rsid w:val="00773F4D"/>
    <w:rsid w:val="00773F79"/>
    <w:rsid w:val="00773F92"/>
    <w:rsid w:val="007741DB"/>
    <w:rsid w:val="00774350"/>
    <w:rsid w:val="00774731"/>
    <w:rsid w:val="00774861"/>
    <w:rsid w:val="007748D4"/>
    <w:rsid w:val="00774B7A"/>
    <w:rsid w:val="00774EFD"/>
    <w:rsid w:val="0077510F"/>
    <w:rsid w:val="007752CC"/>
    <w:rsid w:val="007753AF"/>
    <w:rsid w:val="007756A0"/>
    <w:rsid w:val="007758BC"/>
    <w:rsid w:val="00775A8E"/>
    <w:rsid w:val="00775B06"/>
    <w:rsid w:val="00775BE5"/>
    <w:rsid w:val="00775CC5"/>
    <w:rsid w:val="00775E8E"/>
    <w:rsid w:val="00775EC5"/>
    <w:rsid w:val="007761FD"/>
    <w:rsid w:val="00776289"/>
    <w:rsid w:val="00776589"/>
    <w:rsid w:val="00776779"/>
    <w:rsid w:val="007767F1"/>
    <w:rsid w:val="00776935"/>
    <w:rsid w:val="00776C4D"/>
    <w:rsid w:val="00776D25"/>
    <w:rsid w:val="007774EC"/>
    <w:rsid w:val="0077763F"/>
    <w:rsid w:val="00777695"/>
    <w:rsid w:val="007777E3"/>
    <w:rsid w:val="0077788C"/>
    <w:rsid w:val="00777A30"/>
    <w:rsid w:val="00777ADF"/>
    <w:rsid w:val="007800DD"/>
    <w:rsid w:val="007802AC"/>
    <w:rsid w:val="00780481"/>
    <w:rsid w:val="007806F7"/>
    <w:rsid w:val="007808C7"/>
    <w:rsid w:val="00780949"/>
    <w:rsid w:val="00780A0A"/>
    <w:rsid w:val="00780B1B"/>
    <w:rsid w:val="00780B87"/>
    <w:rsid w:val="00780D32"/>
    <w:rsid w:val="00780F88"/>
    <w:rsid w:val="00780F94"/>
    <w:rsid w:val="007812BB"/>
    <w:rsid w:val="007814A6"/>
    <w:rsid w:val="007814D7"/>
    <w:rsid w:val="007814F9"/>
    <w:rsid w:val="00781524"/>
    <w:rsid w:val="007815A4"/>
    <w:rsid w:val="00781BC4"/>
    <w:rsid w:val="00781CA6"/>
    <w:rsid w:val="00781E96"/>
    <w:rsid w:val="007824FC"/>
    <w:rsid w:val="00782723"/>
    <w:rsid w:val="00782740"/>
    <w:rsid w:val="0078274A"/>
    <w:rsid w:val="00782993"/>
    <w:rsid w:val="007829F3"/>
    <w:rsid w:val="00782A5A"/>
    <w:rsid w:val="00782AF6"/>
    <w:rsid w:val="00782BBA"/>
    <w:rsid w:val="00782CCA"/>
    <w:rsid w:val="00782EBC"/>
    <w:rsid w:val="00783106"/>
    <w:rsid w:val="00783182"/>
    <w:rsid w:val="00783208"/>
    <w:rsid w:val="00783236"/>
    <w:rsid w:val="007832A9"/>
    <w:rsid w:val="007832BA"/>
    <w:rsid w:val="007832E8"/>
    <w:rsid w:val="00783431"/>
    <w:rsid w:val="0078351B"/>
    <w:rsid w:val="007835F5"/>
    <w:rsid w:val="007835FC"/>
    <w:rsid w:val="00783B61"/>
    <w:rsid w:val="00784172"/>
    <w:rsid w:val="0078418C"/>
    <w:rsid w:val="0078439D"/>
    <w:rsid w:val="0078442C"/>
    <w:rsid w:val="0078499A"/>
    <w:rsid w:val="007849A4"/>
    <w:rsid w:val="00784B1F"/>
    <w:rsid w:val="00784B97"/>
    <w:rsid w:val="00784E5E"/>
    <w:rsid w:val="00784F2C"/>
    <w:rsid w:val="00785172"/>
    <w:rsid w:val="007851CC"/>
    <w:rsid w:val="007855D1"/>
    <w:rsid w:val="00785683"/>
    <w:rsid w:val="00785842"/>
    <w:rsid w:val="00785AB3"/>
    <w:rsid w:val="00786497"/>
    <w:rsid w:val="007866C8"/>
    <w:rsid w:val="00786897"/>
    <w:rsid w:val="00786ACD"/>
    <w:rsid w:val="00786C82"/>
    <w:rsid w:val="00786D72"/>
    <w:rsid w:val="00786EBF"/>
    <w:rsid w:val="0078719E"/>
    <w:rsid w:val="007871EC"/>
    <w:rsid w:val="0078729D"/>
    <w:rsid w:val="007875E2"/>
    <w:rsid w:val="0078762B"/>
    <w:rsid w:val="00787878"/>
    <w:rsid w:val="007900CC"/>
    <w:rsid w:val="007902A4"/>
    <w:rsid w:val="0079041E"/>
    <w:rsid w:val="007904EC"/>
    <w:rsid w:val="007905C6"/>
    <w:rsid w:val="00790755"/>
    <w:rsid w:val="00790870"/>
    <w:rsid w:val="00790911"/>
    <w:rsid w:val="00790BAE"/>
    <w:rsid w:val="00790E68"/>
    <w:rsid w:val="0079104D"/>
    <w:rsid w:val="0079120B"/>
    <w:rsid w:val="00791518"/>
    <w:rsid w:val="00791AED"/>
    <w:rsid w:val="00791BC5"/>
    <w:rsid w:val="00791DA6"/>
    <w:rsid w:val="00791E81"/>
    <w:rsid w:val="00791EC1"/>
    <w:rsid w:val="007921B1"/>
    <w:rsid w:val="0079230B"/>
    <w:rsid w:val="0079238E"/>
    <w:rsid w:val="00792392"/>
    <w:rsid w:val="007923A5"/>
    <w:rsid w:val="007926AC"/>
    <w:rsid w:val="007926B2"/>
    <w:rsid w:val="00792842"/>
    <w:rsid w:val="007928D8"/>
    <w:rsid w:val="00792943"/>
    <w:rsid w:val="007929C3"/>
    <w:rsid w:val="00792C45"/>
    <w:rsid w:val="00792DA0"/>
    <w:rsid w:val="00792DE1"/>
    <w:rsid w:val="00792F0D"/>
    <w:rsid w:val="0079313D"/>
    <w:rsid w:val="00793198"/>
    <w:rsid w:val="007932C1"/>
    <w:rsid w:val="007932F5"/>
    <w:rsid w:val="00793316"/>
    <w:rsid w:val="007934A8"/>
    <w:rsid w:val="007935EB"/>
    <w:rsid w:val="00793893"/>
    <w:rsid w:val="0079393D"/>
    <w:rsid w:val="0079397D"/>
    <w:rsid w:val="00793AC6"/>
    <w:rsid w:val="00793B15"/>
    <w:rsid w:val="00793B95"/>
    <w:rsid w:val="00793B99"/>
    <w:rsid w:val="00793D14"/>
    <w:rsid w:val="00793DB4"/>
    <w:rsid w:val="00793EFE"/>
    <w:rsid w:val="00793F6B"/>
    <w:rsid w:val="007941C4"/>
    <w:rsid w:val="007942AA"/>
    <w:rsid w:val="00794338"/>
    <w:rsid w:val="00794413"/>
    <w:rsid w:val="0079451E"/>
    <w:rsid w:val="00794624"/>
    <w:rsid w:val="0079477C"/>
    <w:rsid w:val="007947A7"/>
    <w:rsid w:val="00794983"/>
    <w:rsid w:val="00794992"/>
    <w:rsid w:val="00794BC9"/>
    <w:rsid w:val="00794CFF"/>
    <w:rsid w:val="00794D52"/>
    <w:rsid w:val="00794DEE"/>
    <w:rsid w:val="00794E25"/>
    <w:rsid w:val="007950E1"/>
    <w:rsid w:val="00795253"/>
    <w:rsid w:val="007952B0"/>
    <w:rsid w:val="00795738"/>
    <w:rsid w:val="00795D80"/>
    <w:rsid w:val="00795FE9"/>
    <w:rsid w:val="00796095"/>
    <w:rsid w:val="00796139"/>
    <w:rsid w:val="0079616E"/>
    <w:rsid w:val="00796241"/>
    <w:rsid w:val="00796282"/>
    <w:rsid w:val="007962BA"/>
    <w:rsid w:val="00796331"/>
    <w:rsid w:val="0079692F"/>
    <w:rsid w:val="00796AA5"/>
    <w:rsid w:val="00796BA2"/>
    <w:rsid w:val="00796BEB"/>
    <w:rsid w:val="0079708C"/>
    <w:rsid w:val="007970F9"/>
    <w:rsid w:val="00797270"/>
    <w:rsid w:val="00797680"/>
    <w:rsid w:val="00797A0C"/>
    <w:rsid w:val="00797B2C"/>
    <w:rsid w:val="00797D91"/>
    <w:rsid w:val="007A01C7"/>
    <w:rsid w:val="007A0274"/>
    <w:rsid w:val="007A09D9"/>
    <w:rsid w:val="007A0B96"/>
    <w:rsid w:val="007A0EA9"/>
    <w:rsid w:val="007A0FD5"/>
    <w:rsid w:val="007A101E"/>
    <w:rsid w:val="007A10BB"/>
    <w:rsid w:val="007A10F1"/>
    <w:rsid w:val="007A11FB"/>
    <w:rsid w:val="007A12B8"/>
    <w:rsid w:val="007A12DA"/>
    <w:rsid w:val="007A1435"/>
    <w:rsid w:val="007A14E6"/>
    <w:rsid w:val="007A16BE"/>
    <w:rsid w:val="007A16CD"/>
    <w:rsid w:val="007A19CB"/>
    <w:rsid w:val="007A1AD3"/>
    <w:rsid w:val="007A1B25"/>
    <w:rsid w:val="007A1CE0"/>
    <w:rsid w:val="007A1D71"/>
    <w:rsid w:val="007A2004"/>
    <w:rsid w:val="007A2065"/>
    <w:rsid w:val="007A20A9"/>
    <w:rsid w:val="007A22F4"/>
    <w:rsid w:val="007A2358"/>
    <w:rsid w:val="007A23DF"/>
    <w:rsid w:val="007A254F"/>
    <w:rsid w:val="007A2788"/>
    <w:rsid w:val="007A2AA4"/>
    <w:rsid w:val="007A2CDD"/>
    <w:rsid w:val="007A2F11"/>
    <w:rsid w:val="007A309C"/>
    <w:rsid w:val="007A30D2"/>
    <w:rsid w:val="007A30E9"/>
    <w:rsid w:val="007A3279"/>
    <w:rsid w:val="007A33D8"/>
    <w:rsid w:val="007A34A2"/>
    <w:rsid w:val="007A355D"/>
    <w:rsid w:val="007A35BC"/>
    <w:rsid w:val="007A374E"/>
    <w:rsid w:val="007A3A97"/>
    <w:rsid w:val="007A40F7"/>
    <w:rsid w:val="007A41D1"/>
    <w:rsid w:val="007A42A6"/>
    <w:rsid w:val="007A4412"/>
    <w:rsid w:val="007A4531"/>
    <w:rsid w:val="007A4634"/>
    <w:rsid w:val="007A46C6"/>
    <w:rsid w:val="007A475A"/>
    <w:rsid w:val="007A477D"/>
    <w:rsid w:val="007A48F9"/>
    <w:rsid w:val="007A4A30"/>
    <w:rsid w:val="007A4AA3"/>
    <w:rsid w:val="007A4ADB"/>
    <w:rsid w:val="007A4BF1"/>
    <w:rsid w:val="007A4F58"/>
    <w:rsid w:val="007A4F8E"/>
    <w:rsid w:val="007A5012"/>
    <w:rsid w:val="007A5092"/>
    <w:rsid w:val="007A50FA"/>
    <w:rsid w:val="007A5195"/>
    <w:rsid w:val="007A5485"/>
    <w:rsid w:val="007A551C"/>
    <w:rsid w:val="007A5539"/>
    <w:rsid w:val="007A565D"/>
    <w:rsid w:val="007A5733"/>
    <w:rsid w:val="007A57E5"/>
    <w:rsid w:val="007A58C3"/>
    <w:rsid w:val="007A58DD"/>
    <w:rsid w:val="007A5A19"/>
    <w:rsid w:val="007A5B81"/>
    <w:rsid w:val="007A5F5D"/>
    <w:rsid w:val="007A6083"/>
    <w:rsid w:val="007A62B0"/>
    <w:rsid w:val="007A62D3"/>
    <w:rsid w:val="007A6435"/>
    <w:rsid w:val="007A6620"/>
    <w:rsid w:val="007A6990"/>
    <w:rsid w:val="007A6C47"/>
    <w:rsid w:val="007A6C7C"/>
    <w:rsid w:val="007A6DFF"/>
    <w:rsid w:val="007A6F03"/>
    <w:rsid w:val="007A6FB0"/>
    <w:rsid w:val="007A704F"/>
    <w:rsid w:val="007A70BE"/>
    <w:rsid w:val="007A72CC"/>
    <w:rsid w:val="007A7423"/>
    <w:rsid w:val="007A758C"/>
    <w:rsid w:val="007A79D1"/>
    <w:rsid w:val="007A7DD1"/>
    <w:rsid w:val="007A7EAB"/>
    <w:rsid w:val="007A7FC1"/>
    <w:rsid w:val="007B01EE"/>
    <w:rsid w:val="007B02CF"/>
    <w:rsid w:val="007B02E5"/>
    <w:rsid w:val="007B04B8"/>
    <w:rsid w:val="007B0561"/>
    <w:rsid w:val="007B08CA"/>
    <w:rsid w:val="007B0948"/>
    <w:rsid w:val="007B0982"/>
    <w:rsid w:val="007B0A70"/>
    <w:rsid w:val="007B1259"/>
    <w:rsid w:val="007B12C7"/>
    <w:rsid w:val="007B14EA"/>
    <w:rsid w:val="007B1771"/>
    <w:rsid w:val="007B18F3"/>
    <w:rsid w:val="007B1A59"/>
    <w:rsid w:val="007B1D7F"/>
    <w:rsid w:val="007B1D87"/>
    <w:rsid w:val="007B2410"/>
    <w:rsid w:val="007B25C7"/>
    <w:rsid w:val="007B29DA"/>
    <w:rsid w:val="007B2B6A"/>
    <w:rsid w:val="007B2C5F"/>
    <w:rsid w:val="007B2D00"/>
    <w:rsid w:val="007B2FB6"/>
    <w:rsid w:val="007B30D5"/>
    <w:rsid w:val="007B30F0"/>
    <w:rsid w:val="007B3165"/>
    <w:rsid w:val="007B316E"/>
    <w:rsid w:val="007B31D4"/>
    <w:rsid w:val="007B3625"/>
    <w:rsid w:val="007B384F"/>
    <w:rsid w:val="007B3BA6"/>
    <w:rsid w:val="007B3BD9"/>
    <w:rsid w:val="007B3CAE"/>
    <w:rsid w:val="007B3D74"/>
    <w:rsid w:val="007B3DA6"/>
    <w:rsid w:val="007B414C"/>
    <w:rsid w:val="007B45D8"/>
    <w:rsid w:val="007B469D"/>
    <w:rsid w:val="007B48AF"/>
    <w:rsid w:val="007B4A18"/>
    <w:rsid w:val="007B4A5E"/>
    <w:rsid w:val="007B4EFB"/>
    <w:rsid w:val="007B5031"/>
    <w:rsid w:val="007B5057"/>
    <w:rsid w:val="007B54E8"/>
    <w:rsid w:val="007B58AD"/>
    <w:rsid w:val="007B597F"/>
    <w:rsid w:val="007B5BFE"/>
    <w:rsid w:val="007B5C0B"/>
    <w:rsid w:val="007B5CBE"/>
    <w:rsid w:val="007B5DC5"/>
    <w:rsid w:val="007B613C"/>
    <w:rsid w:val="007B615D"/>
    <w:rsid w:val="007B655C"/>
    <w:rsid w:val="007B6760"/>
    <w:rsid w:val="007B6EA3"/>
    <w:rsid w:val="007B6FB4"/>
    <w:rsid w:val="007B71A0"/>
    <w:rsid w:val="007B7550"/>
    <w:rsid w:val="007B7618"/>
    <w:rsid w:val="007B7880"/>
    <w:rsid w:val="007B7A0F"/>
    <w:rsid w:val="007B7A64"/>
    <w:rsid w:val="007B7AA1"/>
    <w:rsid w:val="007B7AE4"/>
    <w:rsid w:val="007B7BBE"/>
    <w:rsid w:val="007B7C26"/>
    <w:rsid w:val="007B7C3E"/>
    <w:rsid w:val="007B7E4A"/>
    <w:rsid w:val="007C0156"/>
    <w:rsid w:val="007C06CE"/>
    <w:rsid w:val="007C07FF"/>
    <w:rsid w:val="007C0A0C"/>
    <w:rsid w:val="007C0AE8"/>
    <w:rsid w:val="007C0CBF"/>
    <w:rsid w:val="007C0E68"/>
    <w:rsid w:val="007C0FD8"/>
    <w:rsid w:val="007C0FE0"/>
    <w:rsid w:val="007C1051"/>
    <w:rsid w:val="007C105B"/>
    <w:rsid w:val="007C1101"/>
    <w:rsid w:val="007C12D6"/>
    <w:rsid w:val="007C15FE"/>
    <w:rsid w:val="007C1A61"/>
    <w:rsid w:val="007C1B96"/>
    <w:rsid w:val="007C1CAF"/>
    <w:rsid w:val="007C1D12"/>
    <w:rsid w:val="007C1D9D"/>
    <w:rsid w:val="007C1EAF"/>
    <w:rsid w:val="007C1F4D"/>
    <w:rsid w:val="007C210B"/>
    <w:rsid w:val="007C228D"/>
    <w:rsid w:val="007C22EA"/>
    <w:rsid w:val="007C282C"/>
    <w:rsid w:val="007C2907"/>
    <w:rsid w:val="007C29EC"/>
    <w:rsid w:val="007C2BB8"/>
    <w:rsid w:val="007C2C6A"/>
    <w:rsid w:val="007C2D5A"/>
    <w:rsid w:val="007C2E04"/>
    <w:rsid w:val="007C2EC7"/>
    <w:rsid w:val="007C2EDF"/>
    <w:rsid w:val="007C3216"/>
    <w:rsid w:val="007C337F"/>
    <w:rsid w:val="007C340E"/>
    <w:rsid w:val="007C35DD"/>
    <w:rsid w:val="007C3627"/>
    <w:rsid w:val="007C36A7"/>
    <w:rsid w:val="007C3A1F"/>
    <w:rsid w:val="007C3DFA"/>
    <w:rsid w:val="007C3EEF"/>
    <w:rsid w:val="007C3F37"/>
    <w:rsid w:val="007C3FA4"/>
    <w:rsid w:val="007C46F0"/>
    <w:rsid w:val="007C48DA"/>
    <w:rsid w:val="007C4AC4"/>
    <w:rsid w:val="007C4BCA"/>
    <w:rsid w:val="007C4BEF"/>
    <w:rsid w:val="007C4F64"/>
    <w:rsid w:val="007C4F79"/>
    <w:rsid w:val="007C4FAD"/>
    <w:rsid w:val="007C52A6"/>
    <w:rsid w:val="007C5440"/>
    <w:rsid w:val="007C58CB"/>
    <w:rsid w:val="007C5B34"/>
    <w:rsid w:val="007C5CE9"/>
    <w:rsid w:val="007C5DA0"/>
    <w:rsid w:val="007C5E10"/>
    <w:rsid w:val="007C5E51"/>
    <w:rsid w:val="007C603D"/>
    <w:rsid w:val="007C60BC"/>
    <w:rsid w:val="007C65FB"/>
    <w:rsid w:val="007C6949"/>
    <w:rsid w:val="007C69EE"/>
    <w:rsid w:val="007C69FB"/>
    <w:rsid w:val="007C6D6E"/>
    <w:rsid w:val="007C6DE4"/>
    <w:rsid w:val="007C71F9"/>
    <w:rsid w:val="007C7225"/>
    <w:rsid w:val="007C737D"/>
    <w:rsid w:val="007C7602"/>
    <w:rsid w:val="007C76A2"/>
    <w:rsid w:val="007C7760"/>
    <w:rsid w:val="007C7B35"/>
    <w:rsid w:val="007C7C7C"/>
    <w:rsid w:val="007C7D98"/>
    <w:rsid w:val="007C7E2B"/>
    <w:rsid w:val="007C7EC0"/>
    <w:rsid w:val="007D0043"/>
    <w:rsid w:val="007D0105"/>
    <w:rsid w:val="007D0119"/>
    <w:rsid w:val="007D01B4"/>
    <w:rsid w:val="007D06E9"/>
    <w:rsid w:val="007D0B09"/>
    <w:rsid w:val="007D0B2D"/>
    <w:rsid w:val="007D0B67"/>
    <w:rsid w:val="007D0CA9"/>
    <w:rsid w:val="007D0E81"/>
    <w:rsid w:val="007D1028"/>
    <w:rsid w:val="007D112C"/>
    <w:rsid w:val="007D1249"/>
    <w:rsid w:val="007D1266"/>
    <w:rsid w:val="007D13E2"/>
    <w:rsid w:val="007D1525"/>
    <w:rsid w:val="007D1664"/>
    <w:rsid w:val="007D16EB"/>
    <w:rsid w:val="007D17DF"/>
    <w:rsid w:val="007D1A4A"/>
    <w:rsid w:val="007D1A9E"/>
    <w:rsid w:val="007D1FC4"/>
    <w:rsid w:val="007D215E"/>
    <w:rsid w:val="007D2195"/>
    <w:rsid w:val="007D2338"/>
    <w:rsid w:val="007D23E5"/>
    <w:rsid w:val="007D244E"/>
    <w:rsid w:val="007D2459"/>
    <w:rsid w:val="007D2461"/>
    <w:rsid w:val="007D26BC"/>
    <w:rsid w:val="007D26DB"/>
    <w:rsid w:val="007D2741"/>
    <w:rsid w:val="007D2849"/>
    <w:rsid w:val="007D2C78"/>
    <w:rsid w:val="007D2F80"/>
    <w:rsid w:val="007D3464"/>
    <w:rsid w:val="007D349B"/>
    <w:rsid w:val="007D37E8"/>
    <w:rsid w:val="007D399E"/>
    <w:rsid w:val="007D3B22"/>
    <w:rsid w:val="007D3CDC"/>
    <w:rsid w:val="007D3CEB"/>
    <w:rsid w:val="007D3E93"/>
    <w:rsid w:val="007D4059"/>
    <w:rsid w:val="007D432B"/>
    <w:rsid w:val="007D4375"/>
    <w:rsid w:val="007D43B0"/>
    <w:rsid w:val="007D4444"/>
    <w:rsid w:val="007D44E1"/>
    <w:rsid w:val="007D4887"/>
    <w:rsid w:val="007D4D0A"/>
    <w:rsid w:val="007D503A"/>
    <w:rsid w:val="007D54D0"/>
    <w:rsid w:val="007D56E6"/>
    <w:rsid w:val="007D5820"/>
    <w:rsid w:val="007D5D22"/>
    <w:rsid w:val="007D5DB2"/>
    <w:rsid w:val="007D5EF3"/>
    <w:rsid w:val="007D5EFC"/>
    <w:rsid w:val="007D6361"/>
    <w:rsid w:val="007D6519"/>
    <w:rsid w:val="007D65EF"/>
    <w:rsid w:val="007D665A"/>
    <w:rsid w:val="007D667C"/>
    <w:rsid w:val="007D671A"/>
    <w:rsid w:val="007D67E3"/>
    <w:rsid w:val="007D6F24"/>
    <w:rsid w:val="007D6F7A"/>
    <w:rsid w:val="007D70F1"/>
    <w:rsid w:val="007D71E8"/>
    <w:rsid w:val="007D72DD"/>
    <w:rsid w:val="007D7694"/>
    <w:rsid w:val="007D79B4"/>
    <w:rsid w:val="007D7D0D"/>
    <w:rsid w:val="007D7DA2"/>
    <w:rsid w:val="007D7F6E"/>
    <w:rsid w:val="007E02A8"/>
    <w:rsid w:val="007E04B8"/>
    <w:rsid w:val="007E0632"/>
    <w:rsid w:val="007E06B9"/>
    <w:rsid w:val="007E0715"/>
    <w:rsid w:val="007E074C"/>
    <w:rsid w:val="007E07FA"/>
    <w:rsid w:val="007E0926"/>
    <w:rsid w:val="007E0976"/>
    <w:rsid w:val="007E09F3"/>
    <w:rsid w:val="007E0A42"/>
    <w:rsid w:val="007E0BE6"/>
    <w:rsid w:val="007E0CF0"/>
    <w:rsid w:val="007E0D18"/>
    <w:rsid w:val="007E0F4F"/>
    <w:rsid w:val="007E10DC"/>
    <w:rsid w:val="007E10E5"/>
    <w:rsid w:val="007E1203"/>
    <w:rsid w:val="007E1386"/>
    <w:rsid w:val="007E1634"/>
    <w:rsid w:val="007E18F4"/>
    <w:rsid w:val="007E197E"/>
    <w:rsid w:val="007E1E09"/>
    <w:rsid w:val="007E21D7"/>
    <w:rsid w:val="007E2481"/>
    <w:rsid w:val="007E27D1"/>
    <w:rsid w:val="007E2B40"/>
    <w:rsid w:val="007E318D"/>
    <w:rsid w:val="007E31F8"/>
    <w:rsid w:val="007E33DC"/>
    <w:rsid w:val="007E3674"/>
    <w:rsid w:val="007E36BC"/>
    <w:rsid w:val="007E38A6"/>
    <w:rsid w:val="007E3A22"/>
    <w:rsid w:val="007E3B55"/>
    <w:rsid w:val="007E3BC9"/>
    <w:rsid w:val="007E3D88"/>
    <w:rsid w:val="007E44E9"/>
    <w:rsid w:val="007E452B"/>
    <w:rsid w:val="007E4638"/>
    <w:rsid w:val="007E465E"/>
    <w:rsid w:val="007E4714"/>
    <w:rsid w:val="007E4928"/>
    <w:rsid w:val="007E4A7D"/>
    <w:rsid w:val="007E4E59"/>
    <w:rsid w:val="007E5013"/>
    <w:rsid w:val="007E5193"/>
    <w:rsid w:val="007E5212"/>
    <w:rsid w:val="007E52CB"/>
    <w:rsid w:val="007E562E"/>
    <w:rsid w:val="007E59F5"/>
    <w:rsid w:val="007E5E6A"/>
    <w:rsid w:val="007E6011"/>
    <w:rsid w:val="007E6074"/>
    <w:rsid w:val="007E6478"/>
    <w:rsid w:val="007E67B7"/>
    <w:rsid w:val="007E67ED"/>
    <w:rsid w:val="007E6E59"/>
    <w:rsid w:val="007E6FFB"/>
    <w:rsid w:val="007E7043"/>
    <w:rsid w:val="007E71A7"/>
    <w:rsid w:val="007E7225"/>
    <w:rsid w:val="007E7283"/>
    <w:rsid w:val="007E731F"/>
    <w:rsid w:val="007E7534"/>
    <w:rsid w:val="007E791D"/>
    <w:rsid w:val="007E7978"/>
    <w:rsid w:val="007E7D0C"/>
    <w:rsid w:val="007E7EAA"/>
    <w:rsid w:val="007E7EBC"/>
    <w:rsid w:val="007F00BD"/>
    <w:rsid w:val="007F019B"/>
    <w:rsid w:val="007F029B"/>
    <w:rsid w:val="007F0459"/>
    <w:rsid w:val="007F06D0"/>
    <w:rsid w:val="007F094C"/>
    <w:rsid w:val="007F0AA6"/>
    <w:rsid w:val="007F0B73"/>
    <w:rsid w:val="007F0BB1"/>
    <w:rsid w:val="007F0C3E"/>
    <w:rsid w:val="007F0F88"/>
    <w:rsid w:val="007F1214"/>
    <w:rsid w:val="007F14A9"/>
    <w:rsid w:val="007F19A6"/>
    <w:rsid w:val="007F19DF"/>
    <w:rsid w:val="007F1B17"/>
    <w:rsid w:val="007F1D95"/>
    <w:rsid w:val="007F1DB2"/>
    <w:rsid w:val="007F1E38"/>
    <w:rsid w:val="007F1E4A"/>
    <w:rsid w:val="007F1EFA"/>
    <w:rsid w:val="007F2096"/>
    <w:rsid w:val="007F22ED"/>
    <w:rsid w:val="007F230D"/>
    <w:rsid w:val="007F2335"/>
    <w:rsid w:val="007F2396"/>
    <w:rsid w:val="007F2555"/>
    <w:rsid w:val="007F26A3"/>
    <w:rsid w:val="007F2734"/>
    <w:rsid w:val="007F2B1C"/>
    <w:rsid w:val="007F2B80"/>
    <w:rsid w:val="007F2D53"/>
    <w:rsid w:val="007F2E04"/>
    <w:rsid w:val="007F3094"/>
    <w:rsid w:val="007F33D4"/>
    <w:rsid w:val="007F34ED"/>
    <w:rsid w:val="007F34F0"/>
    <w:rsid w:val="007F36DA"/>
    <w:rsid w:val="007F37A5"/>
    <w:rsid w:val="007F3848"/>
    <w:rsid w:val="007F3BA5"/>
    <w:rsid w:val="007F405A"/>
    <w:rsid w:val="007F408D"/>
    <w:rsid w:val="007F42EA"/>
    <w:rsid w:val="007F43C6"/>
    <w:rsid w:val="007F4565"/>
    <w:rsid w:val="007F471A"/>
    <w:rsid w:val="007F4C0B"/>
    <w:rsid w:val="007F5009"/>
    <w:rsid w:val="007F51F0"/>
    <w:rsid w:val="007F52C9"/>
    <w:rsid w:val="007F5308"/>
    <w:rsid w:val="007F5571"/>
    <w:rsid w:val="007F5676"/>
    <w:rsid w:val="007F56C1"/>
    <w:rsid w:val="007F58B3"/>
    <w:rsid w:val="007F5B95"/>
    <w:rsid w:val="007F5C3B"/>
    <w:rsid w:val="007F5E0B"/>
    <w:rsid w:val="007F61B4"/>
    <w:rsid w:val="007F61F5"/>
    <w:rsid w:val="007F6217"/>
    <w:rsid w:val="007F677A"/>
    <w:rsid w:val="007F6A02"/>
    <w:rsid w:val="007F6A4C"/>
    <w:rsid w:val="007F6AEE"/>
    <w:rsid w:val="007F6B9C"/>
    <w:rsid w:val="007F6F47"/>
    <w:rsid w:val="007F6F87"/>
    <w:rsid w:val="007F74AD"/>
    <w:rsid w:val="007F7790"/>
    <w:rsid w:val="007F793F"/>
    <w:rsid w:val="007F7941"/>
    <w:rsid w:val="007F79E6"/>
    <w:rsid w:val="007F79F3"/>
    <w:rsid w:val="007F7C38"/>
    <w:rsid w:val="007F7CD7"/>
    <w:rsid w:val="007F7D68"/>
    <w:rsid w:val="007F7FDF"/>
    <w:rsid w:val="008000E8"/>
    <w:rsid w:val="00800208"/>
    <w:rsid w:val="008002FD"/>
    <w:rsid w:val="00800338"/>
    <w:rsid w:val="00800749"/>
    <w:rsid w:val="00800877"/>
    <w:rsid w:val="00800B8A"/>
    <w:rsid w:val="00800E0F"/>
    <w:rsid w:val="00800E50"/>
    <w:rsid w:val="00800E96"/>
    <w:rsid w:val="00800EDB"/>
    <w:rsid w:val="00800F19"/>
    <w:rsid w:val="008010CC"/>
    <w:rsid w:val="00801349"/>
    <w:rsid w:val="0080143F"/>
    <w:rsid w:val="00801480"/>
    <w:rsid w:val="008014B1"/>
    <w:rsid w:val="00801597"/>
    <w:rsid w:val="00801711"/>
    <w:rsid w:val="008017D2"/>
    <w:rsid w:val="00801840"/>
    <w:rsid w:val="008018CB"/>
    <w:rsid w:val="00801B68"/>
    <w:rsid w:val="00802312"/>
    <w:rsid w:val="00802339"/>
    <w:rsid w:val="0080257B"/>
    <w:rsid w:val="00802580"/>
    <w:rsid w:val="00802884"/>
    <w:rsid w:val="0080290D"/>
    <w:rsid w:val="00802959"/>
    <w:rsid w:val="008030AF"/>
    <w:rsid w:val="008031BF"/>
    <w:rsid w:val="008031F3"/>
    <w:rsid w:val="008034F6"/>
    <w:rsid w:val="008036FA"/>
    <w:rsid w:val="00803AA9"/>
    <w:rsid w:val="00803B9F"/>
    <w:rsid w:val="00803BD6"/>
    <w:rsid w:val="00803ED5"/>
    <w:rsid w:val="00803FF7"/>
    <w:rsid w:val="008042BA"/>
    <w:rsid w:val="00804555"/>
    <w:rsid w:val="00804663"/>
    <w:rsid w:val="008047E6"/>
    <w:rsid w:val="008048DE"/>
    <w:rsid w:val="0080492F"/>
    <w:rsid w:val="00804A43"/>
    <w:rsid w:val="00804BC2"/>
    <w:rsid w:val="00804F1C"/>
    <w:rsid w:val="00804F3F"/>
    <w:rsid w:val="0080530C"/>
    <w:rsid w:val="00805388"/>
    <w:rsid w:val="008056D1"/>
    <w:rsid w:val="008057C6"/>
    <w:rsid w:val="00805871"/>
    <w:rsid w:val="008058E1"/>
    <w:rsid w:val="0080591E"/>
    <w:rsid w:val="0080592B"/>
    <w:rsid w:val="0080593A"/>
    <w:rsid w:val="00805FBD"/>
    <w:rsid w:val="0080611A"/>
    <w:rsid w:val="00806352"/>
    <w:rsid w:val="00806514"/>
    <w:rsid w:val="00806983"/>
    <w:rsid w:val="00806A73"/>
    <w:rsid w:val="00806B89"/>
    <w:rsid w:val="00806DB6"/>
    <w:rsid w:val="00806E8A"/>
    <w:rsid w:val="0080714B"/>
    <w:rsid w:val="00807520"/>
    <w:rsid w:val="008077CF"/>
    <w:rsid w:val="00807857"/>
    <w:rsid w:val="008079B5"/>
    <w:rsid w:val="008079C1"/>
    <w:rsid w:val="00807A46"/>
    <w:rsid w:val="00807BD4"/>
    <w:rsid w:val="00807FD9"/>
    <w:rsid w:val="00810258"/>
    <w:rsid w:val="0081041E"/>
    <w:rsid w:val="00810496"/>
    <w:rsid w:val="00810519"/>
    <w:rsid w:val="0081085F"/>
    <w:rsid w:val="00810928"/>
    <w:rsid w:val="00810A63"/>
    <w:rsid w:val="00810B7A"/>
    <w:rsid w:val="00810DDF"/>
    <w:rsid w:val="00810EB9"/>
    <w:rsid w:val="008111C4"/>
    <w:rsid w:val="008112B1"/>
    <w:rsid w:val="008112C0"/>
    <w:rsid w:val="00811354"/>
    <w:rsid w:val="0081185E"/>
    <w:rsid w:val="00811A61"/>
    <w:rsid w:val="00811B2F"/>
    <w:rsid w:val="00811C0D"/>
    <w:rsid w:val="00811E8F"/>
    <w:rsid w:val="0081200C"/>
    <w:rsid w:val="00812073"/>
    <w:rsid w:val="008121BC"/>
    <w:rsid w:val="008122AB"/>
    <w:rsid w:val="008124BF"/>
    <w:rsid w:val="00812614"/>
    <w:rsid w:val="00812659"/>
    <w:rsid w:val="00812A61"/>
    <w:rsid w:val="00812A7E"/>
    <w:rsid w:val="00812C7D"/>
    <w:rsid w:val="00812E7A"/>
    <w:rsid w:val="00812F2E"/>
    <w:rsid w:val="00812FDF"/>
    <w:rsid w:val="008130B1"/>
    <w:rsid w:val="008131C8"/>
    <w:rsid w:val="00813446"/>
    <w:rsid w:val="00813579"/>
    <w:rsid w:val="00813688"/>
    <w:rsid w:val="0081374D"/>
    <w:rsid w:val="008139BB"/>
    <w:rsid w:val="00813A02"/>
    <w:rsid w:val="00813AC0"/>
    <w:rsid w:val="00813EBC"/>
    <w:rsid w:val="008140F1"/>
    <w:rsid w:val="008142F3"/>
    <w:rsid w:val="008143A9"/>
    <w:rsid w:val="008145F2"/>
    <w:rsid w:val="008146D0"/>
    <w:rsid w:val="00814724"/>
    <w:rsid w:val="008148E9"/>
    <w:rsid w:val="00814A2E"/>
    <w:rsid w:val="00814A51"/>
    <w:rsid w:val="00814C26"/>
    <w:rsid w:val="00814EB1"/>
    <w:rsid w:val="00815035"/>
    <w:rsid w:val="008152EE"/>
    <w:rsid w:val="00815684"/>
    <w:rsid w:val="00815729"/>
    <w:rsid w:val="008157C6"/>
    <w:rsid w:val="0081582E"/>
    <w:rsid w:val="008158DA"/>
    <w:rsid w:val="0081595A"/>
    <w:rsid w:val="00815ACF"/>
    <w:rsid w:val="00815C6E"/>
    <w:rsid w:val="00816139"/>
    <w:rsid w:val="00816165"/>
    <w:rsid w:val="008161FC"/>
    <w:rsid w:val="00816368"/>
    <w:rsid w:val="0081668A"/>
    <w:rsid w:val="0081684D"/>
    <w:rsid w:val="00816DE0"/>
    <w:rsid w:val="00817190"/>
    <w:rsid w:val="00817312"/>
    <w:rsid w:val="00817316"/>
    <w:rsid w:val="00817318"/>
    <w:rsid w:val="0081732B"/>
    <w:rsid w:val="00817363"/>
    <w:rsid w:val="00817365"/>
    <w:rsid w:val="00817449"/>
    <w:rsid w:val="008179CC"/>
    <w:rsid w:val="00817A3F"/>
    <w:rsid w:val="0082005A"/>
    <w:rsid w:val="00820111"/>
    <w:rsid w:val="008207C5"/>
    <w:rsid w:val="00820807"/>
    <w:rsid w:val="00820880"/>
    <w:rsid w:val="008209A9"/>
    <w:rsid w:val="00820AEB"/>
    <w:rsid w:val="00820E39"/>
    <w:rsid w:val="00820EA5"/>
    <w:rsid w:val="00820F13"/>
    <w:rsid w:val="00820F36"/>
    <w:rsid w:val="00820FEF"/>
    <w:rsid w:val="00821216"/>
    <w:rsid w:val="0082142C"/>
    <w:rsid w:val="00821572"/>
    <w:rsid w:val="008215B1"/>
    <w:rsid w:val="00821663"/>
    <w:rsid w:val="00821699"/>
    <w:rsid w:val="00821736"/>
    <w:rsid w:val="008217EF"/>
    <w:rsid w:val="0082181B"/>
    <w:rsid w:val="00821994"/>
    <w:rsid w:val="00821AB4"/>
    <w:rsid w:val="00821D58"/>
    <w:rsid w:val="00821E09"/>
    <w:rsid w:val="00821E71"/>
    <w:rsid w:val="00821F6A"/>
    <w:rsid w:val="00821F89"/>
    <w:rsid w:val="00821FBC"/>
    <w:rsid w:val="00822103"/>
    <w:rsid w:val="00822174"/>
    <w:rsid w:val="00822218"/>
    <w:rsid w:val="008222C8"/>
    <w:rsid w:val="00822390"/>
    <w:rsid w:val="008224AD"/>
    <w:rsid w:val="008224E5"/>
    <w:rsid w:val="00822637"/>
    <w:rsid w:val="00822734"/>
    <w:rsid w:val="0082277D"/>
    <w:rsid w:val="00822861"/>
    <w:rsid w:val="00822875"/>
    <w:rsid w:val="00822F51"/>
    <w:rsid w:val="00822FF0"/>
    <w:rsid w:val="008230B5"/>
    <w:rsid w:val="00823129"/>
    <w:rsid w:val="00823155"/>
    <w:rsid w:val="008234CB"/>
    <w:rsid w:val="0082395F"/>
    <w:rsid w:val="00823B41"/>
    <w:rsid w:val="00823DAB"/>
    <w:rsid w:val="00823ED0"/>
    <w:rsid w:val="008241C4"/>
    <w:rsid w:val="008244DE"/>
    <w:rsid w:val="00824577"/>
    <w:rsid w:val="008247FB"/>
    <w:rsid w:val="0082483C"/>
    <w:rsid w:val="00824A60"/>
    <w:rsid w:val="00824AA2"/>
    <w:rsid w:val="00824AC4"/>
    <w:rsid w:val="00824B95"/>
    <w:rsid w:val="00824C0E"/>
    <w:rsid w:val="00824E0F"/>
    <w:rsid w:val="0082511F"/>
    <w:rsid w:val="008251DA"/>
    <w:rsid w:val="008252B2"/>
    <w:rsid w:val="008253AF"/>
    <w:rsid w:val="008254D4"/>
    <w:rsid w:val="008259AB"/>
    <w:rsid w:val="00825A6A"/>
    <w:rsid w:val="00825DF3"/>
    <w:rsid w:val="00825E0D"/>
    <w:rsid w:val="00825E16"/>
    <w:rsid w:val="00825E35"/>
    <w:rsid w:val="0082609F"/>
    <w:rsid w:val="00826151"/>
    <w:rsid w:val="0082667E"/>
    <w:rsid w:val="0082668A"/>
    <w:rsid w:val="0082682F"/>
    <w:rsid w:val="00826E3B"/>
    <w:rsid w:val="00826E49"/>
    <w:rsid w:val="00826ED8"/>
    <w:rsid w:val="008271C3"/>
    <w:rsid w:val="008271CA"/>
    <w:rsid w:val="0082728B"/>
    <w:rsid w:val="008272AA"/>
    <w:rsid w:val="008272B4"/>
    <w:rsid w:val="0082732E"/>
    <w:rsid w:val="0082752F"/>
    <w:rsid w:val="00827661"/>
    <w:rsid w:val="008278CF"/>
    <w:rsid w:val="008278E5"/>
    <w:rsid w:val="00827C8B"/>
    <w:rsid w:val="00827CEB"/>
    <w:rsid w:val="00827EB4"/>
    <w:rsid w:val="0083008B"/>
    <w:rsid w:val="00830115"/>
    <w:rsid w:val="008306F7"/>
    <w:rsid w:val="00830721"/>
    <w:rsid w:val="00830810"/>
    <w:rsid w:val="00830989"/>
    <w:rsid w:val="00830A09"/>
    <w:rsid w:val="00830C25"/>
    <w:rsid w:val="00830CD0"/>
    <w:rsid w:val="00830E4A"/>
    <w:rsid w:val="00830E57"/>
    <w:rsid w:val="0083120B"/>
    <w:rsid w:val="00831386"/>
    <w:rsid w:val="00831819"/>
    <w:rsid w:val="0083198E"/>
    <w:rsid w:val="00831D91"/>
    <w:rsid w:val="00832066"/>
    <w:rsid w:val="00832417"/>
    <w:rsid w:val="0083256D"/>
    <w:rsid w:val="00832694"/>
    <w:rsid w:val="00832784"/>
    <w:rsid w:val="0083279F"/>
    <w:rsid w:val="00832872"/>
    <w:rsid w:val="008328D9"/>
    <w:rsid w:val="008328DF"/>
    <w:rsid w:val="008328F3"/>
    <w:rsid w:val="00832A2A"/>
    <w:rsid w:val="00832A6B"/>
    <w:rsid w:val="00832BF1"/>
    <w:rsid w:val="00832C04"/>
    <w:rsid w:val="00832C42"/>
    <w:rsid w:val="0083337C"/>
    <w:rsid w:val="008334A0"/>
    <w:rsid w:val="008337AB"/>
    <w:rsid w:val="008337CF"/>
    <w:rsid w:val="008339C2"/>
    <w:rsid w:val="00833A4B"/>
    <w:rsid w:val="00833B3F"/>
    <w:rsid w:val="00833BED"/>
    <w:rsid w:val="00833EE2"/>
    <w:rsid w:val="00833EEB"/>
    <w:rsid w:val="00834166"/>
    <w:rsid w:val="008341E4"/>
    <w:rsid w:val="008341ED"/>
    <w:rsid w:val="008342BD"/>
    <w:rsid w:val="00834370"/>
    <w:rsid w:val="00834443"/>
    <w:rsid w:val="00834475"/>
    <w:rsid w:val="008344D8"/>
    <w:rsid w:val="008345DE"/>
    <w:rsid w:val="00834926"/>
    <w:rsid w:val="00834BA2"/>
    <w:rsid w:val="00834C1E"/>
    <w:rsid w:val="00834CCA"/>
    <w:rsid w:val="00834F9F"/>
    <w:rsid w:val="008350E6"/>
    <w:rsid w:val="0083576B"/>
    <w:rsid w:val="00835846"/>
    <w:rsid w:val="00835952"/>
    <w:rsid w:val="00835A95"/>
    <w:rsid w:val="00835AF4"/>
    <w:rsid w:val="00835C65"/>
    <w:rsid w:val="00835C7D"/>
    <w:rsid w:val="00835DD0"/>
    <w:rsid w:val="00836305"/>
    <w:rsid w:val="0083631F"/>
    <w:rsid w:val="00836402"/>
    <w:rsid w:val="0083667B"/>
    <w:rsid w:val="00836751"/>
    <w:rsid w:val="0083678D"/>
    <w:rsid w:val="0083693A"/>
    <w:rsid w:val="00836C6A"/>
    <w:rsid w:val="00836F23"/>
    <w:rsid w:val="00837330"/>
    <w:rsid w:val="008374D8"/>
    <w:rsid w:val="00837570"/>
    <w:rsid w:val="00837A02"/>
    <w:rsid w:val="00837B5A"/>
    <w:rsid w:val="00837E19"/>
    <w:rsid w:val="00837FB7"/>
    <w:rsid w:val="0084020D"/>
    <w:rsid w:val="00840329"/>
    <w:rsid w:val="00840968"/>
    <w:rsid w:val="008409C2"/>
    <w:rsid w:val="00840DF6"/>
    <w:rsid w:val="0084104C"/>
    <w:rsid w:val="00841066"/>
    <w:rsid w:val="008410F4"/>
    <w:rsid w:val="00841199"/>
    <w:rsid w:val="00841367"/>
    <w:rsid w:val="008413F0"/>
    <w:rsid w:val="00841552"/>
    <w:rsid w:val="008417ED"/>
    <w:rsid w:val="00841A58"/>
    <w:rsid w:val="00841AB7"/>
    <w:rsid w:val="00841D41"/>
    <w:rsid w:val="0084209D"/>
    <w:rsid w:val="00842380"/>
    <w:rsid w:val="008423FE"/>
    <w:rsid w:val="00842471"/>
    <w:rsid w:val="00842977"/>
    <w:rsid w:val="00842B73"/>
    <w:rsid w:val="00843046"/>
    <w:rsid w:val="00843175"/>
    <w:rsid w:val="00843390"/>
    <w:rsid w:val="008436CB"/>
    <w:rsid w:val="00843835"/>
    <w:rsid w:val="00843889"/>
    <w:rsid w:val="008439A5"/>
    <w:rsid w:val="008439C3"/>
    <w:rsid w:val="00843B9D"/>
    <w:rsid w:val="00843BAE"/>
    <w:rsid w:val="00843C06"/>
    <w:rsid w:val="00843D04"/>
    <w:rsid w:val="00843DFC"/>
    <w:rsid w:val="00843E5F"/>
    <w:rsid w:val="00843FFB"/>
    <w:rsid w:val="0084401B"/>
    <w:rsid w:val="00844050"/>
    <w:rsid w:val="008440D9"/>
    <w:rsid w:val="00844358"/>
    <w:rsid w:val="00844508"/>
    <w:rsid w:val="00844514"/>
    <w:rsid w:val="008445AD"/>
    <w:rsid w:val="008445FF"/>
    <w:rsid w:val="00844699"/>
    <w:rsid w:val="00844AE3"/>
    <w:rsid w:val="00844D36"/>
    <w:rsid w:val="00844DA7"/>
    <w:rsid w:val="008450B3"/>
    <w:rsid w:val="00845282"/>
    <w:rsid w:val="0084550E"/>
    <w:rsid w:val="0084569C"/>
    <w:rsid w:val="0084572C"/>
    <w:rsid w:val="0084589A"/>
    <w:rsid w:val="0084597A"/>
    <w:rsid w:val="00845D4B"/>
    <w:rsid w:val="00845E25"/>
    <w:rsid w:val="00846161"/>
    <w:rsid w:val="008461C5"/>
    <w:rsid w:val="008462C3"/>
    <w:rsid w:val="008463E1"/>
    <w:rsid w:val="00846597"/>
    <w:rsid w:val="00846AD6"/>
    <w:rsid w:val="00846B48"/>
    <w:rsid w:val="00846B9A"/>
    <w:rsid w:val="00846BC9"/>
    <w:rsid w:val="00847101"/>
    <w:rsid w:val="008474A2"/>
    <w:rsid w:val="00847573"/>
    <w:rsid w:val="008475BF"/>
    <w:rsid w:val="008476BD"/>
    <w:rsid w:val="008476EA"/>
    <w:rsid w:val="0084789A"/>
    <w:rsid w:val="00847D86"/>
    <w:rsid w:val="00847F6F"/>
    <w:rsid w:val="00850049"/>
    <w:rsid w:val="00850092"/>
    <w:rsid w:val="0085010E"/>
    <w:rsid w:val="0085036C"/>
    <w:rsid w:val="0085073B"/>
    <w:rsid w:val="008509C9"/>
    <w:rsid w:val="00850B74"/>
    <w:rsid w:val="00850C16"/>
    <w:rsid w:val="00850FB8"/>
    <w:rsid w:val="008510AB"/>
    <w:rsid w:val="0085131E"/>
    <w:rsid w:val="008516F7"/>
    <w:rsid w:val="00851756"/>
    <w:rsid w:val="00851B4C"/>
    <w:rsid w:val="00851DB7"/>
    <w:rsid w:val="00851FB9"/>
    <w:rsid w:val="00852170"/>
    <w:rsid w:val="008521A6"/>
    <w:rsid w:val="008521CB"/>
    <w:rsid w:val="00852381"/>
    <w:rsid w:val="008526C0"/>
    <w:rsid w:val="0085287B"/>
    <w:rsid w:val="008528B5"/>
    <w:rsid w:val="00852903"/>
    <w:rsid w:val="0085295A"/>
    <w:rsid w:val="00852B66"/>
    <w:rsid w:val="00852BAC"/>
    <w:rsid w:val="00852CE0"/>
    <w:rsid w:val="00852DF4"/>
    <w:rsid w:val="00852F76"/>
    <w:rsid w:val="008530C5"/>
    <w:rsid w:val="00853100"/>
    <w:rsid w:val="008531BD"/>
    <w:rsid w:val="00853215"/>
    <w:rsid w:val="008534FB"/>
    <w:rsid w:val="0085351C"/>
    <w:rsid w:val="00853792"/>
    <w:rsid w:val="008539C7"/>
    <w:rsid w:val="00853A65"/>
    <w:rsid w:val="00853A8D"/>
    <w:rsid w:val="00853ADD"/>
    <w:rsid w:val="00853D32"/>
    <w:rsid w:val="00853D77"/>
    <w:rsid w:val="00853DA1"/>
    <w:rsid w:val="00853E72"/>
    <w:rsid w:val="00854030"/>
    <w:rsid w:val="008540C7"/>
    <w:rsid w:val="008540DD"/>
    <w:rsid w:val="008541CA"/>
    <w:rsid w:val="008542D7"/>
    <w:rsid w:val="00854428"/>
    <w:rsid w:val="00854481"/>
    <w:rsid w:val="00854532"/>
    <w:rsid w:val="00854627"/>
    <w:rsid w:val="0085466C"/>
    <w:rsid w:val="00854824"/>
    <w:rsid w:val="0085489A"/>
    <w:rsid w:val="0085497C"/>
    <w:rsid w:val="008549F2"/>
    <w:rsid w:val="00854D25"/>
    <w:rsid w:val="00854E72"/>
    <w:rsid w:val="00854FD2"/>
    <w:rsid w:val="00854FD4"/>
    <w:rsid w:val="00854FED"/>
    <w:rsid w:val="00855118"/>
    <w:rsid w:val="008554FC"/>
    <w:rsid w:val="008556A8"/>
    <w:rsid w:val="00855728"/>
    <w:rsid w:val="0085597A"/>
    <w:rsid w:val="00855981"/>
    <w:rsid w:val="008559CC"/>
    <w:rsid w:val="008559FA"/>
    <w:rsid w:val="00855A19"/>
    <w:rsid w:val="00855A8E"/>
    <w:rsid w:val="00855BB0"/>
    <w:rsid w:val="00855BBA"/>
    <w:rsid w:val="00855C7F"/>
    <w:rsid w:val="00855F39"/>
    <w:rsid w:val="0085604C"/>
    <w:rsid w:val="0085618A"/>
    <w:rsid w:val="0085635D"/>
    <w:rsid w:val="00856366"/>
    <w:rsid w:val="00856471"/>
    <w:rsid w:val="008564A8"/>
    <w:rsid w:val="008564C1"/>
    <w:rsid w:val="008565CB"/>
    <w:rsid w:val="00856A5D"/>
    <w:rsid w:val="00856DEA"/>
    <w:rsid w:val="00856F36"/>
    <w:rsid w:val="00856FF6"/>
    <w:rsid w:val="00857173"/>
    <w:rsid w:val="0085743F"/>
    <w:rsid w:val="008574EF"/>
    <w:rsid w:val="0085750E"/>
    <w:rsid w:val="00857A25"/>
    <w:rsid w:val="00857AFF"/>
    <w:rsid w:val="00857B49"/>
    <w:rsid w:val="00857BED"/>
    <w:rsid w:val="00857BF5"/>
    <w:rsid w:val="00857E7C"/>
    <w:rsid w:val="00857F16"/>
    <w:rsid w:val="008601D7"/>
    <w:rsid w:val="008602BD"/>
    <w:rsid w:val="008603A9"/>
    <w:rsid w:val="008603E7"/>
    <w:rsid w:val="0086085D"/>
    <w:rsid w:val="00860928"/>
    <w:rsid w:val="00860A83"/>
    <w:rsid w:val="00860D08"/>
    <w:rsid w:val="00860E82"/>
    <w:rsid w:val="00860EB8"/>
    <w:rsid w:val="008611C6"/>
    <w:rsid w:val="00861251"/>
    <w:rsid w:val="008612F0"/>
    <w:rsid w:val="00861370"/>
    <w:rsid w:val="008613B1"/>
    <w:rsid w:val="00861B20"/>
    <w:rsid w:val="00861FB2"/>
    <w:rsid w:val="00862297"/>
    <w:rsid w:val="0086232A"/>
    <w:rsid w:val="008624D8"/>
    <w:rsid w:val="008625BB"/>
    <w:rsid w:val="008629B8"/>
    <w:rsid w:val="00862A1E"/>
    <w:rsid w:val="00862A59"/>
    <w:rsid w:val="00862DD5"/>
    <w:rsid w:val="00863009"/>
    <w:rsid w:val="0086307D"/>
    <w:rsid w:val="00863143"/>
    <w:rsid w:val="008633BF"/>
    <w:rsid w:val="00863674"/>
    <w:rsid w:val="00863863"/>
    <w:rsid w:val="00863A9F"/>
    <w:rsid w:val="00863B12"/>
    <w:rsid w:val="00863B2C"/>
    <w:rsid w:val="00863B77"/>
    <w:rsid w:val="00863B99"/>
    <w:rsid w:val="00863CA0"/>
    <w:rsid w:val="00863D22"/>
    <w:rsid w:val="00863E83"/>
    <w:rsid w:val="00863ECD"/>
    <w:rsid w:val="00863ED5"/>
    <w:rsid w:val="00863F07"/>
    <w:rsid w:val="00863FFA"/>
    <w:rsid w:val="00864043"/>
    <w:rsid w:val="008641D0"/>
    <w:rsid w:val="0086428F"/>
    <w:rsid w:val="008645E0"/>
    <w:rsid w:val="00864816"/>
    <w:rsid w:val="0086482A"/>
    <w:rsid w:val="00864999"/>
    <w:rsid w:val="008649CE"/>
    <w:rsid w:val="00864AF3"/>
    <w:rsid w:val="00864B14"/>
    <w:rsid w:val="00864D4A"/>
    <w:rsid w:val="008652A4"/>
    <w:rsid w:val="00865521"/>
    <w:rsid w:val="008656D3"/>
    <w:rsid w:val="00865A56"/>
    <w:rsid w:val="00865BDB"/>
    <w:rsid w:val="00865DE1"/>
    <w:rsid w:val="00865EDD"/>
    <w:rsid w:val="0086605B"/>
    <w:rsid w:val="008660AA"/>
    <w:rsid w:val="00866324"/>
    <w:rsid w:val="00866B54"/>
    <w:rsid w:val="00866C3A"/>
    <w:rsid w:val="00866DAD"/>
    <w:rsid w:val="00866FAA"/>
    <w:rsid w:val="00867084"/>
    <w:rsid w:val="008671A0"/>
    <w:rsid w:val="008672F2"/>
    <w:rsid w:val="00867556"/>
    <w:rsid w:val="00867802"/>
    <w:rsid w:val="00867841"/>
    <w:rsid w:val="00867A41"/>
    <w:rsid w:val="00867B25"/>
    <w:rsid w:val="00867B45"/>
    <w:rsid w:val="00867D7C"/>
    <w:rsid w:val="00867E7E"/>
    <w:rsid w:val="00867FBA"/>
    <w:rsid w:val="00870017"/>
    <w:rsid w:val="008701C9"/>
    <w:rsid w:val="008701EF"/>
    <w:rsid w:val="00870264"/>
    <w:rsid w:val="008702C3"/>
    <w:rsid w:val="0087037B"/>
    <w:rsid w:val="008703B8"/>
    <w:rsid w:val="0087044D"/>
    <w:rsid w:val="008705A1"/>
    <w:rsid w:val="008707FD"/>
    <w:rsid w:val="00870960"/>
    <w:rsid w:val="00870972"/>
    <w:rsid w:val="00870A0C"/>
    <w:rsid w:val="00870A85"/>
    <w:rsid w:val="00870BFC"/>
    <w:rsid w:val="00870DBE"/>
    <w:rsid w:val="00870DD0"/>
    <w:rsid w:val="00871192"/>
    <w:rsid w:val="00871700"/>
    <w:rsid w:val="0087181F"/>
    <w:rsid w:val="008718AA"/>
    <w:rsid w:val="00871A57"/>
    <w:rsid w:val="00871B2D"/>
    <w:rsid w:val="00871B5D"/>
    <w:rsid w:val="00871C63"/>
    <w:rsid w:val="00871CC2"/>
    <w:rsid w:val="00871CED"/>
    <w:rsid w:val="00871D49"/>
    <w:rsid w:val="00871DAC"/>
    <w:rsid w:val="00871FAF"/>
    <w:rsid w:val="00872018"/>
    <w:rsid w:val="008721AD"/>
    <w:rsid w:val="00872841"/>
    <w:rsid w:val="00872ACC"/>
    <w:rsid w:val="00872E56"/>
    <w:rsid w:val="0087368A"/>
    <w:rsid w:val="008738D6"/>
    <w:rsid w:val="00873B87"/>
    <w:rsid w:val="00873C69"/>
    <w:rsid w:val="00873C89"/>
    <w:rsid w:val="00873DA9"/>
    <w:rsid w:val="00873F6C"/>
    <w:rsid w:val="00873FC0"/>
    <w:rsid w:val="0087407C"/>
    <w:rsid w:val="00874179"/>
    <w:rsid w:val="008742A1"/>
    <w:rsid w:val="00874458"/>
    <w:rsid w:val="00874891"/>
    <w:rsid w:val="00874C3B"/>
    <w:rsid w:val="00874DF7"/>
    <w:rsid w:val="008751EE"/>
    <w:rsid w:val="0087520C"/>
    <w:rsid w:val="0087527A"/>
    <w:rsid w:val="008756AB"/>
    <w:rsid w:val="008756C7"/>
    <w:rsid w:val="00875816"/>
    <w:rsid w:val="0087593B"/>
    <w:rsid w:val="00875BAB"/>
    <w:rsid w:val="00875BC5"/>
    <w:rsid w:val="00875D34"/>
    <w:rsid w:val="00875D6C"/>
    <w:rsid w:val="00875F74"/>
    <w:rsid w:val="0087601C"/>
    <w:rsid w:val="00876662"/>
    <w:rsid w:val="008766CE"/>
    <w:rsid w:val="00876C2D"/>
    <w:rsid w:val="00876F14"/>
    <w:rsid w:val="00876F90"/>
    <w:rsid w:val="00877066"/>
    <w:rsid w:val="008770A9"/>
    <w:rsid w:val="008771A8"/>
    <w:rsid w:val="008771C5"/>
    <w:rsid w:val="0087720E"/>
    <w:rsid w:val="00877243"/>
    <w:rsid w:val="008773A1"/>
    <w:rsid w:val="00877488"/>
    <w:rsid w:val="00877751"/>
    <w:rsid w:val="00877B3C"/>
    <w:rsid w:val="00877C28"/>
    <w:rsid w:val="00877CE2"/>
    <w:rsid w:val="008800E3"/>
    <w:rsid w:val="00880339"/>
    <w:rsid w:val="00880398"/>
    <w:rsid w:val="00880610"/>
    <w:rsid w:val="0088098A"/>
    <w:rsid w:val="008809D0"/>
    <w:rsid w:val="00880A1D"/>
    <w:rsid w:val="00880B35"/>
    <w:rsid w:val="00880C64"/>
    <w:rsid w:val="00880D79"/>
    <w:rsid w:val="00880DE7"/>
    <w:rsid w:val="00880F31"/>
    <w:rsid w:val="00880FB8"/>
    <w:rsid w:val="0088109A"/>
    <w:rsid w:val="00881127"/>
    <w:rsid w:val="00881265"/>
    <w:rsid w:val="008816AC"/>
    <w:rsid w:val="00881ACC"/>
    <w:rsid w:val="00881AF3"/>
    <w:rsid w:val="00881CAB"/>
    <w:rsid w:val="00881EC0"/>
    <w:rsid w:val="00881F42"/>
    <w:rsid w:val="008820F7"/>
    <w:rsid w:val="00882265"/>
    <w:rsid w:val="0088229F"/>
    <w:rsid w:val="00882373"/>
    <w:rsid w:val="008823AB"/>
    <w:rsid w:val="00882604"/>
    <w:rsid w:val="00882866"/>
    <w:rsid w:val="008828BF"/>
    <w:rsid w:val="008828E6"/>
    <w:rsid w:val="008829A9"/>
    <w:rsid w:val="00882B74"/>
    <w:rsid w:val="00882C82"/>
    <w:rsid w:val="00882CA5"/>
    <w:rsid w:val="00882CB7"/>
    <w:rsid w:val="00882D24"/>
    <w:rsid w:val="00882DAE"/>
    <w:rsid w:val="00882F48"/>
    <w:rsid w:val="00882F56"/>
    <w:rsid w:val="00882F69"/>
    <w:rsid w:val="008833BB"/>
    <w:rsid w:val="00883480"/>
    <w:rsid w:val="00883524"/>
    <w:rsid w:val="0088366E"/>
    <w:rsid w:val="008836FB"/>
    <w:rsid w:val="008837A1"/>
    <w:rsid w:val="008837F5"/>
    <w:rsid w:val="00883A52"/>
    <w:rsid w:val="00883BA3"/>
    <w:rsid w:val="00883F3D"/>
    <w:rsid w:val="00884304"/>
    <w:rsid w:val="00884339"/>
    <w:rsid w:val="00884539"/>
    <w:rsid w:val="008845E6"/>
    <w:rsid w:val="00884726"/>
    <w:rsid w:val="0088485B"/>
    <w:rsid w:val="00884932"/>
    <w:rsid w:val="0088497B"/>
    <w:rsid w:val="008849FD"/>
    <w:rsid w:val="00884ADC"/>
    <w:rsid w:val="00884B78"/>
    <w:rsid w:val="00884CCB"/>
    <w:rsid w:val="00884D60"/>
    <w:rsid w:val="00884EA4"/>
    <w:rsid w:val="00885059"/>
    <w:rsid w:val="008853F3"/>
    <w:rsid w:val="0088572B"/>
    <w:rsid w:val="008857F1"/>
    <w:rsid w:val="008859A5"/>
    <w:rsid w:val="00885CF9"/>
    <w:rsid w:val="00885D82"/>
    <w:rsid w:val="00885DC7"/>
    <w:rsid w:val="00885E08"/>
    <w:rsid w:val="0088600B"/>
    <w:rsid w:val="008860A2"/>
    <w:rsid w:val="008860E0"/>
    <w:rsid w:val="00886253"/>
    <w:rsid w:val="0088633D"/>
    <w:rsid w:val="0088659E"/>
    <w:rsid w:val="0088666B"/>
    <w:rsid w:val="008869EC"/>
    <w:rsid w:val="00886A59"/>
    <w:rsid w:val="00886C70"/>
    <w:rsid w:val="0088727A"/>
    <w:rsid w:val="00887379"/>
    <w:rsid w:val="00887743"/>
    <w:rsid w:val="0088790B"/>
    <w:rsid w:val="00887BF3"/>
    <w:rsid w:val="00887C63"/>
    <w:rsid w:val="00887D3F"/>
    <w:rsid w:val="00887E5D"/>
    <w:rsid w:val="00887E8C"/>
    <w:rsid w:val="00887F06"/>
    <w:rsid w:val="00887FB7"/>
    <w:rsid w:val="00890430"/>
    <w:rsid w:val="00890493"/>
    <w:rsid w:val="00890A89"/>
    <w:rsid w:val="00890B54"/>
    <w:rsid w:val="00890C04"/>
    <w:rsid w:val="00890D80"/>
    <w:rsid w:val="00890EBF"/>
    <w:rsid w:val="00890F8C"/>
    <w:rsid w:val="00891097"/>
    <w:rsid w:val="008910D5"/>
    <w:rsid w:val="00891114"/>
    <w:rsid w:val="008911E2"/>
    <w:rsid w:val="00891341"/>
    <w:rsid w:val="0089137C"/>
    <w:rsid w:val="00891411"/>
    <w:rsid w:val="008914DC"/>
    <w:rsid w:val="0089167D"/>
    <w:rsid w:val="00891725"/>
    <w:rsid w:val="008917AD"/>
    <w:rsid w:val="008917BD"/>
    <w:rsid w:val="00891864"/>
    <w:rsid w:val="00891884"/>
    <w:rsid w:val="008918C3"/>
    <w:rsid w:val="00891921"/>
    <w:rsid w:val="008919EE"/>
    <w:rsid w:val="00891A77"/>
    <w:rsid w:val="00891B92"/>
    <w:rsid w:val="00891CB4"/>
    <w:rsid w:val="00891D22"/>
    <w:rsid w:val="00891EF0"/>
    <w:rsid w:val="00891F7A"/>
    <w:rsid w:val="00892137"/>
    <w:rsid w:val="00892234"/>
    <w:rsid w:val="008923A2"/>
    <w:rsid w:val="008923D4"/>
    <w:rsid w:val="008926FE"/>
    <w:rsid w:val="00892B0E"/>
    <w:rsid w:val="00892CD4"/>
    <w:rsid w:val="00892CEF"/>
    <w:rsid w:val="00893003"/>
    <w:rsid w:val="0089309C"/>
    <w:rsid w:val="008930BE"/>
    <w:rsid w:val="00893181"/>
    <w:rsid w:val="00893352"/>
    <w:rsid w:val="008933D9"/>
    <w:rsid w:val="008939F2"/>
    <w:rsid w:val="00893A8C"/>
    <w:rsid w:val="00893B19"/>
    <w:rsid w:val="00893B84"/>
    <w:rsid w:val="00893BC5"/>
    <w:rsid w:val="00893E4F"/>
    <w:rsid w:val="00894074"/>
    <w:rsid w:val="008940C4"/>
    <w:rsid w:val="008943B5"/>
    <w:rsid w:val="008943B6"/>
    <w:rsid w:val="0089450D"/>
    <w:rsid w:val="00894566"/>
    <w:rsid w:val="008945AA"/>
    <w:rsid w:val="00894E88"/>
    <w:rsid w:val="00894FD9"/>
    <w:rsid w:val="008950A7"/>
    <w:rsid w:val="00895285"/>
    <w:rsid w:val="008958E2"/>
    <w:rsid w:val="00895912"/>
    <w:rsid w:val="00895A50"/>
    <w:rsid w:val="00895BEE"/>
    <w:rsid w:val="00895D7B"/>
    <w:rsid w:val="00895E3B"/>
    <w:rsid w:val="00895E5D"/>
    <w:rsid w:val="00895E8A"/>
    <w:rsid w:val="00895EAF"/>
    <w:rsid w:val="00896024"/>
    <w:rsid w:val="008960C6"/>
    <w:rsid w:val="008960DE"/>
    <w:rsid w:val="00896269"/>
    <w:rsid w:val="00896726"/>
    <w:rsid w:val="00896872"/>
    <w:rsid w:val="00896A0F"/>
    <w:rsid w:val="00896B2D"/>
    <w:rsid w:val="00896C8F"/>
    <w:rsid w:val="00896DA2"/>
    <w:rsid w:val="00896DCD"/>
    <w:rsid w:val="00896E87"/>
    <w:rsid w:val="00897243"/>
    <w:rsid w:val="00897265"/>
    <w:rsid w:val="00897357"/>
    <w:rsid w:val="0089741F"/>
    <w:rsid w:val="00897468"/>
    <w:rsid w:val="0089755B"/>
    <w:rsid w:val="008975AA"/>
    <w:rsid w:val="008975FD"/>
    <w:rsid w:val="00897667"/>
    <w:rsid w:val="00897755"/>
    <w:rsid w:val="00897891"/>
    <w:rsid w:val="00897A6E"/>
    <w:rsid w:val="00897B28"/>
    <w:rsid w:val="00897C74"/>
    <w:rsid w:val="00897EF6"/>
    <w:rsid w:val="008A0003"/>
    <w:rsid w:val="008A015E"/>
    <w:rsid w:val="008A0253"/>
    <w:rsid w:val="008A0487"/>
    <w:rsid w:val="008A0534"/>
    <w:rsid w:val="008A054C"/>
    <w:rsid w:val="008A0583"/>
    <w:rsid w:val="008A0837"/>
    <w:rsid w:val="008A0CED"/>
    <w:rsid w:val="008A0F85"/>
    <w:rsid w:val="008A1106"/>
    <w:rsid w:val="008A1483"/>
    <w:rsid w:val="008A18CD"/>
    <w:rsid w:val="008A190F"/>
    <w:rsid w:val="008A19BF"/>
    <w:rsid w:val="008A1C5B"/>
    <w:rsid w:val="008A2003"/>
    <w:rsid w:val="008A2151"/>
    <w:rsid w:val="008A22FE"/>
    <w:rsid w:val="008A236B"/>
    <w:rsid w:val="008A2386"/>
    <w:rsid w:val="008A2457"/>
    <w:rsid w:val="008A2841"/>
    <w:rsid w:val="008A2A53"/>
    <w:rsid w:val="008A2AE1"/>
    <w:rsid w:val="008A2B95"/>
    <w:rsid w:val="008A2BF4"/>
    <w:rsid w:val="008A2CB3"/>
    <w:rsid w:val="008A2CC0"/>
    <w:rsid w:val="008A2DA7"/>
    <w:rsid w:val="008A2F39"/>
    <w:rsid w:val="008A300B"/>
    <w:rsid w:val="008A316C"/>
    <w:rsid w:val="008A338B"/>
    <w:rsid w:val="008A36DA"/>
    <w:rsid w:val="008A371E"/>
    <w:rsid w:val="008A37BC"/>
    <w:rsid w:val="008A37C7"/>
    <w:rsid w:val="008A37F2"/>
    <w:rsid w:val="008A39AA"/>
    <w:rsid w:val="008A3D2E"/>
    <w:rsid w:val="008A41D3"/>
    <w:rsid w:val="008A437F"/>
    <w:rsid w:val="008A43C7"/>
    <w:rsid w:val="008A4438"/>
    <w:rsid w:val="008A4684"/>
    <w:rsid w:val="008A4729"/>
    <w:rsid w:val="008A48AB"/>
    <w:rsid w:val="008A4AB1"/>
    <w:rsid w:val="008A4CE9"/>
    <w:rsid w:val="008A4D89"/>
    <w:rsid w:val="008A4D9C"/>
    <w:rsid w:val="008A5092"/>
    <w:rsid w:val="008A51FC"/>
    <w:rsid w:val="008A53E5"/>
    <w:rsid w:val="008A5422"/>
    <w:rsid w:val="008A5836"/>
    <w:rsid w:val="008A5A69"/>
    <w:rsid w:val="008A5E8E"/>
    <w:rsid w:val="008A5F4A"/>
    <w:rsid w:val="008A5FC3"/>
    <w:rsid w:val="008A615F"/>
    <w:rsid w:val="008A6AB9"/>
    <w:rsid w:val="008A6E5B"/>
    <w:rsid w:val="008A70A0"/>
    <w:rsid w:val="008A720F"/>
    <w:rsid w:val="008A733D"/>
    <w:rsid w:val="008A755B"/>
    <w:rsid w:val="008A7653"/>
    <w:rsid w:val="008A7679"/>
    <w:rsid w:val="008A770A"/>
    <w:rsid w:val="008A792F"/>
    <w:rsid w:val="008A7E0F"/>
    <w:rsid w:val="008B000A"/>
    <w:rsid w:val="008B029D"/>
    <w:rsid w:val="008B037F"/>
    <w:rsid w:val="008B0399"/>
    <w:rsid w:val="008B03BB"/>
    <w:rsid w:val="008B08DC"/>
    <w:rsid w:val="008B095D"/>
    <w:rsid w:val="008B09A5"/>
    <w:rsid w:val="008B0AC9"/>
    <w:rsid w:val="008B0BC0"/>
    <w:rsid w:val="008B0C9C"/>
    <w:rsid w:val="008B0E8A"/>
    <w:rsid w:val="008B11AB"/>
    <w:rsid w:val="008B12BB"/>
    <w:rsid w:val="008B1530"/>
    <w:rsid w:val="008B1627"/>
    <w:rsid w:val="008B181E"/>
    <w:rsid w:val="008B18F6"/>
    <w:rsid w:val="008B1A2D"/>
    <w:rsid w:val="008B1B62"/>
    <w:rsid w:val="008B1B73"/>
    <w:rsid w:val="008B1C91"/>
    <w:rsid w:val="008B1D12"/>
    <w:rsid w:val="008B1E76"/>
    <w:rsid w:val="008B2100"/>
    <w:rsid w:val="008B22C4"/>
    <w:rsid w:val="008B2567"/>
    <w:rsid w:val="008B2569"/>
    <w:rsid w:val="008B25B9"/>
    <w:rsid w:val="008B2623"/>
    <w:rsid w:val="008B2651"/>
    <w:rsid w:val="008B277A"/>
    <w:rsid w:val="008B2A8B"/>
    <w:rsid w:val="008B2A8C"/>
    <w:rsid w:val="008B2D3D"/>
    <w:rsid w:val="008B2D91"/>
    <w:rsid w:val="008B2FC3"/>
    <w:rsid w:val="008B3009"/>
    <w:rsid w:val="008B30B1"/>
    <w:rsid w:val="008B311A"/>
    <w:rsid w:val="008B3245"/>
    <w:rsid w:val="008B32AC"/>
    <w:rsid w:val="008B345C"/>
    <w:rsid w:val="008B35D9"/>
    <w:rsid w:val="008B3708"/>
    <w:rsid w:val="008B3810"/>
    <w:rsid w:val="008B3957"/>
    <w:rsid w:val="008B3A3B"/>
    <w:rsid w:val="008B3B0D"/>
    <w:rsid w:val="008B3BDF"/>
    <w:rsid w:val="008B3DC5"/>
    <w:rsid w:val="008B41D1"/>
    <w:rsid w:val="008B427E"/>
    <w:rsid w:val="008B4345"/>
    <w:rsid w:val="008B43A2"/>
    <w:rsid w:val="008B44B1"/>
    <w:rsid w:val="008B46F4"/>
    <w:rsid w:val="008B46FA"/>
    <w:rsid w:val="008B4A7A"/>
    <w:rsid w:val="008B4AF9"/>
    <w:rsid w:val="008B4C8D"/>
    <w:rsid w:val="008B4FB4"/>
    <w:rsid w:val="008B50DF"/>
    <w:rsid w:val="008B55F8"/>
    <w:rsid w:val="008B57DB"/>
    <w:rsid w:val="008B585E"/>
    <w:rsid w:val="008B5992"/>
    <w:rsid w:val="008B5A22"/>
    <w:rsid w:val="008B5A37"/>
    <w:rsid w:val="008B5ADF"/>
    <w:rsid w:val="008B5CAC"/>
    <w:rsid w:val="008B5E70"/>
    <w:rsid w:val="008B5E86"/>
    <w:rsid w:val="008B5E89"/>
    <w:rsid w:val="008B5E8B"/>
    <w:rsid w:val="008B614D"/>
    <w:rsid w:val="008B6388"/>
    <w:rsid w:val="008B64FB"/>
    <w:rsid w:val="008B653B"/>
    <w:rsid w:val="008B6612"/>
    <w:rsid w:val="008B6679"/>
    <w:rsid w:val="008B67D4"/>
    <w:rsid w:val="008B6907"/>
    <w:rsid w:val="008B6B8F"/>
    <w:rsid w:val="008B6CF3"/>
    <w:rsid w:val="008B6CFA"/>
    <w:rsid w:val="008B6F6F"/>
    <w:rsid w:val="008B701E"/>
    <w:rsid w:val="008B71F6"/>
    <w:rsid w:val="008B759A"/>
    <w:rsid w:val="008B75C0"/>
    <w:rsid w:val="008B77D8"/>
    <w:rsid w:val="008B7B53"/>
    <w:rsid w:val="008B7B96"/>
    <w:rsid w:val="008C036D"/>
    <w:rsid w:val="008C042F"/>
    <w:rsid w:val="008C044F"/>
    <w:rsid w:val="008C04DB"/>
    <w:rsid w:val="008C0527"/>
    <w:rsid w:val="008C056C"/>
    <w:rsid w:val="008C0A51"/>
    <w:rsid w:val="008C0AAD"/>
    <w:rsid w:val="008C0C9A"/>
    <w:rsid w:val="008C0CE5"/>
    <w:rsid w:val="008C0E50"/>
    <w:rsid w:val="008C104E"/>
    <w:rsid w:val="008C1104"/>
    <w:rsid w:val="008C1204"/>
    <w:rsid w:val="008C15C8"/>
    <w:rsid w:val="008C1647"/>
    <w:rsid w:val="008C18A4"/>
    <w:rsid w:val="008C1CC0"/>
    <w:rsid w:val="008C2186"/>
    <w:rsid w:val="008C237F"/>
    <w:rsid w:val="008C2419"/>
    <w:rsid w:val="008C2427"/>
    <w:rsid w:val="008C2800"/>
    <w:rsid w:val="008C2A44"/>
    <w:rsid w:val="008C2A6A"/>
    <w:rsid w:val="008C2E56"/>
    <w:rsid w:val="008C2EA6"/>
    <w:rsid w:val="008C2ECF"/>
    <w:rsid w:val="008C2F2D"/>
    <w:rsid w:val="008C2F3C"/>
    <w:rsid w:val="008C32D9"/>
    <w:rsid w:val="008C330D"/>
    <w:rsid w:val="008C3477"/>
    <w:rsid w:val="008C3815"/>
    <w:rsid w:val="008C39A3"/>
    <w:rsid w:val="008C3A29"/>
    <w:rsid w:val="008C3A53"/>
    <w:rsid w:val="008C3BF4"/>
    <w:rsid w:val="008C3C15"/>
    <w:rsid w:val="008C41EE"/>
    <w:rsid w:val="008C44F6"/>
    <w:rsid w:val="008C46B8"/>
    <w:rsid w:val="008C46C7"/>
    <w:rsid w:val="008C4779"/>
    <w:rsid w:val="008C499B"/>
    <w:rsid w:val="008C4B0A"/>
    <w:rsid w:val="008C4DDC"/>
    <w:rsid w:val="008C4DE8"/>
    <w:rsid w:val="008C5183"/>
    <w:rsid w:val="008C51F9"/>
    <w:rsid w:val="008C51FE"/>
    <w:rsid w:val="008C53E7"/>
    <w:rsid w:val="008C55BE"/>
    <w:rsid w:val="008C55DD"/>
    <w:rsid w:val="008C58AB"/>
    <w:rsid w:val="008C60BA"/>
    <w:rsid w:val="008C60F8"/>
    <w:rsid w:val="008C6440"/>
    <w:rsid w:val="008C64AD"/>
    <w:rsid w:val="008C6594"/>
    <w:rsid w:val="008C67E6"/>
    <w:rsid w:val="008C68EC"/>
    <w:rsid w:val="008C6CE3"/>
    <w:rsid w:val="008C6FD2"/>
    <w:rsid w:val="008C706C"/>
    <w:rsid w:val="008C71BF"/>
    <w:rsid w:val="008C71EC"/>
    <w:rsid w:val="008C721F"/>
    <w:rsid w:val="008C74EA"/>
    <w:rsid w:val="008C754B"/>
    <w:rsid w:val="008C7A3E"/>
    <w:rsid w:val="008C7A41"/>
    <w:rsid w:val="008C7AB3"/>
    <w:rsid w:val="008C7E05"/>
    <w:rsid w:val="008C7FBF"/>
    <w:rsid w:val="008C7FF7"/>
    <w:rsid w:val="008D008B"/>
    <w:rsid w:val="008D02FA"/>
    <w:rsid w:val="008D0808"/>
    <w:rsid w:val="008D0815"/>
    <w:rsid w:val="008D0997"/>
    <w:rsid w:val="008D0A84"/>
    <w:rsid w:val="008D0B11"/>
    <w:rsid w:val="008D0B57"/>
    <w:rsid w:val="008D0CCA"/>
    <w:rsid w:val="008D1020"/>
    <w:rsid w:val="008D1021"/>
    <w:rsid w:val="008D110C"/>
    <w:rsid w:val="008D11F9"/>
    <w:rsid w:val="008D1382"/>
    <w:rsid w:val="008D162E"/>
    <w:rsid w:val="008D1670"/>
    <w:rsid w:val="008D1A2B"/>
    <w:rsid w:val="008D1A53"/>
    <w:rsid w:val="008D1A97"/>
    <w:rsid w:val="008D1BAA"/>
    <w:rsid w:val="008D1DDF"/>
    <w:rsid w:val="008D1E27"/>
    <w:rsid w:val="008D1F3D"/>
    <w:rsid w:val="008D1FA1"/>
    <w:rsid w:val="008D2564"/>
    <w:rsid w:val="008D2594"/>
    <w:rsid w:val="008D26A1"/>
    <w:rsid w:val="008D2824"/>
    <w:rsid w:val="008D28AA"/>
    <w:rsid w:val="008D29D0"/>
    <w:rsid w:val="008D2B2A"/>
    <w:rsid w:val="008D2BCD"/>
    <w:rsid w:val="008D2C4B"/>
    <w:rsid w:val="008D2DAD"/>
    <w:rsid w:val="008D2DBE"/>
    <w:rsid w:val="008D31E5"/>
    <w:rsid w:val="008D369F"/>
    <w:rsid w:val="008D36FF"/>
    <w:rsid w:val="008D37BB"/>
    <w:rsid w:val="008D385C"/>
    <w:rsid w:val="008D38BE"/>
    <w:rsid w:val="008D3999"/>
    <w:rsid w:val="008D39C0"/>
    <w:rsid w:val="008D3C57"/>
    <w:rsid w:val="008D3CF7"/>
    <w:rsid w:val="008D3D5C"/>
    <w:rsid w:val="008D3E83"/>
    <w:rsid w:val="008D3FF2"/>
    <w:rsid w:val="008D436C"/>
    <w:rsid w:val="008D46B3"/>
    <w:rsid w:val="008D48F9"/>
    <w:rsid w:val="008D4A68"/>
    <w:rsid w:val="008D4CF9"/>
    <w:rsid w:val="008D4D90"/>
    <w:rsid w:val="008D4EFE"/>
    <w:rsid w:val="008D4F15"/>
    <w:rsid w:val="008D4FF5"/>
    <w:rsid w:val="008D54A3"/>
    <w:rsid w:val="008D54D3"/>
    <w:rsid w:val="008D5527"/>
    <w:rsid w:val="008D5543"/>
    <w:rsid w:val="008D55BD"/>
    <w:rsid w:val="008D57B9"/>
    <w:rsid w:val="008D5C1E"/>
    <w:rsid w:val="008D5D00"/>
    <w:rsid w:val="008D5DFE"/>
    <w:rsid w:val="008D5FDE"/>
    <w:rsid w:val="008D6044"/>
    <w:rsid w:val="008D611C"/>
    <w:rsid w:val="008D621A"/>
    <w:rsid w:val="008D6498"/>
    <w:rsid w:val="008D6531"/>
    <w:rsid w:val="008D666A"/>
    <w:rsid w:val="008D6736"/>
    <w:rsid w:val="008D6BD7"/>
    <w:rsid w:val="008D6C81"/>
    <w:rsid w:val="008D6E1E"/>
    <w:rsid w:val="008D6F1E"/>
    <w:rsid w:val="008D6FD6"/>
    <w:rsid w:val="008D7084"/>
    <w:rsid w:val="008D72C9"/>
    <w:rsid w:val="008D74A3"/>
    <w:rsid w:val="008D74E2"/>
    <w:rsid w:val="008D765C"/>
    <w:rsid w:val="008D7739"/>
    <w:rsid w:val="008D78C7"/>
    <w:rsid w:val="008D7AB7"/>
    <w:rsid w:val="008D7B0B"/>
    <w:rsid w:val="008D7C8C"/>
    <w:rsid w:val="008D7DB7"/>
    <w:rsid w:val="008D7DD7"/>
    <w:rsid w:val="008D7EDB"/>
    <w:rsid w:val="008E0117"/>
    <w:rsid w:val="008E046D"/>
    <w:rsid w:val="008E04A0"/>
    <w:rsid w:val="008E05AE"/>
    <w:rsid w:val="008E05C1"/>
    <w:rsid w:val="008E05C3"/>
    <w:rsid w:val="008E05CC"/>
    <w:rsid w:val="008E05D9"/>
    <w:rsid w:val="008E075F"/>
    <w:rsid w:val="008E0769"/>
    <w:rsid w:val="008E0C23"/>
    <w:rsid w:val="008E1296"/>
    <w:rsid w:val="008E131C"/>
    <w:rsid w:val="008E1418"/>
    <w:rsid w:val="008E1A85"/>
    <w:rsid w:val="008E1ADA"/>
    <w:rsid w:val="008E1CA8"/>
    <w:rsid w:val="008E1CF0"/>
    <w:rsid w:val="008E1D92"/>
    <w:rsid w:val="008E1F56"/>
    <w:rsid w:val="008E204C"/>
    <w:rsid w:val="008E25BA"/>
    <w:rsid w:val="008E2717"/>
    <w:rsid w:val="008E2999"/>
    <w:rsid w:val="008E2A10"/>
    <w:rsid w:val="008E2D5C"/>
    <w:rsid w:val="008E2F3E"/>
    <w:rsid w:val="008E309E"/>
    <w:rsid w:val="008E31D5"/>
    <w:rsid w:val="008E32A0"/>
    <w:rsid w:val="008E332F"/>
    <w:rsid w:val="008E33BD"/>
    <w:rsid w:val="008E37CD"/>
    <w:rsid w:val="008E3975"/>
    <w:rsid w:val="008E3A51"/>
    <w:rsid w:val="008E3B58"/>
    <w:rsid w:val="008E3CFE"/>
    <w:rsid w:val="008E3D6A"/>
    <w:rsid w:val="008E3FE4"/>
    <w:rsid w:val="008E409F"/>
    <w:rsid w:val="008E40D9"/>
    <w:rsid w:val="008E41ED"/>
    <w:rsid w:val="008E4C03"/>
    <w:rsid w:val="008E4E1B"/>
    <w:rsid w:val="008E4FB1"/>
    <w:rsid w:val="008E5144"/>
    <w:rsid w:val="008E51D2"/>
    <w:rsid w:val="008E51F6"/>
    <w:rsid w:val="008E52AF"/>
    <w:rsid w:val="008E536B"/>
    <w:rsid w:val="008E54A7"/>
    <w:rsid w:val="008E5509"/>
    <w:rsid w:val="008E58E1"/>
    <w:rsid w:val="008E5ABC"/>
    <w:rsid w:val="008E61C4"/>
    <w:rsid w:val="008E61F4"/>
    <w:rsid w:val="008E6228"/>
    <w:rsid w:val="008E656E"/>
    <w:rsid w:val="008E6597"/>
    <w:rsid w:val="008E6636"/>
    <w:rsid w:val="008E697F"/>
    <w:rsid w:val="008E6AC8"/>
    <w:rsid w:val="008E6B16"/>
    <w:rsid w:val="008E6C8F"/>
    <w:rsid w:val="008E6D34"/>
    <w:rsid w:val="008E6DAB"/>
    <w:rsid w:val="008E6DE7"/>
    <w:rsid w:val="008E6F0F"/>
    <w:rsid w:val="008E6F6C"/>
    <w:rsid w:val="008E6F8C"/>
    <w:rsid w:val="008E70F3"/>
    <w:rsid w:val="008E723A"/>
    <w:rsid w:val="008E7509"/>
    <w:rsid w:val="008E7604"/>
    <w:rsid w:val="008E7806"/>
    <w:rsid w:val="008E7C30"/>
    <w:rsid w:val="008E7E1E"/>
    <w:rsid w:val="008E7E7C"/>
    <w:rsid w:val="008E7FA2"/>
    <w:rsid w:val="008F02FD"/>
    <w:rsid w:val="008F0397"/>
    <w:rsid w:val="008F0511"/>
    <w:rsid w:val="008F07F3"/>
    <w:rsid w:val="008F082A"/>
    <w:rsid w:val="008F08DA"/>
    <w:rsid w:val="008F09E7"/>
    <w:rsid w:val="008F0CDD"/>
    <w:rsid w:val="008F0E97"/>
    <w:rsid w:val="008F0EAF"/>
    <w:rsid w:val="008F1025"/>
    <w:rsid w:val="008F1082"/>
    <w:rsid w:val="008F1315"/>
    <w:rsid w:val="008F14D0"/>
    <w:rsid w:val="008F15C8"/>
    <w:rsid w:val="008F1734"/>
    <w:rsid w:val="008F1868"/>
    <w:rsid w:val="008F1BC0"/>
    <w:rsid w:val="008F2012"/>
    <w:rsid w:val="008F20DB"/>
    <w:rsid w:val="008F20F7"/>
    <w:rsid w:val="008F2494"/>
    <w:rsid w:val="008F25FF"/>
    <w:rsid w:val="008F2663"/>
    <w:rsid w:val="008F2824"/>
    <w:rsid w:val="008F283F"/>
    <w:rsid w:val="008F2C17"/>
    <w:rsid w:val="008F2DE2"/>
    <w:rsid w:val="008F2E6F"/>
    <w:rsid w:val="008F2F31"/>
    <w:rsid w:val="008F303B"/>
    <w:rsid w:val="008F30C4"/>
    <w:rsid w:val="008F322F"/>
    <w:rsid w:val="008F32EB"/>
    <w:rsid w:val="008F3631"/>
    <w:rsid w:val="008F3ADB"/>
    <w:rsid w:val="008F3CCD"/>
    <w:rsid w:val="008F3CFF"/>
    <w:rsid w:val="008F3D57"/>
    <w:rsid w:val="008F4769"/>
    <w:rsid w:val="008F486A"/>
    <w:rsid w:val="008F492B"/>
    <w:rsid w:val="008F4AE5"/>
    <w:rsid w:val="008F4D83"/>
    <w:rsid w:val="008F4E27"/>
    <w:rsid w:val="008F4E5E"/>
    <w:rsid w:val="008F4EDC"/>
    <w:rsid w:val="008F5197"/>
    <w:rsid w:val="008F5364"/>
    <w:rsid w:val="008F53D2"/>
    <w:rsid w:val="008F5401"/>
    <w:rsid w:val="008F5BDD"/>
    <w:rsid w:val="008F5C40"/>
    <w:rsid w:val="008F5F93"/>
    <w:rsid w:val="008F6083"/>
    <w:rsid w:val="008F63EC"/>
    <w:rsid w:val="008F66BD"/>
    <w:rsid w:val="008F670C"/>
    <w:rsid w:val="008F6ADF"/>
    <w:rsid w:val="008F6B44"/>
    <w:rsid w:val="008F6C30"/>
    <w:rsid w:val="008F6CBD"/>
    <w:rsid w:val="008F6DDE"/>
    <w:rsid w:val="008F7133"/>
    <w:rsid w:val="008F7425"/>
    <w:rsid w:val="008F760A"/>
    <w:rsid w:val="008F7615"/>
    <w:rsid w:val="008F7737"/>
    <w:rsid w:val="008F77CA"/>
    <w:rsid w:val="008F7AD4"/>
    <w:rsid w:val="008F7B85"/>
    <w:rsid w:val="008F7C2A"/>
    <w:rsid w:val="008F7EDE"/>
    <w:rsid w:val="008F7F4F"/>
    <w:rsid w:val="00900292"/>
    <w:rsid w:val="009003F2"/>
    <w:rsid w:val="0090048B"/>
    <w:rsid w:val="0090049E"/>
    <w:rsid w:val="009005EE"/>
    <w:rsid w:val="00900600"/>
    <w:rsid w:val="009009FB"/>
    <w:rsid w:val="00900AC5"/>
    <w:rsid w:val="00900B5A"/>
    <w:rsid w:val="009015C7"/>
    <w:rsid w:val="009017AE"/>
    <w:rsid w:val="00901975"/>
    <w:rsid w:val="00901CA1"/>
    <w:rsid w:val="00901EA3"/>
    <w:rsid w:val="00901EAB"/>
    <w:rsid w:val="0090200C"/>
    <w:rsid w:val="00902228"/>
    <w:rsid w:val="009022DC"/>
    <w:rsid w:val="009023D9"/>
    <w:rsid w:val="009028D0"/>
    <w:rsid w:val="00902ACD"/>
    <w:rsid w:val="00902E33"/>
    <w:rsid w:val="00902FEE"/>
    <w:rsid w:val="0090307F"/>
    <w:rsid w:val="0090333F"/>
    <w:rsid w:val="009037F9"/>
    <w:rsid w:val="00903DE3"/>
    <w:rsid w:val="00903E19"/>
    <w:rsid w:val="00903EA2"/>
    <w:rsid w:val="00903EA5"/>
    <w:rsid w:val="00903EDF"/>
    <w:rsid w:val="009041BC"/>
    <w:rsid w:val="009042EA"/>
    <w:rsid w:val="0090478D"/>
    <w:rsid w:val="00904892"/>
    <w:rsid w:val="00904A1E"/>
    <w:rsid w:val="00904A7C"/>
    <w:rsid w:val="00904B93"/>
    <w:rsid w:val="00904C00"/>
    <w:rsid w:val="00904C0A"/>
    <w:rsid w:val="00904D3A"/>
    <w:rsid w:val="00904DF9"/>
    <w:rsid w:val="00904E08"/>
    <w:rsid w:val="00904E0E"/>
    <w:rsid w:val="00904FCC"/>
    <w:rsid w:val="009050BF"/>
    <w:rsid w:val="009051C6"/>
    <w:rsid w:val="0090522F"/>
    <w:rsid w:val="00905317"/>
    <w:rsid w:val="00905419"/>
    <w:rsid w:val="0090557E"/>
    <w:rsid w:val="009057DE"/>
    <w:rsid w:val="00905A84"/>
    <w:rsid w:val="00905E51"/>
    <w:rsid w:val="00905F0E"/>
    <w:rsid w:val="009061BD"/>
    <w:rsid w:val="009065FD"/>
    <w:rsid w:val="00906672"/>
    <w:rsid w:val="00906823"/>
    <w:rsid w:val="009068B9"/>
    <w:rsid w:val="009069D0"/>
    <w:rsid w:val="009069F1"/>
    <w:rsid w:val="00906C2A"/>
    <w:rsid w:val="00906C99"/>
    <w:rsid w:val="00906CDF"/>
    <w:rsid w:val="00906EA7"/>
    <w:rsid w:val="00907075"/>
    <w:rsid w:val="009071A8"/>
    <w:rsid w:val="009073F2"/>
    <w:rsid w:val="00907551"/>
    <w:rsid w:val="0090768D"/>
    <w:rsid w:val="009076D5"/>
    <w:rsid w:val="00907855"/>
    <w:rsid w:val="00907E33"/>
    <w:rsid w:val="00907F13"/>
    <w:rsid w:val="00907F20"/>
    <w:rsid w:val="009101A8"/>
    <w:rsid w:val="00910259"/>
    <w:rsid w:val="0091039E"/>
    <w:rsid w:val="00910521"/>
    <w:rsid w:val="009108A1"/>
    <w:rsid w:val="009109C8"/>
    <w:rsid w:val="00910A2D"/>
    <w:rsid w:val="00910A5F"/>
    <w:rsid w:val="00910BE0"/>
    <w:rsid w:val="00910CAC"/>
    <w:rsid w:val="00910CB2"/>
    <w:rsid w:val="00910D04"/>
    <w:rsid w:val="00910F19"/>
    <w:rsid w:val="009110EA"/>
    <w:rsid w:val="009112D6"/>
    <w:rsid w:val="00911408"/>
    <w:rsid w:val="009114C6"/>
    <w:rsid w:val="009116ED"/>
    <w:rsid w:val="0091171A"/>
    <w:rsid w:val="00911772"/>
    <w:rsid w:val="009119F6"/>
    <w:rsid w:val="00911A5E"/>
    <w:rsid w:val="00911B36"/>
    <w:rsid w:val="00911DEB"/>
    <w:rsid w:val="00911E49"/>
    <w:rsid w:val="00911ED4"/>
    <w:rsid w:val="00912219"/>
    <w:rsid w:val="0091224D"/>
    <w:rsid w:val="0091236E"/>
    <w:rsid w:val="00912990"/>
    <w:rsid w:val="00912D3A"/>
    <w:rsid w:val="00912F07"/>
    <w:rsid w:val="00912FF3"/>
    <w:rsid w:val="0091311F"/>
    <w:rsid w:val="00913541"/>
    <w:rsid w:val="009135C2"/>
    <w:rsid w:val="0091368F"/>
    <w:rsid w:val="00913711"/>
    <w:rsid w:val="00913861"/>
    <w:rsid w:val="00913B2F"/>
    <w:rsid w:val="00913C90"/>
    <w:rsid w:val="00913CEA"/>
    <w:rsid w:val="00914127"/>
    <w:rsid w:val="00914296"/>
    <w:rsid w:val="009142CD"/>
    <w:rsid w:val="00914300"/>
    <w:rsid w:val="0091430C"/>
    <w:rsid w:val="0091456D"/>
    <w:rsid w:val="009148BB"/>
    <w:rsid w:val="00914AF7"/>
    <w:rsid w:val="00914C46"/>
    <w:rsid w:val="00914DC8"/>
    <w:rsid w:val="0091529B"/>
    <w:rsid w:val="00915562"/>
    <w:rsid w:val="009156A9"/>
    <w:rsid w:val="009157C7"/>
    <w:rsid w:val="009159CB"/>
    <w:rsid w:val="00915B7B"/>
    <w:rsid w:val="00915B9A"/>
    <w:rsid w:val="00915CD3"/>
    <w:rsid w:val="00915CF9"/>
    <w:rsid w:val="00915E22"/>
    <w:rsid w:val="00915F05"/>
    <w:rsid w:val="00915FE4"/>
    <w:rsid w:val="00916393"/>
    <w:rsid w:val="00916986"/>
    <w:rsid w:val="009169A0"/>
    <w:rsid w:val="00916A33"/>
    <w:rsid w:val="00916C4B"/>
    <w:rsid w:val="00916CE2"/>
    <w:rsid w:val="00916CFB"/>
    <w:rsid w:val="009171C4"/>
    <w:rsid w:val="009172E0"/>
    <w:rsid w:val="00917371"/>
    <w:rsid w:val="00917460"/>
    <w:rsid w:val="009177DB"/>
    <w:rsid w:val="00917888"/>
    <w:rsid w:val="009178C8"/>
    <w:rsid w:val="009179A3"/>
    <w:rsid w:val="009179FB"/>
    <w:rsid w:val="00917A85"/>
    <w:rsid w:val="00917BFD"/>
    <w:rsid w:val="00917E2E"/>
    <w:rsid w:val="00917F5D"/>
    <w:rsid w:val="00920234"/>
    <w:rsid w:val="009204A1"/>
    <w:rsid w:val="0092075F"/>
    <w:rsid w:val="00920903"/>
    <w:rsid w:val="00920A26"/>
    <w:rsid w:val="00920A6C"/>
    <w:rsid w:val="00920E62"/>
    <w:rsid w:val="0092106B"/>
    <w:rsid w:val="0092106F"/>
    <w:rsid w:val="00921831"/>
    <w:rsid w:val="00921836"/>
    <w:rsid w:val="009219B0"/>
    <w:rsid w:val="00921B4F"/>
    <w:rsid w:val="00921DEB"/>
    <w:rsid w:val="0092237B"/>
    <w:rsid w:val="009229D3"/>
    <w:rsid w:val="00922BAB"/>
    <w:rsid w:val="00922CA9"/>
    <w:rsid w:val="00922D60"/>
    <w:rsid w:val="00923033"/>
    <w:rsid w:val="00923061"/>
    <w:rsid w:val="00923069"/>
    <w:rsid w:val="009231B0"/>
    <w:rsid w:val="009232B0"/>
    <w:rsid w:val="009232F4"/>
    <w:rsid w:val="00923770"/>
    <w:rsid w:val="00923988"/>
    <w:rsid w:val="00923AA9"/>
    <w:rsid w:val="00923ACC"/>
    <w:rsid w:val="0092410F"/>
    <w:rsid w:val="0092422B"/>
    <w:rsid w:val="0092431C"/>
    <w:rsid w:val="009243D4"/>
    <w:rsid w:val="00924452"/>
    <w:rsid w:val="0092454C"/>
    <w:rsid w:val="009247D8"/>
    <w:rsid w:val="00924D36"/>
    <w:rsid w:val="00924E66"/>
    <w:rsid w:val="00924F9A"/>
    <w:rsid w:val="0092515E"/>
    <w:rsid w:val="009254F8"/>
    <w:rsid w:val="0092566E"/>
    <w:rsid w:val="009256FE"/>
    <w:rsid w:val="009258D6"/>
    <w:rsid w:val="00925C80"/>
    <w:rsid w:val="00925EE9"/>
    <w:rsid w:val="00926003"/>
    <w:rsid w:val="00926083"/>
    <w:rsid w:val="0092634D"/>
    <w:rsid w:val="00926650"/>
    <w:rsid w:val="0092666C"/>
    <w:rsid w:val="009266C7"/>
    <w:rsid w:val="0092671D"/>
    <w:rsid w:val="009267D2"/>
    <w:rsid w:val="009267D7"/>
    <w:rsid w:val="00926905"/>
    <w:rsid w:val="009269AD"/>
    <w:rsid w:val="00926B66"/>
    <w:rsid w:val="00926DD7"/>
    <w:rsid w:val="00926E7C"/>
    <w:rsid w:val="00926F02"/>
    <w:rsid w:val="009272A1"/>
    <w:rsid w:val="009273B1"/>
    <w:rsid w:val="00927513"/>
    <w:rsid w:val="00927543"/>
    <w:rsid w:val="0092769E"/>
    <w:rsid w:val="00927E77"/>
    <w:rsid w:val="009300C6"/>
    <w:rsid w:val="0093023D"/>
    <w:rsid w:val="0093027A"/>
    <w:rsid w:val="009303EE"/>
    <w:rsid w:val="009303FA"/>
    <w:rsid w:val="009304A6"/>
    <w:rsid w:val="00930914"/>
    <w:rsid w:val="00930A3F"/>
    <w:rsid w:val="00930AB6"/>
    <w:rsid w:val="00930D87"/>
    <w:rsid w:val="0093136E"/>
    <w:rsid w:val="009319AF"/>
    <w:rsid w:val="00931B12"/>
    <w:rsid w:val="00931BAA"/>
    <w:rsid w:val="00931D47"/>
    <w:rsid w:val="00931D97"/>
    <w:rsid w:val="00931E0B"/>
    <w:rsid w:val="0093242A"/>
    <w:rsid w:val="0093242D"/>
    <w:rsid w:val="0093255E"/>
    <w:rsid w:val="009326B8"/>
    <w:rsid w:val="0093274A"/>
    <w:rsid w:val="00932820"/>
    <w:rsid w:val="0093283C"/>
    <w:rsid w:val="00932953"/>
    <w:rsid w:val="00932E1D"/>
    <w:rsid w:val="00932E56"/>
    <w:rsid w:val="00932F50"/>
    <w:rsid w:val="00932FE9"/>
    <w:rsid w:val="00933088"/>
    <w:rsid w:val="00933240"/>
    <w:rsid w:val="00933268"/>
    <w:rsid w:val="00933473"/>
    <w:rsid w:val="009335B9"/>
    <w:rsid w:val="00933748"/>
    <w:rsid w:val="0093377B"/>
    <w:rsid w:val="00933814"/>
    <w:rsid w:val="009339AB"/>
    <w:rsid w:val="00933A63"/>
    <w:rsid w:val="00933AA4"/>
    <w:rsid w:val="00933D34"/>
    <w:rsid w:val="00933D3F"/>
    <w:rsid w:val="00933E4A"/>
    <w:rsid w:val="00933E91"/>
    <w:rsid w:val="00934206"/>
    <w:rsid w:val="00934631"/>
    <w:rsid w:val="009346CD"/>
    <w:rsid w:val="009347F8"/>
    <w:rsid w:val="0093482C"/>
    <w:rsid w:val="00934AA6"/>
    <w:rsid w:val="00934AED"/>
    <w:rsid w:val="00934EA9"/>
    <w:rsid w:val="009351A5"/>
    <w:rsid w:val="00935223"/>
    <w:rsid w:val="00935488"/>
    <w:rsid w:val="009354DD"/>
    <w:rsid w:val="009356F5"/>
    <w:rsid w:val="009359C5"/>
    <w:rsid w:val="009359E0"/>
    <w:rsid w:val="009359E5"/>
    <w:rsid w:val="00935BBE"/>
    <w:rsid w:val="00935C52"/>
    <w:rsid w:val="00935CF0"/>
    <w:rsid w:val="00935DCD"/>
    <w:rsid w:val="00936215"/>
    <w:rsid w:val="0093629D"/>
    <w:rsid w:val="0093631F"/>
    <w:rsid w:val="009364F6"/>
    <w:rsid w:val="0093652D"/>
    <w:rsid w:val="00936590"/>
    <w:rsid w:val="00936677"/>
    <w:rsid w:val="0093672B"/>
    <w:rsid w:val="009367C5"/>
    <w:rsid w:val="0093682E"/>
    <w:rsid w:val="00936833"/>
    <w:rsid w:val="00936C30"/>
    <w:rsid w:val="0093705F"/>
    <w:rsid w:val="009370C7"/>
    <w:rsid w:val="00937191"/>
    <w:rsid w:val="0093719A"/>
    <w:rsid w:val="009378C4"/>
    <w:rsid w:val="00937996"/>
    <w:rsid w:val="00937A2A"/>
    <w:rsid w:val="00937B24"/>
    <w:rsid w:val="00937E8D"/>
    <w:rsid w:val="00937F95"/>
    <w:rsid w:val="00940277"/>
    <w:rsid w:val="00940654"/>
    <w:rsid w:val="009409F5"/>
    <w:rsid w:val="00940CAA"/>
    <w:rsid w:val="00940CE1"/>
    <w:rsid w:val="00940DB4"/>
    <w:rsid w:val="00940FE9"/>
    <w:rsid w:val="00941346"/>
    <w:rsid w:val="009416DF"/>
    <w:rsid w:val="00941737"/>
    <w:rsid w:val="00941A8A"/>
    <w:rsid w:val="00941E16"/>
    <w:rsid w:val="00941EDB"/>
    <w:rsid w:val="00942440"/>
    <w:rsid w:val="009424E8"/>
    <w:rsid w:val="0094263C"/>
    <w:rsid w:val="0094273D"/>
    <w:rsid w:val="0094280B"/>
    <w:rsid w:val="0094284C"/>
    <w:rsid w:val="0094290A"/>
    <w:rsid w:val="00942B3B"/>
    <w:rsid w:val="00942D64"/>
    <w:rsid w:val="0094312C"/>
    <w:rsid w:val="009431BF"/>
    <w:rsid w:val="009431EC"/>
    <w:rsid w:val="009432D6"/>
    <w:rsid w:val="0094338E"/>
    <w:rsid w:val="0094376A"/>
    <w:rsid w:val="00944183"/>
    <w:rsid w:val="00944305"/>
    <w:rsid w:val="009443A5"/>
    <w:rsid w:val="009443AF"/>
    <w:rsid w:val="009446D5"/>
    <w:rsid w:val="00944A27"/>
    <w:rsid w:val="00944A97"/>
    <w:rsid w:val="00944E20"/>
    <w:rsid w:val="009453D9"/>
    <w:rsid w:val="00945411"/>
    <w:rsid w:val="00945446"/>
    <w:rsid w:val="009458C8"/>
    <w:rsid w:val="00945ABD"/>
    <w:rsid w:val="00945CBA"/>
    <w:rsid w:val="00946098"/>
    <w:rsid w:val="0094638A"/>
    <w:rsid w:val="009463D2"/>
    <w:rsid w:val="009464C5"/>
    <w:rsid w:val="009464E5"/>
    <w:rsid w:val="00946B25"/>
    <w:rsid w:val="00946E3A"/>
    <w:rsid w:val="0094733C"/>
    <w:rsid w:val="0094739A"/>
    <w:rsid w:val="0094767C"/>
    <w:rsid w:val="00947697"/>
    <w:rsid w:val="00947769"/>
    <w:rsid w:val="00947885"/>
    <w:rsid w:val="009478EC"/>
    <w:rsid w:val="00947958"/>
    <w:rsid w:val="0094795F"/>
    <w:rsid w:val="00947B6C"/>
    <w:rsid w:val="00947C91"/>
    <w:rsid w:val="00950032"/>
    <w:rsid w:val="009502E4"/>
    <w:rsid w:val="009503F4"/>
    <w:rsid w:val="009508A3"/>
    <w:rsid w:val="0095097F"/>
    <w:rsid w:val="00950B0A"/>
    <w:rsid w:val="0095102A"/>
    <w:rsid w:val="009510B4"/>
    <w:rsid w:val="009511F7"/>
    <w:rsid w:val="00951259"/>
    <w:rsid w:val="0095129F"/>
    <w:rsid w:val="009514AD"/>
    <w:rsid w:val="009514B7"/>
    <w:rsid w:val="00951590"/>
    <w:rsid w:val="009515A5"/>
    <w:rsid w:val="009516F8"/>
    <w:rsid w:val="00951CAA"/>
    <w:rsid w:val="00952051"/>
    <w:rsid w:val="00952072"/>
    <w:rsid w:val="00952102"/>
    <w:rsid w:val="00952190"/>
    <w:rsid w:val="00952268"/>
    <w:rsid w:val="009523F7"/>
    <w:rsid w:val="00952410"/>
    <w:rsid w:val="00952591"/>
    <w:rsid w:val="00952632"/>
    <w:rsid w:val="00952821"/>
    <w:rsid w:val="009529F8"/>
    <w:rsid w:val="00952A21"/>
    <w:rsid w:val="00952CAF"/>
    <w:rsid w:val="00952CB6"/>
    <w:rsid w:val="00952DE5"/>
    <w:rsid w:val="00952EFE"/>
    <w:rsid w:val="00953141"/>
    <w:rsid w:val="0095316F"/>
    <w:rsid w:val="00953668"/>
    <w:rsid w:val="0095385C"/>
    <w:rsid w:val="00953998"/>
    <w:rsid w:val="00953B0D"/>
    <w:rsid w:val="00953B99"/>
    <w:rsid w:val="00953B9B"/>
    <w:rsid w:val="00953BC4"/>
    <w:rsid w:val="00953BC6"/>
    <w:rsid w:val="00953BE2"/>
    <w:rsid w:val="009543D3"/>
    <w:rsid w:val="0095440E"/>
    <w:rsid w:val="00954BBE"/>
    <w:rsid w:val="00954CF7"/>
    <w:rsid w:val="00954D97"/>
    <w:rsid w:val="00954E44"/>
    <w:rsid w:val="00955261"/>
    <w:rsid w:val="0095528F"/>
    <w:rsid w:val="00955378"/>
    <w:rsid w:val="009554FC"/>
    <w:rsid w:val="0095579A"/>
    <w:rsid w:val="009559B6"/>
    <w:rsid w:val="00955B1F"/>
    <w:rsid w:val="00955BFF"/>
    <w:rsid w:val="00955CB4"/>
    <w:rsid w:val="00955DCC"/>
    <w:rsid w:val="00955EA3"/>
    <w:rsid w:val="009562BD"/>
    <w:rsid w:val="00956300"/>
    <w:rsid w:val="00956334"/>
    <w:rsid w:val="0095641E"/>
    <w:rsid w:val="00956484"/>
    <w:rsid w:val="00956625"/>
    <w:rsid w:val="009569AC"/>
    <w:rsid w:val="00956A6C"/>
    <w:rsid w:val="00956EEA"/>
    <w:rsid w:val="009571FC"/>
    <w:rsid w:val="0095727D"/>
    <w:rsid w:val="009575EF"/>
    <w:rsid w:val="0095783B"/>
    <w:rsid w:val="00957891"/>
    <w:rsid w:val="009578A1"/>
    <w:rsid w:val="0095793B"/>
    <w:rsid w:val="00957B51"/>
    <w:rsid w:val="00957DF6"/>
    <w:rsid w:val="00957FA0"/>
    <w:rsid w:val="00960123"/>
    <w:rsid w:val="0096012E"/>
    <w:rsid w:val="009601A8"/>
    <w:rsid w:val="00960578"/>
    <w:rsid w:val="009607CB"/>
    <w:rsid w:val="009607F6"/>
    <w:rsid w:val="009608D1"/>
    <w:rsid w:val="00960A70"/>
    <w:rsid w:val="00960BBA"/>
    <w:rsid w:val="00960C7A"/>
    <w:rsid w:val="00960F7C"/>
    <w:rsid w:val="009611BB"/>
    <w:rsid w:val="00961278"/>
    <w:rsid w:val="00961320"/>
    <w:rsid w:val="0096146E"/>
    <w:rsid w:val="00961667"/>
    <w:rsid w:val="00961D7B"/>
    <w:rsid w:val="00961E5F"/>
    <w:rsid w:val="00961EA4"/>
    <w:rsid w:val="00962029"/>
    <w:rsid w:val="009620C8"/>
    <w:rsid w:val="0096227A"/>
    <w:rsid w:val="0096228E"/>
    <w:rsid w:val="009624BD"/>
    <w:rsid w:val="009625ED"/>
    <w:rsid w:val="00962669"/>
    <w:rsid w:val="00962837"/>
    <w:rsid w:val="0096295E"/>
    <w:rsid w:val="00962C7B"/>
    <w:rsid w:val="009631F2"/>
    <w:rsid w:val="0096324E"/>
    <w:rsid w:val="00963413"/>
    <w:rsid w:val="0096351A"/>
    <w:rsid w:val="00963540"/>
    <w:rsid w:val="00963B91"/>
    <w:rsid w:val="00963BD9"/>
    <w:rsid w:val="00963CCE"/>
    <w:rsid w:val="00964295"/>
    <w:rsid w:val="00964969"/>
    <w:rsid w:val="0096497D"/>
    <w:rsid w:val="00964CA8"/>
    <w:rsid w:val="00964E74"/>
    <w:rsid w:val="009653FE"/>
    <w:rsid w:val="009655AD"/>
    <w:rsid w:val="00966060"/>
    <w:rsid w:val="00966233"/>
    <w:rsid w:val="009662ED"/>
    <w:rsid w:val="009662EE"/>
    <w:rsid w:val="00966325"/>
    <w:rsid w:val="0096633F"/>
    <w:rsid w:val="009663E8"/>
    <w:rsid w:val="009667E8"/>
    <w:rsid w:val="0096683F"/>
    <w:rsid w:val="00966B79"/>
    <w:rsid w:val="00966D19"/>
    <w:rsid w:val="00966D85"/>
    <w:rsid w:val="00966EC1"/>
    <w:rsid w:val="009671C3"/>
    <w:rsid w:val="009673C9"/>
    <w:rsid w:val="009673DF"/>
    <w:rsid w:val="009675C6"/>
    <w:rsid w:val="00967886"/>
    <w:rsid w:val="009679E7"/>
    <w:rsid w:val="00967AAE"/>
    <w:rsid w:val="00967B5B"/>
    <w:rsid w:val="00967BDB"/>
    <w:rsid w:val="00967DAB"/>
    <w:rsid w:val="00967E24"/>
    <w:rsid w:val="00967EEA"/>
    <w:rsid w:val="0097022D"/>
    <w:rsid w:val="00970548"/>
    <w:rsid w:val="00970A94"/>
    <w:rsid w:val="00970B0B"/>
    <w:rsid w:val="00970C33"/>
    <w:rsid w:val="00970CEE"/>
    <w:rsid w:val="009710CC"/>
    <w:rsid w:val="00971469"/>
    <w:rsid w:val="009717EB"/>
    <w:rsid w:val="009718F9"/>
    <w:rsid w:val="00971951"/>
    <w:rsid w:val="00971A98"/>
    <w:rsid w:val="00971CBA"/>
    <w:rsid w:val="00971D27"/>
    <w:rsid w:val="00971E35"/>
    <w:rsid w:val="00971EFF"/>
    <w:rsid w:val="00971F14"/>
    <w:rsid w:val="009723D6"/>
    <w:rsid w:val="009723D7"/>
    <w:rsid w:val="009724A1"/>
    <w:rsid w:val="009724EC"/>
    <w:rsid w:val="00972675"/>
    <w:rsid w:val="00972777"/>
    <w:rsid w:val="00972874"/>
    <w:rsid w:val="00972BB0"/>
    <w:rsid w:val="00972DD3"/>
    <w:rsid w:val="009732CB"/>
    <w:rsid w:val="009733DE"/>
    <w:rsid w:val="00973451"/>
    <w:rsid w:val="00973495"/>
    <w:rsid w:val="0097394E"/>
    <w:rsid w:val="00973B1C"/>
    <w:rsid w:val="00973BA0"/>
    <w:rsid w:val="00973D56"/>
    <w:rsid w:val="00974038"/>
    <w:rsid w:val="009740E7"/>
    <w:rsid w:val="0097413A"/>
    <w:rsid w:val="009742BE"/>
    <w:rsid w:val="009745AE"/>
    <w:rsid w:val="0097472F"/>
    <w:rsid w:val="009749B6"/>
    <w:rsid w:val="00974B0E"/>
    <w:rsid w:val="00974CBF"/>
    <w:rsid w:val="00974EA9"/>
    <w:rsid w:val="00974ECF"/>
    <w:rsid w:val="009751AC"/>
    <w:rsid w:val="00975297"/>
    <w:rsid w:val="00975A35"/>
    <w:rsid w:val="00975B57"/>
    <w:rsid w:val="00975F67"/>
    <w:rsid w:val="00976020"/>
    <w:rsid w:val="00976062"/>
    <w:rsid w:val="00976138"/>
    <w:rsid w:val="00976182"/>
    <w:rsid w:val="00976425"/>
    <w:rsid w:val="00976764"/>
    <w:rsid w:val="00976BC4"/>
    <w:rsid w:val="00976D16"/>
    <w:rsid w:val="00976DC5"/>
    <w:rsid w:val="00976ECE"/>
    <w:rsid w:val="00976EED"/>
    <w:rsid w:val="00976F3D"/>
    <w:rsid w:val="00977167"/>
    <w:rsid w:val="009774E0"/>
    <w:rsid w:val="009775E1"/>
    <w:rsid w:val="009775EA"/>
    <w:rsid w:val="009779B0"/>
    <w:rsid w:val="00977A9E"/>
    <w:rsid w:val="00977B88"/>
    <w:rsid w:val="00977B93"/>
    <w:rsid w:val="00977C74"/>
    <w:rsid w:val="00977F05"/>
    <w:rsid w:val="00977F3E"/>
    <w:rsid w:val="00977F9F"/>
    <w:rsid w:val="0098021D"/>
    <w:rsid w:val="0098054E"/>
    <w:rsid w:val="009809B7"/>
    <w:rsid w:val="009809DE"/>
    <w:rsid w:val="00980BD4"/>
    <w:rsid w:val="0098135B"/>
    <w:rsid w:val="0098155F"/>
    <w:rsid w:val="009817C0"/>
    <w:rsid w:val="0098182F"/>
    <w:rsid w:val="009819F1"/>
    <w:rsid w:val="00981F2E"/>
    <w:rsid w:val="009821A0"/>
    <w:rsid w:val="00982233"/>
    <w:rsid w:val="0098249A"/>
    <w:rsid w:val="009824DB"/>
    <w:rsid w:val="009824DC"/>
    <w:rsid w:val="00982538"/>
    <w:rsid w:val="00982748"/>
    <w:rsid w:val="0098281E"/>
    <w:rsid w:val="009828B2"/>
    <w:rsid w:val="009828F4"/>
    <w:rsid w:val="00982942"/>
    <w:rsid w:val="00982C4B"/>
    <w:rsid w:val="00982D3A"/>
    <w:rsid w:val="00983064"/>
    <w:rsid w:val="009830B4"/>
    <w:rsid w:val="0098366B"/>
    <w:rsid w:val="00983AC8"/>
    <w:rsid w:val="00983C3D"/>
    <w:rsid w:val="00983FA8"/>
    <w:rsid w:val="00984261"/>
    <w:rsid w:val="009843E7"/>
    <w:rsid w:val="0098441E"/>
    <w:rsid w:val="009844B7"/>
    <w:rsid w:val="0098466F"/>
    <w:rsid w:val="009848DE"/>
    <w:rsid w:val="00984AB4"/>
    <w:rsid w:val="00984E17"/>
    <w:rsid w:val="00984F0D"/>
    <w:rsid w:val="00984F4B"/>
    <w:rsid w:val="00984F7A"/>
    <w:rsid w:val="009851E2"/>
    <w:rsid w:val="009854BC"/>
    <w:rsid w:val="00985715"/>
    <w:rsid w:val="0098585C"/>
    <w:rsid w:val="009858DB"/>
    <w:rsid w:val="00985A68"/>
    <w:rsid w:val="00985A98"/>
    <w:rsid w:val="00985D3C"/>
    <w:rsid w:val="009863AA"/>
    <w:rsid w:val="009865A6"/>
    <w:rsid w:val="00986822"/>
    <w:rsid w:val="009869FF"/>
    <w:rsid w:val="00986E3D"/>
    <w:rsid w:val="009870C8"/>
    <w:rsid w:val="009871AF"/>
    <w:rsid w:val="009874BC"/>
    <w:rsid w:val="009874DB"/>
    <w:rsid w:val="00987591"/>
    <w:rsid w:val="009875A9"/>
    <w:rsid w:val="00987662"/>
    <w:rsid w:val="0098786D"/>
    <w:rsid w:val="00987AE4"/>
    <w:rsid w:val="00987AF2"/>
    <w:rsid w:val="00987BF8"/>
    <w:rsid w:val="00987E01"/>
    <w:rsid w:val="00987E3F"/>
    <w:rsid w:val="009901DD"/>
    <w:rsid w:val="00990260"/>
    <w:rsid w:val="00990519"/>
    <w:rsid w:val="00990549"/>
    <w:rsid w:val="009905CC"/>
    <w:rsid w:val="00990A3E"/>
    <w:rsid w:val="00990A71"/>
    <w:rsid w:val="00990DA9"/>
    <w:rsid w:val="00990EA5"/>
    <w:rsid w:val="00990F0F"/>
    <w:rsid w:val="00990F3B"/>
    <w:rsid w:val="00990F86"/>
    <w:rsid w:val="0099102F"/>
    <w:rsid w:val="00991073"/>
    <w:rsid w:val="0099126B"/>
    <w:rsid w:val="00991316"/>
    <w:rsid w:val="009915E0"/>
    <w:rsid w:val="00991810"/>
    <w:rsid w:val="0099182D"/>
    <w:rsid w:val="00991971"/>
    <w:rsid w:val="00991AB9"/>
    <w:rsid w:val="00991B6A"/>
    <w:rsid w:val="00991B6B"/>
    <w:rsid w:val="00991B72"/>
    <w:rsid w:val="00991C0D"/>
    <w:rsid w:val="00991DDB"/>
    <w:rsid w:val="00991FC1"/>
    <w:rsid w:val="00992203"/>
    <w:rsid w:val="0099229E"/>
    <w:rsid w:val="0099237A"/>
    <w:rsid w:val="009924CA"/>
    <w:rsid w:val="009924F1"/>
    <w:rsid w:val="00992601"/>
    <w:rsid w:val="00992632"/>
    <w:rsid w:val="009928E0"/>
    <w:rsid w:val="0099294D"/>
    <w:rsid w:val="00992AAB"/>
    <w:rsid w:val="00992BDC"/>
    <w:rsid w:val="00992E83"/>
    <w:rsid w:val="00992FA4"/>
    <w:rsid w:val="00993259"/>
    <w:rsid w:val="00993327"/>
    <w:rsid w:val="00993393"/>
    <w:rsid w:val="00993726"/>
    <w:rsid w:val="0099375D"/>
    <w:rsid w:val="0099378A"/>
    <w:rsid w:val="00993887"/>
    <w:rsid w:val="00993D6F"/>
    <w:rsid w:val="00993FC0"/>
    <w:rsid w:val="00993FFF"/>
    <w:rsid w:val="00994073"/>
    <w:rsid w:val="009941CA"/>
    <w:rsid w:val="00994286"/>
    <w:rsid w:val="00994515"/>
    <w:rsid w:val="0099460F"/>
    <w:rsid w:val="0099463B"/>
    <w:rsid w:val="009946B2"/>
    <w:rsid w:val="009946B5"/>
    <w:rsid w:val="00994769"/>
    <w:rsid w:val="00994857"/>
    <w:rsid w:val="00994953"/>
    <w:rsid w:val="00994FA3"/>
    <w:rsid w:val="009950AA"/>
    <w:rsid w:val="00995123"/>
    <w:rsid w:val="009951BD"/>
    <w:rsid w:val="009952A4"/>
    <w:rsid w:val="00995423"/>
    <w:rsid w:val="0099555D"/>
    <w:rsid w:val="00995631"/>
    <w:rsid w:val="009956B0"/>
    <w:rsid w:val="009959DC"/>
    <w:rsid w:val="00995A53"/>
    <w:rsid w:val="00995CAC"/>
    <w:rsid w:val="00995CD5"/>
    <w:rsid w:val="00995D69"/>
    <w:rsid w:val="00995D7D"/>
    <w:rsid w:val="00995DBE"/>
    <w:rsid w:val="0099620E"/>
    <w:rsid w:val="0099632C"/>
    <w:rsid w:val="0099639A"/>
    <w:rsid w:val="0099640F"/>
    <w:rsid w:val="0099653B"/>
    <w:rsid w:val="00996B47"/>
    <w:rsid w:val="00996C64"/>
    <w:rsid w:val="00996D16"/>
    <w:rsid w:val="00996E99"/>
    <w:rsid w:val="00996F2C"/>
    <w:rsid w:val="00996F89"/>
    <w:rsid w:val="0099706B"/>
    <w:rsid w:val="009970AD"/>
    <w:rsid w:val="009971D6"/>
    <w:rsid w:val="009971F7"/>
    <w:rsid w:val="0099735A"/>
    <w:rsid w:val="0099752F"/>
    <w:rsid w:val="00997530"/>
    <w:rsid w:val="009976DE"/>
    <w:rsid w:val="009976F6"/>
    <w:rsid w:val="00997931"/>
    <w:rsid w:val="00997994"/>
    <w:rsid w:val="009979E7"/>
    <w:rsid w:val="00997E5B"/>
    <w:rsid w:val="009A0003"/>
    <w:rsid w:val="009A00BA"/>
    <w:rsid w:val="009A018E"/>
    <w:rsid w:val="009A026F"/>
    <w:rsid w:val="009A0419"/>
    <w:rsid w:val="009A0520"/>
    <w:rsid w:val="009A0609"/>
    <w:rsid w:val="009A0838"/>
    <w:rsid w:val="009A0B16"/>
    <w:rsid w:val="009A0B72"/>
    <w:rsid w:val="009A0BAC"/>
    <w:rsid w:val="009A0D50"/>
    <w:rsid w:val="009A0F0A"/>
    <w:rsid w:val="009A1322"/>
    <w:rsid w:val="009A134D"/>
    <w:rsid w:val="009A165B"/>
    <w:rsid w:val="009A1733"/>
    <w:rsid w:val="009A19F6"/>
    <w:rsid w:val="009A1A4F"/>
    <w:rsid w:val="009A1B44"/>
    <w:rsid w:val="009A1F40"/>
    <w:rsid w:val="009A1F9C"/>
    <w:rsid w:val="009A2058"/>
    <w:rsid w:val="009A244E"/>
    <w:rsid w:val="009A24CD"/>
    <w:rsid w:val="009A24CE"/>
    <w:rsid w:val="009A2634"/>
    <w:rsid w:val="009A2E6A"/>
    <w:rsid w:val="009A2FC6"/>
    <w:rsid w:val="009A302B"/>
    <w:rsid w:val="009A3062"/>
    <w:rsid w:val="009A3509"/>
    <w:rsid w:val="009A352E"/>
    <w:rsid w:val="009A37AD"/>
    <w:rsid w:val="009A380A"/>
    <w:rsid w:val="009A3838"/>
    <w:rsid w:val="009A3A5F"/>
    <w:rsid w:val="009A3A6E"/>
    <w:rsid w:val="009A3ABE"/>
    <w:rsid w:val="009A3E2A"/>
    <w:rsid w:val="009A3E6B"/>
    <w:rsid w:val="009A3F11"/>
    <w:rsid w:val="009A3FC4"/>
    <w:rsid w:val="009A4198"/>
    <w:rsid w:val="009A41DF"/>
    <w:rsid w:val="009A4298"/>
    <w:rsid w:val="009A42E0"/>
    <w:rsid w:val="009A43BD"/>
    <w:rsid w:val="009A45A1"/>
    <w:rsid w:val="009A45AA"/>
    <w:rsid w:val="009A4B20"/>
    <w:rsid w:val="009A4B6D"/>
    <w:rsid w:val="009A4BC5"/>
    <w:rsid w:val="009A4C12"/>
    <w:rsid w:val="009A4EFD"/>
    <w:rsid w:val="009A4FA1"/>
    <w:rsid w:val="009A50B3"/>
    <w:rsid w:val="009A527E"/>
    <w:rsid w:val="009A5379"/>
    <w:rsid w:val="009A53DA"/>
    <w:rsid w:val="009A5520"/>
    <w:rsid w:val="009A559A"/>
    <w:rsid w:val="009A5608"/>
    <w:rsid w:val="009A5737"/>
    <w:rsid w:val="009A5801"/>
    <w:rsid w:val="009A5AB3"/>
    <w:rsid w:val="009A5AFB"/>
    <w:rsid w:val="009A5DBA"/>
    <w:rsid w:val="009A657E"/>
    <w:rsid w:val="009A65D5"/>
    <w:rsid w:val="009A65F4"/>
    <w:rsid w:val="009A6830"/>
    <w:rsid w:val="009A6AEF"/>
    <w:rsid w:val="009A6B3E"/>
    <w:rsid w:val="009A6D04"/>
    <w:rsid w:val="009A709C"/>
    <w:rsid w:val="009A724A"/>
    <w:rsid w:val="009A742C"/>
    <w:rsid w:val="009A7601"/>
    <w:rsid w:val="009A768C"/>
    <w:rsid w:val="009A7823"/>
    <w:rsid w:val="009A7A04"/>
    <w:rsid w:val="009A7AA0"/>
    <w:rsid w:val="009A7BA2"/>
    <w:rsid w:val="009A7D9F"/>
    <w:rsid w:val="009A7ED7"/>
    <w:rsid w:val="009A7F6E"/>
    <w:rsid w:val="009B00A6"/>
    <w:rsid w:val="009B04AF"/>
    <w:rsid w:val="009B04CD"/>
    <w:rsid w:val="009B08BB"/>
    <w:rsid w:val="009B08F4"/>
    <w:rsid w:val="009B0958"/>
    <w:rsid w:val="009B09E0"/>
    <w:rsid w:val="009B0AFB"/>
    <w:rsid w:val="009B0EAA"/>
    <w:rsid w:val="009B0ECC"/>
    <w:rsid w:val="009B1116"/>
    <w:rsid w:val="009B1258"/>
    <w:rsid w:val="009B127D"/>
    <w:rsid w:val="009B1297"/>
    <w:rsid w:val="009B12AE"/>
    <w:rsid w:val="009B13B2"/>
    <w:rsid w:val="009B152A"/>
    <w:rsid w:val="009B188F"/>
    <w:rsid w:val="009B1912"/>
    <w:rsid w:val="009B1AF1"/>
    <w:rsid w:val="009B1D4A"/>
    <w:rsid w:val="009B1F50"/>
    <w:rsid w:val="009B231D"/>
    <w:rsid w:val="009B237A"/>
    <w:rsid w:val="009B251D"/>
    <w:rsid w:val="009B2C80"/>
    <w:rsid w:val="009B2CCE"/>
    <w:rsid w:val="009B2FB8"/>
    <w:rsid w:val="009B3020"/>
    <w:rsid w:val="009B332F"/>
    <w:rsid w:val="009B378E"/>
    <w:rsid w:val="009B3D06"/>
    <w:rsid w:val="009B3E22"/>
    <w:rsid w:val="009B4030"/>
    <w:rsid w:val="009B40B5"/>
    <w:rsid w:val="009B4905"/>
    <w:rsid w:val="009B498A"/>
    <w:rsid w:val="009B4B89"/>
    <w:rsid w:val="009B4B9A"/>
    <w:rsid w:val="009B4CAF"/>
    <w:rsid w:val="009B4D5B"/>
    <w:rsid w:val="009B4DFB"/>
    <w:rsid w:val="009B4F39"/>
    <w:rsid w:val="009B4FC1"/>
    <w:rsid w:val="009B5153"/>
    <w:rsid w:val="009B5565"/>
    <w:rsid w:val="009B579C"/>
    <w:rsid w:val="009B5B5B"/>
    <w:rsid w:val="009B5B7F"/>
    <w:rsid w:val="009B5DF8"/>
    <w:rsid w:val="009B5E06"/>
    <w:rsid w:val="009B5F12"/>
    <w:rsid w:val="009B5F6C"/>
    <w:rsid w:val="009B6314"/>
    <w:rsid w:val="009B63E1"/>
    <w:rsid w:val="009B6484"/>
    <w:rsid w:val="009B651B"/>
    <w:rsid w:val="009B687F"/>
    <w:rsid w:val="009B68A3"/>
    <w:rsid w:val="009B6A4B"/>
    <w:rsid w:val="009B6AEA"/>
    <w:rsid w:val="009B6BC3"/>
    <w:rsid w:val="009B6C58"/>
    <w:rsid w:val="009B6E9D"/>
    <w:rsid w:val="009B6F14"/>
    <w:rsid w:val="009B6FE5"/>
    <w:rsid w:val="009B705D"/>
    <w:rsid w:val="009B7259"/>
    <w:rsid w:val="009B7506"/>
    <w:rsid w:val="009B755C"/>
    <w:rsid w:val="009B7689"/>
    <w:rsid w:val="009B769D"/>
    <w:rsid w:val="009B76EF"/>
    <w:rsid w:val="009B77EE"/>
    <w:rsid w:val="009B77F2"/>
    <w:rsid w:val="009B78F9"/>
    <w:rsid w:val="009B7BF1"/>
    <w:rsid w:val="009B7CFF"/>
    <w:rsid w:val="009B7D9D"/>
    <w:rsid w:val="009C0345"/>
    <w:rsid w:val="009C043A"/>
    <w:rsid w:val="009C04F0"/>
    <w:rsid w:val="009C069D"/>
    <w:rsid w:val="009C081A"/>
    <w:rsid w:val="009C0AB3"/>
    <w:rsid w:val="009C0F33"/>
    <w:rsid w:val="009C100D"/>
    <w:rsid w:val="009C141F"/>
    <w:rsid w:val="009C1546"/>
    <w:rsid w:val="009C178E"/>
    <w:rsid w:val="009C1897"/>
    <w:rsid w:val="009C1B69"/>
    <w:rsid w:val="009C1B79"/>
    <w:rsid w:val="009C1BD8"/>
    <w:rsid w:val="009C1C89"/>
    <w:rsid w:val="009C1DF5"/>
    <w:rsid w:val="009C2174"/>
    <w:rsid w:val="009C269F"/>
    <w:rsid w:val="009C28A6"/>
    <w:rsid w:val="009C28D0"/>
    <w:rsid w:val="009C293C"/>
    <w:rsid w:val="009C2C7F"/>
    <w:rsid w:val="009C2D86"/>
    <w:rsid w:val="009C2DD8"/>
    <w:rsid w:val="009C2FF3"/>
    <w:rsid w:val="009C3080"/>
    <w:rsid w:val="009C32AE"/>
    <w:rsid w:val="009C3707"/>
    <w:rsid w:val="009C37B4"/>
    <w:rsid w:val="009C38D6"/>
    <w:rsid w:val="009C39C2"/>
    <w:rsid w:val="009C3CF0"/>
    <w:rsid w:val="009C3D6C"/>
    <w:rsid w:val="009C3EA2"/>
    <w:rsid w:val="009C3F69"/>
    <w:rsid w:val="009C4249"/>
    <w:rsid w:val="009C4325"/>
    <w:rsid w:val="009C451F"/>
    <w:rsid w:val="009C46F7"/>
    <w:rsid w:val="009C486F"/>
    <w:rsid w:val="009C48AB"/>
    <w:rsid w:val="009C4BC7"/>
    <w:rsid w:val="009C4C31"/>
    <w:rsid w:val="009C4D3F"/>
    <w:rsid w:val="009C4DF3"/>
    <w:rsid w:val="009C54D0"/>
    <w:rsid w:val="009C54E0"/>
    <w:rsid w:val="009C5524"/>
    <w:rsid w:val="009C5608"/>
    <w:rsid w:val="009C5626"/>
    <w:rsid w:val="009C583D"/>
    <w:rsid w:val="009C5881"/>
    <w:rsid w:val="009C59B2"/>
    <w:rsid w:val="009C5DE7"/>
    <w:rsid w:val="009C5F00"/>
    <w:rsid w:val="009C62D4"/>
    <w:rsid w:val="009C643E"/>
    <w:rsid w:val="009C6662"/>
    <w:rsid w:val="009C67D1"/>
    <w:rsid w:val="009C6AA9"/>
    <w:rsid w:val="009C6B6B"/>
    <w:rsid w:val="009C6B81"/>
    <w:rsid w:val="009C70AE"/>
    <w:rsid w:val="009C7109"/>
    <w:rsid w:val="009C712E"/>
    <w:rsid w:val="009C7153"/>
    <w:rsid w:val="009C7210"/>
    <w:rsid w:val="009C73EF"/>
    <w:rsid w:val="009C75BC"/>
    <w:rsid w:val="009C7AAD"/>
    <w:rsid w:val="009C7B70"/>
    <w:rsid w:val="009C7D71"/>
    <w:rsid w:val="009C7E7A"/>
    <w:rsid w:val="009C7EA3"/>
    <w:rsid w:val="009C7F1C"/>
    <w:rsid w:val="009D00C4"/>
    <w:rsid w:val="009D00F5"/>
    <w:rsid w:val="009D0582"/>
    <w:rsid w:val="009D0706"/>
    <w:rsid w:val="009D07C4"/>
    <w:rsid w:val="009D097E"/>
    <w:rsid w:val="009D0A61"/>
    <w:rsid w:val="009D0A88"/>
    <w:rsid w:val="009D0D13"/>
    <w:rsid w:val="009D0DB5"/>
    <w:rsid w:val="009D0F61"/>
    <w:rsid w:val="009D1046"/>
    <w:rsid w:val="009D11AE"/>
    <w:rsid w:val="009D1608"/>
    <w:rsid w:val="009D161A"/>
    <w:rsid w:val="009D1A12"/>
    <w:rsid w:val="009D20A8"/>
    <w:rsid w:val="009D27B5"/>
    <w:rsid w:val="009D2851"/>
    <w:rsid w:val="009D2884"/>
    <w:rsid w:val="009D28BF"/>
    <w:rsid w:val="009D2908"/>
    <w:rsid w:val="009D2988"/>
    <w:rsid w:val="009D2A26"/>
    <w:rsid w:val="009D2B3E"/>
    <w:rsid w:val="009D2F08"/>
    <w:rsid w:val="009D303A"/>
    <w:rsid w:val="009D317F"/>
    <w:rsid w:val="009D3350"/>
    <w:rsid w:val="009D3471"/>
    <w:rsid w:val="009D3682"/>
    <w:rsid w:val="009D36BC"/>
    <w:rsid w:val="009D371C"/>
    <w:rsid w:val="009D3790"/>
    <w:rsid w:val="009D37A5"/>
    <w:rsid w:val="009D3923"/>
    <w:rsid w:val="009D392D"/>
    <w:rsid w:val="009D3A3E"/>
    <w:rsid w:val="009D3B2D"/>
    <w:rsid w:val="009D3D10"/>
    <w:rsid w:val="009D3E97"/>
    <w:rsid w:val="009D3F6C"/>
    <w:rsid w:val="009D3F76"/>
    <w:rsid w:val="009D4071"/>
    <w:rsid w:val="009D40D3"/>
    <w:rsid w:val="009D4368"/>
    <w:rsid w:val="009D44BD"/>
    <w:rsid w:val="009D4686"/>
    <w:rsid w:val="009D46D3"/>
    <w:rsid w:val="009D488E"/>
    <w:rsid w:val="009D49D7"/>
    <w:rsid w:val="009D4D2E"/>
    <w:rsid w:val="009D4ECE"/>
    <w:rsid w:val="009D4FD4"/>
    <w:rsid w:val="009D4FDB"/>
    <w:rsid w:val="009D505C"/>
    <w:rsid w:val="009D51A0"/>
    <w:rsid w:val="009D51DB"/>
    <w:rsid w:val="009D5462"/>
    <w:rsid w:val="009D5678"/>
    <w:rsid w:val="009D57E9"/>
    <w:rsid w:val="009D5813"/>
    <w:rsid w:val="009D599C"/>
    <w:rsid w:val="009D59A8"/>
    <w:rsid w:val="009D59A9"/>
    <w:rsid w:val="009D5BBE"/>
    <w:rsid w:val="009D5D0D"/>
    <w:rsid w:val="009D5D2D"/>
    <w:rsid w:val="009D6246"/>
    <w:rsid w:val="009D624C"/>
    <w:rsid w:val="009D65BF"/>
    <w:rsid w:val="009D65FC"/>
    <w:rsid w:val="009D6CC2"/>
    <w:rsid w:val="009D6E74"/>
    <w:rsid w:val="009D7067"/>
    <w:rsid w:val="009D7146"/>
    <w:rsid w:val="009D7222"/>
    <w:rsid w:val="009D781D"/>
    <w:rsid w:val="009D7D46"/>
    <w:rsid w:val="009D7E07"/>
    <w:rsid w:val="009D7FB8"/>
    <w:rsid w:val="009E02F6"/>
    <w:rsid w:val="009E032C"/>
    <w:rsid w:val="009E0377"/>
    <w:rsid w:val="009E042C"/>
    <w:rsid w:val="009E0566"/>
    <w:rsid w:val="009E05F7"/>
    <w:rsid w:val="009E0638"/>
    <w:rsid w:val="009E0A51"/>
    <w:rsid w:val="009E0BF7"/>
    <w:rsid w:val="009E0E20"/>
    <w:rsid w:val="009E1010"/>
    <w:rsid w:val="009E1162"/>
    <w:rsid w:val="009E1359"/>
    <w:rsid w:val="009E1420"/>
    <w:rsid w:val="009E150E"/>
    <w:rsid w:val="009E158A"/>
    <w:rsid w:val="009E15BB"/>
    <w:rsid w:val="009E1722"/>
    <w:rsid w:val="009E1C6C"/>
    <w:rsid w:val="009E1EFD"/>
    <w:rsid w:val="009E2268"/>
    <w:rsid w:val="009E2404"/>
    <w:rsid w:val="009E256A"/>
    <w:rsid w:val="009E2702"/>
    <w:rsid w:val="009E28ED"/>
    <w:rsid w:val="009E29AD"/>
    <w:rsid w:val="009E2B73"/>
    <w:rsid w:val="009E2BF0"/>
    <w:rsid w:val="009E2D1F"/>
    <w:rsid w:val="009E3007"/>
    <w:rsid w:val="009E304E"/>
    <w:rsid w:val="009E30E3"/>
    <w:rsid w:val="009E325C"/>
    <w:rsid w:val="009E32FE"/>
    <w:rsid w:val="009E33FD"/>
    <w:rsid w:val="009E36A3"/>
    <w:rsid w:val="009E37D3"/>
    <w:rsid w:val="009E38FF"/>
    <w:rsid w:val="009E3A26"/>
    <w:rsid w:val="009E3CD6"/>
    <w:rsid w:val="009E3DF8"/>
    <w:rsid w:val="009E3F18"/>
    <w:rsid w:val="009E3FD1"/>
    <w:rsid w:val="009E40BD"/>
    <w:rsid w:val="009E45E5"/>
    <w:rsid w:val="009E462D"/>
    <w:rsid w:val="009E47C8"/>
    <w:rsid w:val="009E4820"/>
    <w:rsid w:val="009E4A39"/>
    <w:rsid w:val="009E4B0C"/>
    <w:rsid w:val="009E4C2C"/>
    <w:rsid w:val="009E4E67"/>
    <w:rsid w:val="009E4F03"/>
    <w:rsid w:val="009E4F15"/>
    <w:rsid w:val="009E5049"/>
    <w:rsid w:val="009E50EE"/>
    <w:rsid w:val="009E5390"/>
    <w:rsid w:val="009E5475"/>
    <w:rsid w:val="009E56AE"/>
    <w:rsid w:val="009E57EF"/>
    <w:rsid w:val="009E5A45"/>
    <w:rsid w:val="009E5BCE"/>
    <w:rsid w:val="009E5BDF"/>
    <w:rsid w:val="009E5D9B"/>
    <w:rsid w:val="009E5E23"/>
    <w:rsid w:val="009E629B"/>
    <w:rsid w:val="009E6480"/>
    <w:rsid w:val="009E6481"/>
    <w:rsid w:val="009E64CB"/>
    <w:rsid w:val="009E6645"/>
    <w:rsid w:val="009E6914"/>
    <w:rsid w:val="009E6D7F"/>
    <w:rsid w:val="009E6F3E"/>
    <w:rsid w:val="009E715C"/>
    <w:rsid w:val="009E71AE"/>
    <w:rsid w:val="009E735F"/>
    <w:rsid w:val="009E754E"/>
    <w:rsid w:val="009E772E"/>
    <w:rsid w:val="009E7AD2"/>
    <w:rsid w:val="009E7EAF"/>
    <w:rsid w:val="009E7FEB"/>
    <w:rsid w:val="009F0059"/>
    <w:rsid w:val="009F00C1"/>
    <w:rsid w:val="009F00C5"/>
    <w:rsid w:val="009F01FA"/>
    <w:rsid w:val="009F0200"/>
    <w:rsid w:val="009F032E"/>
    <w:rsid w:val="009F0773"/>
    <w:rsid w:val="009F07A0"/>
    <w:rsid w:val="009F08B1"/>
    <w:rsid w:val="009F093A"/>
    <w:rsid w:val="009F09D5"/>
    <w:rsid w:val="009F0ABA"/>
    <w:rsid w:val="009F0B5F"/>
    <w:rsid w:val="009F0B73"/>
    <w:rsid w:val="009F0C5C"/>
    <w:rsid w:val="009F0D80"/>
    <w:rsid w:val="009F0E90"/>
    <w:rsid w:val="009F0F86"/>
    <w:rsid w:val="009F110F"/>
    <w:rsid w:val="009F1253"/>
    <w:rsid w:val="009F13A7"/>
    <w:rsid w:val="009F1410"/>
    <w:rsid w:val="009F1578"/>
    <w:rsid w:val="009F191C"/>
    <w:rsid w:val="009F19EF"/>
    <w:rsid w:val="009F1B77"/>
    <w:rsid w:val="009F1CC3"/>
    <w:rsid w:val="009F1E31"/>
    <w:rsid w:val="009F203E"/>
    <w:rsid w:val="009F21A6"/>
    <w:rsid w:val="009F2282"/>
    <w:rsid w:val="009F2343"/>
    <w:rsid w:val="009F23E7"/>
    <w:rsid w:val="009F2487"/>
    <w:rsid w:val="009F2691"/>
    <w:rsid w:val="009F2B6C"/>
    <w:rsid w:val="009F2BBC"/>
    <w:rsid w:val="009F2DE4"/>
    <w:rsid w:val="009F32AD"/>
    <w:rsid w:val="009F359D"/>
    <w:rsid w:val="009F39A9"/>
    <w:rsid w:val="009F3D5A"/>
    <w:rsid w:val="009F3D6F"/>
    <w:rsid w:val="009F3D85"/>
    <w:rsid w:val="009F3F83"/>
    <w:rsid w:val="009F42FC"/>
    <w:rsid w:val="009F4842"/>
    <w:rsid w:val="009F4AF0"/>
    <w:rsid w:val="009F4BE1"/>
    <w:rsid w:val="009F4C15"/>
    <w:rsid w:val="009F4D07"/>
    <w:rsid w:val="009F4D17"/>
    <w:rsid w:val="009F4D6A"/>
    <w:rsid w:val="009F4F13"/>
    <w:rsid w:val="009F5016"/>
    <w:rsid w:val="009F51A1"/>
    <w:rsid w:val="009F52E9"/>
    <w:rsid w:val="009F5491"/>
    <w:rsid w:val="009F5655"/>
    <w:rsid w:val="009F56D1"/>
    <w:rsid w:val="009F5B7E"/>
    <w:rsid w:val="009F5C76"/>
    <w:rsid w:val="009F5C93"/>
    <w:rsid w:val="009F5CF6"/>
    <w:rsid w:val="009F6157"/>
    <w:rsid w:val="009F61AA"/>
    <w:rsid w:val="009F65C0"/>
    <w:rsid w:val="009F66A1"/>
    <w:rsid w:val="009F678B"/>
    <w:rsid w:val="009F6844"/>
    <w:rsid w:val="009F6AA6"/>
    <w:rsid w:val="009F6BBB"/>
    <w:rsid w:val="009F6BD2"/>
    <w:rsid w:val="009F6E4A"/>
    <w:rsid w:val="009F6E51"/>
    <w:rsid w:val="009F6F07"/>
    <w:rsid w:val="009F6FAD"/>
    <w:rsid w:val="009F707F"/>
    <w:rsid w:val="009F72B9"/>
    <w:rsid w:val="009F73E0"/>
    <w:rsid w:val="009F7452"/>
    <w:rsid w:val="009F7519"/>
    <w:rsid w:val="009F7738"/>
    <w:rsid w:val="009F7747"/>
    <w:rsid w:val="009F784E"/>
    <w:rsid w:val="009F7AD6"/>
    <w:rsid w:val="009F7CF2"/>
    <w:rsid w:val="009F7E0A"/>
    <w:rsid w:val="00A001E7"/>
    <w:rsid w:val="00A004AE"/>
    <w:rsid w:val="00A004C0"/>
    <w:rsid w:val="00A0053E"/>
    <w:rsid w:val="00A0064B"/>
    <w:rsid w:val="00A009A6"/>
    <w:rsid w:val="00A00AD7"/>
    <w:rsid w:val="00A00C6C"/>
    <w:rsid w:val="00A00E3B"/>
    <w:rsid w:val="00A0118D"/>
    <w:rsid w:val="00A011A6"/>
    <w:rsid w:val="00A012F0"/>
    <w:rsid w:val="00A0130A"/>
    <w:rsid w:val="00A0149C"/>
    <w:rsid w:val="00A01DEB"/>
    <w:rsid w:val="00A02065"/>
    <w:rsid w:val="00A020C5"/>
    <w:rsid w:val="00A0233F"/>
    <w:rsid w:val="00A024CF"/>
    <w:rsid w:val="00A02743"/>
    <w:rsid w:val="00A02791"/>
    <w:rsid w:val="00A028E6"/>
    <w:rsid w:val="00A02937"/>
    <w:rsid w:val="00A02A39"/>
    <w:rsid w:val="00A02C19"/>
    <w:rsid w:val="00A02D12"/>
    <w:rsid w:val="00A02F6C"/>
    <w:rsid w:val="00A030A6"/>
    <w:rsid w:val="00A032ED"/>
    <w:rsid w:val="00A033D6"/>
    <w:rsid w:val="00A03412"/>
    <w:rsid w:val="00A03418"/>
    <w:rsid w:val="00A03641"/>
    <w:rsid w:val="00A03660"/>
    <w:rsid w:val="00A036AC"/>
    <w:rsid w:val="00A038E0"/>
    <w:rsid w:val="00A039FD"/>
    <w:rsid w:val="00A043E5"/>
    <w:rsid w:val="00A04522"/>
    <w:rsid w:val="00A04710"/>
    <w:rsid w:val="00A0481C"/>
    <w:rsid w:val="00A0491A"/>
    <w:rsid w:val="00A04A1F"/>
    <w:rsid w:val="00A04CE0"/>
    <w:rsid w:val="00A04D84"/>
    <w:rsid w:val="00A05323"/>
    <w:rsid w:val="00A053A5"/>
    <w:rsid w:val="00A05421"/>
    <w:rsid w:val="00A054D8"/>
    <w:rsid w:val="00A0557E"/>
    <w:rsid w:val="00A05833"/>
    <w:rsid w:val="00A05907"/>
    <w:rsid w:val="00A0590B"/>
    <w:rsid w:val="00A059A8"/>
    <w:rsid w:val="00A05A96"/>
    <w:rsid w:val="00A05C3E"/>
    <w:rsid w:val="00A05D84"/>
    <w:rsid w:val="00A05E0D"/>
    <w:rsid w:val="00A05F6F"/>
    <w:rsid w:val="00A06094"/>
    <w:rsid w:val="00A0609D"/>
    <w:rsid w:val="00A0614D"/>
    <w:rsid w:val="00A061A3"/>
    <w:rsid w:val="00A06408"/>
    <w:rsid w:val="00A06597"/>
    <w:rsid w:val="00A0679D"/>
    <w:rsid w:val="00A068DF"/>
    <w:rsid w:val="00A069C6"/>
    <w:rsid w:val="00A06B51"/>
    <w:rsid w:val="00A06C7B"/>
    <w:rsid w:val="00A06D82"/>
    <w:rsid w:val="00A06FEA"/>
    <w:rsid w:val="00A07089"/>
    <w:rsid w:val="00A07193"/>
    <w:rsid w:val="00A076B5"/>
    <w:rsid w:val="00A07A36"/>
    <w:rsid w:val="00A07D43"/>
    <w:rsid w:val="00A07FA1"/>
    <w:rsid w:val="00A10165"/>
    <w:rsid w:val="00A101FD"/>
    <w:rsid w:val="00A10556"/>
    <w:rsid w:val="00A1078E"/>
    <w:rsid w:val="00A10AD8"/>
    <w:rsid w:val="00A111A4"/>
    <w:rsid w:val="00A111AE"/>
    <w:rsid w:val="00A112C2"/>
    <w:rsid w:val="00A113F1"/>
    <w:rsid w:val="00A11737"/>
    <w:rsid w:val="00A118E8"/>
    <w:rsid w:val="00A11B01"/>
    <w:rsid w:val="00A11FDA"/>
    <w:rsid w:val="00A123C8"/>
    <w:rsid w:val="00A1241F"/>
    <w:rsid w:val="00A12914"/>
    <w:rsid w:val="00A12DBB"/>
    <w:rsid w:val="00A12E0B"/>
    <w:rsid w:val="00A12F0B"/>
    <w:rsid w:val="00A130DF"/>
    <w:rsid w:val="00A13140"/>
    <w:rsid w:val="00A13156"/>
    <w:rsid w:val="00A1322C"/>
    <w:rsid w:val="00A132F0"/>
    <w:rsid w:val="00A133A7"/>
    <w:rsid w:val="00A134EB"/>
    <w:rsid w:val="00A13531"/>
    <w:rsid w:val="00A13651"/>
    <w:rsid w:val="00A137F7"/>
    <w:rsid w:val="00A1383A"/>
    <w:rsid w:val="00A13871"/>
    <w:rsid w:val="00A13990"/>
    <w:rsid w:val="00A13C4D"/>
    <w:rsid w:val="00A13DB3"/>
    <w:rsid w:val="00A13DE2"/>
    <w:rsid w:val="00A13E34"/>
    <w:rsid w:val="00A14042"/>
    <w:rsid w:val="00A14122"/>
    <w:rsid w:val="00A141B9"/>
    <w:rsid w:val="00A1460F"/>
    <w:rsid w:val="00A14A4D"/>
    <w:rsid w:val="00A14ABE"/>
    <w:rsid w:val="00A14C40"/>
    <w:rsid w:val="00A14E48"/>
    <w:rsid w:val="00A14FB8"/>
    <w:rsid w:val="00A14FDF"/>
    <w:rsid w:val="00A15100"/>
    <w:rsid w:val="00A15217"/>
    <w:rsid w:val="00A1539B"/>
    <w:rsid w:val="00A153A7"/>
    <w:rsid w:val="00A154EA"/>
    <w:rsid w:val="00A15510"/>
    <w:rsid w:val="00A15538"/>
    <w:rsid w:val="00A1553F"/>
    <w:rsid w:val="00A15769"/>
    <w:rsid w:val="00A15B17"/>
    <w:rsid w:val="00A15BDB"/>
    <w:rsid w:val="00A15CA8"/>
    <w:rsid w:val="00A15F90"/>
    <w:rsid w:val="00A16196"/>
    <w:rsid w:val="00A16357"/>
    <w:rsid w:val="00A163EF"/>
    <w:rsid w:val="00A165F4"/>
    <w:rsid w:val="00A167FA"/>
    <w:rsid w:val="00A16AED"/>
    <w:rsid w:val="00A16B39"/>
    <w:rsid w:val="00A16C19"/>
    <w:rsid w:val="00A16D27"/>
    <w:rsid w:val="00A16F3D"/>
    <w:rsid w:val="00A17306"/>
    <w:rsid w:val="00A1745C"/>
    <w:rsid w:val="00A1749F"/>
    <w:rsid w:val="00A1756C"/>
    <w:rsid w:val="00A17638"/>
    <w:rsid w:val="00A178E8"/>
    <w:rsid w:val="00A17C00"/>
    <w:rsid w:val="00A17E54"/>
    <w:rsid w:val="00A17F6F"/>
    <w:rsid w:val="00A20219"/>
    <w:rsid w:val="00A204D4"/>
    <w:rsid w:val="00A2055A"/>
    <w:rsid w:val="00A205D8"/>
    <w:rsid w:val="00A206F0"/>
    <w:rsid w:val="00A20810"/>
    <w:rsid w:val="00A2085B"/>
    <w:rsid w:val="00A208C6"/>
    <w:rsid w:val="00A20919"/>
    <w:rsid w:val="00A20C6C"/>
    <w:rsid w:val="00A20C92"/>
    <w:rsid w:val="00A20F28"/>
    <w:rsid w:val="00A20F42"/>
    <w:rsid w:val="00A2112D"/>
    <w:rsid w:val="00A2137D"/>
    <w:rsid w:val="00A213A5"/>
    <w:rsid w:val="00A213C3"/>
    <w:rsid w:val="00A2166E"/>
    <w:rsid w:val="00A218F7"/>
    <w:rsid w:val="00A219F1"/>
    <w:rsid w:val="00A21C49"/>
    <w:rsid w:val="00A21D48"/>
    <w:rsid w:val="00A21D76"/>
    <w:rsid w:val="00A21F07"/>
    <w:rsid w:val="00A21F84"/>
    <w:rsid w:val="00A222B7"/>
    <w:rsid w:val="00A223CF"/>
    <w:rsid w:val="00A2272A"/>
    <w:rsid w:val="00A22737"/>
    <w:rsid w:val="00A2288E"/>
    <w:rsid w:val="00A22CF8"/>
    <w:rsid w:val="00A22D5C"/>
    <w:rsid w:val="00A22FF5"/>
    <w:rsid w:val="00A230B4"/>
    <w:rsid w:val="00A2317B"/>
    <w:rsid w:val="00A23540"/>
    <w:rsid w:val="00A2369E"/>
    <w:rsid w:val="00A236ED"/>
    <w:rsid w:val="00A23863"/>
    <w:rsid w:val="00A23AF1"/>
    <w:rsid w:val="00A23BFD"/>
    <w:rsid w:val="00A23E67"/>
    <w:rsid w:val="00A246EC"/>
    <w:rsid w:val="00A247FF"/>
    <w:rsid w:val="00A24913"/>
    <w:rsid w:val="00A2491B"/>
    <w:rsid w:val="00A24A4F"/>
    <w:rsid w:val="00A24A77"/>
    <w:rsid w:val="00A24D16"/>
    <w:rsid w:val="00A24FD7"/>
    <w:rsid w:val="00A252BA"/>
    <w:rsid w:val="00A252C7"/>
    <w:rsid w:val="00A252FE"/>
    <w:rsid w:val="00A253EB"/>
    <w:rsid w:val="00A25446"/>
    <w:rsid w:val="00A256F7"/>
    <w:rsid w:val="00A2570F"/>
    <w:rsid w:val="00A258C3"/>
    <w:rsid w:val="00A25A65"/>
    <w:rsid w:val="00A25B88"/>
    <w:rsid w:val="00A25BBC"/>
    <w:rsid w:val="00A2606F"/>
    <w:rsid w:val="00A260DB"/>
    <w:rsid w:val="00A260DC"/>
    <w:rsid w:val="00A2619F"/>
    <w:rsid w:val="00A26327"/>
    <w:rsid w:val="00A2663B"/>
    <w:rsid w:val="00A266B6"/>
    <w:rsid w:val="00A26754"/>
    <w:rsid w:val="00A2682E"/>
    <w:rsid w:val="00A269D1"/>
    <w:rsid w:val="00A26A60"/>
    <w:rsid w:val="00A26AA5"/>
    <w:rsid w:val="00A26CB3"/>
    <w:rsid w:val="00A26CCF"/>
    <w:rsid w:val="00A26E40"/>
    <w:rsid w:val="00A26FFC"/>
    <w:rsid w:val="00A27021"/>
    <w:rsid w:val="00A27210"/>
    <w:rsid w:val="00A27752"/>
    <w:rsid w:val="00A277A7"/>
    <w:rsid w:val="00A27E17"/>
    <w:rsid w:val="00A27EC3"/>
    <w:rsid w:val="00A27F8B"/>
    <w:rsid w:val="00A301B5"/>
    <w:rsid w:val="00A3021B"/>
    <w:rsid w:val="00A30364"/>
    <w:rsid w:val="00A303DE"/>
    <w:rsid w:val="00A3041F"/>
    <w:rsid w:val="00A304C3"/>
    <w:rsid w:val="00A30519"/>
    <w:rsid w:val="00A306DB"/>
    <w:rsid w:val="00A309F4"/>
    <w:rsid w:val="00A30A51"/>
    <w:rsid w:val="00A30C3B"/>
    <w:rsid w:val="00A30E47"/>
    <w:rsid w:val="00A30F2D"/>
    <w:rsid w:val="00A31341"/>
    <w:rsid w:val="00A31557"/>
    <w:rsid w:val="00A3170E"/>
    <w:rsid w:val="00A318E8"/>
    <w:rsid w:val="00A31A33"/>
    <w:rsid w:val="00A31B5A"/>
    <w:rsid w:val="00A31D06"/>
    <w:rsid w:val="00A31ECF"/>
    <w:rsid w:val="00A32472"/>
    <w:rsid w:val="00A32533"/>
    <w:rsid w:val="00A32615"/>
    <w:rsid w:val="00A327AF"/>
    <w:rsid w:val="00A328A7"/>
    <w:rsid w:val="00A32AA4"/>
    <w:rsid w:val="00A32AB3"/>
    <w:rsid w:val="00A32CF6"/>
    <w:rsid w:val="00A32F39"/>
    <w:rsid w:val="00A32F99"/>
    <w:rsid w:val="00A33040"/>
    <w:rsid w:val="00A33086"/>
    <w:rsid w:val="00A330C4"/>
    <w:rsid w:val="00A33193"/>
    <w:rsid w:val="00A33386"/>
    <w:rsid w:val="00A333C4"/>
    <w:rsid w:val="00A335C9"/>
    <w:rsid w:val="00A339A2"/>
    <w:rsid w:val="00A33A91"/>
    <w:rsid w:val="00A33BA3"/>
    <w:rsid w:val="00A33C72"/>
    <w:rsid w:val="00A33C97"/>
    <w:rsid w:val="00A33DEE"/>
    <w:rsid w:val="00A33E39"/>
    <w:rsid w:val="00A33E66"/>
    <w:rsid w:val="00A33EE8"/>
    <w:rsid w:val="00A342C2"/>
    <w:rsid w:val="00A347BD"/>
    <w:rsid w:val="00A34C01"/>
    <w:rsid w:val="00A34CCF"/>
    <w:rsid w:val="00A34EA6"/>
    <w:rsid w:val="00A34F8D"/>
    <w:rsid w:val="00A356F9"/>
    <w:rsid w:val="00A35871"/>
    <w:rsid w:val="00A35A2F"/>
    <w:rsid w:val="00A35A4B"/>
    <w:rsid w:val="00A35B70"/>
    <w:rsid w:val="00A35D5F"/>
    <w:rsid w:val="00A35EC6"/>
    <w:rsid w:val="00A35F94"/>
    <w:rsid w:val="00A35FDB"/>
    <w:rsid w:val="00A36279"/>
    <w:rsid w:val="00A363B3"/>
    <w:rsid w:val="00A36777"/>
    <w:rsid w:val="00A3692F"/>
    <w:rsid w:val="00A36CF9"/>
    <w:rsid w:val="00A36E58"/>
    <w:rsid w:val="00A37092"/>
    <w:rsid w:val="00A370B9"/>
    <w:rsid w:val="00A3736A"/>
    <w:rsid w:val="00A37390"/>
    <w:rsid w:val="00A373E4"/>
    <w:rsid w:val="00A37542"/>
    <w:rsid w:val="00A3789D"/>
    <w:rsid w:val="00A37A88"/>
    <w:rsid w:val="00A37ADA"/>
    <w:rsid w:val="00A37E4A"/>
    <w:rsid w:val="00A37EEC"/>
    <w:rsid w:val="00A40196"/>
    <w:rsid w:val="00A40474"/>
    <w:rsid w:val="00A404DD"/>
    <w:rsid w:val="00A4067B"/>
    <w:rsid w:val="00A406F5"/>
    <w:rsid w:val="00A40B18"/>
    <w:rsid w:val="00A40C30"/>
    <w:rsid w:val="00A40D07"/>
    <w:rsid w:val="00A40D65"/>
    <w:rsid w:val="00A40E97"/>
    <w:rsid w:val="00A41026"/>
    <w:rsid w:val="00A4106D"/>
    <w:rsid w:val="00A412DB"/>
    <w:rsid w:val="00A412F1"/>
    <w:rsid w:val="00A41991"/>
    <w:rsid w:val="00A41A26"/>
    <w:rsid w:val="00A41C22"/>
    <w:rsid w:val="00A41CEA"/>
    <w:rsid w:val="00A4224E"/>
    <w:rsid w:val="00A4271C"/>
    <w:rsid w:val="00A4287B"/>
    <w:rsid w:val="00A429A8"/>
    <w:rsid w:val="00A42B99"/>
    <w:rsid w:val="00A42CE0"/>
    <w:rsid w:val="00A432B9"/>
    <w:rsid w:val="00A433EA"/>
    <w:rsid w:val="00A43534"/>
    <w:rsid w:val="00A435DE"/>
    <w:rsid w:val="00A43A24"/>
    <w:rsid w:val="00A43AF2"/>
    <w:rsid w:val="00A44157"/>
    <w:rsid w:val="00A4423F"/>
    <w:rsid w:val="00A4435D"/>
    <w:rsid w:val="00A44702"/>
    <w:rsid w:val="00A44C20"/>
    <w:rsid w:val="00A44CF5"/>
    <w:rsid w:val="00A44D00"/>
    <w:rsid w:val="00A44D40"/>
    <w:rsid w:val="00A44D8D"/>
    <w:rsid w:val="00A44E50"/>
    <w:rsid w:val="00A451B1"/>
    <w:rsid w:val="00A45403"/>
    <w:rsid w:val="00A45416"/>
    <w:rsid w:val="00A456EC"/>
    <w:rsid w:val="00A45946"/>
    <w:rsid w:val="00A45B86"/>
    <w:rsid w:val="00A45D01"/>
    <w:rsid w:val="00A45ED2"/>
    <w:rsid w:val="00A45EDC"/>
    <w:rsid w:val="00A45F8C"/>
    <w:rsid w:val="00A46017"/>
    <w:rsid w:val="00A4621D"/>
    <w:rsid w:val="00A46283"/>
    <w:rsid w:val="00A46A27"/>
    <w:rsid w:val="00A46B0F"/>
    <w:rsid w:val="00A46E27"/>
    <w:rsid w:val="00A46EDB"/>
    <w:rsid w:val="00A46F93"/>
    <w:rsid w:val="00A47363"/>
    <w:rsid w:val="00A47415"/>
    <w:rsid w:val="00A47682"/>
    <w:rsid w:val="00A47984"/>
    <w:rsid w:val="00A479C1"/>
    <w:rsid w:val="00A47B2D"/>
    <w:rsid w:val="00A47B89"/>
    <w:rsid w:val="00A47CBF"/>
    <w:rsid w:val="00A47EAB"/>
    <w:rsid w:val="00A503DD"/>
    <w:rsid w:val="00A50806"/>
    <w:rsid w:val="00A50BE6"/>
    <w:rsid w:val="00A50BF3"/>
    <w:rsid w:val="00A50C69"/>
    <w:rsid w:val="00A50CBD"/>
    <w:rsid w:val="00A50EE6"/>
    <w:rsid w:val="00A51333"/>
    <w:rsid w:val="00A513AD"/>
    <w:rsid w:val="00A5174B"/>
    <w:rsid w:val="00A51E36"/>
    <w:rsid w:val="00A51F7A"/>
    <w:rsid w:val="00A52159"/>
    <w:rsid w:val="00A52161"/>
    <w:rsid w:val="00A521A1"/>
    <w:rsid w:val="00A524B6"/>
    <w:rsid w:val="00A524FF"/>
    <w:rsid w:val="00A526E0"/>
    <w:rsid w:val="00A52776"/>
    <w:rsid w:val="00A529E9"/>
    <w:rsid w:val="00A52A17"/>
    <w:rsid w:val="00A52C13"/>
    <w:rsid w:val="00A52DB0"/>
    <w:rsid w:val="00A52E14"/>
    <w:rsid w:val="00A5310E"/>
    <w:rsid w:val="00A53390"/>
    <w:rsid w:val="00A53449"/>
    <w:rsid w:val="00A534D7"/>
    <w:rsid w:val="00A5388D"/>
    <w:rsid w:val="00A53977"/>
    <w:rsid w:val="00A53B82"/>
    <w:rsid w:val="00A53DD1"/>
    <w:rsid w:val="00A53FBB"/>
    <w:rsid w:val="00A54235"/>
    <w:rsid w:val="00A54266"/>
    <w:rsid w:val="00A54741"/>
    <w:rsid w:val="00A54796"/>
    <w:rsid w:val="00A548F8"/>
    <w:rsid w:val="00A54C6B"/>
    <w:rsid w:val="00A54DD3"/>
    <w:rsid w:val="00A54E18"/>
    <w:rsid w:val="00A54EB7"/>
    <w:rsid w:val="00A54FD5"/>
    <w:rsid w:val="00A550DC"/>
    <w:rsid w:val="00A55122"/>
    <w:rsid w:val="00A5533F"/>
    <w:rsid w:val="00A55685"/>
    <w:rsid w:val="00A556C1"/>
    <w:rsid w:val="00A55734"/>
    <w:rsid w:val="00A5576C"/>
    <w:rsid w:val="00A55E2B"/>
    <w:rsid w:val="00A55E9F"/>
    <w:rsid w:val="00A56279"/>
    <w:rsid w:val="00A56438"/>
    <w:rsid w:val="00A56550"/>
    <w:rsid w:val="00A567EC"/>
    <w:rsid w:val="00A56C63"/>
    <w:rsid w:val="00A56E96"/>
    <w:rsid w:val="00A5704E"/>
    <w:rsid w:val="00A57055"/>
    <w:rsid w:val="00A57690"/>
    <w:rsid w:val="00A576F9"/>
    <w:rsid w:val="00A579DE"/>
    <w:rsid w:val="00A579E2"/>
    <w:rsid w:val="00A57A90"/>
    <w:rsid w:val="00A600D3"/>
    <w:rsid w:val="00A601BD"/>
    <w:rsid w:val="00A60448"/>
    <w:rsid w:val="00A60476"/>
    <w:rsid w:val="00A608B9"/>
    <w:rsid w:val="00A609FD"/>
    <w:rsid w:val="00A60A6D"/>
    <w:rsid w:val="00A60C0E"/>
    <w:rsid w:val="00A60FD0"/>
    <w:rsid w:val="00A61139"/>
    <w:rsid w:val="00A613D7"/>
    <w:rsid w:val="00A61707"/>
    <w:rsid w:val="00A61763"/>
    <w:rsid w:val="00A6187E"/>
    <w:rsid w:val="00A61B6D"/>
    <w:rsid w:val="00A61D78"/>
    <w:rsid w:val="00A62304"/>
    <w:rsid w:val="00A62408"/>
    <w:rsid w:val="00A62520"/>
    <w:rsid w:val="00A6293B"/>
    <w:rsid w:val="00A62ADA"/>
    <w:rsid w:val="00A62C4D"/>
    <w:rsid w:val="00A62FE0"/>
    <w:rsid w:val="00A63059"/>
    <w:rsid w:val="00A6305F"/>
    <w:rsid w:val="00A63938"/>
    <w:rsid w:val="00A63CDE"/>
    <w:rsid w:val="00A63D19"/>
    <w:rsid w:val="00A63E6B"/>
    <w:rsid w:val="00A641C8"/>
    <w:rsid w:val="00A644E7"/>
    <w:rsid w:val="00A645DE"/>
    <w:rsid w:val="00A64993"/>
    <w:rsid w:val="00A64AD5"/>
    <w:rsid w:val="00A64CE4"/>
    <w:rsid w:val="00A64D60"/>
    <w:rsid w:val="00A64E16"/>
    <w:rsid w:val="00A651AA"/>
    <w:rsid w:val="00A654CF"/>
    <w:rsid w:val="00A655D1"/>
    <w:rsid w:val="00A6570F"/>
    <w:rsid w:val="00A65740"/>
    <w:rsid w:val="00A6577A"/>
    <w:rsid w:val="00A65B6E"/>
    <w:rsid w:val="00A65B7E"/>
    <w:rsid w:val="00A65DD3"/>
    <w:rsid w:val="00A65FAD"/>
    <w:rsid w:val="00A65FD2"/>
    <w:rsid w:val="00A6605A"/>
    <w:rsid w:val="00A665EA"/>
    <w:rsid w:val="00A66723"/>
    <w:rsid w:val="00A66C1A"/>
    <w:rsid w:val="00A66CB2"/>
    <w:rsid w:val="00A66E14"/>
    <w:rsid w:val="00A67116"/>
    <w:rsid w:val="00A67203"/>
    <w:rsid w:val="00A67240"/>
    <w:rsid w:val="00A673F8"/>
    <w:rsid w:val="00A67448"/>
    <w:rsid w:val="00A67533"/>
    <w:rsid w:val="00A6767A"/>
    <w:rsid w:val="00A67826"/>
    <w:rsid w:val="00A67857"/>
    <w:rsid w:val="00A67870"/>
    <w:rsid w:val="00A67877"/>
    <w:rsid w:val="00A67C71"/>
    <w:rsid w:val="00A67FCF"/>
    <w:rsid w:val="00A70079"/>
    <w:rsid w:val="00A70261"/>
    <w:rsid w:val="00A70277"/>
    <w:rsid w:val="00A7027A"/>
    <w:rsid w:val="00A702F4"/>
    <w:rsid w:val="00A70423"/>
    <w:rsid w:val="00A706E5"/>
    <w:rsid w:val="00A70A2E"/>
    <w:rsid w:val="00A70C2E"/>
    <w:rsid w:val="00A70EB6"/>
    <w:rsid w:val="00A710A6"/>
    <w:rsid w:val="00A71158"/>
    <w:rsid w:val="00A7183C"/>
    <w:rsid w:val="00A71974"/>
    <w:rsid w:val="00A7197A"/>
    <w:rsid w:val="00A71ABC"/>
    <w:rsid w:val="00A71C01"/>
    <w:rsid w:val="00A71E63"/>
    <w:rsid w:val="00A71F7C"/>
    <w:rsid w:val="00A7210D"/>
    <w:rsid w:val="00A723FF"/>
    <w:rsid w:val="00A7280B"/>
    <w:rsid w:val="00A728A6"/>
    <w:rsid w:val="00A72F4C"/>
    <w:rsid w:val="00A730A7"/>
    <w:rsid w:val="00A730DD"/>
    <w:rsid w:val="00A73D8D"/>
    <w:rsid w:val="00A73E8C"/>
    <w:rsid w:val="00A74282"/>
    <w:rsid w:val="00A7428E"/>
    <w:rsid w:val="00A743D9"/>
    <w:rsid w:val="00A7443F"/>
    <w:rsid w:val="00A7447D"/>
    <w:rsid w:val="00A744B5"/>
    <w:rsid w:val="00A74537"/>
    <w:rsid w:val="00A7459A"/>
    <w:rsid w:val="00A74732"/>
    <w:rsid w:val="00A74A4B"/>
    <w:rsid w:val="00A74AD5"/>
    <w:rsid w:val="00A74B8F"/>
    <w:rsid w:val="00A74D47"/>
    <w:rsid w:val="00A74EBE"/>
    <w:rsid w:val="00A74F6C"/>
    <w:rsid w:val="00A7528B"/>
    <w:rsid w:val="00A755E1"/>
    <w:rsid w:val="00A75723"/>
    <w:rsid w:val="00A7591E"/>
    <w:rsid w:val="00A75AA2"/>
    <w:rsid w:val="00A75C20"/>
    <w:rsid w:val="00A75CE9"/>
    <w:rsid w:val="00A75E4E"/>
    <w:rsid w:val="00A75EFC"/>
    <w:rsid w:val="00A76164"/>
    <w:rsid w:val="00A761DF"/>
    <w:rsid w:val="00A767DB"/>
    <w:rsid w:val="00A768A9"/>
    <w:rsid w:val="00A76DC2"/>
    <w:rsid w:val="00A76E7E"/>
    <w:rsid w:val="00A76F1E"/>
    <w:rsid w:val="00A772FD"/>
    <w:rsid w:val="00A773CE"/>
    <w:rsid w:val="00A77615"/>
    <w:rsid w:val="00A776FC"/>
    <w:rsid w:val="00A77894"/>
    <w:rsid w:val="00A778ED"/>
    <w:rsid w:val="00A77D08"/>
    <w:rsid w:val="00A80319"/>
    <w:rsid w:val="00A804BF"/>
    <w:rsid w:val="00A806D2"/>
    <w:rsid w:val="00A8073D"/>
    <w:rsid w:val="00A80872"/>
    <w:rsid w:val="00A808FE"/>
    <w:rsid w:val="00A8092A"/>
    <w:rsid w:val="00A80B72"/>
    <w:rsid w:val="00A80C49"/>
    <w:rsid w:val="00A80CDD"/>
    <w:rsid w:val="00A811D6"/>
    <w:rsid w:val="00A8192E"/>
    <w:rsid w:val="00A81D8E"/>
    <w:rsid w:val="00A81F3C"/>
    <w:rsid w:val="00A821C3"/>
    <w:rsid w:val="00A82708"/>
    <w:rsid w:val="00A829F7"/>
    <w:rsid w:val="00A82FA5"/>
    <w:rsid w:val="00A830FA"/>
    <w:rsid w:val="00A8327B"/>
    <w:rsid w:val="00A83414"/>
    <w:rsid w:val="00A83679"/>
    <w:rsid w:val="00A8394F"/>
    <w:rsid w:val="00A83B5A"/>
    <w:rsid w:val="00A840D4"/>
    <w:rsid w:val="00A84413"/>
    <w:rsid w:val="00A8490E"/>
    <w:rsid w:val="00A84B3D"/>
    <w:rsid w:val="00A84BD1"/>
    <w:rsid w:val="00A84DA6"/>
    <w:rsid w:val="00A84E97"/>
    <w:rsid w:val="00A84FA8"/>
    <w:rsid w:val="00A8503A"/>
    <w:rsid w:val="00A85168"/>
    <w:rsid w:val="00A85219"/>
    <w:rsid w:val="00A85275"/>
    <w:rsid w:val="00A852CF"/>
    <w:rsid w:val="00A8541E"/>
    <w:rsid w:val="00A85509"/>
    <w:rsid w:val="00A8575F"/>
    <w:rsid w:val="00A85CBA"/>
    <w:rsid w:val="00A85E0D"/>
    <w:rsid w:val="00A85EFC"/>
    <w:rsid w:val="00A85F4E"/>
    <w:rsid w:val="00A86390"/>
    <w:rsid w:val="00A8639A"/>
    <w:rsid w:val="00A865AC"/>
    <w:rsid w:val="00A866DC"/>
    <w:rsid w:val="00A8696C"/>
    <w:rsid w:val="00A86A9C"/>
    <w:rsid w:val="00A86BB3"/>
    <w:rsid w:val="00A86D13"/>
    <w:rsid w:val="00A86D97"/>
    <w:rsid w:val="00A86DDE"/>
    <w:rsid w:val="00A86EF1"/>
    <w:rsid w:val="00A87144"/>
    <w:rsid w:val="00A87400"/>
    <w:rsid w:val="00A87619"/>
    <w:rsid w:val="00A87CA6"/>
    <w:rsid w:val="00A87CB3"/>
    <w:rsid w:val="00A87EC1"/>
    <w:rsid w:val="00A87F34"/>
    <w:rsid w:val="00A902D9"/>
    <w:rsid w:val="00A904B6"/>
    <w:rsid w:val="00A90525"/>
    <w:rsid w:val="00A90851"/>
    <w:rsid w:val="00A90BFB"/>
    <w:rsid w:val="00A90D28"/>
    <w:rsid w:val="00A90D6F"/>
    <w:rsid w:val="00A90E12"/>
    <w:rsid w:val="00A90F35"/>
    <w:rsid w:val="00A91049"/>
    <w:rsid w:val="00A9129A"/>
    <w:rsid w:val="00A912B7"/>
    <w:rsid w:val="00A913E5"/>
    <w:rsid w:val="00A91440"/>
    <w:rsid w:val="00A9188F"/>
    <w:rsid w:val="00A9189F"/>
    <w:rsid w:val="00A918BE"/>
    <w:rsid w:val="00A91961"/>
    <w:rsid w:val="00A91987"/>
    <w:rsid w:val="00A91AA4"/>
    <w:rsid w:val="00A91AA7"/>
    <w:rsid w:val="00A91AE6"/>
    <w:rsid w:val="00A91B29"/>
    <w:rsid w:val="00A91B5A"/>
    <w:rsid w:val="00A91C6E"/>
    <w:rsid w:val="00A91D6D"/>
    <w:rsid w:val="00A91DA2"/>
    <w:rsid w:val="00A91E9D"/>
    <w:rsid w:val="00A921F6"/>
    <w:rsid w:val="00A9229D"/>
    <w:rsid w:val="00A92614"/>
    <w:rsid w:val="00A926E2"/>
    <w:rsid w:val="00A92718"/>
    <w:rsid w:val="00A92B04"/>
    <w:rsid w:val="00A92BEA"/>
    <w:rsid w:val="00A92C35"/>
    <w:rsid w:val="00A92CA3"/>
    <w:rsid w:val="00A9313C"/>
    <w:rsid w:val="00A931B0"/>
    <w:rsid w:val="00A932C6"/>
    <w:rsid w:val="00A934D7"/>
    <w:rsid w:val="00A935ED"/>
    <w:rsid w:val="00A9386A"/>
    <w:rsid w:val="00A9422F"/>
    <w:rsid w:val="00A94297"/>
    <w:rsid w:val="00A94585"/>
    <w:rsid w:val="00A945B7"/>
    <w:rsid w:val="00A946E5"/>
    <w:rsid w:val="00A9471C"/>
    <w:rsid w:val="00A948C5"/>
    <w:rsid w:val="00A94C80"/>
    <w:rsid w:val="00A94CBC"/>
    <w:rsid w:val="00A94D84"/>
    <w:rsid w:val="00A94DDA"/>
    <w:rsid w:val="00A94DDC"/>
    <w:rsid w:val="00A94FA4"/>
    <w:rsid w:val="00A9510E"/>
    <w:rsid w:val="00A95481"/>
    <w:rsid w:val="00A955FD"/>
    <w:rsid w:val="00A957BB"/>
    <w:rsid w:val="00A95847"/>
    <w:rsid w:val="00A959E7"/>
    <w:rsid w:val="00A95A26"/>
    <w:rsid w:val="00A95AA8"/>
    <w:rsid w:val="00A95D06"/>
    <w:rsid w:val="00A95D1B"/>
    <w:rsid w:val="00A95F1D"/>
    <w:rsid w:val="00A9640D"/>
    <w:rsid w:val="00A96624"/>
    <w:rsid w:val="00A96853"/>
    <w:rsid w:val="00A968B4"/>
    <w:rsid w:val="00A9695B"/>
    <w:rsid w:val="00A96A8D"/>
    <w:rsid w:val="00A96B07"/>
    <w:rsid w:val="00A96F7D"/>
    <w:rsid w:val="00A96FBA"/>
    <w:rsid w:val="00A97827"/>
    <w:rsid w:val="00A978C6"/>
    <w:rsid w:val="00A979DD"/>
    <w:rsid w:val="00A97AC1"/>
    <w:rsid w:val="00A97AED"/>
    <w:rsid w:val="00A97CD7"/>
    <w:rsid w:val="00A97D71"/>
    <w:rsid w:val="00AA00D3"/>
    <w:rsid w:val="00AA036E"/>
    <w:rsid w:val="00AA0463"/>
    <w:rsid w:val="00AA050F"/>
    <w:rsid w:val="00AA0839"/>
    <w:rsid w:val="00AA0851"/>
    <w:rsid w:val="00AA0880"/>
    <w:rsid w:val="00AA0886"/>
    <w:rsid w:val="00AA0D3C"/>
    <w:rsid w:val="00AA0DE0"/>
    <w:rsid w:val="00AA0F3D"/>
    <w:rsid w:val="00AA0FB5"/>
    <w:rsid w:val="00AA1123"/>
    <w:rsid w:val="00AA134E"/>
    <w:rsid w:val="00AA1D80"/>
    <w:rsid w:val="00AA2166"/>
    <w:rsid w:val="00AA2292"/>
    <w:rsid w:val="00AA2441"/>
    <w:rsid w:val="00AA24DE"/>
    <w:rsid w:val="00AA2A04"/>
    <w:rsid w:val="00AA2A5B"/>
    <w:rsid w:val="00AA2C09"/>
    <w:rsid w:val="00AA2E93"/>
    <w:rsid w:val="00AA3162"/>
    <w:rsid w:val="00AA33F7"/>
    <w:rsid w:val="00AA340D"/>
    <w:rsid w:val="00AA3413"/>
    <w:rsid w:val="00AA3535"/>
    <w:rsid w:val="00AA3716"/>
    <w:rsid w:val="00AA3861"/>
    <w:rsid w:val="00AA3870"/>
    <w:rsid w:val="00AA38DC"/>
    <w:rsid w:val="00AA3953"/>
    <w:rsid w:val="00AA3B8B"/>
    <w:rsid w:val="00AA3CF1"/>
    <w:rsid w:val="00AA3D73"/>
    <w:rsid w:val="00AA40D3"/>
    <w:rsid w:val="00AA410F"/>
    <w:rsid w:val="00AA4174"/>
    <w:rsid w:val="00AA435A"/>
    <w:rsid w:val="00AA4409"/>
    <w:rsid w:val="00AA441A"/>
    <w:rsid w:val="00AA47BF"/>
    <w:rsid w:val="00AA4971"/>
    <w:rsid w:val="00AA49A0"/>
    <w:rsid w:val="00AA4AE4"/>
    <w:rsid w:val="00AA4E4E"/>
    <w:rsid w:val="00AA50EB"/>
    <w:rsid w:val="00AA5250"/>
    <w:rsid w:val="00AA5401"/>
    <w:rsid w:val="00AA54A1"/>
    <w:rsid w:val="00AA54AE"/>
    <w:rsid w:val="00AA54DB"/>
    <w:rsid w:val="00AA59B4"/>
    <w:rsid w:val="00AA5AF2"/>
    <w:rsid w:val="00AA5B70"/>
    <w:rsid w:val="00AA5BC5"/>
    <w:rsid w:val="00AA5C9C"/>
    <w:rsid w:val="00AA5DC7"/>
    <w:rsid w:val="00AA5F1C"/>
    <w:rsid w:val="00AA5F6F"/>
    <w:rsid w:val="00AA6094"/>
    <w:rsid w:val="00AA6426"/>
    <w:rsid w:val="00AA6843"/>
    <w:rsid w:val="00AA689C"/>
    <w:rsid w:val="00AA68F9"/>
    <w:rsid w:val="00AA6DE8"/>
    <w:rsid w:val="00AA6EE6"/>
    <w:rsid w:val="00AA70F6"/>
    <w:rsid w:val="00AA71BA"/>
    <w:rsid w:val="00AA75E2"/>
    <w:rsid w:val="00AA765D"/>
    <w:rsid w:val="00AA7665"/>
    <w:rsid w:val="00AA76AC"/>
    <w:rsid w:val="00AA7A73"/>
    <w:rsid w:val="00AA7BFB"/>
    <w:rsid w:val="00AA7E24"/>
    <w:rsid w:val="00AA7E87"/>
    <w:rsid w:val="00AB00DD"/>
    <w:rsid w:val="00AB01D8"/>
    <w:rsid w:val="00AB01E7"/>
    <w:rsid w:val="00AB022A"/>
    <w:rsid w:val="00AB049B"/>
    <w:rsid w:val="00AB0829"/>
    <w:rsid w:val="00AB0924"/>
    <w:rsid w:val="00AB09D8"/>
    <w:rsid w:val="00AB0BBE"/>
    <w:rsid w:val="00AB0BC1"/>
    <w:rsid w:val="00AB0F91"/>
    <w:rsid w:val="00AB12E8"/>
    <w:rsid w:val="00AB1361"/>
    <w:rsid w:val="00AB141D"/>
    <w:rsid w:val="00AB1494"/>
    <w:rsid w:val="00AB1584"/>
    <w:rsid w:val="00AB172D"/>
    <w:rsid w:val="00AB175C"/>
    <w:rsid w:val="00AB1A36"/>
    <w:rsid w:val="00AB1ADD"/>
    <w:rsid w:val="00AB1B75"/>
    <w:rsid w:val="00AB1E1D"/>
    <w:rsid w:val="00AB1E9C"/>
    <w:rsid w:val="00AB20F7"/>
    <w:rsid w:val="00AB2310"/>
    <w:rsid w:val="00AB258E"/>
    <w:rsid w:val="00AB295B"/>
    <w:rsid w:val="00AB2AB2"/>
    <w:rsid w:val="00AB2AED"/>
    <w:rsid w:val="00AB2EFD"/>
    <w:rsid w:val="00AB3302"/>
    <w:rsid w:val="00AB335E"/>
    <w:rsid w:val="00AB33CB"/>
    <w:rsid w:val="00AB352E"/>
    <w:rsid w:val="00AB3616"/>
    <w:rsid w:val="00AB3834"/>
    <w:rsid w:val="00AB3D4B"/>
    <w:rsid w:val="00AB3F66"/>
    <w:rsid w:val="00AB3FB1"/>
    <w:rsid w:val="00AB4347"/>
    <w:rsid w:val="00AB4355"/>
    <w:rsid w:val="00AB4667"/>
    <w:rsid w:val="00AB489B"/>
    <w:rsid w:val="00AB4DD2"/>
    <w:rsid w:val="00AB505D"/>
    <w:rsid w:val="00AB51E4"/>
    <w:rsid w:val="00AB5224"/>
    <w:rsid w:val="00AB539A"/>
    <w:rsid w:val="00AB5406"/>
    <w:rsid w:val="00AB54B8"/>
    <w:rsid w:val="00AB56FE"/>
    <w:rsid w:val="00AB59A6"/>
    <w:rsid w:val="00AB5B8E"/>
    <w:rsid w:val="00AB5C4A"/>
    <w:rsid w:val="00AB5D9D"/>
    <w:rsid w:val="00AB5E91"/>
    <w:rsid w:val="00AB5F49"/>
    <w:rsid w:val="00AB5FF7"/>
    <w:rsid w:val="00AB6000"/>
    <w:rsid w:val="00AB647C"/>
    <w:rsid w:val="00AB6745"/>
    <w:rsid w:val="00AB67D2"/>
    <w:rsid w:val="00AB6D7C"/>
    <w:rsid w:val="00AB711E"/>
    <w:rsid w:val="00AB7207"/>
    <w:rsid w:val="00AB727F"/>
    <w:rsid w:val="00AB72F4"/>
    <w:rsid w:val="00AB73C6"/>
    <w:rsid w:val="00AB759D"/>
    <w:rsid w:val="00AB76B5"/>
    <w:rsid w:val="00AB7855"/>
    <w:rsid w:val="00AB7902"/>
    <w:rsid w:val="00AB79E2"/>
    <w:rsid w:val="00AB7D48"/>
    <w:rsid w:val="00AB7D61"/>
    <w:rsid w:val="00AC0293"/>
    <w:rsid w:val="00AC0327"/>
    <w:rsid w:val="00AC0566"/>
    <w:rsid w:val="00AC0601"/>
    <w:rsid w:val="00AC0AB1"/>
    <w:rsid w:val="00AC0BB0"/>
    <w:rsid w:val="00AC0DD9"/>
    <w:rsid w:val="00AC0EC6"/>
    <w:rsid w:val="00AC0FFA"/>
    <w:rsid w:val="00AC1157"/>
    <w:rsid w:val="00AC1219"/>
    <w:rsid w:val="00AC12BF"/>
    <w:rsid w:val="00AC1662"/>
    <w:rsid w:val="00AC16FD"/>
    <w:rsid w:val="00AC18E2"/>
    <w:rsid w:val="00AC1A22"/>
    <w:rsid w:val="00AC1BC7"/>
    <w:rsid w:val="00AC1D00"/>
    <w:rsid w:val="00AC1EC4"/>
    <w:rsid w:val="00AC22AF"/>
    <w:rsid w:val="00AC2423"/>
    <w:rsid w:val="00AC2453"/>
    <w:rsid w:val="00AC2581"/>
    <w:rsid w:val="00AC25A9"/>
    <w:rsid w:val="00AC2686"/>
    <w:rsid w:val="00AC26F2"/>
    <w:rsid w:val="00AC2752"/>
    <w:rsid w:val="00AC2816"/>
    <w:rsid w:val="00AC2830"/>
    <w:rsid w:val="00AC2846"/>
    <w:rsid w:val="00AC29FB"/>
    <w:rsid w:val="00AC2E1E"/>
    <w:rsid w:val="00AC2EA8"/>
    <w:rsid w:val="00AC2FE7"/>
    <w:rsid w:val="00AC318A"/>
    <w:rsid w:val="00AC3290"/>
    <w:rsid w:val="00AC32AD"/>
    <w:rsid w:val="00AC33DF"/>
    <w:rsid w:val="00AC33E5"/>
    <w:rsid w:val="00AC360F"/>
    <w:rsid w:val="00AC370F"/>
    <w:rsid w:val="00AC396E"/>
    <w:rsid w:val="00AC39EE"/>
    <w:rsid w:val="00AC3E8E"/>
    <w:rsid w:val="00AC4461"/>
    <w:rsid w:val="00AC44E0"/>
    <w:rsid w:val="00AC4641"/>
    <w:rsid w:val="00AC4655"/>
    <w:rsid w:val="00AC468B"/>
    <w:rsid w:val="00AC4908"/>
    <w:rsid w:val="00AC4B78"/>
    <w:rsid w:val="00AC4BF8"/>
    <w:rsid w:val="00AC4D52"/>
    <w:rsid w:val="00AC579F"/>
    <w:rsid w:val="00AC58F1"/>
    <w:rsid w:val="00AC5A2C"/>
    <w:rsid w:val="00AC5B69"/>
    <w:rsid w:val="00AC5C0C"/>
    <w:rsid w:val="00AC5E21"/>
    <w:rsid w:val="00AC615E"/>
    <w:rsid w:val="00AC6176"/>
    <w:rsid w:val="00AC622D"/>
    <w:rsid w:val="00AC6298"/>
    <w:rsid w:val="00AC6305"/>
    <w:rsid w:val="00AC63DA"/>
    <w:rsid w:val="00AC6625"/>
    <w:rsid w:val="00AC665D"/>
    <w:rsid w:val="00AC67DC"/>
    <w:rsid w:val="00AC693C"/>
    <w:rsid w:val="00AC6950"/>
    <w:rsid w:val="00AC6958"/>
    <w:rsid w:val="00AC69A3"/>
    <w:rsid w:val="00AC6C22"/>
    <w:rsid w:val="00AC7591"/>
    <w:rsid w:val="00AC7690"/>
    <w:rsid w:val="00AC780A"/>
    <w:rsid w:val="00AC7CAB"/>
    <w:rsid w:val="00AC7EC7"/>
    <w:rsid w:val="00AD0056"/>
    <w:rsid w:val="00AD008B"/>
    <w:rsid w:val="00AD00E8"/>
    <w:rsid w:val="00AD01AE"/>
    <w:rsid w:val="00AD01DC"/>
    <w:rsid w:val="00AD07C7"/>
    <w:rsid w:val="00AD0900"/>
    <w:rsid w:val="00AD0C71"/>
    <w:rsid w:val="00AD0CD8"/>
    <w:rsid w:val="00AD0E37"/>
    <w:rsid w:val="00AD100E"/>
    <w:rsid w:val="00AD118D"/>
    <w:rsid w:val="00AD1397"/>
    <w:rsid w:val="00AD14AE"/>
    <w:rsid w:val="00AD1585"/>
    <w:rsid w:val="00AD15D8"/>
    <w:rsid w:val="00AD18AA"/>
    <w:rsid w:val="00AD1B87"/>
    <w:rsid w:val="00AD1C17"/>
    <w:rsid w:val="00AD1D08"/>
    <w:rsid w:val="00AD1E26"/>
    <w:rsid w:val="00AD1EF5"/>
    <w:rsid w:val="00AD1F23"/>
    <w:rsid w:val="00AD2531"/>
    <w:rsid w:val="00AD2539"/>
    <w:rsid w:val="00AD2625"/>
    <w:rsid w:val="00AD2B2C"/>
    <w:rsid w:val="00AD2B5B"/>
    <w:rsid w:val="00AD2E9A"/>
    <w:rsid w:val="00AD2FCE"/>
    <w:rsid w:val="00AD304B"/>
    <w:rsid w:val="00AD3079"/>
    <w:rsid w:val="00AD309F"/>
    <w:rsid w:val="00AD3149"/>
    <w:rsid w:val="00AD31BD"/>
    <w:rsid w:val="00AD3339"/>
    <w:rsid w:val="00AD346C"/>
    <w:rsid w:val="00AD34B1"/>
    <w:rsid w:val="00AD34D3"/>
    <w:rsid w:val="00AD34F8"/>
    <w:rsid w:val="00AD3775"/>
    <w:rsid w:val="00AD3D04"/>
    <w:rsid w:val="00AD3D7A"/>
    <w:rsid w:val="00AD3FA7"/>
    <w:rsid w:val="00AD4022"/>
    <w:rsid w:val="00AD43BC"/>
    <w:rsid w:val="00AD4442"/>
    <w:rsid w:val="00AD467C"/>
    <w:rsid w:val="00AD4866"/>
    <w:rsid w:val="00AD4A0F"/>
    <w:rsid w:val="00AD4A2B"/>
    <w:rsid w:val="00AD4B32"/>
    <w:rsid w:val="00AD4CA1"/>
    <w:rsid w:val="00AD4DA8"/>
    <w:rsid w:val="00AD562C"/>
    <w:rsid w:val="00AD58F3"/>
    <w:rsid w:val="00AD5BE0"/>
    <w:rsid w:val="00AD5D3D"/>
    <w:rsid w:val="00AD5DB5"/>
    <w:rsid w:val="00AD5F08"/>
    <w:rsid w:val="00AD5F91"/>
    <w:rsid w:val="00AD625C"/>
    <w:rsid w:val="00AD630F"/>
    <w:rsid w:val="00AD68E9"/>
    <w:rsid w:val="00AD700E"/>
    <w:rsid w:val="00AD7113"/>
    <w:rsid w:val="00AD718F"/>
    <w:rsid w:val="00AD71C4"/>
    <w:rsid w:val="00AD725E"/>
    <w:rsid w:val="00AD73ED"/>
    <w:rsid w:val="00AD760C"/>
    <w:rsid w:val="00AD76C8"/>
    <w:rsid w:val="00AE00A1"/>
    <w:rsid w:val="00AE0104"/>
    <w:rsid w:val="00AE0129"/>
    <w:rsid w:val="00AE01DA"/>
    <w:rsid w:val="00AE02B7"/>
    <w:rsid w:val="00AE02CB"/>
    <w:rsid w:val="00AE0452"/>
    <w:rsid w:val="00AE0586"/>
    <w:rsid w:val="00AE059A"/>
    <w:rsid w:val="00AE0A55"/>
    <w:rsid w:val="00AE0C35"/>
    <w:rsid w:val="00AE0CF1"/>
    <w:rsid w:val="00AE0CF8"/>
    <w:rsid w:val="00AE0D27"/>
    <w:rsid w:val="00AE0DA3"/>
    <w:rsid w:val="00AE124E"/>
    <w:rsid w:val="00AE1331"/>
    <w:rsid w:val="00AE13B8"/>
    <w:rsid w:val="00AE1413"/>
    <w:rsid w:val="00AE1542"/>
    <w:rsid w:val="00AE1637"/>
    <w:rsid w:val="00AE16FF"/>
    <w:rsid w:val="00AE183D"/>
    <w:rsid w:val="00AE18E8"/>
    <w:rsid w:val="00AE1F92"/>
    <w:rsid w:val="00AE213E"/>
    <w:rsid w:val="00AE22F8"/>
    <w:rsid w:val="00AE2458"/>
    <w:rsid w:val="00AE2595"/>
    <w:rsid w:val="00AE2633"/>
    <w:rsid w:val="00AE279B"/>
    <w:rsid w:val="00AE28CD"/>
    <w:rsid w:val="00AE28EC"/>
    <w:rsid w:val="00AE2917"/>
    <w:rsid w:val="00AE29A6"/>
    <w:rsid w:val="00AE29D5"/>
    <w:rsid w:val="00AE2C27"/>
    <w:rsid w:val="00AE2DEB"/>
    <w:rsid w:val="00AE2FA7"/>
    <w:rsid w:val="00AE3065"/>
    <w:rsid w:val="00AE30AD"/>
    <w:rsid w:val="00AE34F3"/>
    <w:rsid w:val="00AE3538"/>
    <w:rsid w:val="00AE355C"/>
    <w:rsid w:val="00AE3680"/>
    <w:rsid w:val="00AE36FC"/>
    <w:rsid w:val="00AE371E"/>
    <w:rsid w:val="00AE37D4"/>
    <w:rsid w:val="00AE3948"/>
    <w:rsid w:val="00AE3B26"/>
    <w:rsid w:val="00AE3D4D"/>
    <w:rsid w:val="00AE3E3F"/>
    <w:rsid w:val="00AE3FD7"/>
    <w:rsid w:val="00AE453C"/>
    <w:rsid w:val="00AE472B"/>
    <w:rsid w:val="00AE49FE"/>
    <w:rsid w:val="00AE4BE8"/>
    <w:rsid w:val="00AE4EDD"/>
    <w:rsid w:val="00AE50F3"/>
    <w:rsid w:val="00AE535F"/>
    <w:rsid w:val="00AE54EB"/>
    <w:rsid w:val="00AE55AD"/>
    <w:rsid w:val="00AE57A4"/>
    <w:rsid w:val="00AE5A85"/>
    <w:rsid w:val="00AE5AC2"/>
    <w:rsid w:val="00AE5B3C"/>
    <w:rsid w:val="00AE5B70"/>
    <w:rsid w:val="00AE5BCA"/>
    <w:rsid w:val="00AE5CBD"/>
    <w:rsid w:val="00AE5DC1"/>
    <w:rsid w:val="00AE5ED6"/>
    <w:rsid w:val="00AE6041"/>
    <w:rsid w:val="00AE62A7"/>
    <w:rsid w:val="00AE6531"/>
    <w:rsid w:val="00AE6576"/>
    <w:rsid w:val="00AE668B"/>
    <w:rsid w:val="00AE6755"/>
    <w:rsid w:val="00AE689A"/>
    <w:rsid w:val="00AE691E"/>
    <w:rsid w:val="00AE6B04"/>
    <w:rsid w:val="00AE6C55"/>
    <w:rsid w:val="00AE6D61"/>
    <w:rsid w:val="00AE6DAF"/>
    <w:rsid w:val="00AE6DDE"/>
    <w:rsid w:val="00AE6EDC"/>
    <w:rsid w:val="00AE739E"/>
    <w:rsid w:val="00AE7522"/>
    <w:rsid w:val="00AE752C"/>
    <w:rsid w:val="00AE787D"/>
    <w:rsid w:val="00AE7C71"/>
    <w:rsid w:val="00AE7ED6"/>
    <w:rsid w:val="00AF00D0"/>
    <w:rsid w:val="00AF00DE"/>
    <w:rsid w:val="00AF02CB"/>
    <w:rsid w:val="00AF06BD"/>
    <w:rsid w:val="00AF0760"/>
    <w:rsid w:val="00AF0876"/>
    <w:rsid w:val="00AF0A87"/>
    <w:rsid w:val="00AF0B95"/>
    <w:rsid w:val="00AF0E5B"/>
    <w:rsid w:val="00AF0EBC"/>
    <w:rsid w:val="00AF0F9B"/>
    <w:rsid w:val="00AF0FA9"/>
    <w:rsid w:val="00AF1067"/>
    <w:rsid w:val="00AF10A0"/>
    <w:rsid w:val="00AF11E7"/>
    <w:rsid w:val="00AF13AB"/>
    <w:rsid w:val="00AF13FC"/>
    <w:rsid w:val="00AF1566"/>
    <w:rsid w:val="00AF19AD"/>
    <w:rsid w:val="00AF1A62"/>
    <w:rsid w:val="00AF1BAF"/>
    <w:rsid w:val="00AF1D18"/>
    <w:rsid w:val="00AF1E4B"/>
    <w:rsid w:val="00AF1E8F"/>
    <w:rsid w:val="00AF223E"/>
    <w:rsid w:val="00AF2240"/>
    <w:rsid w:val="00AF230C"/>
    <w:rsid w:val="00AF2387"/>
    <w:rsid w:val="00AF24EA"/>
    <w:rsid w:val="00AF25E1"/>
    <w:rsid w:val="00AF25E4"/>
    <w:rsid w:val="00AF2623"/>
    <w:rsid w:val="00AF2658"/>
    <w:rsid w:val="00AF2679"/>
    <w:rsid w:val="00AF2681"/>
    <w:rsid w:val="00AF28C5"/>
    <w:rsid w:val="00AF2A0C"/>
    <w:rsid w:val="00AF2A38"/>
    <w:rsid w:val="00AF2AE4"/>
    <w:rsid w:val="00AF2CC6"/>
    <w:rsid w:val="00AF2FDE"/>
    <w:rsid w:val="00AF30ED"/>
    <w:rsid w:val="00AF318A"/>
    <w:rsid w:val="00AF32A6"/>
    <w:rsid w:val="00AF3A5B"/>
    <w:rsid w:val="00AF3C80"/>
    <w:rsid w:val="00AF40B2"/>
    <w:rsid w:val="00AF41CE"/>
    <w:rsid w:val="00AF425E"/>
    <w:rsid w:val="00AF4742"/>
    <w:rsid w:val="00AF481C"/>
    <w:rsid w:val="00AF488F"/>
    <w:rsid w:val="00AF4AF4"/>
    <w:rsid w:val="00AF4B9E"/>
    <w:rsid w:val="00AF4D12"/>
    <w:rsid w:val="00AF4DFA"/>
    <w:rsid w:val="00AF4E3C"/>
    <w:rsid w:val="00AF4EC7"/>
    <w:rsid w:val="00AF520B"/>
    <w:rsid w:val="00AF54EB"/>
    <w:rsid w:val="00AF54EC"/>
    <w:rsid w:val="00AF5521"/>
    <w:rsid w:val="00AF56EA"/>
    <w:rsid w:val="00AF5854"/>
    <w:rsid w:val="00AF59CE"/>
    <w:rsid w:val="00AF5B09"/>
    <w:rsid w:val="00AF5D6B"/>
    <w:rsid w:val="00AF5D70"/>
    <w:rsid w:val="00AF5D99"/>
    <w:rsid w:val="00AF60E5"/>
    <w:rsid w:val="00AF645B"/>
    <w:rsid w:val="00AF64B0"/>
    <w:rsid w:val="00AF66F6"/>
    <w:rsid w:val="00AF67C8"/>
    <w:rsid w:val="00AF683C"/>
    <w:rsid w:val="00AF697A"/>
    <w:rsid w:val="00AF6AC1"/>
    <w:rsid w:val="00AF6AF3"/>
    <w:rsid w:val="00AF6BDF"/>
    <w:rsid w:val="00AF6C03"/>
    <w:rsid w:val="00AF6C38"/>
    <w:rsid w:val="00AF6E91"/>
    <w:rsid w:val="00AF6F66"/>
    <w:rsid w:val="00AF7357"/>
    <w:rsid w:val="00AF78C6"/>
    <w:rsid w:val="00AF7AEC"/>
    <w:rsid w:val="00AF7C73"/>
    <w:rsid w:val="00AF7D39"/>
    <w:rsid w:val="00B0013A"/>
    <w:rsid w:val="00B0040A"/>
    <w:rsid w:val="00B00417"/>
    <w:rsid w:val="00B0049C"/>
    <w:rsid w:val="00B007B6"/>
    <w:rsid w:val="00B00950"/>
    <w:rsid w:val="00B00ACA"/>
    <w:rsid w:val="00B00AEC"/>
    <w:rsid w:val="00B00CFB"/>
    <w:rsid w:val="00B00D69"/>
    <w:rsid w:val="00B00FC7"/>
    <w:rsid w:val="00B012E3"/>
    <w:rsid w:val="00B0136A"/>
    <w:rsid w:val="00B013F5"/>
    <w:rsid w:val="00B0172B"/>
    <w:rsid w:val="00B01843"/>
    <w:rsid w:val="00B01870"/>
    <w:rsid w:val="00B01896"/>
    <w:rsid w:val="00B0198C"/>
    <w:rsid w:val="00B019A2"/>
    <w:rsid w:val="00B019BB"/>
    <w:rsid w:val="00B01B0A"/>
    <w:rsid w:val="00B01CC2"/>
    <w:rsid w:val="00B01CF4"/>
    <w:rsid w:val="00B01D00"/>
    <w:rsid w:val="00B01D5B"/>
    <w:rsid w:val="00B01EA5"/>
    <w:rsid w:val="00B01EAE"/>
    <w:rsid w:val="00B01F47"/>
    <w:rsid w:val="00B020AC"/>
    <w:rsid w:val="00B0214E"/>
    <w:rsid w:val="00B02242"/>
    <w:rsid w:val="00B022F7"/>
    <w:rsid w:val="00B02353"/>
    <w:rsid w:val="00B024F6"/>
    <w:rsid w:val="00B02533"/>
    <w:rsid w:val="00B0270D"/>
    <w:rsid w:val="00B02773"/>
    <w:rsid w:val="00B0291E"/>
    <w:rsid w:val="00B0299D"/>
    <w:rsid w:val="00B02A2D"/>
    <w:rsid w:val="00B02BAC"/>
    <w:rsid w:val="00B02D7B"/>
    <w:rsid w:val="00B02E78"/>
    <w:rsid w:val="00B02E8F"/>
    <w:rsid w:val="00B03145"/>
    <w:rsid w:val="00B03267"/>
    <w:rsid w:val="00B034F0"/>
    <w:rsid w:val="00B036B7"/>
    <w:rsid w:val="00B037C8"/>
    <w:rsid w:val="00B038D0"/>
    <w:rsid w:val="00B03971"/>
    <w:rsid w:val="00B03A73"/>
    <w:rsid w:val="00B03B85"/>
    <w:rsid w:val="00B03BF0"/>
    <w:rsid w:val="00B03C26"/>
    <w:rsid w:val="00B03CD4"/>
    <w:rsid w:val="00B03CF5"/>
    <w:rsid w:val="00B03F0F"/>
    <w:rsid w:val="00B0429A"/>
    <w:rsid w:val="00B043E2"/>
    <w:rsid w:val="00B044A4"/>
    <w:rsid w:val="00B044D6"/>
    <w:rsid w:val="00B04552"/>
    <w:rsid w:val="00B045C1"/>
    <w:rsid w:val="00B045E4"/>
    <w:rsid w:val="00B0465D"/>
    <w:rsid w:val="00B04672"/>
    <w:rsid w:val="00B04811"/>
    <w:rsid w:val="00B048A2"/>
    <w:rsid w:val="00B04A56"/>
    <w:rsid w:val="00B053C6"/>
    <w:rsid w:val="00B0557F"/>
    <w:rsid w:val="00B056CE"/>
    <w:rsid w:val="00B057D7"/>
    <w:rsid w:val="00B05875"/>
    <w:rsid w:val="00B05F52"/>
    <w:rsid w:val="00B062C4"/>
    <w:rsid w:val="00B06334"/>
    <w:rsid w:val="00B06437"/>
    <w:rsid w:val="00B068D9"/>
    <w:rsid w:val="00B06A11"/>
    <w:rsid w:val="00B06D72"/>
    <w:rsid w:val="00B06EDD"/>
    <w:rsid w:val="00B06F02"/>
    <w:rsid w:val="00B071A2"/>
    <w:rsid w:val="00B071F2"/>
    <w:rsid w:val="00B072C6"/>
    <w:rsid w:val="00B07978"/>
    <w:rsid w:val="00B079D0"/>
    <w:rsid w:val="00B07B31"/>
    <w:rsid w:val="00B07C14"/>
    <w:rsid w:val="00B07CE9"/>
    <w:rsid w:val="00B07D78"/>
    <w:rsid w:val="00B07E17"/>
    <w:rsid w:val="00B07E44"/>
    <w:rsid w:val="00B1014B"/>
    <w:rsid w:val="00B1024C"/>
    <w:rsid w:val="00B10416"/>
    <w:rsid w:val="00B10480"/>
    <w:rsid w:val="00B104E5"/>
    <w:rsid w:val="00B10547"/>
    <w:rsid w:val="00B10872"/>
    <w:rsid w:val="00B10D2B"/>
    <w:rsid w:val="00B110FE"/>
    <w:rsid w:val="00B1129A"/>
    <w:rsid w:val="00B112EE"/>
    <w:rsid w:val="00B115DF"/>
    <w:rsid w:val="00B117DA"/>
    <w:rsid w:val="00B11A70"/>
    <w:rsid w:val="00B11B7A"/>
    <w:rsid w:val="00B11B86"/>
    <w:rsid w:val="00B11DF0"/>
    <w:rsid w:val="00B11E19"/>
    <w:rsid w:val="00B12086"/>
    <w:rsid w:val="00B12357"/>
    <w:rsid w:val="00B1242A"/>
    <w:rsid w:val="00B12472"/>
    <w:rsid w:val="00B12705"/>
    <w:rsid w:val="00B12C6D"/>
    <w:rsid w:val="00B12FD9"/>
    <w:rsid w:val="00B13124"/>
    <w:rsid w:val="00B1315E"/>
    <w:rsid w:val="00B131C3"/>
    <w:rsid w:val="00B1343B"/>
    <w:rsid w:val="00B13792"/>
    <w:rsid w:val="00B13B88"/>
    <w:rsid w:val="00B13B8A"/>
    <w:rsid w:val="00B13CEF"/>
    <w:rsid w:val="00B13F43"/>
    <w:rsid w:val="00B1405A"/>
    <w:rsid w:val="00B14130"/>
    <w:rsid w:val="00B1424D"/>
    <w:rsid w:val="00B143A0"/>
    <w:rsid w:val="00B144CB"/>
    <w:rsid w:val="00B148F4"/>
    <w:rsid w:val="00B149FC"/>
    <w:rsid w:val="00B14DEC"/>
    <w:rsid w:val="00B15294"/>
    <w:rsid w:val="00B15336"/>
    <w:rsid w:val="00B15709"/>
    <w:rsid w:val="00B16215"/>
    <w:rsid w:val="00B1627F"/>
    <w:rsid w:val="00B16312"/>
    <w:rsid w:val="00B163A8"/>
    <w:rsid w:val="00B16A8B"/>
    <w:rsid w:val="00B16AC2"/>
    <w:rsid w:val="00B16B14"/>
    <w:rsid w:val="00B16B28"/>
    <w:rsid w:val="00B16C49"/>
    <w:rsid w:val="00B16E0A"/>
    <w:rsid w:val="00B16EB3"/>
    <w:rsid w:val="00B17113"/>
    <w:rsid w:val="00B171A7"/>
    <w:rsid w:val="00B171E5"/>
    <w:rsid w:val="00B17413"/>
    <w:rsid w:val="00B17679"/>
    <w:rsid w:val="00B17777"/>
    <w:rsid w:val="00B17B1A"/>
    <w:rsid w:val="00B17B4D"/>
    <w:rsid w:val="00B17BAD"/>
    <w:rsid w:val="00B17C59"/>
    <w:rsid w:val="00B17C9E"/>
    <w:rsid w:val="00B17ED2"/>
    <w:rsid w:val="00B17EDA"/>
    <w:rsid w:val="00B200BC"/>
    <w:rsid w:val="00B20135"/>
    <w:rsid w:val="00B2015E"/>
    <w:rsid w:val="00B20329"/>
    <w:rsid w:val="00B20925"/>
    <w:rsid w:val="00B209A1"/>
    <w:rsid w:val="00B209F9"/>
    <w:rsid w:val="00B20DA2"/>
    <w:rsid w:val="00B20E58"/>
    <w:rsid w:val="00B20FF5"/>
    <w:rsid w:val="00B211B5"/>
    <w:rsid w:val="00B2135E"/>
    <w:rsid w:val="00B21416"/>
    <w:rsid w:val="00B214A1"/>
    <w:rsid w:val="00B214E1"/>
    <w:rsid w:val="00B21705"/>
    <w:rsid w:val="00B21894"/>
    <w:rsid w:val="00B21DF6"/>
    <w:rsid w:val="00B21E50"/>
    <w:rsid w:val="00B22119"/>
    <w:rsid w:val="00B22646"/>
    <w:rsid w:val="00B22804"/>
    <w:rsid w:val="00B22992"/>
    <w:rsid w:val="00B22A31"/>
    <w:rsid w:val="00B22A5F"/>
    <w:rsid w:val="00B22A6A"/>
    <w:rsid w:val="00B22C16"/>
    <w:rsid w:val="00B22DBF"/>
    <w:rsid w:val="00B23376"/>
    <w:rsid w:val="00B23A78"/>
    <w:rsid w:val="00B23D35"/>
    <w:rsid w:val="00B23D66"/>
    <w:rsid w:val="00B23D71"/>
    <w:rsid w:val="00B23E8E"/>
    <w:rsid w:val="00B23EBE"/>
    <w:rsid w:val="00B2418B"/>
    <w:rsid w:val="00B24408"/>
    <w:rsid w:val="00B2440B"/>
    <w:rsid w:val="00B245C2"/>
    <w:rsid w:val="00B24B2C"/>
    <w:rsid w:val="00B24C6C"/>
    <w:rsid w:val="00B24DD3"/>
    <w:rsid w:val="00B2505B"/>
    <w:rsid w:val="00B250AF"/>
    <w:rsid w:val="00B252BB"/>
    <w:rsid w:val="00B25310"/>
    <w:rsid w:val="00B25435"/>
    <w:rsid w:val="00B2545B"/>
    <w:rsid w:val="00B25477"/>
    <w:rsid w:val="00B2558F"/>
    <w:rsid w:val="00B255F5"/>
    <w:rsid w:val="00B2573B"/>
    <w:rsid w:val="00B25952"/>
    <w:rsid w:val="00B25D15"/>
    <w:rsid w:val="00B25EEA"/>
    <w:rsid w:val="00B26412"/>
    <w:rsid w:val="00B26469"/>
    <w:rsid w:val="00B26530"/>
    <w:rsid w:val="00B2690C"/>
    <w:rsid w:val="00B26A99"/>
    <w:rsid w:val="00B26C5A"/>
    <w:rsid w:val="00B26FDB"/>
    <w:rsid w:val="00B27032"/>
    <w:rsid w:val="00B27399"/>
    <w:rsid w:val="00B2753E"/>
    <w:rsid w:val="00B278D9"/>
    <w:rsid w:val="00B27B79"/>
    <w:rsid w:val="00B27C48"/>
    <w:rsid w:val="00B27E8F"/>
    <w:rsid w:val="00B3004E"/>
    <w:rsid w:val="00B300F0"/>
    <w:rsid w:val="00B3016F"/>
    <w:rsid w:val="00B30172"/>
    <w:rsid w:val="00B304A8"/>
    <w:rsid w:val="00B304B1"/>
    <w:rsid w:val="00B30620"/>
    <w:rsid w:val="00B30BB8"/>
    <w:rsid w:val="00B30CA7"/>
    <w:rsid w:val="00B30ED7"/>
    <w:rsid w:val="00B30F76"/>
    <w:rsid w:val="00B312E3"/>
    <w:rsid w:val="00B3142F"/>
    <w:rsid w:val="00B3144C"/>
    <w:rsid w:val="00B3145C"/>
    <w:rsid w:val="00B31482"/>
    <w:rsid w:val="00B315D1"/>
    <w:rsid w:val="00B3174F"/>
    <w:rsid w:val="00B317A0"/>
    <w:rsid w:val="00B317AC"/>
    <w:rsid w:val="00B318AB"/>
    <w:rsid w:val="00B31915"/>
    <w:rsid w:val="00B319A3"/>
    <w:rsid w:val="00B31B03"/>
    <w:rsid w:val="00B31B29"/>
    <w:rsid w:val="00B31C42"/>
    <w:rsid w:val="00B31F93"/>
    <w:rsid w:val="00B32057"/>
    <w:rsid w:val="00B3213A"/>
    <w:rsid w:val="00B3216D"/>
    <w:rsid w:val="00B32465"/>
    <w:rsid w:val="00B32672"/>
    <w:rsid w:val="00B32890"/>
    <w:rsid w:val="00B32DB8"/>
    <w:rsid w:val="00B32F33"/>
    <w:rsid w:val="00B333BB"/>
    <w:rsid w:val="00B33492"/>
    <w:rsid w:val="00B336EB"/>
    <w:rsid w:val="00B33764"/>
    <w:rsid w:val="00B337A7"/>
    <w:rsid w:val="00B33A0B"/>
    <w:rsid w:val="00B33A9A"/>
    <w:rsid w:val="00B33FB1"/>
    <w:rsid w:val="00B34117"/>
    <w:rsid w:val="00B3417E"/>
    <w:rsid w:val="00B341D0"/>
    <w:rsid w:val="00B34765"/>
    <w:rsid w:val="00B348DD"/>
    <w:rsid w:val="00B34D4A"/>
    <w:rsid w:val="00B352CB"/>
    <w:rsid w:val="00B35763"/>
    <w:rsid w:val="00B35974"/>
    <w:rsid w:val="00B35A44"/>
    <w:rsid w:val="00B35B25"/>
    <w:rsid w:val="00B35C6F"/>
    <w:rsid w:val="00B360DD"/>
    <w:rsid w:val="00B3616E"/>
    <w:rsid w:val="00B364A8"/>
    <w:rsid w:val="00B36B99"/>
    <w:rsid w:val="00B36BC9"/>
    <w:rsid w:val="00B37015"/>
    <w:rsid w:val="00B37173"/>
    <w:rsid w:val="00B3729C"/>
    <w:rsid w:val="00B372D4"/>
    <w:rsid w:val="00B375F8"/>
    <w:rsid w:val="00B37890"/>
    <w:rsid w:val="00B378B1"/>
    <w:rsid w:val="00B37911"/>
    <w:rsid w:val="00B37CA1"/>
    <w:rsid w:val="00B37D90"/>
    <w:rsid w:val="00B37E63"/>
    <w:rsid w:val="00B40041"/>
    <w:rsid w:val="00B401AA"/>
    <w:rsid w:val="00B40245"/>
    <w:rsid w:val="00B40383"/>
    <w:rsid w:val="00B403D7"/>
    <w:rsid w:val="00B40780"/>
    <w:rsid w:val="00B40B1F"/>
    <w:rsid w:val="00B40B35"/>
    <w:rsid w:val="00B40E7C"/>
    <w:rsid w:val="00B40E81"/>
    <w:rsid w:val="00B40FC4"/>
    <w:rsid w:val="00B4115D"/>
    <w:rsid w:val="00B411AD"/>
    <w:rsid w:val="00B41279"/>
    <w:rsid w:val="00B4127B"/>
    <w:rsid w:val="00B4141E"/>
    <w:rsid w:val="00B4165C"/>
    <w:rsid w:val="00B41891"/>
    <w:rsid w:val="00B418E1"/>
    <w:rsid w:val="00B419E4"/>
    <w:rsid w:val="00B41ACB"/>
    <w:rsid w:val="00B41B61"/>
    <w:rsid w:val="00B41D1E"/>
    <w:rsid w:val="00B41DB0"/>
    <w:rsid w:val="00B41E74"/>
    <w:rsid w:val="00B41F2B"/>
    <w:rsid w:val="00B42077"/>
    <w:rsid w:val="00B42499"/>
    <w:rsid w:val="00B42537"/>
    <w:rsid w:val="00B42629"/>
    <w:rsid w:val="00B428DB"/>
    <w:rsid w:val="00B42A98"/>
    <w:rsid w:val="00B42B5E"/>
    <w:rsid w:val="00B42F41"/>
    <w:rsid w:val="00B42F94"/>
    <w:rsid w:val="00B42FFE"/>
    <w:rsid w:val="00B430FF"/>
    <w:rsid w:val="00B43156"/>
    <w:rsid w:val="00B432BC"/>
    <w:rsid w:val="00B433A4"/>
    <w:rsid w:val="00B43932"/>
    <w:rsid w:val="00B43A41"/>
    <w:rsid w:val="00B43A4D"/>
    <w:rsid w:val="00B43BBC"/>
    <w:rsid w:val="00B43D97"/>
    <w:rsid w:val="00B43E56"/>
    <w:rsid w:val="00B43E9C"/>
    <w:rsid w:val="00B44177"/>
    <w:rsid w:val="00B44480"/>
    <w:rsid w:val="00B4451C"/>
    <w:rsid w:val="00B4481F"/>
    <w:rsid w:val="00B449F5"/>
    <w:rsid w:val="00B44A3A"/>
    <w:rsid w:val="00B44AC4"/>
    <w:rsid w:val="00B44C71"/>
    <w:rsid w:val="00B44DEB"/>
    <w:rsid w:val="00B44E2D"/>
    <w:rsid w:val="00B450CC"/>
    <w:rsid w:val="00B45235"/>
    <w:rsid w:val="00B454F7"/>
    <w:rsid w:val="00B4554F"/>
    <w:rsid w:val="00B45946"/>
    <w:rsid w:val="00B45977"/>
    <w:rsid w:val="00B45B7C"/>
    <w:rsid w:val="00B45BC3"/>
    <w:rsid w:val="00B45D3F"/>
    <w:rsid w:val="00B45FAA"/>
    <w:rsid w:val="00B45FB0"/>
    <w:rsid w:val="00B46371"/>
    <w:rsid w:val="00B4657C"/>
    <w:rsid w:val="00B469D4"/>
    <w:rsid w:val="00B46BBC"/>
    <w:rsid w:val="00B46C0F"/>
    <w:rsid w:val="00B46C98"/>
    <w:rsid w:val="00B46D90"/>
    <w:rsid w:val="00B46E25"/>
    <w:rsid w:val="00B46F95"/>
    <w:rsid w:val="00B46FC9"/>
    <w:rsid w:val="00B470CC"/>
    <w:rsid w:val="00B470F5"/>
    <w:rsid w:val="00B4738E"/>
    <w:rsid w:val="00B47689"/>
    <w:rsid w:val="00B47835"/>
    <w:rsid w:val="00B4797F"/>
    <w:rsid w:val="00B479FD"/>
    <w:rsid w:val="00B47BE5"/>
    <w:rsid w:val="00B47E19"/>
    <w:rsid w:val="00B47EFF"/>
    <w:rsid w:val="00B47F22"/>
    <w:rsid w:val="00B50087"/>
    <w:rsid w:val="00B500DE"/>
    <w:rsid w:val="00B503F4"/>
    <w:rsid w:val="00B50473"/>
    <w:rsid w:val="00B5051A"/>
    <w:rsid w:val="00B5052B"/>
    <w:rsid w:val="00B50628"/>
    <w:rsid w:val="00B50697"/>
    <w:rsid w:val="00B5078D"/>
    <w:rsid w:val="00B507D5"/>
    <w:rsid w:val="00B507FA"/>
    <w:rsid w:val="00B50856"/>
    <w:rsid w:val="00B50C90"/>
    <w:rsid w:val="00B50F23"/>
    <w:rsid w:val="00B5126E"/>
    <w:rsid w:val="00B51448"/>
    <w:rsid w:val="00B51547"/>
    <w:rsid w:val="00B5160A"/>
    <w:rsid w:val="00B51936"/>
    <w:rsid w:val="00B51BE7"/>
    <w:rsid w:val="00B51C6C"/>
    <w:rsid w:val="00B522DF"/>
    <w:rsid w:val="00B5236D"/>
    <w:rsid w:val="00B52477"/>
    <w:rsid w:val="00B5292E"/>
    <w:rsid w:val="00B52A8D"/>
    <w:rsid w:val="00B52D7D"/>
    <w:rsid w:val="00B52EAA"/>
    <w:rsid w:val="00B53224"/>
    <w:rsid w:val="00B53264"/>
    <w:rsid w:val="00B532E4"/>
    <w:rsid w:val="00B53359"/>
    <w:rsid w:val="00B533E3"/>
    <w:rsid w:val="00B534DD"/>
    <w:rsid w:val="00B53545"/>
    <w:rsid w:val="00B53573"/>
    <w:rsid w:val="00B5361F"/>
    <w:rsid w:val="00B53712"/>
    <w:rsid w:val="00B538F6"/>
    <w:rsid w:val="00B53A52"/>
    <w:rsid w:val="00B53A6C"/>
    <w:rsid w:val="00B54051"/>
    <w:rsid w:val="00B540C7"/>
    <w:rsid w:val="00B54187"/>
    <w:rsid w:val="00B5431C"/>
    <w:rsid w:val="00B543A0"/>
    <w:rsid w:val="00B54504"/>
    <w:rsid w:val="00B54708"/>
    <w:rsid w:val="00B54B99"/>
    <w:rsid w:val="00B54DBE"/>
    <w:rsid w:val="00B552CE"/>
    <w:rsid w:val="00B5534E"/>
    <w:rsid w:val="00B5551C"/>
    <w:rsid w:val="00B55642"/>
    <w:rsid w:val="00B556DE"/>
    <w:rsid w:val="00B558A7"/>
    <w:rsid w:val="00B55BA5"/>
    <w:rsid w:val="00B55E6E"/>
    <w:rsid w:val="00B55FCA"/>
    <w:rsid w:val="00B562D4"/>
    <w:rsid w:val="00B56308"/>
    <w:rsid w:val="00B563FA"/>
    <w:rsid w:val="00B56451"/>
    <w:rsid w:val="00B56917"/>
    <w:rsid w:val="00B56AFE"/>
    <w:rsid w:val="00B56F6B"/>
    <w:rsid w:val="00B57065"/>
    <w:rsid w:val="00B5716B"/>
    <w:rsid w:val="00B5746F"/>
    <w:rsid w:val="00B5771A"/>
    <w:rsid w:val="00B5777D"/>
    <w:rsid w:val="00B579AE"/>
    <w:rsid w:val="00B579DC"/>
    <w:rsid w:val="00B57DBF"/>
    <w:rsid w:val="00B57E92"/>
    <w:rsid w:val="00B600F0"/>
    <w:rsid w:val="00B60368"/>
    <w:rsid w:val="00B60480"/>
    <w:rsid w:val="00B604E3"/>
    <w:rsid w:val="00B605E9"/>
    <w:rsid w:val="00B606BD"/>
    <w:rsid w:val="00B606CD"/>
    <w:rsid w:val="00B607A2"/>
    <w:rsid w:val="00B60882"/>
    <w:rsid w:val="00B6089E"/>
    <w:rsid w:val="00B60CC1"/>
    <w:rsid w:val="00B60D4F"/>
    <w:rsid w:val="00B61258"/>
    <w:rsid w:val="00B615EB"/>
    <w:rsid w:val="00B6180E"/>
    <w:rsid w:val="00B6183E"/>
    <w:rsid w:val="00B61932"/>
    <w:rsid w:val="00B61B20"/>
    <w:rsid w:val="00B61B98"/>
    <w:rsid w:val="00B61D75"/>
    <w:rsid w:val="00B61DF5"/>
    <w:rsid w:val="00B6212B"/>
    <w:rsid w:val="00B62718"/>
    <w:rsid w:val="00B62BBB"/>
    <w:rsid w:val="00B62D51"/>
    <w:rsid w:val="00B62DB6"/>
    <w:rsid w:val="00B63484"/>
    <w:rsid w:val="00B63680"/>
    <w:rsid w:val="00B637EA"/>
    <w:rsid w:val="00B6386D"/>
    <w:rsid w:val="00B63A4E"/>
    <w:rsid w:val="00B63A73"/>
    <w:rsid w:val="00B63D48"/>
    <w:rsid w:val="00B63E9A"/>
    <w:rsid w:val="00B63F14"/>
    <w:rsid w:val="00B64126"/>
    <w:rsid w:val="00B64636"/>
    <w:rsid w:val="00B64857"/>
    <w:rsid w:val="00B64C90"/>
    <w:rsid w:val="00B65458"/>
    <w:rsid w:val="00B65705"/>
    <w:rsid w:val="00B65761"/>
    <w:rsid w:val="00B657C6"/>
    <w:rsid w:val="00B65909"/>
    <w:rsid w:val="00B65B56"/>
    <w:rsid w:val="00B65CD6"/>
    <w:rsid w:val="00B65D01"/>
    <w:rsid w:val="00B6611D"/>
    <w:rsid w:val="00B66681"/>
    <w:rsid w:val="00B66706"/>
    <w:rsid w:val="00B66A11"/>
    <w:rsid w:val="00B66C08"/>
    <w:rsid w:val="00B66C97"/>
    <w:rsid w:val="00B66E82"/>
    <w:rsid w:val="00B67096"/>
    <w:rsid w:val="00B67126"/>
    <w:rsid w:val="00B67131"/>
    <w:rsid w:val="00B6718B"/>
    <w:rsid w:val="00B67460"/>
    <w:rsid w:val="00B6750C"/>
    <w:rsid w:val="00B67A84"/>
    <w:rsid w:val="00B67CDB"/>
    <w:rsid w:val="00B67D44"/>
    <w:rsid w:val="00B67DA2"/>
    <w:rsid w:val="00B67DAE"/>
    <w:rsid w:val="00B67DE7"/>
    <w:rsid w:val="00B67E2F"/>
    <w:rsid w:val="00B70119"/>
    <w:rsid w:val="00B706C2"/>
    <w:rsid w:val="00B70E5C"/>
    <w:rsid w:val="00B71002"/>
    <w:rsid w:val="00B711B7"/>
    <w:rsid w:val="00B7124E"/>
    <w:rsid w:val="00B71346"/>
    <w:rsid w:val="00B7175A"/>
    <w:rsid w:val="00B71767"/>
    <w:rsid w:val="00B717B4"/>
    <w:rsid w:val="00B718D0"/>
    <w:rsid w:val="00B7191D"/>
    <w:rsid w:val="00B71989"/>
    <w:rsid w:val="00B71AAB"/>
    <w:rsid w:val="00B71E0D"/>
    <w:rsid w:val="00B71EC9"/>
    <w:rsid w:val="00B7205E"/>
    <w:rsid w:val="00B7209D"/>
    <w:rsid w:val="00B721F0"/>
    <w:rsid w:val="00B72618"/>
    <w:rsid w:val="00B72B02"/>
    <w:rsid w:val="00B72CB8"/>
    <w:rsid w:val="00B72DAC"/>
    <w:rsid w:val="00B72DD8"/>
    <w:rsid w:val="00B72F44"/>
    <w:rsid w:val="00B7303F"/>
    <w:rsid w:val="00B730DA"/>
    <w:rsid w:val="00B73205"/>
    <w:rsid w:val="00B73252"/>
    <w:rsid w:val="00B736B1"/>
    <w:rsid w:val="00B73A3D"/>
    <w:rsid w:val="00B73DBC"/>
    <w:rsid w:val="00B74020"/>
    <w:rsid w:val="00B74974"/>
    <w:rsid w:val="00B74A6B"/>
    <w:rsid w:val="00B74C2F"/>
    <w:rsid w:val="00B75152"/>
    <w:rsid w:val="00B75211"/>
    <w:rsid w:val="00B7557D"/>
    <w:rsid w:val="00B755A6"/>
    <w:rsid w:val="00B756B8"/>
    <w:rsid w:val="00B7589C"/>
    <w:rsid w:val="00B759F9"/>
    <w:rsid w:val="00B75AEB"/>
    <w:rsid w:val="00B75CB6"/>
    <w:rsid w:val="00B75E19"/>
    <w:rsid w:val="00B75F13"/>
    <w:rsid w:val="00B75F4C"/>
    <w:rsid w:val="00B75FB4"/>
    <w:rsid w:val="00B761C2"/>
    <w:rsid w:val="00B7630D"/>
    <w:rsid w:val="00B7679A"/>
    <w:rsid w:val="00B767C7"/>
    <w:rsid w:val="00B769AE"/>
    <w:rsid w:val="00B769CD"/>
    <w:rsid w:val="00B76A4B"/>
    <w:rsid w:val="00B76A59"/>
    <w:rsid w:val="00B76A78"/>
    <w:rsid w:val="00B76C6C"/>
    <w:rsid w:val="00B76CC7"/>
    <w:rsid w:val="00B76D12"/>
    <w:rsid w:val="00B76F08"/>
    <w:rsid w:val="00B76F90"/>
    <w:rsid w:val="00B770C2"/>
    <w:rsid w:val="00B771FD"/>
    <w:rsid w:val="00B77572"/>
    <w:rsid w:val="00B7787A"/>
    <w:rsid w:val="00B778DD"/>
    <w:rsid w:val="00B779C8"/>
    <w:rsid w:val="00B80077"/>
    <w:rsid w:val="00B800FD"/>
    <w:rsid w:val="00B80143"/>
    <w:rsid w:val="00B802F5"/>
    <w:rsid w:val="00B805E8"/>
    <w:rsid w:val="00B80965"/>
    <w:rsid w:val="00B80A83"/>
    <w:rsid w:val="00B80D2A"/>
    <w:rsid w:val="00B80DA7"/>
    <w:rsid w:val="00B81270"/>
    <w:rsid w:val="00B81715"/>
    <w:rsid w:val="00B8179D"/>
    <w:rsid w:val="00B817CE"/>
    <w:rsid w:val="00B8192E"/>
    <w:rsid w:val="00B81A18"/>
    <w:rsid w:val="00B81A3E"/>
    <w:rsid w:val="00B81D5A"/>
    <w:rsid w:val="00B81EF7"/>
    <w:rsid w:val="00B81F18"/>
    <w:rsid w:val="00B81F42"/>
    <w:rsid w:val="00B82118"/>
    <w:rsid w:val="00B82182"/>
    <w:rsid w:val="00B825BE"/>
    <w:rsid w:val="00B82A56"/>
    <w:rsid w:val="00B82CFB"/>
    <w:rsid w:val="00B82D38"/>
    <w:rsid w:val="00B82E87"/>
    <w:rsid w:val="00B82F64"/>
    <w:rsid w:val="00B830A3"/>
    <w:rsid w:val="00B830CD"/>
    <w:rsid w:val="00B8317B"/>
    <w:rsid w:val="00B833F7"/>
    <w:rsid w:val="00B8358C"/>
    <w:rsid w:val="00B83682"/>
    <w:rsid w:val="00B836CF"/>
    <w:rsid w:val="00B83C18"/>
    <w:rsid w:val="00B83E26"/>
    <w:rsid w:val="00B84171"/>
    <w:rsid w:val="00B84231"/>
    <w:rsid w:val="00B843A2"/>
    <w:rsid w:val="00B84462"/>
    <w:rsid w:val="00B844B8"/>
    <w:rsid w:val="00B844BB"/>
    <w:rsid w:val="00B84501"/>
    <w:rsid w:val="00B848AC"/>
    <w:rsid w:val="00B849CE"/>
    <w:rsid w:val="00B84A17"/>
    <w:rsid w:val="00B84BA0"/>
    <w:rsid w:val="00B84C79"/>
    <w:rsid w:val="00B84C98"/>
    <w:rsid w:val="00B84DCC"/>
    <w:rsid w:val="00B84EAB"/>
    <w:rsid w:val="00B852E1"/>
    <w:rsid w:val="00B85390"/>
    <w:rsid w:val="00B8546A"/>
    <w:rsid w:val="00B8553D"/>
    <w:rsid w:val="00B855D7"/>
    <w:rsid w:val="00B858B9"/>
    <w:rsid w:val="00B85A02"/>
    <w:rsid w:val="00B85A49"/>
    <w:rsid w:val="00B85A68"/>
    <w:rsid w:val="00B85C96"/>
    <w:rsid w:val="00B8620B"/>
    <w:rsid w:val="00B8626A"/>
    <w:rsid w:val="00B863FD"/>
    <w:rsid w:val="00B86688"/>
    <w:rsid w:val="00B869C4"/>
    <w:rsid w:val="00B86C24"/>
    <w:rsid w:val="00B87306"/>
    <w:rsid w:val="00B87321"/>
    <w:rsid w:val="00B87652"/>
    <w:rsid w:val="00B87777"/>
    <w:rsid w:val="00B87835"/>
    <w:rsid w:val="00B8785C"/>
    <w:rsid w:val="00B87A5C"/>
    <w:rsid w:val="00B87B6D"/>
    <w:rsid w:val="00B87C33"/>
    <w:rsid w:val="00B87C6C"/>
    <w:rsid w:val="00B87D7D"/>
    <w:rsid w:val="00B87FFE"/>
    <w:rsid w:val="00B9010F"/>
    <w:rsid w:val="00B902B9"/>
    <w:rsid w:val="00B9048B"/>
    <w:rsid w:val="00B905A1"/>
    <w:rsid w:val="00B90A38"/>
    <w:rsid w:val="00B90A5A"/>
    <w:rsid w:val="00B90C05"/>
    <w:rsid w:val="00B90D2D"/>
    <w:rsid w:val="00B90FA7"/>
    <w:rsid w:val="00B90FDB"/>
    <w:rsid w:val="00B910C6"/>
    <w:rsid w:val="00B910F0"/>
    <w:rsid w:val="00B914C3"/>
    <w:rsid w:val="00B9153D"/>
    <w:rsid w:val="00B91698"/>
    <w:rsid w:val="00B91946"/>
    <w:rsid w:val="00B91E68"/>
    <w:rsid w:val="00B91F6E"/>
    <w:rsid w:val="00B91FD7"/>
    <w:rsid w:val="00B92185"/>
    <w:rsid w:val="00B922B6"/>
    <w:rsid w:val="00B92364"/>
    <w:rsid w:val="00B923C8"/>
    <w:rsid w:val="00B924FA"/>
    <w:rsid w:val="00B92689"/>
    <w:rsid w:val="00B927EB"/>
    <w:rsid w:val="00B9288D"/>
    <w:rsid w:val="00B929D8"/>
    <w:rsid w:val="00B92A0C"/>
    <w:rsid w:val="00B92A89"/>
    <w:rsid w:val="00B92B17"/>
    <w:rsid w:val="00B92D3B"/>
    <w:rsid w:val="00B92DF0"/>
    <w:rsid w:val="00B92E38"/>
    <w:rsid w:val="00B93040"/>
    <w:rsid w:val="00B930DB"/>
    <w:rsid w:val="00B9314C"/>
    <w:rsid w:val="00B93417"/>
    <w:rsid w:val="00B9366A"/>
    <w:rsid w:val="00B93797"/>
    <w:rsid w:val="00B9379E"/>
    <w:rsid w:val="00B93C60"/>
    <w:rsid w:val="00B93C93"/>
    <w:rsid w:val="00B943D0"/>
    <w:rsid w:val="00B945AF"/>
    <w:rsid w:val="00B947ED"/>
    <w:rsid w:val="00B94A6F"/>
    <w:rsid w:val="00B94D0F"/>
    <w:rsid w:val="00B94E02"/>
    <w:rsid w:val="00B94E60"/>
    <w:rsid w:val="00B95150"/>
    <w:rsid w:val="00B95202"/>
    <w:rsid w:val="00B95246"/>
    <w:rsid w:val="00B95661"/>
    <w:rsid w:val="00B95AFA"/>
    <w:rsid w:val="00B95E33"/>
    <w:rsid w:val="00B96082"/>
    <w:rsid w:val="00B960FF"/>
    <w:rsid w:val="00B96171"/>
    <w:rsid w:val="00B96179"/>
    <w:rsid w:val="00B961F7"/>
    <w:rsid w:val="00B96340"/>
    <w:rsid w:val="00B963CF"/>
    <w:rsid w:val="00B96696"/>
    <w:rsid w:val="00B96867"/>
    <w:rsid w:val="00B969E2"/>
    <w:rsid w:val="00B96A51"/>
    <w:rsid w:val="00B9712D"/>
    <w:rsid w:val="00B9718D"/>
    <w:rsid w:val="00B97295"/>
    <w:rsid w:val="00B973D1"/>
    <w:rsid w:val="00B974AA"/>
    <w:rsid w:val="00B974C4"/>
    <w:rsid w:val="00B9755F"/>
    <w:rsid w:val="00B97921"/>
    <w:rsid w:val="00B97B7B"/>
    <w:rsid w:val="00B97CED"/>
    <w:rsid w:val="00B97CEE"/>
    <w:rsid w:val="00B97E5A"/>
    <w:rsid w:val="00BA0589"/>
    <w:rsid w:val="00BA097B"/>
    <w:rsid w:val="00BA0A18"/>
    <w:rsid w:val="00BA0A2A"/>
    <w:rsid w:val="00BA0BC4"/>
    <w:rsid w:val="00BA0FE5"/>
    <w:rsid w:val="00BA10F8"/>
    <w:rsid w:val="00BA11AD"/>
    <w:rsid w:val="00BA1219"/>
    <w:rsid w:val="00BA1325"/>
    <w:rsid w:val="00BA133F"/>
    <w:rsid w:val="00BA13A4"/>
    <w:rsid w:val="00BA16EC"/>
    <w:rsid w:val="00BA171F"/>
    <w:rsid w:val="00BA1A47"/>
    <w:rsid w:val="00BA1E86"/>
    <w:rsid w:val="00BA1E8D"/>
    <w:rsid w:val="00BA1F26"/>
    <w:rsid w:val="00BA211F"/>
    <w:rsid w:val="00BA21DE"/>
    <w:rsid w:val="00BA22BB"/>
    <w:rsid w:val="00BA2480"/>
    <w:rsid w:val="00BA2683"/>
    <w:rsid w:val="00BA2686"/>
    <w:rsid w:val="00BA269F"/>
    <w:rsid w:val="00BA2718"/>
    <w:rsid w:val="00BA27F8"/>
    <w:rsid w:val="00BA2832"/>
    <w:rsid w:val="00BA287B"/>
    <w:rsid w:val="00BA2934"/>
    <w:rsid w:val="00BA2954"/>
    <w:rsid w:val="00BA2978"/>
    <w:rsid w:val="00BA2A76"/>
    <w:rsid w:val="00BA2DB2"/>
    <w:rsid w:val="00BA2DE4"/>
    <w:rsid w:val="00BA3261"/>
    <w:rsid w:val="00BA32B1"/>
    <w:rsid w:val="00BA33D9"/>
    <w:rsid w:val="00BA3537"/>
    <w:rsid w:val="00BA36D1"/>
    <w:rsid w:val="00BA376F"/>
    <w:rsid w:val="00BA388C"/>
    <w:rsid w:val="00BA38D2"/>
    <w:rsid w:val="00BA3A29"/>
    <w:rsid w:val="00BA3AD7"/>
    <w:rsid w:val="00BA403A"/>
    <w:rsid w:val="00BA42A0"/>
    <w:rsid w:val="00BA42A1"/>
    <w:rsid w:val="00BA44EB"/>
    <w:rsid w:val="00BA46D3"/>
    <w:rsid w:val="00BA4BB3"/>
    <w:rsid w:val="00BA4E30"/>
    <w:rsid w:val="00BA4F0D"/>
    <w:rsid w:val="00BA50A5"/>
    <w:rsid w:val="00BA50BA"/>
    <w:rsid w:val="00BA53DA"/>
    <w:rsid w:val="00BA53FD"/>
    <w:rsid w:val="00BA5422"/>
    <w:rsid w:val="00BA5A99"/>
    <w:rsid w:val="00BA5B51"/>
    <w:rsid w:val="00BA5BBE"/>
    <w:rsid w:val="00BA5C33"/>
    <w:rsid w:val="00BA5DED"/>
    <w:rsid w:val="00BA5EA5"/>
    <w:rsid w:val="00BA5F95"/>
    <w:rsid w:val="00BA613D"/>
    <w:rsid w:val="00BA61D3"/>
    <w:rsid w:val="00BA61E8"/>
    <w:rsid w:val="00BA6246"/>
    <w:rsid w:val="00BA64C7"/>
    <w:rsid w:val="00BA6664"/>
    <w:rsid w:val="00BA6834"/>
    <w:rsid w:val="00BA685C"/>
    <w:rsid w:val="00BA6AF1"/>
    <w:rsid w:val="00BA6AF4"/>
    <w:rsid w:val="00BA6C3F"/>
    <w:rsid w:val="00BA6DB7"/>
    <w:rsid w:val="00BA724D"/>
    <w:rsid w:val="00BA7274"/>
    <w:rsid w:val="00BA728A"/>
    <w:rsid w:val="00BA7395"/>
    <w:rsid w:val="00BA73F0"/>
    <w:rsid w:val="00BA747D"/>
    <w:rsid w:val="00BA74F2"/>
    <w:rsid w:val="00BA76EA"/>
    <w:rsid w:val="00BA7795"/>
    <w:rsid w:val="00BA787E"/>
    <w:rsid w:val="00BA7970"/>
    <w:rsid w:val="00BA7BE6"/>
    <w:rsid w:val="00BA7C7F"/>
    <w:rsid w:val="00BA7FAE"/>
    <w:rsid w:val="00BB02DA"/>
    <w:rsid w:val="00BB0340"/>
    <w:rsid w:val="00BB03F7"/>
    <w:rsid w:val="00BB0852"/>
    <w:rsid w:val="00BB0950"/>
    <w:rsid w:val="00BB09D7"/>
    <w:rsid w:val="00BB09E5"/>
    <w:rsid w:val="00BB1060"/>
    <w:rsid w:val="00BB10B5"/>
    <w:rsid w:val="00BB139F"/>
    <w:rsid w:val="00BB13E3"/>
    <w:rsid w:val="00BB14B8"/>
    <w:rsid w:val="00BB15B0"/>
    <w:rsid w:val="00BB19E2"/>
    <w:rsid w:val="00BB1A8C"/>
    <w:rsid w:val="00BB1EA7"/>
    <w:rsid w:val="00BB1EDB"/>
    <w:rsid w:val="00BB2022"/>
    <w:rsid w:val="00BB20B3"/>
    <w:rsid w:val="00BB224D"/>
    <w:rsid w:val="00BB232D"/>
    <w:rsid w:val="00BB2411"/>
    <w:rsid w:val="00BB2476"/>
    <w:rsid w:val="00BB26E4"/>
    <w:rsid w:val="00BB28CC"/>
    <w:rsid w:val="00BB2957"/>
    <w:rsid w:val="00BB2980"/>
    <w:rsid w:val="00BB2ECF"/>
    <w:rsid w:val="00BB2F70"/>
    <w:rsid w:val="00BB3005"/>
    <w:rsid w:val="00BB302B"/>
    <w:rsid w:val="00BB3532"/>
    <w:rsid w:val="00BB377D"/>
    <w:rsid w:val="00BB3AED"/>
    <w:rsid w:val="00BB3BFD"/>
    <w:rsid w:val="00BB3D66"/>
    <w:rsid w:val="00BB3DD6"/>
    <w:rsid w:val="00BB3F34"/>
    <w:rsid w:val="00BB419F"/>
    <w:rsid w:val="00BB4385"/>
    <w:rsid w:val="00BB4565"/>
    <w:rsid w:val="00BB45EB"/>
    <w:rsid w:val="00BB4679"/>
    <w:rsid w:val="00BB4684"/>
    <w:rsid w:val="00BB4A92"/>
    <w:rsid w:val="00BB503B"/>
    <w:rsid w:val="00BB51D2"/>
    <w:rsid w:val="00BB532D"/>
    <w:rsid w:val="00BB5411"/>
    <w:rsid w:val="00BB5870"/>
    <w:rsid w:val="00BB59DD"/>
    <w:rsid w:val="00BB5B1B"/>
    <w:rsid w:val="00BB5B41"/>
    <w:rsid w:val="00BB5B85"/>
    <w:rsid w:val="00BB5CC4"/>
    <w:rsid w:val="00BB5DA6"/>
    <w:rsid w:val="00BB5E57"/>
    <w:rsid w:val="00BB6039"/>
    <w:rsid w:val="00BB62EA"/>
    <w:rsid w:val="00BB6444"/>
    <w:rsid w:val="00BB653E"/>
    <w:rsid w:val="00BB66AA"/>
    <w:rsid w:val="00BB6C9F"/>
    <w:rsid w:val="00BB6F7A"/>
    <w:rsid w:val="00BB6FBF"/>
    <w:rsid w:val="00BB713E"/>
    <w:rsid w:val="00BB7698"/>
    <w:rsid w:val="00BB7904"/>
    <w:rsid w:val="00BB7D13"/>
    <w:rsid w:val="00BB7F6D"/>
    <w:rsid w:val="00BC0036"/>
    <w:rsid w:val="00BC00AF"/>
    <w:rsid w:val="00BC02B2"/>
    <w:rsid w:val="00BC0411"/>
    <w:rsid w:val="00BC07E4"/>
    <w:rsid w:val="00BC0960"/>
    <w:rsid w:val="00BC09CA"/>
    <w:rsid w:val="00BC0A12"/>
    <w:rsid w:val="00BC0ACB"/>
    <w:rsid w:val="00BC0C84"/>
    <w:rsid w:val="00BC0DA2"/>
    <w:rsid w:val="00BC0DE3"/>
    <w:rsid w:val="00BC0E71"/>
    <w:rsid w:val="00BC0E76"/>
    <w:rsid w:val="00BC1002"/>
    <w:rsid w:val="00BC105A"/>
    <w:rsid w:val="00BC106A"/>
    <w:rsid w:val="00BC1140"/>
    <w:rsid w:val="00BC115A"/>
    <w:rsid w:val="00BC11B8"/>
    <w:rsid w:val="00BC12AA"/>
    <w:rsid w:val="00BC17C3"/>
    <w:rsid w:val="00BC1894"/>
    <w:rsid w:val="00BC1CE0"/>
    <w:rsid w:val="00BC1D8A"/>
    <w:rsid w:val="00BC1FC5"/>
    <w:rsid w:val="00BC1FD5"/>
    <w:rsid w:val="00BC20F2"/>
    <w:rsid w:val="00BC23EF"/>
    <w:rsid w:val="00BC255C"/>
    <w:rsid w:val="00BC25F2"/>
    <w:rsid w:val="00BC294C"/>
    <w:rsid w:val="00BC2968"/>
    <w:rsid w:val="00BC2B29"/>
    <w:rsid w:val="00BC2B58"/>
    <w:rsid w:val="00BC2C2F"/>
    <w:rsid w:val="00BC305C"/>
    <w:rsid w:val="00BC31C0"/>
    <w:rsid w:val="00BC32CA"/>
    <w:rsid w:val="00BC3385"/>
    <w:rsid w:val="00BC33F9"/>
    <w:rsid w:val="00BC34A7"/>
    <w:rsid w:val="00BC3510"/>
    <w:rsid w:val="00BC372E"/>
    <w:rsid w:val="00BC3730"/>
    <w:rsid w:val="00BC374D"/>
    <w:rsid w:val="00BC38E9"/>
    <w:rsid w:val="00BC39A0"/>
    <w:rsid w:val="00BC3A0E"/>
    <w:rsid w:val="00BC3A66"/>
    <w:rsid w:val="00BC3D50"/>
    <w:rsid w:val="00BC3EF9"/>
    <w:rsid w:val="00BC413C"/>
    <w:rsid w:val="00BC436C"/>
    <w:rsid w:val="00BC448C"/>
    <w:rsid w:val="00BC462E"/>
    <w:rsid w:val="00BC4883"/>
    <w:rsid w:val="00BC489B"/>
    <w:rsid w:val="00BC4BB8"/>
    <w:rsid w:val="00BC4C9D"/>
    <w:rsid w:val="00BC4DBE"/>
    <w:rsid w:val="00BC4E6E"/>
    <w:rsid w:val="00BC4F5F"/>
    <w:rsid w:val="00BC50DA"/>
    <w:rsid w:val="00BC53AF"/>
    <w:rsid w:val="00BC5487"/>
    <w:rsid w:val="00BC5522"/>
    <w:rsid w:val="00BC5608"/>
    <w:rsid w:val="00BC567C"/>
    <w:rsid w:val="00BC596C"/>
    <w:rsid w:val="00BC5C86"/>
    <w:rsid w:val="00BC6585"/>
    <w:rsid w:val="00BC65AD"/>
    <w:rsid w:val="00BC670B"/>
    <w:rsid w:val="00BC6828"/>
    <w:rsid w:val="00BC6A29"/>
    <w:rsid w:val="00BC6A34"/>
    <w:rsid w:val="00BC6A5E"/>
    <w:rsid w:val="00BC6DBC"/>
    <w:rsid w:val="00BC6EC4"/>
    <w:rsid w:val="00BC6FC8"/>
    <w:rsid w:val="00BC7218"/>
    <w:rsid w:val="00BC76C2"/>
    <w:rsid w:val="00BC772B"/>
    <w:rsid w:val="00BC77A8"/>
    <w:rsid w:val="00BC781B"/>
    <w:rsid w:val="00BC7A99"/>
    <w:rsid w:val="00BC7B87"/>
    <w:rsid w:val="00BC7B97"/>
    <w:rsid w:val="00BC7E67"/>
    <w:rsid w:val="00BC7F74"/>
    <w:rsid w:val="00BD0041"/>
    <w:rsid w:val="00BD00AC"/>
    <w:rsid w:val="00BD00FD"/>
    <w:rsid w:val="00BD010E"/>
    <w:rsid w:val="00BD0125"/>
    <w:rsid w:val="00BD03D6"/>
    <w:rsid w:val="00BD09E3"/>
    <w:rsid w:val="00BD0CB9"/>
    <w:rsid w:val="00BD1350"/>
    <w:rsid w:val="00BD1567"/>
    <w:rsid w:val="00BD1596"/>
    <w:rsid w:val="00BD1836"/>
    <w:rsid w:val="00BD192E"/>
    <w:rsid w:val="00BD1AC2"/>
    <w:rsid w:val="00BD1FFD"/>
    <w:rsid w:val="00BD218C"/>
    <w:rsid w:val="00BD21DD"/>
    <w:rsid w:val="00BD229D"/>
    <w:rsid w:val="00BD22D3"/>
    <w:rsid w:val="00BD23F1"/>
    <w:rsid w:val="00BD2453"/>
    <w:rsid w:val="00BD2836"/>
    <w:rsid w:val="00BD2AC0"/>
    <w:rsid w:val="00BD2AF8"/>
    <w:rsid w:val="00BD2CF4"/>
    <w:rsid w:val="00BD2F8C"/>
    <w:rsid w:val="00BD308F"/>
    <w:rsid w:val="00BD321D"/>
    <w:rsid w:val="00BD3416"/>
    <w:rsid w:val="00BD35F4"/>
    <w:rsid w:val="00BD397A"/>
    <w:rsid w:val="00BD3B81"/>
    <w:rsid w:val="00BD3C1D"/>
    <w:rsid w:val="00BD3C48"/>
    <w:rsid w:val="00BD3E7A"/>
    <w:rsid w:val="00BD4054"/>
    <w:rsid w:val="00BD40AC"/>
    <w:rsid w:val="00BD42BA"/>
    <w:rsid w:val="00BD4366"/>
    <w:rsid w:val="00BD4367"/>
    <w:rsid w:val="00BD44DD"/>
    <w:rsid w:val="00BD4531"/>
    <w:rsid w:val="00BD46A3"/>
    <w:rsid w:val="00BD46BA"/>
    <w:rsid w:val="00BD4B35"/>
    <w:rsid w:val="00BD4DBD"/>
    <w:rsid w:val="00BD4E99"/>
    <w:rsid w:val="00BD4ECB"/>
    <w:rsid w:val="00BD52F9"/>
    <w:rsid w:val="00BD54D0"/>
    <w:rsid w:val="00BD552B"/>
    <w:rsid w:val="00BD5540"/>
    <w:rsid w:val="00BD58F3"/>
    <w:rsid w:val="00BD59D3"/>
    <w:rsid w:val="00BD5A88"/>
    <w:rsid w:val="00BD5BCA"/>
    <w:rsid w:val="00BD5D03"/>
    <w:rsid w:val="00BD5D5C"/>
    <w:rsid w:val="00BD5DB3"/>
    <w:rsid w:val="00BD60ED"/>
    <w:rsid w:val="00BD625B"/>
    <w:rsid w:val="00BD6704"/>
    <w:rsid w:val="00BD69B6"/>
    <w:rsid w:val="00BD6B71"/>
    <w:rsid w:val="00BD6C6B"/>
    <w:rsid w:val="00BD6C8B"/>
    <w:rsid w:val="00BD6D4F"/>
    <w:rsid w:val="00BD6E43"/>
    <w:rsid w:val="00BD6EE7"/>
    <w:rsid w:val="00BD71D9"/>
    <w:rsid w:val="00BD72D0"/>
    <w:rsid w:val="00BD7435"/>
    <w:rsid w:val="00BD75F3"/>
    <w:rsid w:val="00BD7647"/>
    <w:rsid w:val="00BD7961"/>
    <w:rsid w:val="00BD79D1"/>
    <w:rsid w:val="00BD7B2F"/>
    <w:rsid w:val="00BD7E25"/>
    <w:rsid w:val="00BE01AD"/>
    <w:rsid w:val="00BE03BD"/>
    <w:rsid w:val="00BE0655"/>
    <w:rsid w:val="00BE06A0"/>
    <w:rsid w:val="00BE06B3"/>
    <w:rsid w:val="00BE0821"/>
    <w:rsid w:val="00BE0B10"/>
    <w:rsid w:val="00BE0DD3"/>
    <w:rsid w:val="00BE0F18"/>
    <w:rsid w:val="00BE108B"/>
    <w:rsid w:val="00BE125C"/>
    <w:rsid w:val="00BE15BF"/>
    <w:rsid w:val="00BE187B"/>
    <w:rsid w:val="00BE1ECD"/>
    <w:rsid w:val="00BE1F3C"/>
    <w:rsid w:val="00BE2011"/>
    <w:rsid w:val="00BE2188"/>
    <w:rsid w:val="00BE2228"/>
    <w:rsid w:val="00BE2258"/>
    <w:rsid w:val="00BE22D9"/>
    <w:rsid w:val="00BE2303"/>
    <w:rsid w:val="00BE2316"/>
    <w:rsid w:val="00BE2AFA"/>
    <w:rsid w:val="00BE2BB4"/>
    <w:rsid w:val="00BE2BF4"/>
    <w:rsid w:val="00BE2FF0"/>
    <w:rsid w:val="00BE306B"/>
    <w:rsid w:val="00BE31CE"/>
    <w:rsid w:val="00BE31E6"/>
    <w:rsid w:val="00BE337C"/>
    <w:rsid w:val="00BE37C2"/>
    <w:rsid w:val="00BE3C57"/>
    <w:rsid w:val="00BE3CCC"/>
    <w:rsid w:val="00BE3EEC"/>
    <w:rsid w:val="00BE3F09"/>
    <w:rsid w:val="00BE455D"/>
    <w:rsid w:val="00BE4705"/>
    <w:rsid w:val="00BE4844"/>
    <w:rsid w:val="00BE4A67"/>
    <w:rsid w:val="00BE4BD3"/>
    <w:rsid w:val="00BE4EEE"/>
    <w:rsid w:val="00BE4F0D"/>
    <w:rsid w:val="00BE4F2A"/>
    <w:rsid w:val="00BE4F3C"/>
    <w:rsid w:val="00BE4F80"/>
    <w:rsid w:val="00BE509E"/>
    <w:rsid w:val="00BE50A3"/>
    <w:rsid w:val="00BE50F4"/>
    <w:rsid w:val="00BE51AC"/>
    <w:rsid w:val="00BE554C"/>
    <w:rsid w:val="00BE5700"/>
    <w:rsid w:val="00BE5810"/>
    <w:rsid w:val="00BE5AAB"/>
    <w:rsid w:val="00BE5E3E"/>
    <w:rsid w:val="00BE6187"/>
    <w:rsid w:val="00BE6249"/>
    <w:rsid w:val="00BE6317"/>
    <w:rsid w:val="00BE63C1"/>
    <w:rsid w:val="00BE656D"/>
    <w:rsid w:val="00BE6879"/>
    <w:rsid w:val="00BE6A81"/>
    <w:rsid w:val="00BE6B32"/>
    <w:rsid w:val="00BE6F12"/>
    <w:rsid w:val="00BE6F4D"/>
    <w:rsid w:val="00BE6F74"/>
    <w:rsid w:val="00BE6F89"/>
    <w:rsid w:val="00BE733C"/>
    <w:rsid w:val="00BE73A9"/>
    <w:rsid w:val="00BE7829"/>
    <w:rsid w:val="00BE7899"/>
    <w:rsid w:val="00BE79D8"/>
    <w:rsid w:val="00BE7A46"/>
    <w:rsid w:val="00BE7A67"/>
    <w:rsid w:val="00BE7B7F"/>
    <w:rsid w:val="00BE7C7C"/>
    <w:rsid w:val="00BE7D5E"/>
    <w:rsid w:val="00BE7FD6"/>
    <w:rsid w:val="00BF01B5"/>
    <w:rsid w:val="00BF03C4"/>
    <w:rsid w:val="00BF04EA"/>
    <w:rsid w:val="00BF0802"/>
    <w:rsid w:val="00BF0B34"/>
    <w:rsid w:val="00BF0BC0"/>
    <w:rsid w:val="00BF106E"/>
    <w:rsid w:val="00BF1300"/>
    <w:rsid w:val="00BF1358"/>
    <w:rsid w:val="00BF1770"/>
    <w:rsid w:val="00BF1DEA"/>
    <w:rsid w:val="00BF1ED0"/>
    <w:rsid w:val="00BF1EDB"/>
    <w:rsid w:val="00BF1F7E"/>
    <w:rsid w:val="00BF20B1"/>
    <w:rsid w:val="00BF21DE"/>
    <w:rsid w:val="00BF21FA"/>
    <w:rsid w:val="00BF221B"/>
    <w:rsid w:val="00BF2538"/>
    <w:rsid w:val="00BF264A"/>
    <w:rsid w:val="00BF29EE"/>
    <w:rsid w:val="00BF2B16"/>
    <w:rsid w:val="00BF2CEC"/>
    <w:rsid w:val="00BF2F20"/>
    <w:rsid w:val="00BF36F4"/>
    <w:rsid w:val="00BF37CB"/>
    <w:rsid w:val="00BF3869"/>
    <w:rsid w:val="00BF3A29"/>
    <w:rsid w:val="00BF3DFD"/>
    <w:rsid w:val="00BF4111"/>
    <w:rsid w:val="00BF4302"/>
    <w:rsid w:val="00BF43BE"/>
    <w:rsid w:val="00BF4571"/>
    <w:rsid w:val="00BF4796"/>
    <w:rsid w:val="00BF4940"/>
    <w:rsid w:val="00BF49AE"/>
    <w:rsid w:val="00BF4B95"/>
    <w:rsid w:val="00BF4BA2"/>
    <w:rsid w:val="00BF4DDD"/>
    <w:rsid w:val="00BF4EEA"/>
    <w:rsid w:val="00BF51EC"/>
    <w:rsid w:val="00BF54AE"/>
    <w:rsid w:val="00BF5504"/>
    <w:rsid w:val="00BF5605"/>
    <w:rsid w:val="00BF5681"/>
    <w:rsid w:val="00BF5700"/>
    <w:rsid w:val="00BF5F8A"/>
    <w:rsid w:val="00BF5F9C"/>
    <w:rsid w:val="00BF60A6"/>
    <w:rsid w:val="00BF60F4"/>
    <w:rsid w:val="00BF621D"/>
    <w:rsid w:val="00BF6452"/>
    <w:rsid w:val="00BF64D9"/>
    <w:rsid w:val="00BF65B5"/>
    <w:rsid w:val="00BF6693"/>
    <w:rsid w:val="00BF6725"/>
    <w:rsid w:val="00BF67E6"/>
    <w:rsid w:val="00BF699A"/>
    <w:rsid w:val="00BF6B22"/>
    <w:rsid w:val="00BF6BAD"/>
    <w:rsid w:val="00BF6D02"/>
    <w:rsid w:val="00BF6D4B"/>
    <w:rsid w:val="00BF6D73"/>
    <w:rsid w:val="00BF7154"/>
    <w:rsid w:val="00BF761D"/>
    <w:rsid w:val="00BF79F0"/>
    <w:rsid w:val="00BF7AC6"/>
    <w:rsid w:val="00BF7B5D"/>
    <w:rsid w:val="00BF7EB3"/>
    <w:rsid w:val="00BF7F3A"/>
    <w:rsid w:val="00C00241"/>
    <w:rsid w:val="00C00477"/>
    <w:rsid w:val="00C004AA"/>
    <w:rsid w:val="00C00548"/>
    <w:rsid w:val="00C005A3"/>
    <w:rsid w:val="00C006B8"/>
    <w:rsid w:val="00C006F9"/>
    <w:rsid w:val="00C0098A"/>
    <w:rsid w:val="00C00B8D"/>
    <w:rsid w:val="00C00C26"/>
    <w:rsid w:val="00C00E59"/>
    <w:rsid w:val="00C00ED3"/>
    <w:rsid w:val="00C00F5B"/>
    <w:rsid w:val="00C012E0"/>
    <w:rsid w:val="00C012EF"/>
    <w:rsid w:val="00C01763"/>
    <w:rsid w:val="00C017AB"/>
    <w:rsid w:val="00C01AC8"/>
    <w:rsid w:val="00C01BD6"/>
    <w:rsid w:val="00C01C87"/>
    <w:rsid w:val="00C01E78"/>
    <w:rsid w:val="00C01F94"/>
    <w:rsid w:val="00C0238D"/>
    <w:rsid w:val="00C02441"/>
    <w:rsid w:val="00C026A8"/>
    <w:rsid w:val="00C026EE"/>
    <w:rsid w:val="00C02743"/>
    <w:rsid w:val="00C029A4"/>
    <w:rsid w:val="00C02A4E"/>
    <w:rsid w:val="00C02BF5"/>
    <w:rsid w:val="00C02F6D"/>
    <w:rsid w:val="00C0306E"/>
    <w:rsid w:val="00C031A9"/>
    <w:rsid w:val="00C03383"/>
    <w:rsid w:val="00C034DD"/>
    <w:rsid w:val="00C035D7"/>
    <w:rsid w:val="00C037BF"/>
    <w:rsid w:val="00C037C6"/>
    <w:rsid w:val="00C037F6"/>
    <w:rsid w:val="00C038CC"/>
    <w:rsid w:val="00C039C2"/>
    <w:rsid w:val="00C03B3B"/>
    <w:rsid w:val="00C03BC2"/>
    <w:rsid w:val="00C03D1F"/>
    <w:rsid w:val="00C03F05"/>
    <w:rsid w:val="00C03F0B"/>
    <w:rsid w:val="00C04280"/>
    <w:rsid w:val="00C0432B"/>
    <w:rsid w:val="00C04424"/>
    <w:rsid w:val="00C04544"/>
    <w:rsid w:val="00C0469D"/>
    <w:rsid w:val="00C046B3"/>
    <w:rsid w:val="00C04722"/>
    <w:rsid w:val="00C0472C"/>
    <w:rsid w:val="00C04A58"/>
    <w:rsid w:val="00C04CCC"/>
    <w:rsid w:val="00C04CD8"/>
    <w:rsid w:val="00C04D57"/>
    <w:rsid w:val="00C04FF9"/>
    <w:rsid w:val="00C050E1"/>
    <w:rsid w:val="00C0519F"/>
    <w:rsid w:val="00C051DA"/>
    <w:rsid w:val="00C051F9"/>
    <w:rsid w:val="00C0546A"/>
    <w:rsid w:val="00C054CA"/>
    <w:rsid w:val="00C057C4"/>
    <w:rsid w:val="00C0582A"/>
    <w:rsid w:val="00C05890"/>
    <w:rsid w:val="00C05982"/>
    <w:rsid w:val="00C05B01"/>
    <w:rsid w:val="00C05B26"/>
    <w:rsid w:val="00C05F7A"/>
    <w:rsid w:val="00C0636A"/>
    <w:rsid w:val="00C06461"/>
    <w:rsid w:val="00C065E3"/>
    <w:rsid w:val="00C06714"/>
    <w:rsid w:val="00C067F5"/>
    <w:rsid w:val="00C068B3"/>
    <w:rsid w:val="00C06C0E"/>
    <w:rsid w:val="00C06E6A"/>
    <w:rsid w:val="00C06EC6"/>
    <w:rsid w:val="00C07064"/>
    <w:rsid w:val="00C075B6"/>
    <w:rsid w:val="00C076AD"/>
    <w:rsid w:val="00C07759"/>
    <w:rsid w:val="00C07796"/>
    <w:rsid w:val="00C07898"/>
    <w:rsid w:val="00C07D09"/>
    <w:rsid w:val="00C07DA8"/>
    <w:rsid w:val="00C07DF5"/>
    <w:rsid w:val="00C07FF7"/>
    <w:rsid w:val="00C1002F"/>
    <w:rsid w:val="00C10046"/>
    <w:rsid w:val="00C1011D"/>
    <w:rsid w:val="00C101C0"/>
    <w:rsid w:val="00C1030E"/>
    <w:rsid w:val="00C1035B"/>
    <w:rsid w:val="00C103F0"/>
    <w:rsid w:val="00C1042C"/>
    <w:rsid w:val="00C1043B"/>
    <w:rsid w:val="00C10570"/>
    <w:rsid w:val="00C106F6"/>
    <w:rsid w:val="00C107C8"/>
    <w:rsid w:val="00C10AB3"/>
    <w:rsid w:val="00C10BC8"/>
    <w:rsid w:val="00C10C82"/>
    <w:rsid w:val="00C10E69"/>
    <w:rsid w:val="00C11047"/>
    <w:rsid w:val="00C11566"/>
    <w:rsid w:val="00C11567"/>
    <w:rsid w:val="00C1175D"/>
    <w:rsid w:val="00C1190A"/>
    <w:rsid w:val="00C1195F"/>
    <w:rsid w:val="00C11DF9"/>
    <w:rsid w:val="00C11F39"/>
    <w:rsid w:val="00C120E9"/>
    <w:rsid w:val="00C12213"/>
    <w:rsid w:val="00C1229C"/>
    <w:rsid w:val="00C12605"/>
    <w:rsid w:val="00C126BB"/>
    <w:rsid w:val="00C127B4"/>
    <w:rsid w:val="00C12812"/>
    <w:rsid w:val="00C12843"/>
    <w:rsid w:val="00C12C06"/>
    <w:rsid w:val="00C12D3D"/>
    <w:rsid w:val="00C12E0F"/>
    <w:rsid w:val="00C13153"/>
    <w:rsid w:val="00C13172"/>
    <w:rsid w:val="00C13623"/>
    <w:rsid w:val="00C1365A"/>
    <w:rsid w:val="00C13A14"/>
    <w:rsid w:val="00C13A64"/>
    <w:rsid w:val="00C13C5D"/>
    <w:rsid w:val="00C13F47"/>
    <w:rsid w:val="00C13F83"/>
    <w:rsid w:val="00C14000"/>
    <w:rsid w:val="00C14945"/>
    <w:rsid w:val="00C14981"/>
    <w:rsid w:val="00C14BAB"/>
    <w:rsid w:val="00C14F9D"/>
    <w:rsid w:val="00C14FDE"/>
    <w:rsid w:val="00C15118"/>
    <w:rsid w:val="00C151D7"/>
    <w:rsid w:val="00C15288"/>
    <w:rsid w:val="00C152E5"/>
    <w:rsid w:val="00C15444"/>
    <w:rsid w:val="00C15640"/>
    <w:rsid w:val="00C1571E"/>
    <w:rsid w:val="00C1574D"/>
    <w:rsid w:val="00C159E6"/>
    <w:rsid w:val="00C15BE0"/>
    <w:rsid w:val="00C15C29"/>
    <w:rsid w:val="00C162FD"/>
    <w:rsid w:val="00C1636F"/>
    <w:rsid w:val="00C16397"/>
    <w:rsid w:val="00C16502"/>
    <w:rsid w:val="00C165AE"/>
    <w:rsid w:val="00C16AD7"/>
    <w:rsid w:val="00C16C4A"/>
    <w:rsid w:val="00C16E38"/>
    <w:rsid w:val="00C170BA"/>
    <w:rsid w:val="00C172A3"/>
    <w:rsid w:val="00C17546"/>
    <w:rsid w:val="00C175C9"/>
    <w:rsid w:val="00C177E8"/>
    <w:rsid w:val="00C17903"/>
    <w:rsid w:val="00C17979"/>
    <w:rsid w:val="00C17F87"/>
    <w:rsid w:val="00C17F88"/>
    <w:rsid w:val="00C17FE6"/>
    <w:rsid w:val="00C20011"/>
    <w:rsid w:val="00C20226"/>
    <w:rsid w:val="00C20227"/>
    <w:rsid w:val="00C202C6"/>
    <w:rsid w:val="00C20492"/>
    <w:rsid w:val="00C204CB"/>
    <w:rsid w:val="00C20615"/>
    <w:rsid w:val="00C2082A"/>
    <w:rsid w:val="00C209B4"/>
    <w:rsid w:val="00C20C61"/>
    <w:rsid w:val="00C20DD3"/>
    <w:rsid w:val="00C210CB"/>
    <w:rsid w:val="00C2114C"/>
    <w:rsid w:val="00C218CA"/>
    <w:rsid w:val="00C21BD0"/>
    <w:rsid w:val="00C21F24"/>
    <w:rsid w:val="00C22144"/>
    <w:rsid w:val="00C22670"/>
    <w:rsid w:val="00C22727"/>
    <w:rsid w:val="00C22850"/>
    <w:rsid w:val="00C22A5A"/>
    <w:rsid w:val="00C22AB5"/>
    <w:rsid w:val="00C22DDC"/>
    <w:rsid w:val="00C22DFE"/>
    <w:rsid w:val="00C22E3D"/>
    <w:rsid w:val="00C22EB9"/>
    <w:rsid w:val="00C22F3F"/>
    <w:rsid w:val="00C22FAA"/>
    <w:rsid w:val="00C23170"/>
    <w:rsid w:val="00C23222"/>
    <w:rsid w:val="00C23277"/>
    <w:rsid w:val="00C2344D"/>
    <w:rsid w:val="00C23480"/>
    <w:rsid w:val="00C235EB"/>
    <w:rsid w:val="00C2374F"/>
    <w:rsid w:val="00C23B42"/>
    <w:rsid w:val="00C23D90"/>
    <w:rsid w:val="00C23DFD"/>
    <w:rsid w:val="00C2424C"/>
    <w:rsid w:val="00C24296"/>
    <w:rsid w:val="00C24730"/>
    <w:rsid w:val="00C24AA3"/>
    <w:rsid w:val="00C24C0A"/>
    <w:rsid w:val="00C2502A"/>
    <w:rsid w:val="00C256D5"/>
    <w:rsid w:val="00C25818"/>
    <w:rsid w:val="00C2587E"/>
    <w:rsid w:val="00C25B35"/>
    <w:rsid w:val="00C25BD5"/>
    <w:rsid w:val="00C2605D"/>
    <w:rsid w:val="00C260F0"/>
    <w:rsid w:val="00C2610D"/>
    <w:rsid w:val="00C2612A"/>
    <w:rsid w:val="00C26136"/>
    <w:rsid w:val="00C26385"/>
    <w:rsid w:val="00C267FB"/>
    <w:rsid w:val="00C26AE7"/>
    <w:rsid w:val="00C26CCB"/>
    <w:rsid w:val="00C2719D"/>
    <w:rsid w:val="00C27581"/>
    <w:rsid w:val="00C27790"/>
    <w:rsid w:val="00C2797D"/>
    <w:rsid w:val="00C27A26"/>
    <w:rsid w:val="00C27BF3"/>
    <w:rsid w:val="00C27D5C"/>
    <w:rsid w:val="00C27EA8"/>
    <w:rsid w:val="00C30003"/>
    <w:rsid w:val="00C3023F"/>
    <w:rsid w:val="00C3025C"/>
    <w:rsid w:val="00C3033F"/>
    <w:rsid w:val="00C303F7"/>
    <w:rsid w:val="00C3041E"/>
    <w:rsid w:val="00C30618"/>
    <w:rsid w:val="00C30868"/>
    <w:rsid w:val="00C308B5"/>
    <w:rsid w:val="00C30B58"/>
    <w:rsid w:val="00C30BD7"/>
    <w:rsid w:val="00C31217"/>
    <w:rsid w:val="00C31242"/>
    <w:rsid w:val="00C31541"/>
    <w:rsid w:val="00C3155A"/>
    <w:rsid w:val="00C31654"/>
    <w:rsid w:val="00C31671"/>
    <w:rsid w:val="00C31AF4"/>
    <w:rsid w:val="00C31B38"/>
    <w:rsid w:val="00C31CBA"/>
    <w:rsid w:val="00C31E75"/>
    <w:rsid w:val="00C31E86"/>
    <w:rsid w:val="00C31FAA"/>
    <w:rsid w:val="00C31FAC"/>
    <w:rsid w:val="00C32283"/>
    <w:rsid w:val="00C32426"/>
    <w:rsid w:val="00C3257D"/>
    <w:rsid w:val="00C32627"/>
    <w:rsid w:val="00C3278E"/>
    <w:rsid w:val="00C32EA3"/>
    <w:rsid w:val="00C32FE8"/>
    <w:rsid w:val="00C33312"/>
    <w:rsid w:val="00C333AF"/>
    <w:rsid w:val="00C3346F"/>
    <w:rsid w:val="00C334F4"/>
    <w:rsid w:val="00C33835"/>
    <w:rsid w:val="00C33874"/>
    <w:rsid w:val="00C33969"/>
    <w:rsid w:val="00C33AA3"/>
    <w:rsid w:val="00C33ABC"/>
    <w:rsid w:val="00C33C5D"/>
    <w:rsid w:val="00C33E3E"/>
    <w:rsid w:val="00C33E6F"/>
    <w:rsid w:val="00C34065"/>
    <w:rsid w:val="00C3409F"/>
    <w:rsid w:val="00C34353"/>
    <w:rsid w:val="00C3472E"/>
    <w:rsid w:val="00C347FD"/>
    <w:rsid w:val="00C3482B"/>
    <w:rsid w:val="00C34835"/>
    <w:rsid w:val="00C34A2E"/>
    <w:rsid w:val="00C34B21"/>
    <w:rsid w:val="00C34B86"/>
    <w:rsid w:val="00C34BE8"/>
    <w:rsid w:val="00C34E7C"/>
    <w:rsid w:val="00C34FA5"/>
    <w:rsid w:val="00C350DB"/>
    <w:rsid w:val="00C35119"/>
    <w:rsid w:val="00C352EE"/>
    <w:rsid w:val="00C3558D"/>
    <w:rsid w:val="00C3574E"/>
    <w:rsid w:val="00C357DA"/>
    <w:rsid w:val="00C359B3"/>
    <w:rsid w:val="00C35F66"/>
    <w:rsid w:val="00C35FF1"/>
    <w:rsid w:val="00C36054"/>
    <w:rsid w:val="00C361D6"/>
    <w:rsid w:val="00C36434"/>
    <w:rsid w:val="00C36D3D"/>
    <w:rsid w:val="00C37324"/>
    <w:rsid w:val="00C37415"/>
    <w:rsid w:val="00C37B6E"/>
    <w:rsid w:val="00C37CE0"/>
    <w:rsid w:val="00C40134"/>
    <w:rsid w:val="00C4024E"/>
    <w:rsid w:val="00C40375"/>
    <w:rsid w:val="00C4056A"/>
    <w:rsid w:val="00C406F2"/>
    <w:rsid w:val="00C40767"/>
    <w:rsid w:val="00C40853"/>
    <w:rsid w:val="00C40BDD"/>
    <w:rsid w:val="00C40BF1"/>
    <w:rsid w:val="00C40BF4"/>
    <w:rsid w:val="00C40D55"/>
    <w:rsid w:val="00C40D5C"/>
    <w:rsid w:val="00C40E6D"/>
    <w:rsid w:val="00C4106C"/>
    <w:rsid w:val="00C410B8"/>
    <w:rsid w:val="00C411A2"/>
    <w:rsid w:val="00C4146B"/>
    <w:rsid w:val="00C41608"/>
    <w:rsid w:val="00C417C4"/>
    <w:rsid w:val="00C4196E"/>
    <w:rsid w:val="00C41A6E"/>
    <w:rsid w:val="00C41F15"/>
    <w:rsid w:val="00C41F54"/>
    <w:rsid w:val="00C421ED"/>
    <w:rsid w:val="00C42229"/>
    <w:rsid w:val="00C42390"/>
    <w:rsid w:val="00C423AF"/>
    <w:rsid w:val="00C4258D"/>
    <w:rsid w:val="00C425C5"/>
    <w:rsid w:val="00C4272B"/>
    <w:rsid w:val="00C4285B"/>
    <w:rsid w:val="00C42984"/>
    <w:rsid w:val="00C42CF4"/>
    <w:rsid w:val="00C42D79"/>
    <w:rsid w:val="00C42DAB"/>
    <w:rsid w:val="00C42DD4"/>
    <w:rsid w:val="00C42F0A"/>
    <w:rsid w:val="00C42FE3"/>
    <w:rsid w:val="00C43054"/>
    <w:rsid w:val="00C435FC"/>
    <w:rsid w:val="00C4391A"/>
    <w:rsid w:val="00C43947"/>
    <w:rsid w:val="00C43E5E"/>
    <w:rsid w:val="00C44040"/>
    <w:rsid w:val="00C440C2"/>
    <w:rsid w:val="00C44313"/>
    <w:rsid w:val="00C44348"/>
    <w:rsid w:val="00C4439B"/>
    <w:rsid w:val="00C44472"/>
    <w:rsid w:val="00C44736"/>
    <w:rsid w:val="00C45087"/>
    <w:rsid w:val="00C450E8"/>
    <w:rsid w:val="00C45266"/>
    <w:rsid w:val="00C452E4"/>
    <w:rsid w:val="00C45852"/>
    <w:rsid w:val="00C45A5C"/>
    <w:rsid w:val="00C45D1A"/>
    <w:rsid w:val="00C45D84"/>
    <w:rsid w:val="00C45E29"/>
    <w:rsid w:val="00C46224"/>
    <w:rsid w:val="00C46629"/>
    <w:rsid w:val="00C466EA"/>
    <w:rsid w:val="00C46904"/>
    <w:rsid w:val="00C46BE0"/>
    <w:rsid w:val="00C46E73"/>
    <w:rsid w:val="00C46FB8"/>
    <w:rsid w:val="00C47101"/>
    <w:rsid w:val="00C475D7"/>
    <w:rsid w:val="00C47607"/>
    <w:rsid w:val="00C476D9"/>
    <w:rsid w:val="00C477FD"/>
    <w:rsid w:val="00C478B7"/>
    <w:rsid w:val="00C47A3B"/>
    <w:rsid w:val="00C47AEF"/>
    <w:rsid w:val="00C47D59"/>
    <w:rsid w:val="00C47DFD"/>
    <w:rsid w:val="00C47E78"/>
    <w:rsid w:val="00C5067E"/>
    <w:rsid w:val="00C5091B"/>
    <w:rsid w:val="00C50AFB"/>
    <w:rsid w:val="00C51059"/>
    <w:rsid w:val="00C513BA"/>
    <w:rsid w:val="00C514E8"/>
    <w:rsid w:val="00C5161A"/>
    <w:rsid w:val="00C516E5"/>
    <w:rsid w:val="00C519D8"/>
    <w:rsid w:val="00C51D74"/>
    <w:rsid w:val="00C5224F"/>
    <w:rsid w:val="00C52E63"/>
    <w:rsid w:val="00C530D4"/>
    <w:rsid w:val="00C532E5"/>
    <w:rsid w:val="00C53311"/>
    <w:rsid w:val="00C53371"/>
    <w:rsid w:val="00C533CD"/>
    <w:rsid w:val="00C537D8"/>
    <w:rsid w:val="00C538AE"/>
    <w:rsid w:val="00C53926"/>
    <w:rsid w:val="00C53BBC"/>
    <w:rsid w:val="00C53E77"/>
    <w:rsid w:val="00C54014"/>
    <w:rsid w:val="00C54084"/>
    <w:rsid w:val="00C540D0"/>
    <w:rsid w:val="00C542E4"/>
    <w:rsid w:val="00C5440F"/>
    <w:rsid w:val="00C546B8"/>
    <w:rsid w:val="00C547D1"/>
    <w:rsid w:val="00C54B4A"/>
    <w:rsid w:val="00C54CDE"/>
    <w:rsid w:val="00C54F27"/>
    <w:rsid w:val="00C54F44"/>
    <w:rsid w:val="00C5501C"/>
    <w:rsid w:val="00C5505C"/>
    <w:rsid w:val="00C554A1"/>
    <w:rsid w:val="00C554CB"/>
    <w:rsid w:val="00C55545"/>
    <w:rsid w:val="00C555FE"/>
    <w:rsid w:val="00C55870"/>
    <w:rsid w:val="00C558C7"/>
    <w:rsid w:val="00C55ACE"/>
    <w:rsid w:val="00C55E97"/>
    <w:rsid w:val="00C5601E"/>
    <w:rsid w:val="00C56374"/>
    <w:rsid w:val="00C56552"/>
    <w:rsid w:val="00C5655B"/>
    <w:rsid w:val="00C565FA"/>
    <w:rsid w:val="00C56B85"/>
    <w:rsid w:val="00C56FA0"/>
    <w:rsid w:val="00C571E7"/>
    <w:rsid w:val="00C57483"/>
    <w:rsid w:val="00C576CE"/>
    <w:rsid w:val="00C577EB"/>
    <w:rsid w:val="00C57812"/>
    <w:rsid w:val="00C578CF"/>
    <w:rsid w:val="00C57B1A"/>
    <w:rsid w:val="00C57B63"/>
    <w:rsid w:val="00C57DD7"/>
    <w:rsid w:val="00C57EC5"/>
    <w:rsid w:val="00C60321"/>
    <w:rsid w:val="00C605D6"/>
    <w:rsid w:val="00C606D7"/>
    <w:rsid w:val="00C60CC2"/>
    <w:rsid w:val="00C60D6A"/>
    <w:rsid w:val="00C60F9F"/>
    <w:rsid w:val="00C6116E"/>
    <w:rsid w:val="00C611CF"/>
    <w:rsid w:val="00C6153A"/>
    <w:rsid w:val="00C618E6"/>
    <w:rsid w:val="00C61AA4"/>
    <w:rsid w:val="00C61E11"/>
    <w:rsid w:val="00C61E31"/>
    <w:rsid w:val="00C61EBD"/>
    <w:rsid w:val="00C61EE5"/>
    <w:rsid w:val="00C61EFC"/>
    <w:rsid w:val="00C61F97"/>
    <w:rsid w:val="00C62159"/>
    <w:rsid w:val="00C6239A"/>
    <w:rsid w:val="00C623B7"/>
    <w:rsid w:val="00C6278D"/>
    <w:rsid w:val="00C62944"/>
    <w:rsid w:val="00C62996"/>
    <w:rsid w:val="00C62AE5"/>
    <w:rsid w:val="00C62D26"/>
    <w:rsid w:val="00C62F29"/>
    <w:rsid w:val="00C62F77"/>
    <w:rsid w:val="00C6327F"/>
    <w:rsid w:val="00C632D5"/>
    <w:rsid w:val="00C632ED"/>
    <w:rsid w:val="00C63404"/>
    <w:rsid w:val="00C634E0"/>
    <w:rsid w:val="00C636F7"/>
    <w:rsid w:val="00C63B32"/>
    <w:rsid w:val="00C63C90"/>
    <w:rsid w:val="00C63CA3"/>
    <w:rsid w:val="00C63EA3"/>
    <w:rsid w:val="00C63F8B"/>
    <w:rsid w:val="00C6412A"/>
    <w:rsid w:val="00C641A2"/>
    <w:rsid w:val="00C641BB"/>
    <w:rsid w:val="00C64295"/>
    <w:rsid w:val="00C64428"/>
    <w:rsid w:val="00C645EF"/>
    <w:rsid w:val="00C64854"/>
    <w:rsid w:val="00C648DA"/>
    <w:rsid w:val="00C64967"/>
    <w:rsid w:val="00C64B48"/>
    <w:rsid w:val="00C64CE7"/>
    <w:rsid w:val="00C64EE2"/>
    <w:rsid w:val="00C64EF1"/>
    <w:rsid w:val="00C65257"/>
    <w:rsid w:val="00C653BB"/>
    <w:rsid w:val="00C65591"/>
    <w:rsid w:val="00C65596"/>
    <w:rsid w:val="00C65796"/>
    <w:rsid w:val="00C657AD"/>
    <w:rsid w:val="00C65881"/>
    <w:rsid w:val="00C65926"/>
    <w:rsid w:val="00C65960"/>
    <w:rsid w:val="00C6645F"/>
    <w:rsid w:val="00C6663C"/>
    <w:rsid w:val="00C66774"/>
    <w:rsid w:val="00C66BEA"/>
    <w:rsid w:val="00C66E72"/>
    <w:rsid w:val="00C6701F"/>
    <w:rsid w:val="00C671B8"/>
    <w:rsid w:val="00C67209"/>
    <w:rsid w:val="00C672BE"/>
    <w:rsid w:val="00C6732E"/>
    <w:rsid w:val="00C6774A"/>
    <w:rsid w:val="00C67879"/>
    <w:rsid w:val="00C67BCC"/>
    <w:rsid w:val="00C67E55"/>
    <w:rsid w:val="00C700E1"/>
    <w:rsid w:val="00C7040D"/>
    <w:rsid w:val="00C704C1"/>
    <w:rsid w:val="00C70C03"/>
    <w:rsid w:val="00C70C6D"/>
    <w:rsid w:val="00C70D13"/>
    <w:rsid w:val="00C70E35"/>
    <w:rsid w:val="00C7107E"/>
    <w:rsid w:val="00C710AF"/>
    <w:rsid w:val="00C7128D"/>
    <w:rsid w:val="00C71905"/>
    <w:rsid w:val="00C71C03"/>
    <w:rsid w:val="00C71C60"/>
    <w:rsid w:val="00C721FF"/>
    <w:rsid w:val="00C724BF"/>
    <w:rsid w:val="00C724C4"/>
    <w:rsid w:val="00C72580"/>
    <w:rsid w:val="00C7267E"/>
    <w:rsid w:val="00C72927"/>
    <w:rsid w:val="00C72AC8"/>
    <w:rsid w:val="00C72EC5"/>
    <w:rsid w:val="00C72F04"/>
    <w:rsid w:val="00C730AE"/>
    <w:rsid w:val="00C73301"/>
    <w:rsid w:val="00C734F8"/>
    <w:rsid w:val="00C735A4"/>
    <w:rsid w:val="00C735F1"/>
    <w:rsid w:val="00C73702"/>
    <w:rsid w:val="00C73756"/>
    <w:rsid w:val="00C73B2B"/>
    <w:rsid w:val="00C73B97"/>
    <w:rsid w:val="00C73EDC"/>
    <w:rsid w:val="00C73FB2"/>
    <w:rsid w:val="00C74095"/>
    <w:rsid w:val="00C740AC"/>
    <w:rsid w:val="00C740B3"/>
    <w:rsid w:val="00C740BE"/>
    <w:rsid w:val="00C741AB"/>
    <w:rsid w:val="00C741DF"/>
    <w:rsid w:val="00C7426D"/>
    <w:rsid w:val="00C7446C"/>
    <w:rsid w:val="00C74645"/>
    <w:rsid w:val="00C74673"/>
    <w:rsid w:val="00C74766"/>
    <w:rsid w:val="00C748D6"/>
    <w:rsid w:val="00C74A51"/>
    <w:rsid w:val="00C74D4D"/>
    <w:rsid w:val="00C74F39"/>
    <w:rsid w:val="00C75040"/>
    <w:rsid w:val="00C75084"/>
    <w:rsid w:val="00C75634"/>
    <w:rsid w:val="00C7577A"/>
    <w:rsid w:val="00C75871"/>
    <w:rsid w:val="00C75889"/>
    <w:rsid w:val="00C75980"/>
    <w:rsid w:val="00C76161"/>
    <w:rsid w:val="00C76267"/>
    <w:rsid w:val="00C7649B"/>
    <w:rsid w:val="00C765C3"/>
    <w:rsid w:val="00C765E1"/>
    <w:rsid w:val="00C7691D"/>
    <w:rsid w:val="00C76B23"/>
    <w:rsid w:val="00C76CED"/>
    <w:rsid w:val="00C77038"/>
    <w:rsid w:val="00C7744E"/>
    <w:rsid w:val="00C7757A"/>
    <w:rsid w:val="00C777B7"/>
    <w:rsid w:val="00C77D83"/>
    <w:rsid w:val="00C77EE0"/>
    <w:rsid w:val="00C80291"/>
    <w:rsid w:val="00C802E3"/>
    <w:rsid w:val="00C80404"/>
    <w:rsid w:val="00C80580"/>
    <w:rsid w:val="00C80B0A"/>
    <w:rsid w:val="00C80B90"/>
    <w:rsid w:val="00C80BBF"/>
    <w:rsid w:val="00C80D49"/>
    <w:rsid w:val="00C80E4C"/>
    <w:rsid w:val="00C810D6"/>
    <w:rsid w:val="00C810E5"/>
    <w:rsid w:val="00C8111F"/>
    <w:rsid w:val="00C81462"/>
    <w:rsid w:val="00C81495"/>
    <w:rsid w:val="00C8163C"/>
    <w:rsid w:val="00C818BC"/>
    <w:rsid w:val="00C818BD"/>
    <w:rsid w:val="00C81C5C"/>
    <w:rsid w:val="00C81D57"/>
    <w:rsid w:val="00C81FE0"/>
    <w:rsid w:val="00C82062"/>
    <w:rsid w:val="00C820D1"/>
    <w:rsid w:val="00C8271C"/>
    <w:rsid w:val="00C828E5"/>
    <w:rsid w:val="00C82BD3"/>
    <w:rsid w:val="00C82C2F"/>
    <w:rsid w:val="00C82DAF"/>
    <w:rsid w:val="00C82F78"/>
    <w:rsid w:val="00C833D3"/>
    <w:rsid w:val="00C83844"/>
    <w:rsid w:val="00C8391B"/>
    <w:rsid w:val="00C83ADB"/>
    <w:rsid w:val="00C83CC3"/>
    <w:rsid w:val="00C83CE8"/>
    <w:rsid w:val="00C83D0B"/>
    <w:rsid w:val="00C83E02"/>
    <w:rsid w:val="00C83F16"/>
    <w:rsid w:val="00C8413D"/>
    <w:rsid w:val="00C8444D"/>
    <w:rsid w:val="00C846AA"/>
    <w:rsid w:val="00C847B7"/>
    <w:rsid w:val="00C84817"/>
    <w:rsid w:val="00C84A39"/>
    <w:rsid w:val="00C85082"/>
    <w:rsid w:val="00C85230"/>
    <w:rsid w:val="00C8537D"/>
    <w:rsid w:val="00C855E2"/>
    <w:rsid w:val="00C85613"/>
    <w:rsid w:val="00C8564C"/>
    <w:rsid w:val="00C85820"/>
    <w:rsid w:val="00C85C5C"/>
    <w:rsid w:val="00C85E10"/>
    <w:rsid w:val="00C85E24"/>
    <w:rsid w:val="00C85EEF"/>
    <w:rsid w:val="00C85F6B"/>
    <w:rsid w:val="00C85FA6"/>
    <w:rsid w:val="00C860BC"/>
    <w:rsid w:val="00C861B4"/>
    <w:rsid w:val="00C8620F"/>
    <w:rsid w:val="00C8650A"/>
    <w:rsid w:val="00C8669F"/>
    <w:rsid w:val="00C86758"/>
    <w:rsid w:val="00C86777"/>
    <w:rsid w:val="00C869B2"/>
    <w:rsid w:val="00C86C82"/>
    <w:rsid w:val="00C86FE4"/>
    <w:rsid w:val="00C87030"/>
    <w:rsid w:val="00C871AF"/>
    <w:rsid w:val="00C872A9"/>
    <w:rsid w:val="00C872BC"/>
    <w:rsid w:val="00C872FB"/>
    <w:rsid w:val="00C873D8"/>
    <w:rsid w:val="00C87612"/>
    <w:rsid w:val="00C87843"/>
    <w:rsid w:val="00C87873"/>
    <w:rsid w:val="00C87A94"/>
    <w:rsid w:val="00C87BD1"/>
    <w:rsid w:val="00C87E16"/>
    <w:rsid w:val="00C87E39"/>
    <w:rsid w:val="00C87EE5"/>
    <w:rsid w:val="00C87FE6"/>
    <w:rsid w:val="00C9018D"/>
    <w:rsid w:val="00C90192"/>
    <w:rsid w:val="00C902B3"/>
    <w:rsid w:val="00C90444"/>
    <w:rsid w:val="00C9061B"/>
    <w:rsid w:val="00C907E9"/>
    <w:rsid w:val="00C9096C"/>
    <w:rsid w:val="00C909D4"/>
    <w:rsid w:val="00C90A3D"/>
    <w:rsid w:val="00C90AA3"/>
    <w:rsid w:val="00C90BFA"/>
    <w:rsid w:val="00C90CB0"/>
    <w:rsid w:val="00C90D35"/>
    <w:rsid w:val="00C90E7E"/>
    <w:rsid w:val="00C910ED"/>
    <w:rsid w:val="00C913D6"/>
    <w:rsid w:val="00C914E9"/>
    <w:rsid w:val="00C915E1"/>
    <w:rsid w:val="00C9164B"/>
    <w:rsid w:val="00C91683"/>
    <w:rsid w:val="00C9173B"/>
    <w:rsid w:val="00C9181A"/>
    <w:rsid w:val="00C9199B"/>
    <w:rsid w:val="00C91A15"/>
    <w:rsid w:val="00C91CEC"/>
    <w:rsid w:val="00C91DE8"/>
    <w:rsid w:val="00C91E0B"/>
    <w:rsid w:val="00C91FF1"/>
    <w:rsid w:val="00C920AB"/>
    <w:rsid w:val="00C921E8"/>
    <w:rsid w:val="00C9229A"/>
    <w:rsid w:val="00C92756"/>
    <w:rsid w:val="00C927B4"/>
    <w:rsid w:val="00C928B4"/>
    <w:rsid w:val="00C92938"/>
    <w:rsid w:val="00C92AD8"/>
    <w:rsid w:val="00C92B5A"/>
    <w:rsid w:val="00C92E1E"/>
    <w:rsid w:val="00C92F50"/>
    <w:rsid w:val="00C92FAD"/>
    <w:rsid w:val="00C93510"/>
    <w:rsid w:val="00C9375E"/>
    <w:rsid w:val="00C93767"/>
    <w:rsid w:val="00C93768"/>
    <w:rsid w:val="00C9391A"/>
    <w:rsid w:val="00C939DD"/>
    <w:rsid w:val="00C93A60"/>
    <w:rsid w:val="00C93C3F"/>
    <w:rsid w:val="00C93D33"/>
    <w:rsid w:val="00C93D48"/>
    <w:rsid w:val="00C93DC5"/>
    <w:rsid w:val="00C93F14"/>
    <w:rsid w:val="00C9410D"/>
    <w:rsid w:val="00C944DC"/>
    <w:rsid w:val="00C94636"/>
    <w:rsid w:val="00C9497E"/>
    <w:rsid w:val="00C94D67"/>
    <w:rsid w:val="00C94DA2"/>
    <w:rsid w:val="00C94DB8"/>
    <w:rsid w:val="00C94ED1"/>
    <w:rsid w:val="00C9501A"/>
    <w:rsid w:val="00C95097"/>
    <w:rsid w:val="00C950F3"/>
    <w:rsid w:val="00C95163"/>
    <w:rsid w:val="00C951A0"/>
    <w:rsid w:val="00C953C0"/>
    <w:rsid w:val="00C953C2"/>
    <w:rsid w:val="00C9548E"/>
    <w:rsid w:val="00C955BF"/>
    <w:rsid w:val="00C9565B"/>
    <w:rsid w:val="00C95678"/>
    <w:rsid w:val="00C957B2"/>
    <w:rsid w:val="00C95BCA"/>
    <w:rsid w:val="00C95D62"/>
    <w:rsid w:val="00C95DB9"/>
    <w:rsid w:val="00C95ECE"/>
    <w:rsid w:val="00C95F2B"/>
    <w:rsid w:val="00C962BB"/>
    <w:rsid w:val="00C96359"/>
    <w:rsid w:val="00C96AA0"/>
    <w:rsid w:val="00C96E0C"/>
    <w:rsid w:val="00C96E5D"/>
    <w:rsid w:val="00C96F38"/>
    <w:rsid w:val="00C96F94"/>
    <w:rsid w:val="00C97037"/>
    <w:rsid w:val="00C97126"/>
    <w:rsid w:val="00C97145"/>
    <w:rsid w:val="00C97268"/>
    <w:rsid w:val="00C9731F"/>
    <w:rsid w:val="00C974E3"/>
    <w:rsid w:val="00C9767D"/>
    <w:rsid w:val="00C97812"/>
    <w:rsid w:val="00C978B5"/>
    <w:rsid w:val="00C97B92"/>
    <w:rsid w:val="00C97BC3"/>
    <w:rsid w:val="00C97BFF"/>
    <w:rsid w:val="00C97D73"/>
    <w:rsid w:val="00C97FBC"/>
    <w:rsid w:val="00CA017C"/>
    <w:rsid w:val="00CA01FB"/>
    <w:rsid w:val="00CA042A"/>
    <w:rsid w:val="00CA069B"/>
    <w:rsid w:val="00CA06BE"/>
    <w:rsid w:val="00CA0713"/>
    <w:rsid w:val="00CA0768"/>
    <w:rsid w:val="00CA0B27"/>
    <w:rsid w:val="00CA0DC3"/>
    <w:rsid w:val="00CA1009"/>
    <w:rsid w:val="00CA13BB"/>
    <w:rsid w:val="00CA13F1"/>
    <w:rsid w:val="00CA14E9"/>
    <w:rsid w:val="00CA1611"/>
    <w:rsid w:val="00CA163F"/>
    <w:rsid w:val="00CA17E1"/>
    <w:rsid w:val="00CA188C"/>
    <w:rsid w:val="00CA1A71"/>
    <w:rsid w:val="00CA1C4D"/>
    <w:rsid w:val="00CA1F17"/>
    <w:rsid w:val="00CA1FEC"/>
    <w:rsid w:val="00CA208E"/>
    <w:rsid w:val="00CA217E"/>
    <w:rsid w:val="00CA223C"/>
    <w:rsid w:val="00CA2441"/>
    <w:rsid w:val="00CA2554"/>
    <w:rsid w:val="00CA26D2"/>
    <w:rsid w:val="00CA2F70"/>
    <w:rsid w:val="00CA3052"/>
    <w:rsid w:val="00CA322B"/>
    <w:rsid w:val="00CA367D"/>
    <w:rsid w:val="00CA368F"/>
    <w:rsid w:val="00CA3782"/>
    <w:rsid w:val="00CA3BD0"/>
    <w:rsid w:val="00CA3CCD"/>
    <w:rsid w:val="00CA3DEF"/>
    <w:rsid w:val="00CA40D5"/>
    <w:rsid w:val="00CA430E"/>
    <w:rsid w:val="00CA4321"/>
    <w:rsid w:val="00CA450D"/>
    <w:rsid w:val="00CA461C"/>
    <w:rsid w:val="00CA48A1"/>
    <w:rsid w:val="00CA49E2"/>
    <w:rsid w:val="00CA49E7"/>
    <w:rsid w:val="00CA4A06"/>
    <w:rsid w:val="00CA4B42"/>
    <w:rsid w:val="00CA4BC0"/>
    <w:rsid w:val="00CA4DA1"/>
    <w:rsid w:val="00CA4E53"/>
    <w:rsid w:val="00CA4ED7"/>
    <w:rsid w:val="00CA4F48"/>
    <w:rsid w:val="00CA4FAF"/>
    <w:rsid w:val="00CA521C"/>
    <w:rsid w:val="00CA540A"/>
    <w:rsid w:val="00CA545E"/>
    <w:rsid w:val="00CA54E1"/>
    <w:rsid w:val="00CA54E3"/>
    <w:rsid w:val="00CA56BD"/>
    <w:rsid w:val="00CA5B0D"/>
    <w:rsid w:val="00CA5DCE"/>
    <w:rsid w:val="00CA5E82"/>
    <w:rsid w:val="00CA5F5A"/>
    <w:rsid w:val="00CA5F7B"/>
    <w:rsid w:val="00CA6278"/>
    <w:rsid w:val="00CA62CD"/>
    <w:rsid w:val="00CA6693"/>
    <w:rsid w:val="00CA6A49"/>
    <w:rsid w:val="00CA6C90"/>
    <w:rsid w:val="00CA7050"/>
    <w:rsid w:val="00CA7322"/>
    <w:rsid w:val="00CA7952"/>
    <w:rsid w:val="00CA7A36"/>
    <w:rsid w:val="00CA7C8F"/>
    <w:rsid w:val="00CA7DD5"/>
    <w:rsid w:val="00CA7DF4"/>
    <w:rsid w:val="00CB015B"/>
    <w:rsid w:val="00CB03C1"/>
    <w:rsid w:val="00CB042D"/>
    <w:rsid w:val="00CB087A"/>
    <w:rsid w:val="00CB09F0"/>
    <w:rsid w:val="00CB0A61"/>
    <w:rsid w:val="00CB0C37"/>
    <w:rsid w:val="00CB0E8F"/>
    <w:rsid w:val="00CB0F20"/>
    <w:rsid w:val="00CB0FBB"/>
    <w:rsid w:val="00CB116F"/>
    <w:rsid w:val="00CB1914"/>
    <w:rsid w:val="00CB1CBD"/>
    <w:rsid w:val="00CB1CDD"/>
    <w:rsid w:val="00CB1CFC"/>
    <w:rsid w:val="00CB205C"/>
    <w:rsid w:val="00CB2089"/>
    <w:rsid w:val="00CB2160"/>
    <w:rsid w:val="00CB227A"/>
    <w:rsid w:val="00CB23FD"/>
    <w:rsid w:val="00CB245A"/>
    <w:rsid w:val="00CB29EE"/>
    <w:rsid w:val="00CB2A9A"/>
    <w:rsid w:val="00CB314E"/>
    <w:rsid w:val="00CB33C9"/>
    <w:rsid w:val="00CB345D"/>
    <w:rsid w:val="00CB35E3"/>
    <w:rsid w:val="00CB3BCD"/>
    <w:rsid w:val="00CB3CE6"/>
    <w:rsid w:val="00CB41F0"/>
    <w:rsid w:val="00CB42A1"/>
    <w:rsid w:val="00CB4325"/>
    <w:rsid w:val="00CB433C"/>
    <w:rsid w:val="00CB434E"/>
    <w:rsid w:val="00CB442D"/>
    <w:rsid w:val="00CB463C"/>
    <w:rsid w:val="00CB4692"/>
    <w:rsid w:val="00CB47A1"/>
    <w:rsid w:val="00CB489C"/>
    <w:rsid w:val="00CB497F"/>
    <w:rsid w:val="00CB4CE2"/>
    <w:rsid w:val="00CB4D70"/>
    <w:rsid w:val="00CB4E1E"/>
    <w:rsid w:val="00CB5598"/>
    <w:rsid w:val="00CB5793"/>
    <w:rsid w:val="00CB5A50"/>
    <w:rsid w:val="00CB5A90"/>
    <w:rsid w:val="00CB5C3B"/>
    <w:rsid w:val="00CB5CFD"/>
    <w:rsid w:val="00CB5DB5"/>
    <w:rsid w:val="00CB5FD3"/>
    <w:rsid w:val="00CB6028"/>
    <w:rsid w:val="00CB60E3"/>
    <w:rsid w:val="00CB657B"/>
    <w:rsid w:val="00CB6586"/>
    <w:rsid w:val="00CB6627"/>
    <w:rsid w:val="00CB67AE"/>
    <w:rsid w:val="00CB681C"/>
    <w:rsid w:val="00CB6A27"/>
    <w:rsid w:val="00CB6B31"/>
    <w:rsid w:val="00CB6CBB"/>
    <w:rsid w:val="00CB6DBD"/>
    <w:rsid w:val="00CB6F28"/>
    <w:rsid w:val="00CB70D4"/>
    <w:rsid w:val="00CB7139"/>
    <w:rsid w:val="00CB71E9"/>
    <w:rsid w:val="00CB722D"/>
    <w:rsid w:val="00CB7281"/>
    <w:rsid w:val="00CB74BB"/>
    <w:rsid w:val="00CB74FA"/>
    <w:rsid w:val="00CB7570"/>
    <w:rsid w:val="00CB7599"/>
    <w:rsid w:val="00CB7630"/>
    <w:rsid w:val="00CB7764"/>
    <w:rsid w:val="00CB79C0"/>
    <w:rsid w:val="00CB7AFB"/>
    <w:rsid w:val="00CB7EB9"/>
    <w:rsid w:val="00CC008A"/>
    <w:rsid w:val="00CC00D1"/>
    <w:rsid w:val="00CC038F"/>
    <w:rsid w:val="00CC0413"/>
    <w:rsid w:val="00CC059A"/>
    <w:rsid w:val="00CC05D8"/>
    <w:rsid w:val="00CC070C"/>
    <w:rsid w:val="00CC0770"/>
    <w:rsid w:val="00CC07FA"/>
    <w:rsid w:val="00CC091E"/>
    <w:rsid w:val="00CC0A6A"/>
    <w:rsid w:val="00CC0D10"/>
    <w:rsid w:val="00CC1378"/>
    <w:rsid w:val="00CC145E"/>
    <w:rsid w:val="00CC1512"/>
    <w:rsid w:val="00CC15D8"/>
    <w:rsid w:val="00CC15F0"/>
    <w:rsid w:val="00CC1E40"/>
    <w:rsid w:val="00CC1F17"/>
    <w:rsid w:val="00CC2756"/>
    <w:rsid w:val="00CC2875"/>
    <w:rsid w:val="00CC2966"/>
    <w:rsid w:val="00CC2CA3"/>
    <w:rsid w:val="00CC2F13"/>
    <w:rsid w:val="00CC2F1E"/>
    <w:rsid w:val="00CC3043"/>
    <w:rsid w:val="00CC3063"/>
    <w:rsid w:val="00CC30DA"/>
    <w:rsid w:val="00CC311B"/>
    <w:rsid w:val="00CC3249"/>
    <w:rsid w:val="00CC335F"/>
    <w:rsid w:val="00CC3523"/>
    <w:rsid w:val="00CC363E"/>
    <w:rsid w:val="00CC3757"/>
    <w:rsid w:val="00CC3854"/>
    <w:rsid w:val="00CC3900"/>
    <w:rsid w:val="00CC3A46"/>
    <w:rsid w:val="00CC3CB0"/>
    <w:rsid w:val="00CC4198"/>
    <w:rsid w:val="00CC4255"/>
    <w:rsid w:val="00CC43F2"/>
    <w:rsid w:val="00CC4562"/>
    <w:rsid w:val="00CC45FD"/>
    <w:rsid w:val="00CC4647"/>
    <w:rsid w:val="00CC4954"/>
    <w:rsid w:val="00CC4D3E"/>
    <w:rsid w:val="00CC5065"/>
    <w:rsid w:val="00CC51B0"/>
    <w:rsid w:val="00CC5254"/>
    <w:rsid w:val="00CC5399"/>
    <w:rsid w:val="00CC553A"/>
    <w:rsid w:val="00CC55B5"/>
    <w:rsid w:val="00CC55F8"/>
    <w:rsid w:val="00CC5602"/>
    <w:rsid w:val="00CC5E54"/>
    <w:rsid w:val="00CC5E71"/>
    <w:rsid w:val="00CC5F0B"/>
    <w:rsid w:val="00CC6118"/>
    <w:rsid w:val="00CC62FC"/>
    <w:rsid w:val="00CC64A8"/>
    <w:rsid w:val="00CC672B"/>
    <w:rsid w:val="00CC6741"/>
    <w:rsid w:val="00CC674E"/>
    <w:rsid w:val="00CC6828"/>
    <w:rsid w:val="00CC6A2F"/>
    <w:rsid w:val="00CC6BC9"/>
    <w:rsid w:val="00CC6C3B"/>
    <w:rsid w:val="00CC73DA"/>
    <w:rsid w:val="00CC76DD"/>
    <w:rsid w:val="00CC7A7D"/>
    <w:rsid w:val="00CC7AED"/>
    <w:rsid w:val="00CC7FDE"/>
    <w:rsid w:val="00CD0027"/>
    <w:rsid w:val="00CD005F"/>
    <w:rsid w:val="00CD0259"/>
    <w:rsid w:val="00CD02B1"/>
    <w:rsid w:val="00CD02F0"/>
    <w:rsid w:val="00CD05E2"/>
    <w:rsid w:val="00CD05F9"/>
    <w:rsid w:val="00CD06E5"/>
    <w:rsid w:val="00CD0AB6"/>
    <w:rsid w:val="00CD102D"/>
    <w:rsid w:val="00CD1067"/>
    <w:rsid w:val="00CD123A"/>
    <w:rsid w:val="00CD1396"/>
    <w:rsid w:val="00CD14AE"/>
    <w:rsid w:val="00CD1754"/>
    <w:rsid w:val="00CD188D"/>
    <w:rsid w:val="00CD18BE"/>
    <w:rsid w:val="00CD1E5A"/>
    <w:rsid w:val="00CD2056"/>
    <w:rsid w:val="00CD228C"/>
    <w:rsid w:val="00CD2327"/>
    <w:rsid w:val="00CD23FD"/>
    <w:rsid w:val="00CD277E"/>
    <w:rsid w:val="00CD28FC"/>
    <w:rsid w:val="00CD290E"/>
    <w:rsid w:val="00CD2CDA"/>
    <w:rsid w:val="00CD2F2F"/>
    <w:rsid w:val="00CD2F3C"/>
    <w:rsid w:val="00CD3069"/>
    <w:rsid w:val="00CD340F"/>
    <w:rsid w:val="00CD38B6"/>
    <w:rsid w:val="00CD39DC"/>
    <w:rsid w:val="00CD3A7A"/>
    <w:rsid w:val="00CD3AE6"/>
    <w:rsid w:val="00CD3C30"/>
    <w:rsid w:val="00CD3D8E"/>
    <w:rsid w:val="00CD3F57"/>
    <w:rsid w:val="00CD4027"/>
    <w:rsid w:val="00CD4075"/>
    <w:rsid w:val="00CD45FB"/>
    <w:rsid w:val="00CD4751"/>
    <w:rsid w:val="00CD4A6E"/>
    <w:rsid w:val="00CD4E60"/>
    <w:rsid w:val="00CD531F"/>
    <w:rsid w:val="00CD5523"/>
    <w:rsid w:val="00CD555C"/>
    <w:rsid w:val="00CD57A4"/>
    <w:rsid w:val="00CD594A"/>
    <w:rsid w:val="00CD5D5E"/>
    <w:rsid w:val="00CD5E31"/>
    <w:rsid w:val="00CD5EDE"/>
    <w:rsid w:val="00CD5EFD"/>
    <w:rsid w:val="00CD5FF9"/>
    <w:rsid w:val="00CD6002"/>
    <w:rsid w:val="00CD63E0"/>
    <w:rsid w:val="00CD6A2F"/>
    <w:rsid w:val="00CD6A8F"/>
    <w:rsid w:val="00CD6ACB"/>
    <w:rsid w:val="00CD6D70"/>
    <w:rsid w:val="00CD6E94"/>
    <w:rsid w:val="00CD7142"/>
    <w:rsid w:val="00CD73F3"/>
    <w:rsid w:val="00CD7404"/>
    <w:rsid w:val="00CD7457"/>
    <w:rsid w:val="00CD768B"/>
    <w:rsid w:val="00CD772F"/>
    <w:rsid w:val="00CD7774"/>
    <w:rsid w:val="00CD7862"/>
    <w:rsid w:val="00CD7BC8"/>
    <w:rsid w:val="00CD7BE7"/>
    <w:rsid w:val="00CD7ECA"/>
    <w:rsid w:val="00CD7FCA"/>
    <w:rsid w:val="00CE01F9"/>
    <w:rsid w:val="00CE0217"/>
    <w:rsid w:val="00CE0501"/>
    <w:rsid w:val="00CE0533"/>
    <w:rsid w:val="00CE062F"/>
    <w:rsid w:val="00CE063E"/>
    <w:rsid w:val="00CE08B3"/>
    <w:rsid w:val="00CE0A30"/>
    <w:rsid w:val="00CE0A70"/>
    <w:rsid w:val="00CE0AC9"/>
    <w:rsid w:val="00CE0E70"/>
    <w:rsid w:val="00CE112F"/>
    <w:rsid w:val="00CE1187"/>
    <w:rsid w:val="00CE127F"/>
    <w:rsid w:val="00CE12E5"/>
    <w:rsid w:val="00CE12F4"/>
    <w:rsid w:val="00CE13A4"/>
    <w:rsid w:val="00CE174B"/>
    <w:rsid w:val="00CE1949"/>
    <w:rsid w:val="00CE1B57"/>
    <w:rsid w:val="00CE1C59"/>
    <w:rsid w:val="00CE1DFF"/>
    <w:rsid w:val="00CE1F3B"/>
    <w:rsid w:val="00CE21D4"/>
    <w:rsid w:val="00CE22D9"/>
    <w:rsid w:val="00CE239F"/>
    <w:rsid w:val="00CE27D3"/>
    <w:rsid w:val="00CE28D1"/>
    <w:rsid w:val="00CE295B"/>
    <w:rsid w:val="00CE2A6B"/>
    <w:rsid w:val="00CE2B0C"/>
    <w:rsid w:val="00CE2B7D"/>
    <w:rsid w:val="00CE2D13"/>
    <w:rsid w:val="00CE2E4B"/>
    <w:rsid w:val="00CE2E84"/>
    <w:rsid w:val="00CE2E91"/>
    <w:rsid w:val="00CE2F44"/>
    <w:rsid w:val="00CE3003"/>
    <w:rsid w:val="00CE33A6"/>
    <w:rsid w:val="00CE363E"/>
    <w:rsid w:val="00CE376E"/>
    <w:rsid w:val="00CE3D5C"/>
    <w:rsid w:val="00CE3EFE"/>
    <w:rsid w:val="00CE3F51"/>
    <w:rsid w:val="00CE4474"/>
    <w:rsid w:val="00CE44D1"/>
    <w:rsid w:val="00CE46CC"/>
    <w:rsid w:val="00CE47F0"/>
    <w:rsid w:val="00CE4CFB"/>
    <w:rsid w:val="00CE4F5F"/>
    <w:rsid w:val="00CE4FDF"/>
    <w:rsid w:val="00CE5075"/>
    <w:rsid w:val="00CE5176"/>
    <w:rsid w:val="00CE51BF"/>
    <w:rsid w:val="00CE5267"/>
    <w:rsid w:val="00CE54EF"/>
    <w:rsid w:val="00CE55B1"/>
    <w:rsid w:val="00CE55F6"/>
    <w:rsid w:val="00CE5A91"/>
    <w:rsid w:val="00CE5AAF"/>
    <w:rsid w:val="00CE5EA4"/>
    <w:rsid w:val="00CE5EEC"/>
    <w:rsid w:val="00CE6226"/>
    <w:rsid w:val="00CE641E"/>
    <w:rsid w:val="00CE6705"/>
    <w:rsid w:val="00CE683B"/>
    <w:rsid w:val="00CE6928"/>
    <w:rsid w:val="00CE6929"/>
    <w:rsid w:val="00CE6948"/>
    <w:rsid w:val="00CE6A4C"/>
    <w:rsid w:val="00CE6B66"/>
    <w:rsid w:val="00CE6CB8"/>
    <w:rsid w:val="00CE6E1D"/>
    <w:rsid w:val="00CE6FA0"/>
    <w:rsid w:val="00CE75E5"/>
    <w:rsid w:val="00CE75FE"/>
    <w:rsid w:val="00CE76DF"/>
    <w:rsid w:val="00CE78E7"/>
    <w:rsid w:val="00CE796B"/>
    <w:rsid w:val="00CE7A65"/>
    <w:rsid w:val="00CE7BE8"/>
    <w:rsid w:val="00CE7DB5"/>
    <w:rsid w:val="00CF0277"/>
    <w:rsid w:val="00CF0500"/>
    <w:rsid w:val="00CF050D"/>
    <w:rsid w:val="00CF053C"/>
    <w:rsid w:val="00CF0A43"/>
    <w:rsid w:val="00CF0CD5"/>
    <w:rsid w:val="00CF0E4D"/>
    <w:rsid w:val="00CF0F27"/>
    <w:rsid w:val="00CF1077"/>
    <w:rsid w:val="00CF174F"/>
    <w:rsid w:val="00CF1F12"/>
    <w:rsid w:val="00CF1F4C"/>
    <w:rsid w:val="00CF20ED"/>
    <w:rsid w:val="00CF213C"/>
    <w:rsid w:val="00CF2755"/>
    <w:rsid w:val="00CF2928"/>
    <w:rsid w:val="00CF2B61"/>
    <w:rsid w:val="00CF2D09"/>
    <w:rsid w:val="00CF2D4C"/>
    <w:rsid w:val="00CF2F91"/>
    <w:rsid w:val="00CF306A"/>
    <w:rsid w:val="00CF3532"/>
    <w:rsid w:val="00CF3799"/>
    <w:rsid w:val="00CF37E1"/>
    <w:rsid w:val="00CF39E2"/>
    <w:rsid w:val="00CF3A25"/>
    <w:rsid w:val="00CF3AD5"/>
    <w:rsid w:val="00CF3CA1"/>
    <w:rsid w:val="00CF3D24"/>
    <w:rsid w:val="00CF3D89"/>
    <w:rsid w:val="00CF3E6F"/>
    <w:rsid w:val="00CF4176"/>
    <w:rsid w:val="00CF44B9"/>
    <w:rsid w:val="00CF460D"/>
    <w:rsid w:val="00CF46B8"/>
    <w:rsid w:val="00CF46E2"/>
    <w:rsid w:val="00CF4C61"/>
    <w:rsid w:val="00CF4E4E"/>
    <w:rsid w:val="00CF54AE"/>
    <w:rsid w:val="00CF5546"/>
    <w:rsid w:val="00CF5584"/>
    <w:rsid w:val="00CF560C"/>
    <w:rsid w:val="00CF5769"/>
    <w:rsid w:val="00CF57DE"/>
    <w:rsid w:val="00CF6226"/>
    <w:rsid w:val="00CF62AA"/>
    <w:rsid w:val="00CF63CE"/>
    <w:rsid w:val="00CF63F2"/>
    <w:rsid w:val="00CF6473"/>
    <w:rsid w:val="00CF65A1"/>
    <w:rsid w:val="00CF6687"/>
    <w:rsid w:val="00CF685B"/>
    <w:rsid w:val="00CF6A49"/>
    <w:rsid w:val="00CF6B35"/>
    <w:rsid w:val="00CF6C0A"/>
    <w:rsid w:val="00CF6D29"/>
    <w:rsid w:val="00CF6E87"/>
    <w:rsid w:val="00CF7338"/>
    <w:rsid w:val="00CF7385"/>
    <w:rsid w:val="00CF7417"/>
    <w:rsid w:val="00CF74E5"/>
    <w:rsid w:val="00CF7930"/>
    <w:rsid w:val="00CF7989"/>
    <w:rsid w:val="00CF7E57"/>
    <w:rsid w:val="00CF7F33"/>
    <w:rsid w:val="00D00167"/>
    <w:rsid w:val="00D00182"/>
    <w:rsid w:val="00D00582"/>
    <w:rsid w:val="00D00669"/>
    <w:rsid w:val="00D009B0"/>
    <w:rsid w:val="00D009BB"/>
    <w:rsid w:val="00D00A64"/>
    <w:rsid w:val="00D00BC6"/>
    <w:rsid w:val="00D00E4E"/>
    <w:rsid w:val="00D00E9B"/>
    <w:rsid w:val="00D01017"/>
    <w:rsid w:val="00D01263"/>
    <w:rsid w:val="00D013EA"/>
    <w:rsid w:val="00D0144F"/>
    <w:rsid w:val="00D015B9"/>
    <w:rsid w:val="00D01637"/>
    <w:rsid w:val="00D017B6"/>
    <w:rsid w:val="00D01C0D"/>
    <w:rsid w:val="00D01C3D"/>
    <w:rsid w:val="00D01CDE"/>
    <w:rsid w:val="00D02058"/>
    <w:rsid w:val="00D02195"/>
    <w:rsid w:val="00D024E9"/>
    <w:rsid w:val="00D025B4"/>
    <w:rsid w:val="00D025FD"/>
    <w:rsid w:val="00D0269A"/>
    <w:rsid w:val="00D0276A"/>
    <w:rsid w:val="00D02899"/>
    <w:rsid w:val="00D02959"/>
    <w:rsid w:val="00D02EFE"/>
    <w:rsid w:val="00D0323C"/>
    <w:rsid w:val="00D032CC"/>
    <w:rsid w:val="00D0330D"/>
    <w:rsid w:val="00D036AC"/>
    <w:rsid w:val="00D036CE"/>
    <w:rsid w:val="00D03A04"/>
    <w:rsid w:val="00D03ADB"/>
    <w:rsid w:val="00D03C0D"/>
    <w:rsid w:val="00D03CF4"/>
    <w:rsid w:val="00D04219"/>
    <w:rsid w:val="00D04352"/>
    <w:rsid w:val="00D0437C"/>
    <w:rsid w:val="00D043A1"/>
    <w:rsid w:val="00D045DA"/>
    <w:rsid w:val="00D0485C"/>
    <w:rsid w:val="00D048FB"/>
    <w:rsid w:val="00D04CF9"/>
    <w:rsid w:val="00D05308"/>
    <w:rsid w:val="00D054D0"/>
    <w:rsid w:val="00D058C8"/>
    <w:rsid w:val="00D059A8"/>
    <w:rsid w:val="00D05A23"/>
    <w:rsid w:val="00D05A85"/>
    <w:rsid w:val="00D05B51"/>
    <w:rsid w:val="00D05E45"/>
    <w:rsid w:val="00D05E85"/>
    <w:rsid w:val="00D06019"/>
    <w:rsid w:val="00D060BC"/>
    <w:rsid w:val="00D0614C"/>
    <w:rsid w:val="00D06193"/>
    <w:rsid w:val="00D0630F"/>
    <w:rsid w:val="00D06311"/>
    <w:rsid w:val="00D0651E"/>
    <w:rsid w:val="00D065CC"/>
    <w:rsid w:val="00D068F3"/>
    <w:rsid w:val="00D0692F"/>
    <w:rsid w:val="00D06D1C"/>
    <w:rsid w:val="00D06E74"/>
    <w:rsid w:val="00D06EFA"/>
    <w:rsid w:val="00D0719A"/>
    <w:rsid w:val="00D071E1"/>
    <w:rsid w:val="00D0724B"/>
    <w:rsid w:val="00D072CA"/>
    <w:rsid w:val="00D07337"/>
    <w:rsid w:val="00D07451"/>
    <w:rsid w:val="00D07556"/>
    <w:rsid w:val="00D077FD"/>
    <w:rsid w:val="00D0782E"/>
    <w:rsid w:val="00D07A77"/>
    <w:rsid w:val="00D07C19"/>
    <w:rsid w:val="00D07C52"/>
    <w:rsid w:val="00D1009A"/>
    <w:rsid w:val="00D10241"/>
    <w:rsid w:val="00D10543"/>
    <w:rsid w:val="00D1063D"/>
    <w:rsid w:val="00D10789"/>
    <w:rsid w:val="00D107FA"/>
    <w:rsid w:val="00D108FC"/>
    <w:rsid w:val="00D10926"/>
    <w:rsid w:val="00D10A16"/>
    <w:rsid w:val="00D10A2F"/>
    <w:rsid w:val="00D10C5E"/>
    <w:rsid w:val="00D10E92"/>
    <w:rsid w:val="00D10EBB"/>
    <w:rsid w:val="00D10EBD"/>
    <w:rsid w:val="00D11089"/>
    <w:rsid w:val="00D1149D"/>
    <w:rsid w:val="00D114F9"/>
    <w:rsid w:val="00D11621"/>
    <w:rsid w:val="00D11633"/>
    <w:rsid w:val="00D11691"/>
    <w:rsid w:val="00D116A1"/>
    <w:rsid w:val="00D11B93"/>
    <w:rsid w:val="00D11DBC"/>
    <w:rsid w:val="00D11E0B"/>
    <w:rsid w:val="00D11E5C"/>
    <w:rsid w:val="00D11ECB"/>
    <w:rsid w:val="00D11F95"/>
    <w:rsid w:val="00D1208A"/>
    <w:rsid w:val="00D12150"/>
    <w:rsid w:val="00D121C7"/>
    <w:rsid w:val="00D12434"/>
    <w:rsid w:val="00D124FA"/>
    <w:rsid w:val="00D1283D"/>
    <w:rsid w:val="00D12A62"/>
    <w:rsid w:val="00D12A88"/>
    <w:rsid w:val="00D12B43"/>
    <w:rsid w:val="00D12D81"/>
    <w:rsid w:val="00D12E06"/>
    <w:rsid w:val="00D132F2"/>
    <w:rsid w:val="00D1330C"/>
    <w:rsid w:val="00D13454"/>
    <w:rsid w:val="00D13696"/>
    <w:rsid w:val="00D1379E"/>
    <w:rsid w:val="00D140B4"/>
    <w:rsid w:val="00D14154"/>
    <w:rsid w:val="00D14254"/>
    <w:rsid w:val="00D149C9"/>
    <w:rsid w:val="00D14B85"/>
    <w:rsid w:val="00D14EEC"/>
    <w:rsid w:val="00D14F91"/>
    <w:rsid w:val="00D1508C"/>
    <w:rsid w:val="00D150C4"/>
    <w:rsid w:val="00D151F4"/>
    <w:rsid w:val="00D1522E"/>
    <w:rsid w:val="00D15265"/>
    <w:rsid w:val="00D15318"/>
    <w:rsid w:val="00D15427"/>
    <w:rsid w:val="00D1551C"/>
    <w:rsid w:val="00D155E5"/>
    <w:rsid w:val="00D15847"/>
    <w:rsid w:val="00D158B6"/>
    <w:rsid w:val="00D158D8"/>
    <w:rsid w:val="00D158EA"/>
    <w:rsid w:val="00D15AEF"/>
    <w:rsid w:val="00D15CFF"/>
    <w:rsid w:val="00D1625B"/>
    <w:rsid w:val="00D162A0"/>
    <w:rsid w:val="00D162D8"/>
    <w:rsid w:val="00D16709"/>
    <w:rsid w:val="00D16804"/>
    <w:rsid w:val="00D16A65"/>
    <w:rsid w:val="00D1717B"/>
    <w:rsid w:val="00D17262"/>
    <w:rsid w:val="00D175DB"/>
    <w:rsid w:val="00D17AC8"/>
    <w:rsid w:val="00D17D83"/>
    <w:rsid w:val="00D17E3A"/>
    <w:rsid w:val="00D2001F"/>
    <w:rsid w:val="00D20315"/>
    <w:rsid w:val="00D205A8"/>
    <w:rsid w:val="00D206CB"/>
    <w:rsid w:val="00D207CD"/>
    <w:rsid w:val="00D209E7"/>
    <w:rsid w:val="00D20A77"/>
    <w:rsid w:val="00D20BDB"/>
    <w:rsid w:val="00D20E22"/>
    <w:rsid w:val="00D21120"/>
    <w:rsid w:val="00D211B1"/>
    <w:rsid w:val="00D21601"/>
    <w:rsid w:val="00D21841"/>
    <w:rsid w:val="00D21905"/>
    <w:rsid w:val="00D21C06"/>
    <w:rsid w:val="00D21CD0"/>
    <w:rsid w:val="00D21DD1"/>
    <w:rsid w:val="00D21FC8"/>
    <w:rsid w:val="00D220C3"/>
    <w:rsid w:val="00D22334"/>
    <w:rsid w:val="00D22457"/>
    <w:rsid w:val="00D224D1"/>
    <w:rsid w:val="00D226F9"/>
    <w:rsid w:val="00D22909"/>
    <w:rsid w:val="00D229F8"/>
    <w:rsid w:val="00D22A4D"/>
    <w:rsid w:val="00D22B81"/>
    <w:rsid w:val="00D22D52"/>
    <w:rsid w:val="00D22EDA"/>
    <w:rsid w:val="00D231C4"/>
    <w:rsid w:val="00D233EA"/>
    <w:rsid w:val="00D233F4"/>
    <w:rsid w:val="00D23534"/>
    <w:rsid w:val="00D239B1"/>
    <w:rsid w:val="00D23DE9"/>
    <w:rsid w:val="00D23FE5"/>
    <w:rsid w:val="00D240CE"/>
    <w:rsid w:val="00D241EB"/>
    <w:rsid w:val="00D2427A"/>
    <w:rsid w:val="00D242D2"/>
    <w:rsid w:val="00D243CD"/>
    <w:rsid w:val="00D24671"/>
    <w:rsid w:val="00D24DCC"/>
    <w:rsid w:val="00D2503B"/>
    <w:rsid w:val="00D2513C"/>
    <w:rsid w:val="00D254AC"/>
    <w:rsid w:val="00D258A4"/>
    <w:rsid w:val="00D25C1B"/>
    <w:rsid w:val="00D25C9C"/>
    <w:rsid w:val="00D260B4"/>
    <w:rsid w:val="00D26128"/>
    <w:rsid w:val="00D262D1"/>
    <w:rsid w:val="00D264C3"/>
    <w:rsid w:val="00D2653F"/>
    <w:rsid w:val="00D26813"/>
    <w:rsid w:val="00D26EC5"/>
    <w:rsid w:val="00D270F6"/>
    <w:rsid w:val="00D271D2"/>
    <w:rsid w:val="00D27394"/>
    <w:rsid w:val="00D27452"/>
    <w:rsid w:val="00D27453"/>
    <w:rsid w:val="00D27582"/>
    <w:rsid w:val="00D27606"/>
    <w:rsid w:val="00D27783"/>
    <w:rsid w:val="00D277AC"/>
    <w:rsid w:val="00D27869"/>
    <w:rsid w:val="00D2788F"/>
    <w:rsid w:val="00D27915"/>
    <w:rsid w:val="00D27AF5"/>
    <w:rsid w:val="00D3007D"/>
    <w:rsid w:val="00D300BC"/>
    <w:rsid w:val="00D30299"/>
    <w:rsid w:val="00D302D1"/>
    <w:rsid w:val="00D3035B"/>
    <w:rsid w:val="00D3058A"/>
    <w:rsid w:val="00D30BB6"/>
    <w:rsid w:val="00D30BE9"/>
    <w:rsid w:val="00D3104E"/>
    <w:rsid w:val="00D310F8"/>
    <w:rsid w:val="00D31172"/>
    <w:rsid w:val="00D31355"/>
    <w:rsid w:val="00D3146D"/>
    <w:rsid w:val="00D315EF"/>
    <w:rsid w:val="00D31787"/>
    <w:rsid w:val="00D31B74"/>
    <w:rsid w:val="00D31C0F"/>
    <w:rsid w:val="00D31CE3"/>
    <w:rsid w:val="00D31DF9"/>
    <w:rsid w:val="00D31E1C"/>
    <w:rsid w:val="00D31FF4"/>
    <w:rsid w:val="00D32036"/>
    <w:rsid w:val="00D32207"/>
    <w:rsid w:val="00D32D95"/>
    <w:rsid w:val="00D32ED8"/>
    <w:rsid w:val="00D330A7"/>
    <w:rsid w:val="00D3311C"/>
    <w:rsid w:val="00D3313F"/>
    <w:rsid w:val="00D3323D"/>
    <w:rsid w:val="00D337AA"/>
    <w:rsid w:val="00D337B6"/>
    <w:rsid w:val="00D33B00"/>
    <w:rsid w:val="00D33E61"/>
    <w:rsid w:val="00D33E74"/>
    <w:rsid w:val="00D34298"/>
    <w:rsid w:val="00D3489C"/>
    <w:rsid w:val="00D34AAC"/>
    <w:rsid w:val="00D34ADF"/>
    <w:rsid w:val="00D34C3D"/>
    <w:rsid w:val="00D34CCD"/>
    <w:rsid w:val="00D35313"/>
    <w:rsid w:val="00D353D4"/>
    <w:rsid w:val="00D35798"/>
    <w:rsid w:val="00D35BD7"/>
    <w:rsid w:val="00D35D9C"/>
    <w:rsid w:val="00D35EBA"/>
    <w:rsid w:val="00D3630A"/>
    <w:rsid w:val="00D3637B"/>
    <w:rsid w:val="00D364B7"/>
    <w:rsid w:val="00D36825"/>
    <w:rsid w:val="00D36839"/>
    <w:rsid w:val="00D368F2"/>
    <w:rsid w:val="00D36CF4"/>
    <w:rsid w:val="00D36DE7"/>
    <w:rsid w:val="00D370B2"/>
    <w:rsid w:val="00D370E7"/>
    <w:rsid w:val="00D3718B"/>
    <w:rsid w:val="00D371AA"/>
    <w:rsid w:val="00D372FF"/>
    <w:rsid w:val="00D375B5"/>
    <w:rsid w:val="00D37638"/>
    <w:rsid w:val="00D3785C"/>
    <w:rsid w:val="00D37B6A"/>
    <w:rsid w:val="00D37E98"/>
    <w:rsid w:val="00D37F15"/>
    <w:rsid w:val="00D4036B"/>
    <w:rsid w:val="00D40606"/>
    <w:rsid w:val="00D4067D"/>
    <w:rsid w:val="00D406F8"/>
    <w:rsid w:val="00D40A6A"/>
    <w:rsid w:val="00D40B7F"/>
    <w:rsid w:val="00D40E62"/>
    <w:rsid w:val="00D40E83"/>
    <w:rsid w:val="00D41092"/>
    <w:rsid w:val="00D411F0"/>
    <w:rsid w:val="00D41506"/>
    <w:rsid w:val="00D41661"/>
    <w:rsid w:val="00D416FA"/>
    <w:rsid w:val="00D41A46"/>
    <w:rsid w:val="00D42058"/>
    <w:rsid w:val="00D4221B"/>
    <w:rsid w:val="00D42383"/>
    <w:rsid w:val="00D4251D"/>
    <w:rsid w:val="00D425A9"/>
    <w:rsid w:val="00D426E6"/>
    <w:rsid w:val="00D4289D"/>
    <w:rsid w:val="00D4295D"/>
    <w:rsid w:val="00D42DD0"/>
    <w:rsid w:val="00D43319"/>
    <w:rsid w:val="00D43528"/>
    <w:rsid w:val="00D436CD"/>
    <w:rsid w:val="00D43857"/>
    <w:rsid w:val="00D4394C"/>
    <w:rsid w:val="00D4394D"/>
    <w:rsid w:val="00D439C7"/>
    <w:rsid w:val="00D43A20"/>
    <w:rsid w:val="00D43C3E"/>
    <w:rsid w:val="00D43CD6"/>
    <w:rsid w:val="00D43DBE"/>
    <w:rsid w:val="00D4406A"/>
    <w:rsid w:val="00D441F5"/>
    <w:rsid w:val="00D44247"/>
    <w:rsid w:val="00D4459E"/>
    <w:rsid w:val="00D446EF"/>
    <w:rsid w:val="00D4473D"/>
    <w:rsid w:val="00D44771"/>
    <w:rsid w:val="00D448FE"/>
    <w:rsid w:val="00D44A4A"/>
    <w:rsid w:val="00D44B66"/>
    <w:rsid w:val="00D44BCE"/>
    <w:rsid w:val="00D44E56"/>
    <w:rsid w:val="00D454C5"/>
    <w:rsid w:val="00D455AA"/>
    <w:rsid w:val="00D4567E"/>
    <w:rsid w:val="00D45826"/>
    <w:rsid w:val="00D45836"/>
    <w:rsid w:val="00D45A73"/>
    <w:rsid w:val="00D45ABC"/>
    <w:rsid w:val="00D45C1A"/>
    <w:rsid w:val="00D45DE7"/>
    <w:rsid w:val="00D46051"/>
    <w:rsid w:val="00D4642F"/>
    <w:rsid w:val="00D464EB"/>
    <w:rsid w:val="00D46508"/>
    <w:rsid w:val="00D46A1E"/>
    <w:rsid w:val="00D46BAE"/>
    <w:rsid w:val="00D46C28"/>
    <w:rsid w:val="00D46C8B"/>
    <w:rsid w:val="00D46ECB"/>
    <w:rsid w:val="00D46F69"/>
    <w:rsid w:val="00D46FD7"/>
    <w:rsid w:val="00D470CE"/>
    <w:rsid w:val="00D470D7"/>
    <w:rsid w:val="00D47143"/>
    <w:rsid w:val="00D474B3"/>
    <w:rsid w:val="00D474E6"/>
    <w:rsid w:val="00D476AF"/>
    <w:rsid w:val="00D47764"/>
    <w:rsid w:val="00D47C86"/>
    <w:rsid w:val="00D47D31"/>
    <w:rsid w:val="00D50239"/>
    <w:rsid w:val="00D50559"/>
    <w:rsid w:val="00D50567"/>
    <w:rsid w:val="00D50ADF"/>
    <w:rsid w:val="00D50B0F"/>
    <w:rsid w:val="00D51281"/>
    <w:rsid w:val="00D515B7"/>
    <w:rsid w:val="00D5161E"/>
    <w:rsid w:val="00D51700"/>
    <w:rsid w:val="00D5183B"/>
    <w:rsid w:val="00D51F61"/>
    <w:rsid w:val="00D52354"/>
    <w:rsid w:val="00D525CF"/>
    <w:rsid w:val="00D526DC"/>
    <w:rsid w:val="00D52899"/>
    <w:rsid w:val="00D528D9"/>
    <w:rsid w:val="00D52A55"/>
    <w:rsid w:val="00D52A6A"/>
    <w:rsid w:val="00D52ECC"/>
    <w:rsid w:val="00D52F98"/>
    <w:rsid w:val="00D53094"/>
    <w:rsid w:val="00D5360B"/>
    <w:rsid w:val="00D536EB"/>
    <w:rsid w:val="00D53A5B"/>
    <w:rsid w:val="00D53BC5"/>
    <w:rsid w:val="00D53C4C"/>
    <w:rsid w:val="00D53D86"/>
    <w:rsid w:val="00D53FA9"/>
    <w:rsid w:val="00D542BF"/>
    <w:rsid w:val="00D5436D"/>
    <w:rsid w:val="00D54446"/>
    <w:rsid w:val="00D544FC"/>
    <w:rsid w:val="00D545FE"/>
    <w:rsid w:val="00D54A1B"/>
    <w:rsid w:val="00D54B07"/>
    <w:rsid w:val="00D54CFD"/>
    <w:rsid w:val="00D54DB7"/>
    <w:rsid w:val="00D54E29"/>
    <w:rsid w:val="00D54ECF"/>
    <w:rsid w:val="00D54F5B"/>
    <w:rsid w:val="00D54FD0"/>
    <w:rsid w:val="00D553D6"/>
    <w:rsid w:val="00D55498"/>
    <w:rsid w:val="00D554CC"/>
    <w:rsid w:val="00D5566C"/>
    <w:rsid w:val="00D558C6"/>
    <w:rsid w:val="00D55B28"/>
    <w:rsid w:val="00D560A7"/>
    <w:rsid w:val="00D56112"/>
    <w:rsid w:val="00D561A5"/>
    <w:rsid w:val="00D561EB"/>
    <w:rsid w:val="00D564B5"/>
    <w:rsid w:val="00D5663F"/>
    <w:rsid w:val="00D56905"/>
    <w:rsid w:val="00D56914"/>
    <w:rsid w:val="00D56C44"/>
    <w:rsid w:val="00D56CB5"/>
    <w:rsid w:val="00D56E05"/>
    <w:rsid w:val="00D56E11"/>
    <w:rsid w:val="00D57146"/>
    <w:rsid w:val="00D57410"/>
    <w:rsid w:val="00D5750F"/>
    <w:rsid w:val="00D576F1"/>
    <w:rsid w:val="00D57B2F"/>
    <w:rsid w:val="00D57C87"/>
    <w:rsid w:val="00D57D59"/>
    <w:rsid w:val="00D57DED"/>
    <w:rsid w:val="00D60450"/>
    <w:rsid w:val="00D6049B"/>
    <w:rsid w:val="00D604A0"/>
    <w:rsid w:val="00D6066E"/>
    <w:rsid w:val="00D60901"/>
    <w:rsid w:val="00D609E4"/>
    <w:rsid w:val="00D60B8F"/>
    <w:rsid w:val="00D60C7C"/>
    <w:rsid w:val="00D60CB9"/>
    <w:rsid w:val="00D60E72"/>
    <w:rsid w:val="00D61846"/>
    <w:rsid w:val="00D61873"/>
    <w:rsid w:val="00D6191E"/>
    <w:rsid w:val="00D619C8"/>
    <w:rsid w:val="00D61ACF"/>
    <w:rsid w:val="00D61FA0"/>
    <w:rsid w:val="00D62036"/>
    <w:rsid w:val="00D6219D"/>
    <w:rsid w:val="00D623B0"/>
    <w:rsid w:val="00D6269B"/>
    <w:rsid w:val="00D6328C"/>
    <w:rsid w:val="00D63697"/>
    <w:rsid w:val="00D6392A"/>
    <w:rsid w:val="00D63A0A"/>
    <w:rsid w:val="00D63B01"/>
    <w:rsid w:val="00D63DB5"/>
    <w:rsid w:val="00D63EF0"/>
    <w:rsid w:val="00D6424D"/>
    <w:rsid w:val="00D646A0"/>
    <w:rsid w:val="00D64836"/>
    <w:rsid w:val="00D64C30"/>
    <w:rsid w:val="00D64E55"/>
    <w:rsid w:val="00D650A7"/>
    <w:rsid w:val="00D6510D"/>
    <w:rsid w:val="00D653A4"/>
    <w:rsid w:val="00D65491"/>
    <w:rsid w:val="00D6599D"/>
    <w:rsid w:val="00D65F41"/>
    <w:rsid w:val="00D65FB4"/>
    <w:rsid w:val="00D66024"/>
    <w:rsid w:val="00D660E3"/>
    <w:rsid w:val="00D661A0"/>
    <w:rsid w:val="00D6671B"/>
    <w:rsid w:val="00D669A4"/>
    <w:rsid w:val="00D669DF"/>
    <w:rsid w:val="00D66A35"/>
    <w:rsid w:val="00D66A39"/>
    <w:rsid w:val="00D66A6D"/>
    <w:rsid w:val="00D66B0F"/>
    <w:rsid w:val="00D66B42"/>
    <w:rsid w:val="00D66CB6"/>
    <w:rsid w:val="00D67589"/>
    <w:rsid w:val="00D675BE"/>
    <w:rsid w:val="00D676FE"/>
    <w:rsid w:val="00D678FE"/>
    <w:rsid w:val="00D67978"/>
    <w:rsid w:val="00D67999"/>
    <w:rsid w:val="00D679C5"/>
    <w:rsid w:val="00D67CE9"/>
    <w:rsid w:val="00D70115"/>
    <w:rsid w:val="00D70179"/>
    <w:rsid w:val="00D701AC"/>
    <w:rsid w:val="00D7020E"/>
    <w:rsid w:val="00D70491"/>
    <w:rsid w:val="00D70512"/>
    <w:rsid w:val="00D70EAB"/>
    <w:rsid w:val="00D70F5B"/>
    <w:rsid w:val="00D70FB7"/>
    <w:rsid w:val="00D7149F"/>
    <w:rsid w:val="00D7169C"/>
    <w:rsid w:val="00D71752"/>
    <w:rsid w:val="00D717B5"/>
    <w:rsid w:val="00D7183A"/>
    <w:rsid w:val="00D7189A"/>
    <w:rsid w:val="00D718D3"/>
    <w:rsid w:val="00D718DB"/>
    <w:rsid w:val="00D71917"/>
    <w:rsid w:val="00D71B17"/>
    <w:rsid w:val="00D7217E"/>
    <w:rsid w:val="00D72691"/>
    <w:rsid w:val="00D72735"/>
    <w:rsid w:val="00D72856"/>
    <w:rsid w:val="00D72896"/>
    <w:rsid w:val="00D7299C"/>
    <w:rsid w:val="00D72CD0"/>
    <w:rsid w:val="00D72FA8"/>
    <w:rsid w:val="00D73026"/>
    <w:rsid w:val="00D7308B"/>
    <w:rsid w:val="00D7320F"/>
    <w:rsid w:val="00D73210"/>
    <w:rsid w:val="00D73315"/>
    <w:rsid w:val="00D73567"/>
    <w:rsid w:val="00D735D7"/>
    <w:rsid w:val="00D73CEA"/>
    <w:rsid w:val="00D73DA1"/>
    <w:rsid w:val="00D73F27"/>
    <w:rsid w:val="00D7426D"/>
    <w:rsid w:val="00D743CD"/>
    <w:rsid w:val="00D744D4"/>
    <w:rsid w:val="00D7462D"/>
    <w:rsid w:val="00D749AC"/>
    <w:rsid w:val="00D74BA9"/>
    <w:rsid w:val="00D74D81"/>
    <w:rsid w:val="00D74E0A"/>
    <w:rsid w:val="00D7546D"/>
    <w:rsid w:val="00D75534"/>
    <w:rsid w:val="00D75674"/>
    <w:rsid w:val="00D756AE"/>
    <w:rsid w:val="00D75EEE"/>
    <w:rsid w:val="00D75FC0"/>
    <w:rsid w:val="00D760DF"/>
    <w:rsid w:val="00D76150"/>
    <w:rsid w:val="00D764B6"/>
    <w:rsid w:val="00D76607"/>
    <w:rsid w:val="00D76810"/>
    <w:rsid w:val="00D7702D"/>
    <w:rsid w:val="00D77031"/>
    <w:rsid w:val="00D77473"/>
    <w:rsid w:val="00D777A7"/>
    <w:rsid w:val="00D777E2"/>
    <w:rsid w:val="00D777EE"/>
    <w:rsid w:val="00D77A2B"/>
    <w:rsid w:val="00D77BB5"/>
    <w:rsid w:val="00D77C0B"/>
    <w:rsid w:val="00D77C6E"/>
    <w:rsid w:val="00D77D45"/>
    <w:rsid w:val="00D77F64"/>
    <w:rsid w:val="00D8013A"/>
    <w:rsid w:val="00D80336"/>
    <w:rsid w:val="00D80390"/>
    <w:rsid w:val="00D8045E"/>
    <w:rsid w:val="00D80478"/>
    <w:rsid w:val="00D80CAF"/>
    <w:rsid w:val="00D80D0C"/>
    <w:rsid w:val="00D80E1F"/>
    <w:rsid w:val="00D80F4D"/>
    <w:rsid w:val="00D80FF4"/>
    <w:rsid w:val="00D8100D"/>
    <w:rsid w:val="00D8106C"/>
    <w:rsid w:val="00D812F8"/>
    <w:rsid w:val="00D81307"/>
    <w:rsid w:val="00D81A6C"/>
    <w:rsid w:val="00D81B61"/>
    <w:rsid w:val="00D81D10"/>
    <w:rsid w:val="00D81D47"/>
    <w:rsid w:val="00D8214E"/>
    <w:rsid w:val="00D821C0"/>
    <w:rsid w:val="00D821E1"/>
    <w:rsid w:val="00D82276"/>
    <w:rsid w:val="00D82401"/>
    <w:rsid w:val="00D82A4C"/>
    <w:rsid w:val="00D82AFB"/>
    <w:rsid w:val="00D82B98"/>
    <w:rsid w:val="00D82CC7"/>
    <w:rsid w:val="00D82D66"/>
    <w:rsid w:val="00D82D78"/>
    <w:rsid w:val="00D82DCC"/>
    <w:rsid w:val="00D830BF"/>
    <w:rsid w:val="00D830EF"/>
    <w:rsid w:val="00D8350F"/>
    <w:rsid w:val="00D835FF"/>
    <w:rsid w:val="00D83885"/>
    <w:rsid w:val="00D839E4"/>
    <w:rsid w:val="00D83A52"/>
    <w:rsid w:val="00D83A6B"/>
    <w:rsid w:val="00D83A8C"/>
    <w:rsid w:val="00D83AEA"/>
    <w:rsid w:val="00D83DFA"/>
    <w:rsid w:val="00D841A6"/>
    <w:rsid w:val="00D84301"/>
    <w:rsid w:val="00D84390"/>
    <w:rsid w:val="00D845EA"/>
    <w:rsid w:val="00D8460B"/>
    <w:rsid w:val="00D84732"/>
    <w:rsid w:val="00D84760"/>
    <w:rsid w:val="00D847AB"/>
    <w:rsid w:val="00D84A54"/>
    <w:rsid w:val="00D84A7D"/>
    <w:rsid w:val="00D84F3B"/>
    <w:rsid w:val="00D853D9"/>
    <w:rsid w:val="00D85590"/>
    <w:rsid w:val="00D85879"/>
    <w:rsid w:val="00D858B9"/>
    <w:rsid w:val="00D859D4"/>
    <w:rsid w:val="00D85AF2"/>
    <w:rsid w:val="00D85E74"/>
    <w:rsid w:val="00D85F9A"/>
    <w:rsid w:val="00D86113"/>
    <w:rsid w:val="00D8637C"/>
    <w:rsid w:val="00D865ED"/>
    <w:rsid w:val="00D86865"/>
    <w:rsid w:val="00D868A6"/>
    <w:rsid w:val="00D86990"/>
    <w:rsid w:val="00D86AD4"/>
    <w:rsid w:val="00D86BB9"/>
    <w:rsid w:val="00D86BE3"/>
    <w:rsid w:val="00D86EE6"/>
    <w:rsid w:val="00D874B1"/>
    <w:rsid w:val="00D87503"/>
    <w:rsid w:val="00D8755E"/>
    <w:rsid w:val="00D87634"/>
    <w:rsid w:val="00D879B6"/>
    <w:rsid w:val="00D87B44"/>
    <w:rsid w:val="00D87D56"/>
    <w:rsid w:val="00D87FAE"/>
    <w:rsid w:val="00D902A4"/>
    <w:rsid w:val="00D90385"/>
    <w:rsid w:val="00D90431"/>
    <w:rsid w:val="00D90476"/>
    <w:rsid w:val="00D906A4"/>
    <w:rsid w:val="00D907E6"/>
    <w:rsid w:val="00D908C8"/>
    <w:rsid w:val="00D90A3C"/>
    <w:rsid w:val="00D90D87"/>
    <w:rsid w:val="00D90E04"/>
    <w:rsid w:val="00D90F1E"/>
    <w:rsid w:val="00D91018"/>
    <w:rsid w:val="00D910C4"/>
    <w:rsid w:val="00D911A7"/>
    <w:rsid w:val="00D913B6"/>
    <w:rsid w:val="00D913E2"/>
    <w:rsid w:val="00D919D0"/>
    <w:rsid w:val="00D91C52"/>
    <w:rsid w:val="00D91DFD"/>
    <w:rsid w:val="00D91FC2"/>
    <w:rsid w:val="00D91FD2"/>
    <w:rsid w:val="00D920DC"/>
    <w:rsid w:val="00D9210D"/>
    <w:rsid w:val="00D92204"/>
    <w:rsid w:val="00D92402"/>
    <w:rsid w:val="00D92B15"/>
    <w:rsid w:val="00D92F71"/>
    <w:rsid w:val="00D93508"/>
    <w:rsid w:val="00D93657"/>
    <w:rsid w:val="00D936FC"/>
    <w:rsid w:val="00D93A68"/>
    <w:rsid w:val="00D93CA4"/>
    <w:rsid w:val="00D93EDE"/>
    <w:rsid w:val="00D944C1"/>
    <w:rsid w:val="00D948B0"/>
    <w:rsid w:val="00D94A61"/>
    <w:rsid w:val="00D951D0"/>
    <w:rsid w:val="00D956C7"/>
    <w:rsid w:val="00D957C4"/>
    <w:rsid w:val="00D95A48"/>
    <w:rsid w:val="00D95CC2"/>
    <w:rsid w:val="00D95CD0"/>
    <w:rsid w:val="00D95E8D"/>
    <w:rsid w:val="00D9602E"/>
    <w:rsid w:val="00D960F8"/>
    <w:rsid w:val="00D96610"/>
    <w:rsid w:val="00D9667F"/>
    <w:rsid w:val="00D966A7"/>
    <w:rsid w:val="00D96700"/>
    <w:rsid w:val="00D96790"/>
    <w:rsid w:val="00D9683F"/>
    <w:rsid w:val="00D96921"/>
    <w:rsid w:val="00D96981"/>
    <w:rsid w:val="00D96AB9"/>
    <w:rsid w:val="00D96C50"/>
    <w:rsid w:val="00D96C70"/>
    <w:rsid w:val="00D96F99"/>
    <w:rsid w:val="00D96FED"/>
    <w:rsid w:val="00D97315"/>
    <w:rsid w:val="00D97386"/>
    <w:rsid w:val="00D979D4"/>
    <w:rsid w:val="00D97A9E"/>
    <w:rsid w:val="00DA009C"/>
    <w:rsid w:val="00DA0156"/>
    <w:rsid w:val="00DA0201"/>
    <w:rsid w:val="00DA024A"/>
    <w:rsid w:val="00DA0385"/>
    <w:rsid w:val="00DA03C3"/>
    <w:rsid w:val="00DA0500"/>
    <w:rsid w:val="00DA0C96"/>
    <w:rsid w:val="00DA0CFA"/>
    <w:rsid w:val="00DA0D13"/>
    <w:rsid w:val="00DA0DD8"/>
    <w:rsid w:val="00DA0DFE"/>
    <w:rsid w:val="00DA0E6F"/>
    <w:rsid w:val="00DA0E87"/>
    <w:rsid w:val="00DA162D"/>
    <w:rsid w:val="00DA170A"/>
    <w:rsid w:val="00DA18A5"/>
    <w:rsid w:val="00DA18D3"/>
    <w:rsid w:val="00DA18F1"/>
    <w:rsid w:val="00DA197D"/>
    <w:rsid w:val="00DA1D0B"/>
    <w:rsid w:val="00DA1E11"/>
    <w:rsid w:val="00DA1F22"/>
    <w:rsid w:val="00DA20FC"/>
    <w:rsid w:val="00DA289E"/>
    <w:rsid w:val="00DA2988"/>
    <w:rsid w:val="00DA2BE2"/>
    <w:rsid w:val="00DA31AB"/>
    <w:rsid w:val="00DA3335"/>
    <w:rsid w:val="00DA380C"/>
    <w:rsid w:val="00DA3AF1"/>
    <w:rsid w:val="00DA3EA2"/>
    <w:rsid w:val="00DA3F55"/>
    <w:rsid w:val="00DA419E"/>
    <w:rsid w:val="00DA42CD"/>
    <w:rsid w:val="00DA42E8"/>
    <w:rsid w:val="00DA4505"/>
    <w:rsid w:val="00DA4564"/>
    <w:rsid w:val="00DA49B2"/>
    <w:rsid w:val="00DA4F2D"/>
    <w:rsid w:val="00DA4F4F"/>
    <w:rsid w:val="00DA4F70"/>
    <w:rsid w:val="00DA530E"/>
    <w:rsid w:val="00DA5350"/>
    <w:rsid w:val="00DA5753"/>
    <w:rsid w:val="00DA5812"/>
    <w:rsid w:val="00DA58E5"/>
    <w:rsid w:val="00DA5B08"/>
    <w:rsid w:val="00DA5B7E"/>
    <w:rsid w:val="00DA600F"/>
    <w:rsid w:val="00DA6022"/>
    <w:rsid w:val="00DA63B8"/>
    <w:rsid w:val="00DA642A"/>
    <w:rsid w:val="00DA6527"/>
    <w:rsid w:val="00DA65CB"/>
    <w:rsid w:val="00DA67BE"/>
    <w:rsid w:val="00DA6B56"/>
    <w:rsid w:val="00DA6E49"/>
    <w:rsid w:val="00DA70FC"/>
    <w:rsid w:val="00DA72BC"/>
    <w:rsid w:val="00DA780A"/>
    <w:rsid w:val="00DA79E6"/>
    <w:rsid w:val="00DA7B8D"/>
    <w:rsid w:val="00DA7BAF"/>
    <w:rsid w:val="00DA7BF6"/>
    <w:rsid w:val="00DA7E0F"/>
    <w:rsid w:val="00DB0374"/>
    <w:rsid w:val="00DB0498"/>
    <w:rsid w:val="00DB051B"/>
    <w:rsid w:val="00DB0676"/>
    <w:rsid w:val="00DB079E"/>
    <w:rsid w:val="00DB07FD"/>
    <w:rsid w:val="00DB0D29"/>
    <w:rsid w:val="00DB1032"/>
    <w:rsid w:val="00DB1046"/>
    <w:rsid w:val="00DB11E0"/>
    <w:rsid w:val="00DB12F5"/>
    <w:rsid w:val="00DB1434"/>
    <w:rsid w:val="00DB178C"/>
    <w:rsid w:val="00DB1A42"/>
    <w:rsid w:val="00DB1AB5"/>
    <w:rsid w:val="00DB1AD5"/>
    <w:rsid w:val="00DB1BFD"/>
    <w:rsid w:val="00DB1C43"/>
    <w:rsid w:val="00DB1FE8"/>
    <w:rsid w:val="00DB22E3"/>
    <w:rsid w:val="00DB2418"/>
    <w:rsid w:val="00DB251D"/>
    <w:rsid w:val="00DB261A"/>
    <w:rsid w:val="00DB269E"/>
    <w:rsid w:val="00DB26DC"/>
    <w:rsid w:val="00DB2714"/>
    <w:rsid w:val="00DB2B42"/>
    <w:rsid w:val="00DB2CA2"/>
    <w:rsid w:val="00DB2D59"/>
    <w:rsid w:val="00DB2E92"/>
    <w:rsid w:val="00DB2FF5"/>
    <w:rsid w:val="00DB30CD"/>
    <w:rsid w:val="00DB3277"/>
    <w:rsid w:val="00DB3359"/>
    <w:rsid w:val="00DB358A"/>
    <w:rsid w:val="00DB3720"/>
    <w:rsid w:val="00DB3A7F"/>
    <w:rsid w:val="00DB3CF4"/>
    <w:rsid w:val="00DB3D66"/>
    <w:rsid w:val="00DB3F1C"/>
    <w:rsid w:val="00DB40C8"/>
    <w:rsid w:val="00DB4600"/>
    <w:rsid w:val="00DB4615"/>
    <w:rsid w:val="00DB4A24"/>
    <w:rsid w:val="00DB4A61"/>
    <w:rsid w:val="00DB4B52"/>
    <w:rsid w:val="00DB4BDD"/>
    <w:rsid w:val="00DB4E90"/>
    <w:rsid w:val="00DB4E95"/>
    <w:rsid w:val="00DB508C"/>
    <w:rsid w:val="00DB50E5"/>
    <w:rsid w:val="00DB526B"/>
    <w:rsid w:val="00DB52B5"/>
    <w:rsid w:val="00DB538F"/>
    <w:rsid w:val="00DB58A2"/>
    <w:rsid w:val="00DB58E1"/>
    <w:rsid w:val="00DB599C"/>
    <w:rsid w:val="00DB5A8C"/>
    <w:rsid w:val="00DB5A9D"/>
    <w:rsid w:val="00DB5DDD"/>
    <w:rsid w:val="00DB5F27"/>
    <w:rsid w:val="00DB60DE"/>
    <w:rsid w:val="00DB614C"/>
    <w:rsid w:val="00DB6437"/>
    <w:rsid w:val="00DB653D"/>
    <w:rsid w:val="00DB6967"/>
    <w:rsid w:val="00DB6BC8"/>
    <w:rsid w:val="00DB6D5D"/>
    <w:rsid w:val="00DB6DAE"/>
    <w:rsid w:val="00DB6E3C"/>
    <w:rsid w:val="00DB6EAA"/>
    <w:rsid w:val="00DB6F47"/>
    <w:rsid w:val="00DB6F6A"/>
    <w:rsid w:val="00DB6F81"/>
    <w:rsid w:val="00DB6F87"/>
    <w:rsid w:val="00DB7316"/>
    <w:rsid w:val="00DB7588"/>
    <w:rsid w:val="00DB7803"/>
    <w:rsid w:val="00DB7842"/>
    <w:rsid w:val="00DB7895"/>
    <w:rsid w:val="00DB7A05"/>
    <w:rsid w:val="00DB7D7C"/>
    <w:rsid w:val="00DB7E14"/>
    <w:rsid w:val="00DB7E84"/>
    <w:rsid w:val="00DC04B0"/>
    <w:rsid w:val="00DC072E"/>
    <w:rsid w:val="00DC0AAA"/>
    <w:rsid w:val="00DC0EF9"/>
    <w:rsid w:val="00DC0F4A"/>
    <w:rsid w:val="00DC0F76"/>
    <w:rsid w:val="00DC1009"/>
    <w:rsid w:val="00DC11E0"/>
    <w:rsid w:val="00DC1336"/>
    <w:rsid w:val="00DC13AD"/>
    <w:rsid w:val="00DC144C"/>
    <w:rsid w:val="00DC1617"/>
    <w:rsid w:val="00DC19DA"/>
    <w:rsid w:val="00DC1BB5"/>
    <w:rsid w:val="00DC1CCC"/>
    <w:rsid w:val="00DC1D02"/>
    <w:rsid w:val="00DC21E2"/>
    <w:rsid w:val="00DC27A1"/>
    <w:rsid w:val="00DC286F"/>
    <w:rsid w:val="00DC2983"/>
    <w:rsid w:val="00DC312F"/>
    <w:rsid w:val="00DC3312"/>
    <w:rsid w:val="00DC3379"/>
    <w:rsid w:val="00DC3453"/>
    <w:rsid w:val="00DC3561"/>
    <w:rsid w:val="00DC39B1"/>
    <w:rsid w:val="00DC3AB9"/>
    <w:rsid w:val="00DC3C8E"/>
    <w:rsid w:val="00DC4035"/>
    <w:rsid w:val="00DC40C7"/>
    <w:rsid w:val="00DC4151"/>
    <w:rsid w:val="00DC432D"/>
    <w:rsid w:val="00DC48C8"/>
    <w:rsid w:val="00DC4B79"/>
    <w:rsid w:val="00DC4E6B"/>
    <w:rsid w:val="00DC4F34"/>
    <w:rsid w:val="00DC5246"/>
    <w:rsid w:val="00DC529E"/>
    <w:rsid w:val="00DC54B5"/>
    <w:rsid w:val="00DC54D0"/>
    <w:rsid w:val="00DC5982"/>
    <w:rsid w:val="00DC5A77"/>
    <w:rsid w:val="00DC5D33"/>
    <w:rsid w:val="00DC5D8C"/>
    <w:rsid w:val="00DC5E4E"/>
    <w:rsid w:val="00DC5F0B"/>
    <w:rsid w:val="00DC6369"/>
    <w:rsid w:val="00DC6561"/>
    <w:rsid w:val="00DC67BF"/>
    <w:rsid w:val="00DC6A40"/>
    <w:rsid w:val="00DC6D8F"/>
    <w:rsid w:val="00DC7005"/>
    <w:rsid w:val="00DC70D1"/>
    <w:rsid w:val="00DC784B"/>
    <w:rsid w:val="00DC7A32"/>
    <w:rsid w:val="00DC7CFD"/>
    <w:rsid w:val="00DC7D36"/>
    <w:rsid w:val="00DC7FA5"/>
    <w:rsid w:val="00DD0317"/>
    <w:rsid w:val="00DD03F3"/>
    <w:rsid w:val="00DD03FE"/>
    <w:rsid w:val="00DD09F6"/>
    <w:rsid w:val="00DD0AEA"/>
    <w:rsid w:val="00DD0F3F"/>
    <w:rsid w:val="00DD0FF4"/>
    <w:rsid w:val="00DD1071"/>
    <w:rsid w:val="00DD15D6"/>
    <w:rsid w:val="00DD1919"/>
    <w:rsid w:val="00DD1A8B"/>
    <w:rsid w:val="00DD1AA4"/>
    <w:rsid w:val="00DD1B11"/>
    <w:rsid w:val="00DD1B35"/>
    <w:rsid w:val="00DD1CEC"/>
    <w:rsid w:val="00DD1D5A"/>
    <w:rsid w:val="00DD1D6C"/>
    <w:rsid w:val="00DD1DE4"/>
    <w:rsid w:val="00DD1E80"/>
    <w:rsid w:val="00DD2110"/>
    <w:rsid w:val="00DD2143"/>
    <w:rsid w:val="00DD22BC"/>
    <w:rsid w:val="00DD255C"/>
    <w:rsid w:val="00DD2631"/>
    <w:rsid w:val="00DD297A"/>
    <w:rsid w:val="00DD2B31"/>
    <w:rsid w:val="00DD2C40"/>
    <w:rsid w:val="00DD2DA8"/>
    <w:rsid w:val="00DD2EB4"/>
    <w:rsid w:val="00DD30BF"/>
    <w:rsid w:val="00DD31B7"/>
    <w:rsid w:val="00DD31C9"/>
    <w:rsid w:val="00DD32FC"/>
    <w:rsid w:val="00DD35CA"/>
    <w:rsid w:val="00DD369E"/>
    <w:rsid w:val="00DD3720"/>
    <w:rsid w:val="00DD3891"/>
    <w:rsid w:val="00DD38C6"/>
    <w:rsid w:val="00DD3A7E"/>
    <w:rsid w:val="00DD3C1F"/>
    <w:rsid w:val="00DD3C2E"/>
    <w:rsid w:val="00DD3C60"/>
    <w:rsid w:val="00DD3CE6"/>
    <w:rsid w:val="00DD42B3"/>
    <w:rsid w:val="00DD4361"/>
    <w:rsid w:val="00DD4378"/>
    <w:rsid w:val="00DD4465"/>
    <w:rsid w:val="00DD4618"/>
    <w:rsid w:val="00DD469D"/>
    <w:rsid w:val="00DD473C"/>
    <w:rsid w:val="00DD49F2"/>
    <w:rsid w:val="00DD4A6B"/>
    <w:rsid w:val="00DD4A9C"/>
    <w:rsid w:val="00DD4BC1"/>
    <w:rsid w:val="00DD4D24"/>
    <w:rsid w:val="00DD4E1B"/>
    <w:rsid w:val="00DD51FE"/>
    <w:rsid w:val="00DD5342"/>
    <w:rsid w:val="00DD5361"/>
    <w:rsid w:val="00DD53C9"/>
    <w:rsid w:val="00DD5DB2"/>
    <w:rsid w:val="00DD62B3"/>
    <w:rsid w:val="00DD63F6"/>
    <w:rsid w:val="00DD64DA"/>
    <w:rsid w:val="00DD6738"/>
    <w:rsid w:val="00DD68CF"/>
    <w:rsid w:val="00DD69C4"/>
    <w:rsid w:val="00DD6BBA"/>
    <w:rsid w:val="00DD6C8D"/>
    <w:rsid w:val="00DD6F98"/>
    <w:rsid w:val="00DD6FA6"/>
    <w:rsid w:val="00DD74E6"/>
    <w:rsid w:val="00DD763F"/>
    <w:rsid w:val="00DD7781"/>
    <w:rsid w:val="00DD7A43"/>
    <w:rsid w:val="00DE014F"/>
    <w:rsid w:val="00DE017D"/>
    <w:rsid w:val="00DE07C0"/>
    <w:rsid w:val="00DE0816"/>
    <w:rsid w:val="00DE0BDB"/>
    <w:rsid w:val="00DE0BDC"/>
    <w:rsid w:val="00DE0CDD"/>
    <w:rsid w:val="00DE0D1A"/>
    <w:rsid w:val="00DE0F75"/>
    <w:rsid w:val="00DE0FC4"/>
    <w:rsid w:val="00DE138F"/>
    <w:rsid w:val="00DE162A"/>
    <w:rsid w:val="00DE18A7"/>
    <w:rsid w:val="00DE18C1"/>
    <w:rsid w:val="00DE1940"/>
    <w:rsid w:val="00DE1C17"/>
    <w:rsid w:val="00DE1EBB"/>
    <w:rsid w:val="00DE1ECD"/>
    <w:rsid w:val="00DE1F78"/>
    <w:rsid w:val="00DE21BB"/>
    <w:rsid w:val="00DE2604"/>
    <w:rsid w:val="00DE2634"/>
    <w:rsid w:val="00DE27E9"/>
    <w:rsid w:val="00DE29DD"/>
    <w:rsid w:val="00DE2ABC"/>
    <w:rsid w:val="00DE2CA0"/>
    <w:rsid w:val="00DE307A"/>
    <w:rsid w:val="00DE3086"/>
    <w:rsid w:val="00DE32BE"/>
    <w:rsid w:val="00DE367C"/>
    <w:rsid w:val="00DE3800"/>
    <w:rsid w:val="00DE3909"/>
    <w:rsid w:val="00DE3CDE"/>
    <w:rsid w:val="00DE3CDF"/>
    <w:rsid w:val="00DE3DAE"/>
    <w:rsid w:val="00DE3F8A"/>
    <w:rsid w:val="00DE4068"/>
    <w:rsid w:val="00DE407E"/>
    <w:rsid w:val="00DE418B"/>
    <w:rsid w:val="00DE424D"/>
    <w:rsid w:val="00DE42E5"/>
    <w:rsid w:val="00DE4551"/>
    <w:rsid w:val="00DE47BB"/>
    <w:rsid w:val="00DE49EA"/>
    <w:rsid w:val="00DE4BBC"/>
    <w:rsid w:val="00DE4C17"/>
    <w:rsid w:val="00DE4D76"/>
    <w:rsid w:val="00DE4E56"/>
    <w:rsid w:val="00DE51EB"/>
    <w:rsid w:val="00DE5221"/>
    <w:rsid w:val="00DE543F"/>
    <w:rsid w:val="00DE55B1"/>
    <w:rsid w:val="00DE55D1"/>
    <w:rsid w:val="00DE568D"/>
    <w:rsid w:val="00DE5712"/>
    <w:rsid w:val="00DE5804"/>
    <w:rsid w:val="00DE58B5"/>
    <w:rsid w:val="00DE5995"/>
    <w:rsid w:val="00DE59D8"/>
    <w:rsid w:val="00DE5A4C"/>
    <w:rsid w:val="00DE5D17"/>
    <w:rsid w:val="00DE5EF4"/>
    <w:rsid w:val="00DE611A"/>
    <w:rsid w:val="00DE6301"/>
    <w:rsid w:val="00DE633C"/>
    <w:rsid w:val="00DE6422"/>
    <w:rsid w:val="00DE65E3"/>
    <w:rsid w:val="00DE69CF"/>
    <w:rsid w:val="00DE6D04"/>
    <w:rsid w:val="00DE6E0B"/>
    <w:rsid w:val="00DE6EE4"/>
    <w:rsid w:val="00DE7135"/>
    <w:rsid w:val="00DE7290"/>
    <w:rsid w:val="00DE7472"/>
    <w:rsid w:val="00DE7515"/>
    <w:rsid w:val="00DE7896"/>
    <w:rsid w:val="00DE78A8"/>
    <w:rsid w:val="00DE7B19"/>
    <w:rsid w:val="00DE7B61"/>
    <w:rsid w:val="00DE7BEB"/>
    <w:rsid w:val="00DE7CE9"/>
    <w:rsid w:val="00DF0066"/>
    <w:rsid w:val="00DF0127"/>
    <w:rsid w:val="00DF0576"/>
    <w:rsid w:val="00DF0653"/>
    <w:rsid w:val="00DF08C9"/>
    <w:rsid w:val="00DF0A91"/>
    <w:rsid w:val="00DF0BE8"/>
    <w:rsid w:val="00DF0FFF"/>
    <w:rsid w:val="00DF10E5"/>
    <w:rsid w:val="00DF1208"/>
    <w:rsid w:val="00DF1708"/>
    <w:rsid w:val="00DF184D"/>
    <w:rsid w:val="00DF18E6"/>
    <w:rsid w:val="00DF1917"/>
    <w:rsid w:val="00DF1DBD"/>
    <w:rsid w:val="00DF1DE1"/>
    <w:rsid w:val="00DF1E75"/>
    <w:rsid w:val="00DF1EF5"/>
    <w:rsid w:val="00DF2080"/>
    <w:rsid w:val="00DF214B"/>
    <w:rsid w:val="00DF2205"/>
    <w:rsid w:val="00DF26AD"/>
    <w:rsid w:val="00DF2894"/>
    <w:rsid w:val="00DF2AB7"/>
    <w:rsid w:val="00DF2B80"/>
    <w:rsid w:val="00DF3023"/>
    <w:rsid w:val="00DF324F"/>
    <w:rsid w:val="00DF32AD"/>
    <w:rsid w:val="00DF3C85"/>
    <w:rsid w:val="00DF3CC3"/>
    <w:rsid w:val="00DF3D65"/>
    <w:rsid w:val="00DF3DD7"/>
    <w:rsid w:val="00DF43E4"/>
    <w:rsid w:val="00DF44D9"/>
    <w:rsid w:val="00DF4677"/>
    <w:rsid w:val="00DF4B4A"/>
    <w:rsid w:val="00DF4C5F"/>
    <w:rsid w:val="00DF5045"/>
    <w:rsid w:val="00DF505D"/>
    <w:rsid w:val="00DF50DE"/>
    <w:rsid w:val="00DF513E"/>
    <w:rsid w:val="00DF5166"/>
    <w:rsid w:val="00DF52EB"/>
    <w:rsid w:val="00DF571A"/>
    <w:rsid w:val="00DF5776"/>
    <w:rsid w:val="00DF5B0A"/>
    <w:rsid w:val="00DF5CF0"/>
    <w:rsid w:val="00DF5D5C"/>
    <w:rsid w:val="00DF5D91"/>
    <w:rsid w:val="00DF5F35"/>
    <w:rsid w:val="00DF5FEA"/>
    <w:rsid w:val="00DF60CE"/>
    <w:rsid w:val="00DF610D"/>
    <w:rsid w:val="00DF613E"/>
    <w:rsid w:val="00DF620A"/>
    <w:rsid w:val="00DF6296"/>
    <w:rsid w:val="00DF62F3"/>
    <w:rsid w:val="00DF639B"/>
    <w:rsid w:val="00DF63B0"/>
    <w:rsid w:val="00DF6462"/>
    <w:rsid w:val="00DF65A1"/>
    <w:rsid w:val="00DF69C9"/>
    <w:rsid w:val="00DF6AFD"/>
    <w:rsid w:val="00DF6D30"/>
    <w:rsid w:val="00DF6EAF"/>
    <w:rsid w:val="00DF7125"/>
    <w:rsid w:val="00DF748C"/>
    <w:rsid w:val="00DF74CE"/>
    <w:rsid w:val="00DF76D8"/>
    <w:rsid w:val="00DF7D87"/>
    <w:rsid w:val="00DF7E47"/>
    <w:rsid w:val="00DF7EDC"/>
    <w:rsid w:val="00DF7F27"/>
    <w:rsid w:val="00DF7F67"/>
    <w:rsid w:val="00E0004C"/>
    <w:rsid w:val="00E000AB"/>
    <w:rsid w:val="00E002A7"/>
    <w:rsid w:val="00E004A9"/>
    <w:rsid w:val="00E004D7"/>
    <w:rsid w:val="00E0065F"/>
    <w:rsid w:val="00E007FB"/>
    <w:rsid w:val="00E00934"/>
    <w:rsid w:val="00E00D89"/>
    <w:rsid w:val="00E00F6C"/>
    <w:rsid w:val="00E013F2"/>
    <w:rsid w:val="00E014B8"/>
    <w:rsid w:val="00E01588"/>
    <w:rsid w:val="00E01821"/>
    <w:rsid w:val="00E01859"/>
    <w:rsid w:val="00E01A21"/>
    <w:rsid w:val="00E01D9D"/>
    <w:rsid w:val="00E01DE2"/>
    <w:rsid w:val="00E02040"/>
    <w:rsid w:val="00E0227D"/>
    <w:rsid w:val="00E02298"/>
    <w:rsid w:val="00E02538"/>
    <w:rsid w:val="00E02655"/>
    <w:rsid w:val="00E02662"/>
    <w:rsid w:val="00E02F1E"/>
    <w:rsid w:val="00E030C3"/>
    <w:rsid w:val="00E03226"/>
    <w:rsid w:val="00E0328E"/>
    <w:rsid w:val="00E034EF"/>
    <w:rsid w:val="00E03711"/>
    <w:rsid w:val="00E037E2"/>
    <w:rsid w:val="00E039C6"/>
    <w:rsid w:val="00E03A6F"/>
    <w:rsid w:val="00E03E35"/>
    <w:rsid w:val="00E03F5E"/>
    <w:rsid w:val="00E03FDA"/>
    <w:rsid w:val="00E04369"/>
    <w:rsid w:val="00E044B2"/>
    <w:rsid w:val="00E0451D"/>
    <w:rsid w:val="00E0457A"/>
    <w:rsid w:val="00E045A3"/>
    <w:rsid w:val="00E04666"/>
    <w:rsid w:val="00E04745"/>
    <w:rsid w:val="00E04809"/>
    <w:rsid w:val="00E048CB"/>
    <w:rsid w:val="00E0499A"/>
    <w:rsid w:val="00E049C3"/>
    <w:rsid w:val="00E04A06"/>
    <w:rsid w:val="00E04A2B"/>
    <w:rsid w:val="00E04A66"/>
    <w:rsid w:val="00E05051"/>
    <w:rsid w:val="00E0509D"/>
    <w:rsid w:val="00E0512F"/>
    <w:rsid w:val="00E05260"/>
    <w:rsid w:val="00E05468"/>
    <w:rsid w:val="00E05514"/>
    <w:rsid w:val="00E0562E"/>
    <w:rsid w:val="00E0568C"/>
    <w:rsid w:val="00E05ECE"/>
    <w:rsid w:val="00E05ED0"/>
    <w:rsid w:val="00E062E0"/>
    <w:rsid w:val="00E06447"/>
    <w:rsid w:val="00E0680D"/>
    <w:rsid w:val="00E06818"/>
    <w:rsid w:val="00E0681F"/>
    <w:rsid w:val="00E06950"/>
    <w:rsid w:val="00E069C3"/>
    <w:rsid w:val="00E06A55"/>
    <w:rsid w:val="00E06ADE"/>
    <w:rsid w:val="00E06BA6"/>
    <w:rsid w:val="00E06C5A"/>
    <w:rsid w:val="00E06D28"/>
    <w:rsid w:val="00E0711F"/>
    <w:rsid w:val="00E073D8"/>
    <w:rsid w:val="00E0757D"/>
    <w:rsid w:val="00E07C41"/>
    <w:rsid w:val="00E07CA5"/>
    <w:rsid w:val="00E100F6"/>
    <w:rsid w:val="00E105B6"/>
    <w:rsid w:val="00E105D4"/>
    <w:rsid w:val="00E10749"/>
    <w:rsid w:val="00E10DDE"/>
    <w:rsid w:val="00E10E0C"/>
    <w:rsid w:val="00E10EA1"/>
    <w:rsid w:val="00E10FAF"/>
    <w:rsid w:val="00E1129B"/>
    <w:rsid w:val="00E115C0"/>
    <w:rsid w:val="00E119D4"/>
    <w:rsid w:val="00E11F2C"/>
    <w:rsid w:val="00E11F82"/>
    <w:rsid w:val="00E120DE"/>
    <w:rsid w:val="00E1250D"/>
    <w:rsid w:val="00E1297B"/>
    <w:rsid w:val="00E129BD"/>
    <w:rsid w:val="00E12B63"/>
    <w:rsid w:val="00E12BAC"/>
    <w:rsid w:val="00E12F89"/>
    <w:rsid w:val="00E1313F"/>
    <w:rsid w:val="00E133C4"/>
    <w:rsid w:val="00E1343D"/>
    <w:rsid w:val="00E137C3"/>
    <w:rsid w:val="00E13AD4"/>
    <w:rsid w:val="00E13C8D"/>
    <w:rsid w:val="00E13C99"/>
    <w:rsid w:val="00E13EF4"/>
    <w:rsid w:val="00E14337"/>
    <w:rsid w:val="00E1439C"/>
    <w:rsid w:val="00E14477"/>
    <w:rsid w:val="00E1450D"/>
    <w:rsid w:val="00E14789"/>
    <w:rsid w:val="00E148D0"/>
    <w:rsid w:val="00E149EF"/>
    <w:rsid w:val="00E14B0D"/>
    <w:rsid w:val="00E14D63"/>
    <w:rsid w:val="00E14DC9"/>
    <w:rsid w:val="00E14DD0"/>
    <w:rsid w:val="00E15820"/>
    <w:rsid w:val="00E15858"/>
    <w:rsid w:val="00E15913"/>
    <w:rsid w:val="00E15A3C"/>
    <w:rsid w:val="00E15B1B"/>
    <w:rsid w:val="00E15BD7"/>
    <w:rsid w:val="00E161AA"/>
    <w:rsid w:val="00E166D2"/>
    <w:rsid w:val="00E16AEE"/>
    <w:rsid w:val="00E16B0B"/>
    <w:rsid w:val="00E16B2B"/>
    <w:rsid w:val="00E16C40"/>
    <w:rsid w:val="00E16E9A"/>
    <w:rsid w:val="00E16EB6"/>
    <w:rsid w:val="00E16FEC"/>
    <w:rsid w:val="00E170E8"/>
    <w:rsid w:val="00E1715F"/>
    <w:rsid w:val="00E171E8"/>
    <w:rsid w:val="00E17525"/>
    <w:rsid w:val="00E1770E"/>
    <w:rsid w:val="00E17731"/>
    <w:rsid w:val="00E1777C"/>
    <w:rsid w:val="00E1779E"/>
    <w:rsid w:val="00E1781D"/>
    <w:rsid w:val="00E17B5F"/>
    <w:rsid w:val="00E17F9D"/>
    <w:rsid w:val="00E17FB5"/>
    <w:rsid w:val="00E20165"/>
    <w:rsid w:val="00E2023F"/>
    <w:rsid w:val="00E2052F"/>
    <w:rsid w:val="00E2054F"/>
    <w:rsid w:val="00E205C1"/>
    <w:rsid w:val="00E20B1A"/>
    <w:rsid w:val="00E20BCB"/>
    <w:rsid w:val="00E20BE1"/>
    <w:rsid w:val="00E20C72"/>
    <w:rsid w:val="00E20CE3"/>
    <w:rsid w:val="00E20DD0"/>
    <w:rsid w:val="00E20F13"/>
    <w:rsid w:val="00E210E2"/>
    <w:rsid w:val="00E21272"/>
    <w:rsid w:val="00E213EC"/>
    <w:rsid w:val="00E21589"/>
    <w:rsid w:val="00E216EB"/>
    <w:rsid w:val="00E21C89"/>
    <w:rsid w:val="00E21D26"/>
    <w:rsid w:val="00E21D53"/>
    <w:rsid w:val="00E22719"/>
    <w:rsid w:val="00E2272A"/>
    <w:rsid w:val="00E229E6"/>
    <w:rsid w:val="00E22C45"/>
    <w:rsid w:val="00E22F9D"/>
    <w:rsid w:val="00E231DC"/>
    <w:rsid w:val="00E2336D"/>
    <w:rsid w:val="00E233A0"/>
    <w:rsid w:val="00E23470"/>
    <w:rsid w:val="00E2347A"/>
    <w:rsid w:val="00E2358A"/>
    <w:rsid w:val="00E23B6C"/>
    <w:rsid w:val="00E23CB6"/>
    <w:rsid w:val="00E23D8B"/>
    <w:rsid w:val="00E23DC4"/>
    <w:rsid w:val="00E23FFD"/>
    <w:rsid w:val="00E2439B"/>
    <w:rsid w:val="00E246C0"/>
    <w:rsid w:val="00E2495D"/>
    <w:rsid w:val="00E24B9E"/>
    <w:rsid w:val="00E24C7F"/>
    <w:rsid w:val="00E251D4"/>
    <w:rsid w:val="00E252D3"/>
    <w:rsid w:val="00E25324"/>
    <w:rsid w:val="00E2544F"/>
    <w:rsid w:val="00E25506"/>
    <w:rsid w:val="00E2550B"/>
    <w:rsid w:val="00E256A2"/>
    <w:rsid w:val="00E258F5"/>
    <w:rsid w:val="00E25BBE"/>
    <w:rsid w:val="00E25DEE"/>
    <w:rsid w:val="00E26123"/>
    <w:rsid w:val="00E2612E"/>
    <w:rsid w:val="00E262A8"/>
    <w:rsid w:val="00E26564"/>
    <w:rsid w:val="00E27009"/>
    <w:rsid w:val="00E271B4"/>
    <w:rsid w:val="00E273E8"/>
    <w:rsid w:val="00E27416"/>
    <w:rsid w:val="00E27790"/>
    <w:rsid w:val="00E27AC5"/>
    <w:rsid w:val="00E27C3A"/>
    <w:rsid w:val="00E27EC2"/>
    <w:rsid w:val="00E27F30"/>
    <w:rsid w:val="00E27FB0"/>
    <w:rsid w:val="00E30375"/>
    <w:rsid w:val="00E3041D"/>
    <w:rsid w:val="00E306B5"/>
    <w:rsid w:val="00E3077F"/>
    <w:rsid w:val="00E30789"/>
    <w:rsid w:val="00E30BD5"/>
    <w:rsid w:val="00E31164"/>
    <w:rsid w:val="00E313B5"/>
    <w:rsid w:val="00E31475"/>
    <w:rsid w:val="00E316BD"/>
    <w:rsid w:val="00E31D39"/>
    <w:rsid w:val="00E31E15"/>
    <w:rsid w:val="00E31E9E"/>
    <w:rsid w:val="00E31F47"/>
    <w:rsid w:val="00E31F59"/>
    <w:rsid w:val="00E32026"/>
    <w:rsid w:val="00E3203F"/>
    <w:rsid w:val="00E32263"/>
    <w:rsid w:val="00E322D7"/>
    <w:rsid w:val="00E323D3"/>
    <w:rsid w:val="00E324C7"/>
    <w:rsid w:val="00E32589"/>
    <w:rsid w:val="00E325EB"/>
    <w:rsid w:val="00E3267F"/>
    <w:rsid w:val="00E326F7"/>
    <w:rsid w:val="00E32765"/>
    <w:rsid w:val="00E327FA"/>
    <w:rsid w:val="00E32B05"/>
    <w:rsid w:val="00E32B31"/>
    <w:rsid w:val="00E32B71"/>
    <w:rsid w:val="00E32BAE"/>
    <w:rsid w:val="00E32E4E"/>
    <w:rsid w:val="00E33298"/>
    <w:rsid w:val="00E33540"/>
    <w:rsid w:val="00E335E3"/>
    <w:rsid w:val="00E3367F"/>
    <w:rsid w:val="00E336A0"/>
    <w:rsid w:val="00E337F3"/>
    <w:rsid w:val="00E339A0"/>
    <w:rsid w:val="00E33AEC"/>
    <w:rsid w:val="00E33C75"/>
    <w:rsid w:val="00E33E98"/>
    <w:rsid w:val="00E33F52"/>
    <w:rsid w:val="00E341E4"/>
    <w:rsid w:val="00E346ED"/>
    <w:rsid w:val="00E347D0"/>
    <w:rsid w:val="00E349AD"/>
    <w:rsid w:val="00E34AB4"/>
    <w:rsid w:val="00E34F05"/>
    <w:rsid w:val="00E3505D"/>
    <w:rsid w:val="00E350C7"/>
    <w:rsid w:val="00E351BA"/>
    <w:rsid w:val="00E353F5"/>
    <w:rsid w:val="00E35418"/>
    <w:rsid w:val="00E354B0"/>
    <w:rsid w:val="00E356B0"/>
    <w:rsid w:val="00E3572A"/>
    <w:rsid w:val="00E35A1B"/>
    <w:rsid w:val="00E35B41"/>
    <w:rsid w:val="00E360EF"/>
    <w:rsid w:val="00E362C2"/>
    <w:rsid w:val="00E3630D"/>
    <w:rsid w:val="00E36330"/>
    <w:rsid w:val="00E36566"/>
    <w:rsid w:val="00E3657A"/>
    <w:rsid w:val="00E36675"/>
    <w:rsid w:val="00E3669B"/>
    <w:rsid w:val="00E3670E"/>
    <w:rsid w:val="00E367AB"/>
    <w:rsid w:val="00E36A8A"/>
    <w:rsid w:val="00E36B48"/>
    <w:rsid w:val="00E36C49"/>
    <w:rsid w:val="00E36C78"/>
    <w:rsid w:val="00E36CAE"/>
    <w:rsid w:val="00E36CEA"/>
    <w:rsid w:val="00E37983"/>
    <w:rsid w:val="00E37A7F"/>
    <w:rsid w:val="00E37CE6"/>
    <w:rsid w:val="00E37DD6"/>
    <w:rsid w:val="00E4032A"/>
    <w:rsid w:val="00E405DD"/>
    <w:rsid w:val="00E40670"/>
    <w:rsid w:val="00E40A3E"/>
    <w:rsid w:val="00E40C91"/>
    <w:rsid w:val="00E40FC0"/>
    <w:rsid w:val="00E4105B"/>
    <w:rsid w:val="00E4114A"/>
    <w:rsid w:val="00E415B8"/>
    <w:rsid w:val="00E416BB"/>
    <w:rsid w:val="00E41A6B"/>
    <w:rsid w:val="00E41CDB"/>
    <w:rsid w:val="00E41E2D"/>
    <w:rsid w:val="00E42124"/>
    <w:rsid w:val="00E4219E"/>
    <w:rsid w:val="00E42361"/>
    <w:rsid w:val="00E4238B"/>
    <w:rsid w:val="00E42871"/>
    <w:rsid w:val="00E42A47"/>
    <w:rsid w:val="00E42AE0"/>
    <w:rsid w:val="00E42B89"/>
    <w:rsid w:val="00E42CC2"/>
    <w:rsid w:val="00E43257"/>
    <w:rsid w:val="00E43361"/>
    <w:rsid w:val="00E433CC"/>
    <w:rsid w:val="00E43404"/>
    <w:rsid w:val="00E437C7"/>
    <w:rsid w:val="00E43B50"/>
    <w:rsid w:val="00E43DC0"/>
    <w:rsid w:val="00E43FA5"/>
    <w:rsid w:val="00E4429B"/>
    <w:rsid w:val="00E442E4"/>
    <w:rsid w:val="00E4435E"/>
    <w:rsid w:val="00E4447F"/>
    <w:rsid w:val="00E444BB"/>
    <w:rsid w:val="00E44753"/>
    <w:rsid w:val="00E44BAD"/>
    <w:rsid w:val="00E44C13"/>
    <w:rsid w:val="00E44DEA"/>
    <w:rsid w:val="00E44E36"/>
    <w:rsid w:val="00E45002"/>
    <w:rsid w:val="00E45096"/>
    <w:rsid w:val="00E45370"/>
    <w:rsid w:val="00E4550C"/>
    <w:rsid w:val="00E459A6"/>
    <w:rsid w:val="00E45A4C"/>
    <w:rsid w:val="00E45AC7"/>
    <w:rsid w:val="00E45B5B"/>
    <w:rsid w:val="00E45BF6"/>
    <w:rsid w:val="00E45C49"/>
    <w:rsid w:val="00E45C69"/>
    <w:rsid w:val="00E45E42"/>
    <w:rsid w:val="00E45E8B"/>
    <w:rsid w:val="00E465EC"/>
    <w:rsid w:val="00E46965"/>
    <w:rsid w:val="00E46B61"/>
    <w:rsid w:val="00E46FDB"/>
    <w:rsid w:val="00E47032"/>
    <w:rsid w:val="00E470C5"/>
    <w:rsid w:val="00E472D6"/>
    <w:rsid w:val="00E4756D"/>
    <w:rsid w:val="00E475AA"/>
    <w:rsid w:val="00E4773C"/>
    <w:rsid w:val="00E477DE"/>
    <w:rsid w:val="00E478BE"/>
    <w:rsid w:val="00E47B42"/>
    <w:rsid w:val="00E47B89"/>
    <w:rsid w:val="00E47C6F"/>
    <w:rsid w:val="00E47C70"/>
    <w:rsid w:val="00E47DBF"/>
    <w:rsid w:val="00E47DC8"/>
    <w:rsid w:val="00E47DFD"/>
    <w:rsid w:val="00E500EB"/>
    <w:rsid w:val="00E50256"/>
    <w:rsid w:val="00E50383"/>
    <w:rsid w:val="00E50410"/>
    <w:rsid w:val="00E504D6"/>
    <w:rsid w:val="00E50ABF"/>
    <w:rsid w:val="00E50C15"/>
    <w:rsid w:val="00E50C2A"/>
    <w:rsid w:val="00E50D99"/>
    <w:rsid w:val="00E50E4C"/>
    <w:rsid w:val="00E50E5A"/>
    <w:rsid w:val="00E51190"/>
    <w:rsid w:val="00E511D3"/>
    <w:rsid w:val="00E513B6"/>
    <w:rsid w:val="00E517C8"/>
    <w:rsid w:val="00E51B30"/>
    <w:rsid w:val="00E51CCC"/>
    <w:rsid w:val="00E51F32"/>
    <w:rsid w:val="00E520D8"/>
    <w:rsid w:val="00E521C6"/>
    <w:rsid w:val="00E522F2"/>
    <w:rsid w:val="00E524D4"/>
    <w:rsid w:val="00E5268C"/>
    <w:rsid w:val="00E5269E"/>
    <w:rsid w:val="00E52889"/>
    <w:rsid w:val="00E52979"/>
    <w:rsid w:val="00E52B3F"/>
    <w:rsid w:val="00E52B8A"/>
    <w:rsid w:val="00E52E18"/>
    <w:rsid w:val="00E52E40"/>
    <w:rsid w:val="00E52E78"/>
    <w:rsid w:val="00E52EE4"/>
    <w:rsid w:val="00E52FA9"/>
    <w:rsid w:val="00E530C2"/>
    <w:rsid w:val="00E5329F"/>
    <w:rsid w:val="00E534AE"/>
    <w:rsid w:val="00E53883"/>
    <w:rsid w:val="00E53A3D"/>
    <w:rsid w:val="00E53CA8"/>
    <w:rsid w:val="00E53E56"/>
    <w:rsid w:val="00E53FD1"/>
    <w:rsid w:val="00E541F3"/>
    <w:rsid w:val="00E54604"/>
    <w:rsid w:val="00E5487C"/>
    <w:rsid w:val="00E54CF9"/>
    <w:rsid w:val="00E54D9D"/>
    <w:rsid w:val="00E55106"/>
    <w:rsid w:val="00E55181"/>
    <w:rsid w:val="00E551A5"/>
    <w:rsid w:val="00E55419"/>
    <w:rsid w:val="00E555DD"/>
    <w:rsid w:val="00E5567F"/>
    <w:rsid w:val="00E557FF"/>
    <w:rsid w:val="00E55808"/>
    <w:rsid w:val="00E55883"/>
    <w:rsid w:val="00E5597D"/>
    <w:rsid w:val="00E55C02"/>
    <w:rsid w:val="00E55DCD"/>
    <w:rsid w:val="00E55F80"/>
    <w:rsid w:val="00E56059"/>
    <w:rsid w:val="00E568D9"/>
    <w:rsid w:val="00E56979"/>
    <w:rsid w:val="00E56B40"/>
    <w:rsid w:val="00E57459"/>
    <w:rsid w:val="00E5782F"/>
    <w:rsid w:val="00E57CE0"/>
    <w:rsid w:val="00E57D74"/>
    <w:rsid w:val="00E60308"/>
    <w:rsid w:val="00E60766"/>
    <w:rsid w:val="00E608E4"/>
    <w:rsid w:val="00E60ADE"/>
    <w:rsid w:val="00E60B21"/>
    <w:rsid w:val="00E60DDE"/>
    <w:rsid w:val="00E60E2B"/>
    <w:rsid w:val="00E61142"/>
    <w:rsid w:val="00E61177"/>
    <w:rsid w:val="00E6130E"/>
    <w:rsid w:val="00E613D8"/>
    <w:rsid w:val="00E61507"/>
    <w:rsid w:val="00E61609"/>
    <w:rsid w:val="00E6191F"/>
    <w:rsid w:val="00E61AC0"/>
    <w:rsid w:val="00E61C34"/>
    <w:rsid w:val="00E61C81"/>
    <w:rsid w:val="00E61EFF"/>
    <w:rsid w:val="00E61F41"/>
    <w:rsid w:val="00E62055"/>
    <w:rsid w:val="00E620D5"/>
    <w:rsid w:val="00E62177"/>
    <w:rsid w:val="00E621D2"/>
    <w:rsid w:val="00E62553"/>
    <w:rsid w:val="00E627AF"/>
    <w:rsid w:val="00E6297C"/>
    <w:rsid w:val="00E629A9"/>
    <w:rsid w:val="00E62A54"/>
    <w:rsid w:val="00E62B8B"/>
    <w:rsid w:val="00E62C3E"/>
    <w:rsid w:val="00E62E6A"/>
    <w:rsid w:val="00E62F93"/>
    <w:rsid w:val="00E62FED"/>
    <w:rsid w:val="00E630EF"/>
    <w:rsid w:val="00E6355B"/>
    <w:rsid w:val="00E63614"/>
    <w:rsid w:val="00E636ED"/>
    <w:rsid w:val="00E6384A"/>
    <w:rsid w:val="00E63991"/>
    <w:rsid w:val="00E63C8F"/>
    <w:rsid w:val="00E64138"/>
    <w:rsid w:val="00E641EA"/>
    <w:rsid w:val="00E6444F"/>
    <w:rsid w:val="00E64505"/>
    <w:rsid w:val="00E645DC"/>
    <w:rsid w:val="00E6481A"/>
    <w:rsid w:val="00E64ACE"/>
    <w:rsid w:val="00E64C16"/>
    <w:rsid w:val="00E64D1A"/>
    <w:rsid w:val="00E64DFC"/>
    <w:rsid w:val="00E64F55"/>
    <w:rsid w:val="00E6500A"/>
    <w:rsid w:val="00E650AF"/>
    <w:rsid w:val="00E652A3"/>
    <w:rsid w:val="00E65350"/>
    <w:rsid w:val="00E654CE"/>
    <w:rsid w:val="00E65782"/>
    <w:rsid w:val="00E65CBE"/>
    <w:rsid w:val="00E65D10"/>
    <w:rsid w:val="00E65FD9"/>
    <w:rsid w:val="00E66217"/>
    <w:rsid w:val="00E663B3"/>
    <w:rsid w:val="00E66448"/>
    <w:rsid w:val="00E66453"/>
    <w:rsid w:val="00E666C2"/>
    <w:rsid w:val="00E66A57"/>
    <w:rsid w:val="00E66ED0"/>
    <w:rsid w:val="00E67310"/>
    <w:rsid w:val="00E679DF"/>
    <w:rsid w:val="00E67B28"/>
    <w:rsid w:val="00E67BFB"/>
    <w:rsid w:val="00E67C57"/>
    <w:rsid w:val="00E67F1E"/>
    <w:rsid w:val="00E67F3C"/>
    <w:rsid w:val="00E67F5E"/>
    <w:rsid w:val="00E70025"/>
    <w:rsid w:val="00E7053B"/>
    <w:rsid w:val="00E7088E"/>
    <w:rsid w:val="00E708F4"/>
    <w:rsid w:val="00E70914"/>
    <w:rsid w:val="00E70ABB"/>
    <w:rsid w:val="00E70CD4"/>
    <w:rsid w:val="00E70DF0"/>
    <w:rsid w:val="00E70F2E"/>
    <w:rsid w:val="00E70FE1"/>
    <w:rsid w:val="00E71027"/>
    <w:rsid w:val="00E711B5"/>
    <w:rsid w:val="00E711EB"/>
    <w:rsid w:val="00E7142F"/>
    <w:rsid w:val="00E71867"/>
    <w:rsid w:val="00E718F1"/>
    <w:rsid w:val="00E71CD1"/>
    <w:rsid w:val="00E71E8A"/>
    <w:rsid w:val="00E71FA1"/>
    <w:rsid w:val="00E724DA"/>
    <w:rsid w:val="00E7270F"/>
    <w:rsid w:val="00E72ED8"/>
    <w:rsid w:val="00E72F70"/>
    <w:rsid w:val="00E72FE7"/>
    <w:rsid w:val="00E731DC"/>
    <w:rsid w:val="00E7321C"/>
    <w:rsid w:val="00E73258"/>
    <w:rsid w:val="00E73306"/>
    <w:rsid w:val="00E73460"/>
    <w:rsid w:val="00E737A0"/>
    <w:rsid w:val="00E73BBA"/>
    <w:rsid w:val="00E73E3B"/>
    <w:rsid w:val="00E73F49"/>
    <w:rsid w:val="00E73F60"/>
    <w:rsid w:val="00E74551"/>
    <w:rsid w:val="00E745B1"/>
    <w:rsid w:val="00E74813"/>
    <w:rsid w:val="00E74A9C"/>
    <w:rsid w:val="00E74E0E"/>
    <w:rsid w:val="00E74F81"/>
    <w:rsid w:val="00E74FF8"/>
    <w:rsid w:val="00E75014"/>
    <w:rsid w:val="00E751DE"/>
    <w:rsid w:val="00E75310"/>
    <w:rsid w:val="00E75730"/>
    <w:rsid w:val="00E759AF"/>
    <w:rsid w:val="00E75A27"/>
    <w:rsid w:val="00E75A7E"/>
    <w:rsid w:val="00E75B24"/>
    <w:rsid w:val="00E75F0F"/>
    <w:rsid w:val="00E75FB5"/>
    <w:rsid w:val="00E76295"/>
    <w:rsid w:val="00E7631D"/>
    <w:rsid w:val="00E76464"/>
    <w:rsid w:val="00E76590"/>
    <w:rsid w:val="00E765F2"/>
    <w:rsid w:val="00E7675F"/>
    <w:rsid w:val="00E76F92"/>
    <w:rsid w:val="00E7719D"/>
    <w:rsid w:val="00E77589"/>
    <w:rsid w:val="00E77736"/>
    <w:rsid w:val="00E778E8"/>
    <w:rsid w:val="00E778EB"/>
    <w:rsid w:val="00E77940"/>
    <w:rsid w:val="00E7794F"/>
    <w:rsid w:val="00E77B69"/>
    <w:rsid w:val="00E77CCD"/>
    <w:rsid w:val="00E80426"/>
    <w:rsid w:val="00E806F7"/>
    <w:rsid w:val="00E80758"/>
    <w:rsid w:val="00E807EE"/>
    <w:rsid w:val="00E80A6F"/>
    <w:rsid w:val="00E80DC4"/>
    <w:rsid w:val="00E811D0"/>
    <w:rsid w:val="00E81209"/>
    <w:rsid w:val="00E81249"/>
    <w:rsid w:val="00E8167A"/>
    <w:rsid w:val="00E81823"/>
    <w:rsid w:val="00E81926"/>
    <w:rsid w:val="00E81990"/>
    <w:rsid w:val="00E81A53"/>
    <w:rsid w:val="00E81A79"/>
    <w:rsid w:val="00E81BAA"/>
    <w:rsid w:val="00E81D28"/>
    <w:rsid w:val="00E81D30"/>
    <w:rsid w:val="00E81F80"/>
    <w:rsid w:val="00E824A0"/>
    <w:rsid w:val="00E82513"/>
    <w:rsid w:val="00E827AB"/>
    <w:rsid w:val="00E82B24"/>
    <w:rsid w:val="00E82EA8"/>
    <w:rsid w:val="00E831AE"/>
    <w:rsid w:val="00E832B7"/>
    <w:rsid w:val="00E8381C"/>
    <w:rsid w:val="00E8388C"/>
    <w:rsid w:val="00E838B6"/>
    <w:rsid w:val="00E83988"/>
    <w:rsid w:val="00E83A49"/>
    <w:rsid w:val="00E83D52"/>
    <w:rsid w:val="00E83FD2"/>
    <w:rsid w:val="00E841D5"/>
    <w:rsid w:val="00E842F6"/>
    <w:rsid w:val="00E845F8"/>
    <w:rsid w:val="00E847BB"/>
    <w:rsid w:val="00E84937"/>
    <w:rsid w:val="00E84A0E"/>
    <w:rsid w:val="00E85305"/>
    <w:rsid w:val="00E8543E"/>
    <w:rsid w:val="00E854EF"/>
    <w:rsid w:val="00E85518"/>
    <w:rsid w:val="00E85544"/>
    <w:rsid w:val="00E8571A"/>
    <w:rsid w:val="00E857F3"/>
    <w:rsid w:val="00E85826"/>
    <w:rsid w:val="00E85A14"/>
    <w:rsid w:val="00E85AFA"/>
    <w:rsid w:val="00E85B28"/>
    <w:rsid w:val="00E85C17"/>
    <w:rsid w:val="00E85CAE"/>
    <w:rsid w:val="00E85DDC"/>
    <w:rsid w:val="00E85F92"/>
    <w:rsid w:val="00E85FD1"/>
    <w:rsid w:val="00E8604A"/>
    <w:rsid w:val="00E86180"/>
    <w:rsid w:val="00E86578"/>
    <w:rsid w:val="00E86735"/>
    <w:rsid w:val="00E867EE"/>
    <w:rsid w:val="00E86D18"/>
    <w:rsid w:val="00E86D55"/>
    <w:rsid w:val="00E87187"/>
    <w:rsid w:val="00E87440"/>
    <w:rsid w:val="00E874DC"/>
    <w:rsid w:val="00E87731"/>
    <w:rsid w:val="00E87870"/>
    <w:rsid w:val="00E8789A"/>
    <w:rsid w:val="00E87A37"/>
    <w:rsid w:val="00E87D17"/>
    <w:rsid w:val="00E87F01"/>
    <w:rsid w:val="00E90099"/>
    <w:rsid w:val="00E9024F"/>
    <w:rsid w:val="00E9039E"/>
    <w:rsid w:val="00E903BA"/>
    <w:rsid w:val="00E9040E"/>
    <w:rsid w:val="00E906BF"/>
    <w:rsid w:val="00E90ADA"/>
    <w:rsid w:val="00E90D59"/>
    <w:rsid w:val="00E91043"/>
    <w:rsid w:val="00E91182"/>
    <w:rsid w:val="00E9118E"/>
    <w:rsid w:val="00E91254"/>
    <w:rsid w:val="00E917CC"/>
    <w:rsid w:val="00E91E21"/>
    <w:rsid w:val="00E91E73"/>
    <w:rsid w:val="00E9208A"/>
    <w:rsid w:val="00E92354"/>
    <w:rsid w:val="00E92628"/>
    <w:rsid w:val="00E92835"/>
    <w:rsid w:val="00E9289B"/>
    <w:rsid w:val="00E92CEE"/>
    <w:rsid w:val="00E92D5B"/>
    <w:rsid w:val="00E92FCC"/>
    <w:rsid w:val="00E9399E"/>
    <w:rsid w:val="00E93A1F"/>
    <w:rsid w:val="00E93A2A"/>
    <w:rsid w:val="00E93ACB"/>
    <w:rsid w:val="00E93E64"/>
    <w:rsid w:val="00E93F54"/>
    <w:rsid w:val="00E9415E"/>
    <w:rsid w:val="00E942DA"/>
    <w:rsid w:val="00E943E5"/>
    <w:rsid w:val="00E94438"/>
    <w:rsid w:val="00E948F9"/>
    <w:rsid w:val="00E94B70"/>
    <w:rsid w:val="00E94BFB"/>
    <w:rsid w:val="00E94D08"/>
    <w:rsid w:val="00E94D52"/>
    <w:rsid w:val="00E94D98"/>
    <w:rsid w:val="00E94FBF"/>
    <w:rsid w:val="00E95121"/>
    <w:rsid w:val="00E95193"/>
    <w:rsid w:val="00E951DC"/>
    <w:rsid w:val="00E95522"/>
    <w:rsid w:val="00E95BAB"/>
    <w:rsid w:val="00E95EDA"/>
    <w:rsid w:val="00E95F90"/>
    <w:rsid w:val="00E9622E"/>
    <w:rsid w:val="00E9628E"/>
    <w:rsid w:val="00E962F3"/>
    <w:rsid w:val="00E963A1"/>
    <w:rsid w:val="00E964C7"/>
    <w:rsid w:val="00E964F4"/>
    <w:rsid w:val="00E96837"/>
    <w:rsid w:val="00E96A88"/>
    <w:rsid w:val="00E96C62"/>
    <w:rsid w:val="00E96D40"/>
    <w:rsid w:val="00E96DB5"/>
    <w:rsid w:val="00E96DD8"/>
    <w:rsid w:val="00E97088"/>
    <w:rsid w:val="00E971D8"/>
    <w:rsid w:val="00E972D3"/>
    <w:rsid w:val="00E97303"/>
    <w:rsid w:val="00E976EF"/>
    <w:rsid w:val="00E9784A"/>
    <w:rsid w:val="00E97A6B"/>
    <w:rsid w:val="00E97D1D"/>
    <w:rsid w:val="00E97DB6"/>
    <w:rsid w:val="00E97F74"/>
    <w:rsid w:val="00EA03FA"/>
    <w:rsid w:val="00EA08F1"/>
    <w:rsid w:val="00EA131C"/>
    <w:rsid w:val="00EA142B"/>
    <w:rsid w:val="00EA1476"/>
    <w:rsid w:val="00EA1D06"/>
    <w:rsid w:val="00EA1F03"/>
    <w:rsid w:val="00EA21FB"/>
    <w:rsid w:val="00EA2407"/>
    <w:rsid w:val="00EA2483"/>
    <w:rsid w:val="00EA24DC"/>
    <w:rsid w:val="00EA2717"/>
    <w:rsid w:val="00EA27DB"/>
    <w:rsid w:val="00EA2846"/>
    <w:rsid w:val="00EA28F1"/>
    <w:rsid w:val="00EA2A3B"/>
    <w:rsid w:val="00EA2E73"/>
    <w:rsid w:val="00EA30F3"/>
    <w:rsid w:val="00EA31B5"/>
    <w:rsid w:val="00EA31FA"/>
    <w:rsid w:val="00EA3288"/>
    <w:rsid w:val="00EA356E"/>
    <w:rsid w:val="00EA3774"/>
    <w:rsid w:val="00EA394F"/>
    <w:rsid w:val="00EA39AA"/>
    <w:rsid w:val="00EA3BA7"/>
    <w:rsid w:val="00EA3D79"/>
    <w:rsid w:val="00EA3E4A"/>
    <w:rsid w:val="00EA43AB"/>
    <w:rsid w:val="00EA4500"/>
    <w:rsid w:val="00EA4814"/>
    <w:rsid w:val="00EA4AD9"/>
    <w:rsid w:val="00EA4C85"/>
    <w:rsid w:val="00EA4D4C"/>
    <w:rsid w:val="00EA4FC2"/>
    <w:rsid w:val="00EA5540"/>
    <w:rsid w:val="00EA580A"/>
    <w:rsid w:val="00EA5A48"/>
    <w:rsid w:val="00EA5A7B"/>
    <w:rsid w:val="00EA638A"/>
    <w:rsid w:val="00EA6419"/>
    <w:rsid w:val="00EA65B5"/>
    <w:rsid w:val="00EA6650"/>
    <w:rsid w:val="00EA684F"/>
    <w:rsid w:val="00EA690C"/>
    <w:rsid w:val="00EA699F"/>
    <w:rsid w:val="00EA6AB2"/>
    <w:rsid w:val="00EA6B4A"/>
    <w:rsid w:val="00EA6C51"/>
    <w:rsid w:val="00EA6E0A"/>
    <w:rsid w:val="00EA6E65"/>
    <w:rsid w:val="00EA7004"/>
    <w:rsid w:val="00EA723B"/>
    <w:rsid w:val="00EA745D"/>
    <w:rsid w:val="00EA7599"/>
    <w:rsid w:val="00EA7667"/>
    <w:rsid w:val="00EA7672"/>
    <w:rsid w:val="00EA76A1"/>
    <w:rsid w:val="00EA7DD1"/>
    <w:rsid w:val="00EA7E27"/>
    <w:rsid w:val="00EA7E64"/>
    <w:rsid w:val="00EA7F5E"/>
    <w:rsid w:val="00EB058E"/>
    <w:rsid w:val="00EB061A"/>
    <w:rsid w:val="00EB0750"/>
    <w:rsid w:val="00EB08BA"/>
    <w:rsid w:val="00EB09CA"/>
    <w:rsid w:val="00EB09F4"/>
    <w:rsid w:val="00EB0B1D"/>
    <w:rsid w:val="00EB0C80"/>
    <w:rsid w:val="00EB0F1E"/>
    <w:rsid w:val="00EB10F9"/>
    <w:rsid w:val="00EB114C"/>
    <w:rsid w:val="00EB1320"/>
    <w:rsid w:val="00EB156F"/>
    <w:rsid w:val="00EB15C5"/>
    <w:rsid w:val="00EB16F5"/>
    <w:rsid w:val="00EB185E"/>
    <w:rsid w:val="00EB1910"/>
    <w:rsid w:val="00EB1AD9"/>
    <w:rsid w:val="00EB1B0A"/>
    <w:rsid w:val="00EB1B2C"/>
    <w:rsid w:val="00EB1C5B"/>
    <w:rsid w:val="00EB230F"/>
    <w:rsid w:val="00EB256E"/>
    <w:rsid w:val="00EB2637"/>
    <w:rsid w:val="00EB2890"/>
    <w:rsid w:val="00EB28E2"/>
    <w:rsid w:val="00EB29A1"/>
    <w:rsid w:val="00EB2A4C"/>
    <w:rsid w:val="00EB2C5C"/>
    <w:rsid w:val="00EB2F37"/>
    <w:rsid w:val="00EB2F77"/>
    <w:rsid w:val="00EB317B"/>
    <w:rsid w:val="00EB33F6"/>
    <w:rsid w:val="00EB3553"/>
    <w:rsid w:val="00EB356A"/>
    <w:rsid w:val="00EB3B2E"/>
    <w:rsid w:val="00EB3D20"/>
    <w:rsid w:val="00EB3E45"/>
    <w:rsid w:val="00EB4227"/>
    <w:rsid w:val="00EB42C2"/>
    <w:rsid w:val="00EB42F6"/>
    <w:rsid w:val="00EB43AC"/>
    <w:rsid w:val="00EB444A"/>
    <w:rsid w:val="00EB4469"/>
    <w:rsid w:val="00EB45E0"/>
    <w:rsid w:val="00EB475A"/>
    <w:rsid w:val="00EB4A6A"/>
    <w:rsid w:val="00EB4CB1"/>
    <w:rsid w:val="00EB50DA"/>
    <w:rsid w:val="00EB529C"/>
    <w:rsid w:val="00EB52BA"/>
    <w:rsid w:val="00EB566F"/>
    <w:rsid w:val="00EB56CA"/>
    <w:rsid w:val="00EB5833"/>
    <w:rsid w:val="00EB5C81"/>
    <w:rsid w:val="00EB6131"/>
    <w:rsid w:val="00EB617D"/>
    <w:rsid w:val="00EB641F"/>
    <w:rsid w:val="00EB6635"/>
    <w:rsid w:val="00EB663D"/>
    <w:rsid w:val="00EB66A7"/>
    <w:rsid w:val="00EB683A"/>
    <w:rsid w:val="00EB6BF1"/>
    <w:rsid w:val="00EB6D8C"/>
    <w:rsid w:val="00EB6DF5"/>
    <w:rsid w:val="00EB6F56"/>
    <w:rsid w:val="00EB6FA3"/>
    <w:rsid w:val="00EB70A1"/>
    <w:rsid w:val="00EB72CE"/>
    <w:rsid w:val="00EB761E"/>
    <w:rsid w:val="00EB76C2"/>
    <w:rsid w:val="00EB7790"/>
    <w:rsid w:val="00EB7B7A"/>
    <w:rsid w:val="00EB7C3D"/>
    <w:rsid w:val="00EB7C71"/>
    <w:rsid w:val="00EB7CAA"/>
    <w:rsid w:val="00EB7D2A"/>
    <w:rsid w:val="00EB7E11"/>
    <w:rsid w:val="00EC0104"/>
    <w:rsid w:val="00EC020B"/>
    <w:rsid w:val="00EC0378"/>
    <w:rsid w:val="00EC04C7"/>
    <w:rsid w:val="00EC04F5"/>
    <w:rsid w:val="00EC0546"/>
    <w:rsid w:val="00EC0604"/>
    <w:rsid w:val="00EC06F6"/>
    <w:rsid w:val="00EC07D1"/>
    <w:rsid w:val="00EC0842"/>
    <w:rsid w:val="00EC0A9B"/>
    <w:rsid w:val="00EC0DCE"/>
    <w:rsid w:val="00EC0FF3"/>
    <w:rsid w:val="00EC1253"/>
    <w:rsid w:val="00EC16DA"/>
    <w:rsid w:val="00EC18D5"/>
    <w:rsid w:val="00EC199D"/>
    <w:rsid w:val="00EC1C9F"/>
    <w:rsid w:val="00EC202C"/>
    <w:rsid w:val="00EC2125"/>
    <w:rsid w:val="00EC23F3"/>
    <w:rsid w:val="00EC2653"/>
    <w:rsid w:val="00EC2A33"/>
    <w:rsid w:val="00EC2A7A"/>
    <w:rsid w:val="00EC2CF6"/>
    <w:rsid w:val="00EC2E11"/>
    <w:rsid w:val="00EC2F71"/>
    <w:rsid w:val="00EC304E"/>
    <w:rsid w:val="00EC30A9"/>
    <w:rsid w:val="00EC30CD"/>
    <w:rsid w:val="00EC314D"/>
    <w:rsid w:val="00EC3156"/>
    <w:rsid w:val="00EC31BB"/>
    <w:rsid w:val="00EC34F7"/>
    <w:rsid w:val="00EC368B"/>
    <w:rsid w:val="00EC36D6"/>
    <w:rsid w:val="00EC3733"/>
    <w:rsid w:val="00EC3773"/>
    <w:rsid w:val="00EC37A6"/>
    <w:rsid w:val="00EC3A35"/>
    <w:rsid w:val="00EC3DAB"/>
    <w:rsid w:val="00EC40FE"/>
    <w:rsid w:val="00EC411D"/>
    <w:rsid w:val="00EC41C6"/>
    <w:rsid w:val="00EC41DD"/>
    <w:rsid w:val="00EC42A1"/>
    <w:rsid w:val="00EC4314"/>
    <w:rsid w:val="00EC431B"/>
    <w:rsid w:val="00EC452A"/>
    <w:rsid w:val="00EC4714"/>
    <w:rsid w:val="00EC497C"/>
    <w:rsid w:val="00EC4B07"/>
    <w:rsid w:val="00EC4C5C"/>
    <w:rsid w:val="00EC4EE5"/>
    <w:rsid w:val="00EC5040"/>
    <w:rsid w:val="00EC52B0"/>
    <w:rsid w:val="00EC56EB"/>
    <w:rsid w:val="00EC5805"/>
    <w:rsid w:val="00EC5816"/>
    <w:rsid w:val="00EC585B"/>
    <w:rsid w:val="00EC5900"/>
    <w:rsid w:val="00EC5997"/>
    <w:rsid w:val="00EC5AE1"/>
    <w:rsid w:val="00EC5AFB"/>
    <w:rsid w:val="00EC5B57"/>
    <w:rsid w:val="00EC5D3F"/>
    <w:rsid w:val="00EC5DC7"/>
    <w:rsid w:val="00EC5E46"/>
    <w:rsid w:val="00EC623E"/>
    <w:rsid w:val="00EC6252"/>
    <w:rsid w:val="00EC63EB"/>
    <w:rsid w:val="00EC65C4"/>
    <w:rsid w:val="00EC6B0D"/>
    <w:rsid w:val="00EC6C37"/>
    <w:rsid w:val="00EC6D08"/>
    <w:rsid w:val="00EC6EAC"/>
    <w:rsid w:val="00EC6EDF"/>
    <w:rsid w:val="00EC7246"/>
    <w:rsid w:val="00EC7490"/>
    <w:rsid w:val="00EC753A"/>
    <w:rsid w:val="00EC7754"/>
    <w:rsid w:val="00EC77DD"/>
    <w:rsid w:val="00EC781A"/>
    <w:rsid w:val="00EC789E"/>
    <w:rsid w:val="00EC7A21"/>
    <w:rsid w:val="00EC7B1E"/>
    <w:rsid w:val="00EC7BA4"/>
    <w:rsid w:val="00EC7EBD"/>
    <w:rsid w:val="00EC7FC6"/>
    <w:rsid w:val="00EC7FC9"/>
    <w:rsid w:val="00ED0062"/>
    <w:rsid w:val="00ED0122"/>
    <w:rsid w:val="00ED01F7"/>
    <w:rsid w:val="00ED02C6"/>
    <w:rsid w:val="00ED07D8"/>
    <w:rsid w:val="00ED0810"/>
    <w:rsid w:val="00ED0836"/>
    <w:rsid w:val="00ED0A26"/>
    <w:rsid w:val="00ED0F6D"/>
    <w:rsid w:val="00ED10F5"/>
    <w:rsid w:val="00ED1413"/>
    <w:rsid w:val="00ED15FB"/>
    <w:rsid w:val="00ED16B6"/>
    <w:rsid w:val="00ED1732"/>
    <w:rsid w:val="00ED1AFA"/>
    <w:rsid w:val="00ED1B2B"/>
    <w:rsid w:val="00ED2039"/>
    <w:rsid w:val="00ED260D"/>
    <w:rsid w:val="00ED26A3"/>
    <w:rsid w:val="00ED27D9"/>
    <w:rsid w:val="00ED2A35"/>
    <w:rsid w:val="00ED2E7F"/>
    <w:rsid w:val="00ED2EAA"/>
    <w:rsid w:val="00ED2F6A"/>
    <w:rsid w:val="00ED300C"/>
    <w:rsid w:val="00ED3034"/>
    <w:rsid w:val="00ED334D"/>
    <w:rsid w:val="00ED3455"/>
    <w:rsid w:val="00ED34DD"/>
    <w:rsid w:val="00ED35D0"/>
    <w:rsid w:val="00ED3674"/>
    <w:rsid w:val="00ED368C"/>
    <w:rsid w:val="00ED3947"/>
    <w:rsid w:val="00ED3FEE"/>
    <w:rsid w:val="00ED4271"/>
    <w:rsid w:val="00ED431A"/>
    <w:rsid w:val="00ED43AB"/>
    <w:rsid w:val="00ED4518"/>
    <w:rsid w:val="00ED470F"/>
    <w:rsid w:val="00ED4734"/>
    <w:rsid w:val="00ED4741"/>
    <w:rsid w:val="00ED494E"/>
    <w:rsid w:val="00ED4A53"/>
    <w:rsid w:val="00ED4AF6"/>
    <w:rsid w:val="00ED4BB5"/>
    <w:rsid w:val="00ED4C36"/>
    <w:rsid w:val="00ED4EF5"/>
    <w:rsid w:val="00ED4FE7"/>
    <w:rsid w:val="00ED5038"/>
    <w:rsid w:val="00ED505A"/>
    <w:rsid w:val="00ED5257"/>
    <w:rsid w:val="00ED54DC"/>
    <w:rsid w:val="00ED56B1"/>
    <w:rsid w:val="00ED58F5"/>
    <w:rsid w:val="00ED5BEC"/>
    <w:rsid w:val="00ED5D3A"/>
    <w:rsid w:val="00ED6181"/>
    <w:rsid w:val="00ED62B0"/>
    <w:rsid w:val="00ED66C6"/>
    <w:rsid w:val="00ED6755"/>
    <w:rsid w:val="00ED67D4"/>
    <w:rsid w:val="00ED692A"/>
    <w:rsid w:val="00ED6B76"/>
    <w:rsid w:val="00ED6D42"/>
    <w:rsid w:val="00ED6D7B"/>
    <w:rsid w:val="00ED6F1C"/>
    <w:rsid w:val="00ED7012"/>
    <w:rsid w:val="00ED7030"/>
    <w:rsid w:val="00ED7083"/>
    <w:rsid w:val="00ED7270"/>
    <w:rsid w:val="00ED73FF"/>
    <w:rsid w:val="00ED7474"/>
    <w:rsid w:val="00ED7558"/>
    <w:rsid w:val="00ED75C7"/>
    <w:rsid w:val="00ED787C"/>
    <w:rsid w:val="00ED793E"/>
    <w:rsid w:val="00ED7B72"/>
    <w:rsid w:val="00ED7C8E"/>
    <w:rsid w:val="00ED7E78"/>
    <w:rsid w:val="00EE00A8"/>
    <w:rsid w:val="00EE00E0"/>
    <w:rsid w:val="00EE010E"/>
    <w:rsid w:val="00EE0578"/>
    <w:rsid w:val="00EE0B2F"/>
    <w:rsid w:val="00EE0B8B"/>
    <w:rsid w:val="00EE0E2F"/>
    <w:rsid w:val="00EE0E4B"/>
    <w:rsid w:val="00EE1148"/>
    <w:rsid w:val="00EE135E"/>
    <w:rsid w:val="00EE1450"/>
    <w:rsid w:val="00EE177B"/>
    <w:rsid w:val="00EE1AE5"/>
    <w:rsid w:val="00EE1B7F"/>
    <w:rsid w:val="00EE1E15"/>
    <w:rsid w:val="00EE1E63"/>
    <w:rsid w:val="00EE2437"/>
    <w:rsid w:val="00EE2494"/>
    <w:rsid w:val="00EE24C9"/>
    <w:rsid w:val="00EE264B"/>
    <w:rsid w:val="00EE2698"/>
    <w:rsid w:val="00EE27A1"/>
    <w:rsid w:val="00EE27CC"/>
    <w:rsid w:val="00EE288D"/>
    <w:rsid w:val="00EE2A9B"/>
    <w:rsid w:val="00EE2CB5"/>
    <w:rsid w:val="00EE2CE0"/>
    <w:rsid w:val="00EE2DF2"/>
    <w:rsid w:val="00EE2E11"/>
    <w:rsid w:val="00EE2F18"/>
    <w:rsid w:val="00EE312A"/>
    <w:rsid w:val="00EE3223"/>
    <w:rsid w:val="00EE324D"/>
    <w:rsid w:val="00EE32B2"/>
    <w:rsid w:val="00EE360B"/>
    <w:rsid w:val="00EE3684"/>
    <w:rsid w:val="00EE37BB"/>
    <w:rsid w:val="00EE37D7"/>
    <w:rsid w:val="00EE3808"/>
    <w:rsid w:val="00EE383C"/>
    <w:rsid w:val="00EE3987"/>
    <w:rsid w:val="00EE3B1C"/>
    <w:rsid w:val="00EE3B6A"/>
    <w:rsid w:val="00EE3B78"/>
    <w:rsid w:val="00EE3D7F"/>
    <w:rsid w:val="00EE3E51"/>
    <w:rsid w:val="00EE3FCD"/>
    <w:rsid w:val="00EE3FCF"/>
    <w:rsid w:val="00EE42D2"/>
    <w:rsid w:val="00EE44A4"/>
    <w:rsid w:val="00EE480C"/>
    <w:rsid w:val="00EE4B1C"/>
    <w:rsid w:val="00EE4DBC"/>
    <w:rsid w:val="00EE4DDA"/>
    <w:rsid w:val="00EE5033"/>
    <w:rsid w:val="00EE504E"/>
    <w:rsid w:val="00EE5065"/>
    <w:rsid w:val="00EE5171"/>
    <w:rsid w:val="00EE533E"/>
    <w:rsid w:val="00EE5418"/>
    <w:rsid w:val="00EE54CC"/>
    <w:rsid w:val="00EE5624"/>
    <w:rsid w:val="00EE562F"/>
    <w:rsid w:val="00EE56A8"/>
    <w:rsid w:val="00EE5790"/>
    <w:rsid w:val="00EE58A2"/>
    <w:rsid w:val="00EE5E80"/>
    <w:rsid w:val="00EE619D"/>
    <w:rsid w:val="00EE61B9"/>
    <w:rsid w:val="00EE650F"/>
    <w:rsid w:val="00EE65E6"/>
    <w:rsid w:val="00EE663E"/>
    <w:rsid w:val="00EE66A7"/>
    <w:rsid w:val="00EE6868"/>
    <w:rsid w:val="00EE6A3E"/>
    <w:rsid w:val="00EE6A8B"/>
    <w:rsid w:val="00EE6CE2"/>
    <w:rsid w:val="00EE6E71"/>
    <w:rsid w:val="00EE6FDD"/>
    <w:rsid w:val="00EE70A6"/>
    <w:rsid w:val="00EE7391"/>
    <w:rsid w:val="00EE74B5"/>
    <w:rsid w:val="00EE7597"/>
    <w:rsid w:val="00EE77C0"/>
    <w:rsid w:val="00EE7836"/>
    <w:rsid w:val="00EE7867"/>
    <w:rsid w:val="00EE78D5"/>
    <w:rsid w:val="00EE7919"/>
    <w:rsid w:val="00EE7B86"/>
    <w:rsid w:val="00EE7CFE"/>
    <w:rsid w:val="00EE7DFF"/>
    <w:rsid w:val="00EE7F0A"/>
    <w:rsid w:val="00EF0266"/>
    <w:rsid w:val="00EF02F2"/>
    <w:rsid w:val="00EF05C9"/>
    <w:rsid w:val="00EF0682"/>
    <w:rsid w:val="00EF0691"/>
    <w:rsid w:val="00EF0814"/>
    <w:rsid w:val="00EF0A91"/>
    <w:rsid w:val="00EF0CD2"/>
    <w:rsid w:val="00EF0F21"/>
    <w:rsid w:val="00EF1296"/>
    <w:rsid w:val="00EF12F5"/>
    <w:rsid w:val="00EF131F"/>
    <w:rsid w:val="00EF14A1"/>
    <w:rsid w:val="00EF1868"/>
    <w:rsid w:val="00EF1A1A"/>
    <w:rsid w:val="00EF1AE3"/>
    <w:rsid w:val="00EF1B51"/>
    <w:rsid w:val="00EF1B7E"/>
    <w:rsid w:val="00EF1C6D"/>
    <w:rsid w:val="00EF1D35"/>
    <w:rsid w:val="00EF1DB6"/>
    <w:rsid w:val="00EF1F87"/>
    <w:rsid w:val="00EF1F9A"/>
    <w:rsid w:val="00EF1FC4"/>
    <w:rsid w:val="00EF202A"/>
    <w:rsid w:val="00EF2219"/>
    <w:rsid w:val="00EF23B5"/>
    <w:rsid w:val="00EF246D"/>
    <w:rsid w:val="00EF250E"/>
    <w:rsid w:val="00EF2813"/>
    <w:rsid w:val="00EF2BCA"/>
    <w:rsid w:val="00EF2BDE"/>
    <w:rsid w:val="00EF2C4B"/>
    <w:rsid w:val="00EF2F4C"/>
    <w:rsid w:val="00EF330A"/>
    <w:rsid w:val="00EF3507"/>
    <w:rsid w:val="00EF355B"/>
    <w:rsid w:val="00EF35DF"/>
    <w:rsid w:val="00EF364C"/>
    <w:rsid w:val="00EF3953"/>
    <w:rsid w:val="00EF3B3A"/>
    <w:rsid w:val="00EF3FA0"/>
    <w:rsid w:val="00EF3FBA"/>
    <w:rsid w:val="00EF402A"/>
    <w:rsid w:val="00EF4207"/>
    <w:rsid w:val="00EF4477"/>
    <w:rsid w:val="00EF4822"/>
    <w:rsid w:val="00EF482B"/>
    <w:rsid w:val="00EF4A70"/>
    <w:rsid w:val="00EF4E08"/>
    <w:rsid w:val="00EF4E1F"/>
    <w:rsid w:val="00EF5041"/>
    <w:rsid w:val="00EF52FA"/>
    <w:rsid w:val="00EF5503"/>
    <w:rsid w:val="00EF5A1D"/>
    <w:rsid w:val="00EF5CBC"/>
    <w:rsid w:val="00EF60F1"/>
    <w:rsid w:val="00EF61CF"/>
    <w:rsid w:val="00EF61DA"/>
    <w:rsid w:val="00EF671C"/>
    <w:rsid w:val="00EF6743"/>
    <w:rsid w:val="00EF6888"/>
    <w:rsid w:val="00EF6991"/>
    <w:rsid w:val="00EF6A1F"/>
    <w:rsid w:val="00EF6B44"/>
    <w:rsid w:val="00EF6CF5"/>
    <w:rsid w:val="00EF6DD5"/>
    <w:rsid w:val="00EF6ECC"/>
    <w:rsid w:val="00EF6F15"/>
    <w:rsid w:val="00EF6F3F"/>
    <w:rsid w:val="00EF700B"/>
    <w:rsid w:val="00EF71C6"/>
    <w:rsid w:val="00EF71C7"/>
    <w:rsid w:val="00EF71F9"/>
    <w:rsid w:val="00EF72B9"/>
    <w:rsid w:val="00EF7519"/>
    <w:rsid w:val="00EF75FD"/>
    <w:rsid w:val="00EF7618"/>
    <w:rsid w:val="00EF7823"/>
    <w:rsid w:val="00EF78A0"/>
    <w:rsid w:val="00EF7C96"/>
    <w:rsid w:val="00EF7DB1"/>
    <w:rsid w:val="00EF7E76"/>
    <w:rsid w:val="00F0001C"/>
    <w:rsid w:val="00F0006A"/>
    <w:rsid w:val="00F00100"/>
    <w:rsid w:val="00F0032B"/>
    <w:rsid w:val="00F003AD"/>
    <w:rsid w:val="00F00656"/>
    <w:rsid w:val="00F007A3"/>
    <w:rsid w:val="00F007DD"/>
    <w:rsid w:val="00F00858"/>
    <w:rsid w:val="00F00D2C"/>
    <w:rsid w:val="00F00DAC"/>
    <w:rsid w:val="00F00F38"/>
    <w:rsid w:val="00F01017"/>
    <w:rsid w:val="00F01194"/>
    <w:rsid w:val="00F012DF"/>
    <w:rsid w:val="00F014D8"/>
    <w:rsid w:val="00F016A7"/>
    <w:rsid w:val="00F01835"/>
    <w:rsid w:val="00F01B03"/>
    <w:rsid w:val="00F01D65"/>
    <w:rsid w:val="00F01E59"/>
    <w:rsid w:val="00F01EAF"/>
    <w:rsid w:val="00F0265C"/>
    <w:rsid w:val="00F0269A"/>
    <w:rsid w:val="00F02801"/>
    <w:rsid w:val="00F028E9"/>
    <w:rsid w:val="00F02ADD"/>
    <w:rsid w:val="00F02C81"/>
    <w:rsid w:val="00F02D55"/>
    <w:rsid w:val="00F02E44"/>
    <w:rsid w:val="00F02EA1"/>
    <w:rsid w:val="00F03012"/>
    <w:rsid w:val="00F030C4"/>
    <w:rsid w:val="00F030EC"/>
    <w:rsid w:val="00F0321D"/>
    <w:rsid w:val="00F0327E"/>
    <w:rsid w:val="00F032EB"/>
    <w:rsid w:val="00F03346"/>
    <w:rsid w:val="00F035B1"/>
    <w:rsid w:val="00F03A41"/>
    <w:rsid w:val="00F03A6E"/>
    <w:rsid w:val="00F03B10"/>
    <w:rsid w:val="00F03CA3"/>
    <w:rsid w:val="00F03CF6"/>
    <w:rsid w:val="00F03D90"/>
    <w:rsid w:val="00F03FEA"/>
    <w:rsid w:val="00F043D4"/>
    <w:rsid w:val="00F0482B"/>
    <w:rsid w:val="00F04836"/>
    <w:rsid w:val="00F04B57"/>
    <w:rsid w:val="00F04B8F"/>
    <w:rsid w:val="00F04BB6"/>
    <w:rsid w:val="00F04F63"/>
    <w:rsid w:val="00F05134"/>
    <w:rsid w:val="00F051D2"/>
    <w:rsid w:val="00F05794"/>
    <w:rsid w:val="00F05C5A"/>
    <w:rsid w:val="00F05CD7"/>
    <w:rsid w:val="00F05E7F"/>
    <w:rsid w:val="00F05F1D"/>
    <w:rsid w:val="00F060F3"/>
    <w:rsid w:val="00F061A1"/>
    <w:rsid w:val="00F0624D"/>
    <w:rsid w:val="00F06396"/>
    <w:rsid w:val="00F0640A"/>
    <w:rsid w:val="00F06485"/>
    <w:rsid w:val="00F066BD"/>
    <w:rsid w:val="00F06872"/>
    <w:rsid w:val="00F068E6"/>
    <w:rsid w:val="00F06D55"/>
    <w:rsid w:val="00F06E3D"/>
    <w:rsid w:val="00F06EF3"/>
    <w:rsid w:val="00F06F18"/>
    <w:rsid w:val="00F07239"/>
    <w:rsid w:val="00F0745E"/>
    <w:rsid w:val="00F0757B"/>
    <w:rsid w:val="00F07588"/>
    <w:rsid w:val="00F07A02"/>
    <w:rsid w:val="00F07A2F"/>
    <w:rsid w:val="00F07B86"/>
    <w:rsid w:val="00F07DE1"/>
    <w:rsid w:val="00F10020"/>
    <w:rsid w:val="00F101FA"/>
    <w:rsid w:val="00F10212"/>
    <w:rsid w:val="00F102CF"/>
    <w:rsid w:val="00F10565"/>
    <w:rsid w:val="00F105FD"/>
    <w:rsid w:val="00F10667"/>
    <w:rsid w:val="00F1067D"/>
    <w:rsid w:val="00F10920"/>
    <w:rsid w:val="00F10972"/>
    <w:rsid w:val="00F109C2"/>
    <w:rsid w:val="00F10BD0"/>
    <w:rsid w:val="00F10C73"/>
    <w:rsid w:val="00F10D29"/>
    <w:rsid w:val="00F10D75"/>
    <w:rsid w:val="00F10E34"/>
    <w:rsid w:val="00F110EE"/>
    <w:rsid w:val="00F112EA"/>
    <w:rsid w:val="00F117BA"/>
    <w:rsid w:val="00F117D8"/>
    <w:rsid w:val="00F118EC"/>
    <w:rsid w:val="00F11941"/>
    <w:rsid w:val="00F11AE5"/>
    <w:rsid w:val="00F11B49"/>
    <w:rsid w:val="00F11CFE"/>
    <w:rsid w:val="00F11D11"/>
    <w:rsid w:val="00F11D1A"/>
    <w:rsid w:val="00F11F75"/>
    <w:rsid w:val="00F121C5"/>
    <w:rsid w:val="00F12259"/>
    <w:rsid w:val="00F122F1"/>
    <w:rsid w:val="00F1244A"/>
    <w:rsid w:val="00F125AE"/>
    <w:rsid w:val="00F126C5"/>
    <w:rsid w:val="00F12AD0"/>
    <w:rsid w:val="00F130B3"/>
    <w:rsid w:val="00F133D0"/>
    <w:rsid w:val="00F13494"/>
    <w:rsid w:val="00F137FD"/>
    <w:rsid w:val="00F1381B"/>
    <w:rsid w:val="00F13865"/>
    <w:rsid w:val="00F13CC4"/>
    <w:rsid w:val="00F13EE2"/>
    <w:rsid w:val="00F13EE3"/>
    <w:rsid w:val="00F14161"/>
    <w:rsid w:val="00F1416C"/>
    <w:rsid w:val="00F1483E"/>
    <w:rsid w:val="00F14867"/>
    <w:rsid w:val="00F14A69"/>
    <w:rsid w:val="00F14DD4"/>
    <w:rsid w:val="00F14F74"/>
    <w:rsid w:val="00F15217"/>
    <w:rsid w:val="00F15514"/>
    <w:rsid w:val="00F15662"/>
    <w:rsid w:val="00F158B2"/>
    <w:rsid w:val="00F15A91"/>
    <w:rsid w:val="00F15CCB"/>
    <w:rsid w:val="00F15F0F"/>
    <w:rsid w:val="00F16328"/>
    <w:rsid w:val="00F1632E"/>
    <w:rsid w:val="00F1639D"/>
    <w:rsid w:val="00F163B3"/>
    <w:rsid w:val="00F165E2"/>
    <w:rsid w:val="00F16AB4"/>
    <w:rsid w:val="00F16BA1"/>
    <w:rsid w:val="00F16DD8"/>
    <w:rsid w:val="00F16E40"/>
    <w:rsid w:val="00F1714C"/>
    <w:rsid w:val="00F17189"/>
    <w:rsid w:val="00F17212"/>
    <w:rsid w:val="00F17360"/>
    <w:rsid w:val="00F175D6"/>
    <w:rsid w:val="00F17775"/>
    <w:rsid w:val="00F1786C"/>
    <w:rsid w:val="00F17CD7"/>
    <w:rsid w:val="00F201CB"/>
    <w:rsid w:val="00F20317"/>
    <w:rsid w:val="00F204D6"/>
    <w:rsid w:val="00F20592"/>
    <w:rsid w:val="00F205A0"/>
    <w:rsid w:val="00F209A6"/>
    <w:rsid w:val="00F20C9B"/>
    <w:rsid w:val="00F212A6"/>
    <w:rsid w:val="00F2149E"/>
    <w:rsid w:val="00F21564"/>
    <w:rsid w:val="00F21742"/>
    <w:rsid w:val="00F217A0"/>
    <w:rsid w:val="00F217E7"/>
    <w:rsid w:val="00F21994"/>
    <w:rsid w:val="00F21A8B"/>
    <w:rsid w:val="00F21DC6"/>
    <w:rsid w:val="00F21E9A"/>
    <w:rsid w:val="00F2208E"/>
    <w:rsid w:val="00F220AF"/>
    <w:rsid w:val="00F2214E"/>
    <w:rsid w:val="00F221CA"/>
    <w:rsid w:val="00F223CB"/>
    <w:rsid w:val="00F2241C"/>
    <w:rsid w:val="00F22496"/>
    <w:rsid w:val="00F22563"/>
    <w:rsid w:val="00F225B8"/>
    <w:rsid w:val="00F22748"/>
    <w:rsid w:val="00F22864"/>
    <w:rsid w:val="00F22A2B"/>
    <w:rsid w:val="00F22BB2"/>
    <w:rsid w:val="00F22D04"/>
    <w:rsid w:val="00F23034"/>
    <w:rsid w:val="00F23035"/>
    <w:rsid w:val="00F230E9"/>
    <w:rsid w:val="00F2331A"/>
    <w:rsid w:val="00F235B6"/>
    <w:rsid w:val="00F23894"/>
    <w:rsid w:val="00F239F2"/>
    <w:rsid w:val="00F23A23"/>
    <w:rsid w:val="00F23BCE"/>
    <w:rsid w:val="00F23DE3"/>
    <w:rsid w:val="00F241BB"/>
    <w:rsid w:val="00F2423F"/>
    <w:rsid w:val="00F244CC"/>
    <w:rsid w:val="00F24BC9"/>
    <w:rsid w:val="00F24C33"/>
    <w:rsid w:val="00F24C76"/>
    <w:rsid w:val="00F24CD8"/>
    <w:rsid w:val="00F24DEF"/>
    <w:rsid w:val="00F2514D"/>
    <w:rsid w:val="00F25218"/>
    <w:rsid w:val="00F2539D"/>
    <w:rsid w:val="00F25713"/>
    <w:rsid w:val="00F25782"/>
    <w:rsid w:val="00F25800"/>
    <w:rsid w:val="00F25896"/>
    <w:rsid w:val="00F25C04"/>
    <w:rsid w:val="00F25C5A"/>
    <w:rsid w:val="00F25C76"/>
    <w:rsid w:val="00F26476"/>
    <w:rsid w:val="00F26538"/>
    <w:rsid w:val="00F26850"/>
    <w:rsid w:val="00F26A30"/>
    <w:rsid w:val="00F26B75"/>
    <w:rsid w:val="00F26B9D"/>
    <w:rsid w:val="00F26C4B"/>
    <w:rsid w:val="00F26C8E"/>
    <w:rsid w:val="00F26DD8"/>
    <w:rsid w:val="00F26E76"/>
    <w:rsid w:val="00F27189"/>
    <w:rsid w:val="00F2740D"/>
    <w:rsid w:val="00F27665"/>
    <w:rsid w:val="00F27740"/>
    <w:rsid w:val="00F27909"/>
    <w:rsid w:val="00F27B07"/>
    <w:rsid w:val="00F27E2C"/>
    <w:rsid w:val="00F30138"/>
    <w:rsid w:val="00F307EE"/>
    <w:rsid w:val="00F30979"/>
    <w:rsid w:val="00F30A49"/>
    <w:rsid w:val="00F30B62"/>
    <w:rsid w:val="00F30EBB"/>
    <w:rsid w:val="00F30F5A"/>
    <w:rsid w:val="00F31004"/>
    <w:rsid w:val="00F313CE"/>
    <w:rsid w:val="00F313EE"/>
    <w:rsid w:val="00F3164D"/>
    <w:rsid w:val="00F31753"/>
    <w:rsid w:val="00F31789"/>
    <w:rsid w:val="00F31BF8"/>
    <w:rsid w:val="00F31DC5"/>
    <w:rsid w:val="00F31F20"/>
    <w:rsid w:val="00F32101"/>
    <w:rsid w:val="00F321EF"/>
    <w:rsid w:val="00F324FE"/>
    <w:rsid w:val="00F32601"/>
    <w:rsid w:val="00F32938"/>
    <w:rsid w:val="00F32A67"/>
    <w:rsid w:val="00F32BB4"/>
    <w:rsid w:val="00F32D21"/>
    <w:rsid w:val="00F32DC6"/>
    <w:rsid w:val="00F330ED"/>
    <w:rsid w:val="00F331C9"/>
    <w:rsid w:val="00F33255"/>
    <w:rsid w:val="00F33C55"/>
    <w:rsid w:val="00F33CCB"/>
    <w:rsid w:val="00F33DF0"/>
    <w:rsid w:val="00F33F2A"/>
    <w:rsid w:val="00F341E9"/>
    <w:rsid w:val="00F34353"/>
    <w:rsid w:val="00F3443B"/>
    <w:rsid w:val="00F34492"/>
    <w:rsid w:val="00F34F05"/>
    <w:rsid w:val="00F35172"/>
    <w:rsid w:val="00F3517C"/>
    <w:rsid w:val="00F357D9"/>
    <w:rsid w:val="00F35D6E"/>
    <w:rsid w:val="00F35E23"/>
    <w:rsid w:val="00F360E8"/>
    <w:rsid w:val="00F361A2"/>
    <w:rsid w:val="00F362DC"/>
    <w:rsid w:val="00F36562"/>
    <w:rsid w:val="00F3667A"/>
    <w:rsid w:val="00F366A8"/>
    <w:rsid w:val="00F36856"/>
    <w:rsid w:val="00F36BEB"/>
    <w:rsid w:val="00F36D35"/>
    <w:rsid w:val="00F36F64"/>
    <w:rsid w:val="00F36F73"/>
    <w:rsid w:val="00F3703E"/>
    <w:rsid w:val="00F371F2"/>
    <w:rsid w:val="00F3747C"/>
    <w:rsid w:val="00F37873"/>
    <w:rsid w:val="00F37A3C"/>
    <w:rsid w:val="00F37BC5"/>
    <w:rsid w:val="00F40009"/>
    <w:rsid w:val="00F40043"/>
    <w:rsid w:val="00F400F9"/>
    <w:rsid w:val="00F40108"/>
    <w:rsid w:val="00F40148"/>
    <w:rsid w:val="00F4014F"/>
    <w:rsid w:val="00F40833"/>
    <w:rsid w:val="00F40A82"/>
    <w:rsid w:val="00F40F9A"/>
    <w:rsid w:val="00F414B3"/>
    <w:rsid w:val="00F415FA"/>
    <w:rsid w:val="00F4194D"/>
    <w:rsid w:val="00F419A3"/>
    <w:rsid w:val="00F41D28"/>
    <w:rsid w:val="00F41DD5"/>
    <w:rsid w:val="00F420F3"/>
    <w:rsid w:val="00F42137"/>
    <w:rsid w:val="00F42255"/>
    <w:rsid w:val="00F42313"/>
    <w:rsid w:val="00F4238C"/>
    <w:rsid w:val="00F423F8"/>
    <w:rsid w:val="00F42406"/>
    <w:rsid w:val="00F4262C"/>
    <w:rsid w:val="00F426B9"/>
    <w:rsid w:val="00F4288B"/>
    <w:rsid w:val="00F42941"/>
    <w:rsid w:val="00F4294B"/>
    <w:rsid w:val="00F42EF0"/>
    <w:rsid w:val="00F43684"/>
    <w:rsid w:val="00F437F8"/>
    <w:rsid w:val="00F43BDC"/>
    <w:rsid w:val="00F43C85"/>
    <w:rsid w:val="00F43EDC"/>
    <w:rsid w:val="00F4431F"/>
    <w:rsid w:val="00F44490"/>
    <w:rsid w:val="00F44843"/>
    <w:rsid w:val="00F449EE"/>
    <w:rsid w:val="00F44C93"/>
    <w:rsid w:val="00F44D97"/>
    <w:rsid w:val="00F44DED"/>
    <w:rsid w:val="00F45292"/>
    <w:rsid w:val="00F45359"/>
    <w:rsid w:val="00F45689"/>
    <w:rsid w:val="00F45723"/>
    <w:rsid w:val="00F45B51"/>
    <w:rsid w:val="00F45C25"/>
    <w:rsid w:val="00F45E0C"/>
    <w:rsid w:val="00F45E1A"/>
    <w:rsid w:val="00F45FC0"/>
    <w:rsid w:val="00F460CB"/>
    <w:rsid w:val="00F462DF"/>
    <w:rsid w:val="00F46399"/>
    <w:rsid w:val="00F46452"/>
    <w:rsid w:val="00F46458"/>
    <w:rsid w:val="00F464FB"/>
    <w:rsid w:val="00F46569"/>
    <w:rsid w:val="00F46786"/>
    <w:rsid w:val="00F46795"/>
    <w:rsid w:val="00F4687F"/>
    <w:rsid w:val="00F46902"/>
    <w:rsid w:val="00F4691B"/>
    <w:rsid w:val="00F46CB2"/>
    <w:rsid w:val="00F46E87"/>
    <w:rsid w:val="00F46F21"/>
    <w:rsid w:val="00F47133"/>
    <w:rsid w:val="00F47282"/>
    <w:rsid w:val="00F472B6"/>
    <w:rsid w:val="00F475CA"/>
    <w:rsid w:val="00F47686"/>
    <w:rsid w:val="00F4776C"/>
    <w:rsid w:val="00F47889"/>
    <w:rsid w:val="00F47971"/>
    <w:rsid w:val="00F47A1B"/>
    <w:rsid w:val="00F50491"/>
    <w:rsid w:val="00F50550"/>
    <w:rsid w:val="00F5074D"/>
    <w:rsid w:val="00F50862"/>
    <w:rsid w:val="00F50A0C"/>
    <w:rsid w:val="00F50A79"/>
    <w:rsid w:val="00F50B77"/>
    <w:rsid w:val="00F50E3E"/>
    <w:rsid w:val="00F50E82"/>
    <w:rsid w:val="00F50EB4"/>
    <w:rsid w:val="00F50F3C"/>
    <w:rsid w:val="00F50F6A"/>
    <w:rsid w:val="00F50FAC"/>
    <w:rsid w:val="00F51192"/>
    <w:rsid w:val="00F514B8"/>
    <w:rsid w:val="00F514BF"/>
    <w:rsid w:val="00F51515"/>
    <w:rsid w:val="00F5163C"/>
    <w:rsid w:val="00F51669"/>
    <w:rsid w:val="00F519D8"/>
    <w:rsid w:val="00F51A27"/>
    <w:rsid w:val="00F51AF5"/>
    <w:rsid w:val="00F51C31"/>
    <w:rsid w:val="00F51D40"/>
    <w:rsid w:val="00F51DF6"/>
    <w:rsid w:val="00F51EBC"/>
    <w:rsid w:val="00F51F6B"/>
    <w:rsid w:val="00F5224E"/>
    <w:rsid w:val="00F523C2"/>
    <w:rsid w:val="00F52482"/>
    <w:rsid w:val="00F526F9"/>
    <w:rsid w:val="00F5274F"/>
    <w:rsid w:val="00F52A7F"/>
    <w:rsid w:val="00F52B8E"/>
    <w:rsid w:val="00F53013"/>
    <w:rsid w:val="00F5355F"/>
    <w:rsid w:val="00F535DF"/>
    <w:rsid w:val="00F53619"/>
    <w:rsid w:val="00F53759"/>
    <w:rsid w:val="00F5391B"/>
    <w:rsid w:val="00F53B84"/>
    <w:rsid w:val="00F53BB7"/>
    <w:rsid w:val="00F53DD7"/>
    <w:rsid w:val="00F53E36"/>
    <w:rsid w:val="00F53E66"/>
    <w:rsid w:val="00F54206"/>
    <w:rsid w:val="00F543D9"/>
    <w:rsid w:val="00F54440"/>
    <w:rsid w:val="00F545A4"/>
    <w:rsid w:val="00F5472D"/>
    <w:rsid w:val="00F54B77"/>
    <w:rsid w:val="00F54E71"/>
    <w:rsid w:val="00F54F97"/>
    <w:rsid w:val="00F55228"/>
    <w:rsid w:val="00F55284"/>
    <w:rsid w:val="00F556A7"/>
    <w:rsid w:val="00F557A2"/>
    <w:rsid w:val="00F55D83"/>
    <w:rsid w:val="00F55D8A"/>
    <w:rsid w:val="00F55F2C"/>
    <w:rsid w:val="00F560B4"/>
    <w:rsid w:val="00F56119"/>
    <w:rsid w:val="00F563B2"/>
    <w:rsid w:val="00F5681F"/>
    <w:rsid w:val="00F56833"/>
    <w:rsid w:val="00F569B3"/>
    <w:rsid w:val="00F56CC6"/>
    <w:rsid w:val="00F56D92"/>
    <w:rsid w:val="00F56DB6"/>
    <w:rsid w:val="00F56F49"/>
    <w:rsid w:val="00F57011"/>
    <w:rsid w:val="00F57265"/>
    <w:rsid w:val="00F572BD"/>
    <w:rsid w:val="00F572D8"/>
    <w:rsid w:val="00F57378"/>
    <w:rsid w:val="00F573BB"/>
    <w:rsid w:val="00F573F8"/>
    <w:rsid w:val="00F57971"/>
    <w:rsid w:val="00F579DB"/>
    <w:rsid w:val="00F579E5"/>
    <w:rsid w:val="00F57A79"/>
    <w:rsid w:val="00F57AFC"/>
    <w:rsid w:val="00F57D55"/>
    <w:rsid w:val="00F57D7A"/>
    <w:rsid w:val="00F57E3C"/>
    <w:rsid w:val="00F57FD7"/>
    <w:rsid w:val="00F57FF6"/>
    <w:rsid w:val="00F60206"/>
    <w:rsid w:val="00F6022D"/>
    <w:rsid w:val="00F60379"/>
    <w:rsid w:val="00F6094B"/>
    <w:rsid w:val="00F60B90"/>
    <w:rsid w:val="00F60BC6"/>
    <w:rsid w:val="00F60F52"/>
    <w:rsid w:val="00F61555"/>
    <w:rsid w:val="00F61618"/>
    <w:rsid w:val="00F616B2"/>
    <w:rsid w:val="00F616DA"/>
    <w:rsid w:val="00F6179F"/>
    <w:rsid w:val="00F61832"/>
    <w:rsid w:val="00F61A06"/>
    <w:rsid w:val="00F61BA1"/>
    <w:rsid w:val="00F61EA0"/>
    <w:rsid w:val="00F61EA5"/>
    <w:rsid w:val="00F62204"/>
    <w:rsid w:val="00F622CF"/>
    <w:rsid w:val="00F6253A"/>
    <w:rsid w:val="00F625D8"/>
    <w:rsid w:val="00F62EB8"/>
    <w:rsid w:val="00F631F7"/>
    <w:rsid w:val="00F63245"/>
    <w:rsid w:val="00F63247"/>
    <w:rsid w:val="00F6332C"/>
    <w:rsid w:val="00F63487"/>
    <w:rsid w:val="00F6352E"/>
    <w:rsid w:val="00F636A9"/>
    <w:rsid w:val="00F6373F"/>
    <w:rsid w:val="00F638ED"/>
    <w:rsid w:val="00F63D1D"/>
    <w:rsid w:val="00F63F07"/>
    <w:rsid w:val="00F63F4E"/>
    <w:rsid w:val="00F63F80"/>
    <w:rsid w:val="00F64401"/>
    <w:rsid w:val="00F6492C"/>
    <w:rsid w:val="00F64CAC"/>
    <w:rsid w:val="00F64FFF"/>
    <w:rsid w:val="00F6517A"/>
    <w:rsid w:val="00F65412"/>
    <w:rsid w:val="00F659DD"/>
    <w:rsid w:val="00F65AEA"/>
    <w:rsid w:val="00F65C3E"/>
    <w:rsid w:val="00F65D70"/>
    <w:rsid w:val="00F65F4B"/>
    <w:rsid w:val="00F65F67"/>
    <w:rsid w:val="00F6607C"/>
    <w:rsid w:val="00F660A6"/>
    <w:rsid w:val="00F661C2"/>
    <w:rsid w:val="00F66276"/>
    <w:rsid w:val="00F662C3"/>
    <w:rsid w:val="00F663C1"/>
    <w:rsid w:val="00F663E1"/>
    <w:rsid w:val="00F66498"/>
    <w:rsid w:val="00F66681"/>
    <w:rsid w:val="00F6669A"/>
    <w:rsid w:val="00F66A3E"/>
    <w:rsid w:val="00F67035"/>
    <w:rsid w:val="00F67439"/>
    <w:rsid w:val="00F676E0"/>
    <w:rsid w:val="00F676EF"/>
    <w:rsid w:val="00F67A54"/>
    <w:rsid w:val="00F67C02"/>
    <w:rsid w:val="00F67C1E"/>
    <w:rsid w:val="00F67F83"/>
    <w:rsid w:val="00F7004C"/>
    <w:rsid w:val="00F701C2"/>
    <w:rsid w:val="00F707B2"/>
    <w:rsid w:val="00F7084B"/>
    <w:rsid w:val="00F708A7"/>
    <w:rsid w:val="00F70CC1"/>
    <w:rsid w:val="00F7107C"/>
    <w:rsid w:val="00F711D5"/>
    <w:rsid w:val="00F716CE"/>
    <w:rsid w:val="00F71A50"/>
    <w:rsid w:val="00F71E1C"/>
    <w:rsid w:val="00F71ECB"/>
    <w:rsid w:val="00F71F93"/>
    <w:rsid w:val="00F72062"/>
    <w:rsid w:val="00F721FA"/>
    <w:rsid w:val="00F723B1"/>
    <w:rsid w:val="00F72520"/>
    <w:rsid w:val="00F72627"/>
    <w:rsid w:val="00F72859"/>
    <w:rsid w:val="00F72871"/>
    <w:rsid w:val="00F72F35"/>
    <w:rsid w:val="00F72F37"/>
    <w:rsid w:val="00F72F77"/>
    <w:rsid w:val="00F731B1"/>
    <w:rsid w:val="00F731D8"/>
    <w:rsid w:val="00F73501"/>
    <w:rsid w:val="00F73553"/>
    <w:rsid w:val="00F73558"/>
    <w:rsid w:val="00F73593"/>
    <w:rsid w:val="00F73902"/>
    <w:rsid w:val="00F73A69"/>
    <w:rsid w:val="00F73AD6"/>
    <w:rsid w:val="00F7420A"/>
    <w:rsid w:val="00F742FD"/>
    <w:rsid w:val="00F7453A"/>
    <w:rsid w:val="00F745F7"/>
    <w:rsid w:val="00F74603"/>
    <w:rsid w:val="00F74633"/>
    <w:rsid w:val="00F7488E"/>
    <w:rsid w:val="00F74B07"/>
    <w:rsid w:val="00F74B39"/>
    <w:rsid w:val="00F74B56"/>
    <w:rsid w:val="00F74EDE"/>
    <w:rsid w:val="00F751CF"/>
    <w:rsid w:val="00F75363"/>
    <w:rsid w:val="00F753A5"/>
    <w:rsid w:val="00F755B2"/>
    <w:rsid w:val="00F7584B"/>
    <w:rsid w:val="00F75B56"/>
    <w:rsid w:val="00F75C02"/>
    <w:rsid w:val="00F75D55"/>
    <w:rsid w:val="00F75D96"/>
    <w:rsid w:val="00F75DE9"/>
    <w:rsid w:val="00F75F96"/>
    <w:rsid w:val="00F7602C"/>
    <w:rsid w:val="00F76216"/>
    <w:rsid w:val="00F7649A"/>
    <w:rsid w:val="00F768BF"/>
    <w:rsid w:val="00F768F2"/>
    <w:rsid w:val="00F76927"/>
    <w:rsid w:val="00F76DA3"/>
    <w:rsid w:val="00F76DBF"/>
    <w:rsid w:val="00F77065"/>
    <w:rsid w:val="00F77076"/>
    <w:rsid w:val="00F7724C"/>
    <w:rsid w:val="00F772E3"/>
    <w:rsid w:val="00F77500"/>
    <w:rsid w:val="00F77520"/>
    <w:rsid w:val="00F775E5"/>
    <w:rsid w:val="00F77958"/>
    <w:rsid w:val="00F77B57"/>
    <w:rsid w:val="00F77D9C"/>
    <w:rsid w:val="00F77FF2"/>
    <w:rsid w:val="00F80061"/>
    <w:rsid w:val="00F80070"/>
    <w:rsid w:val="00F8027D"/>
    <w:rsid w:val="00F80667"/>
    <w:rsid w:val="00F80771"/>
    <w:rsid w:val="00F80CEB"/>
    <w:rsid w:val="00F80E27"/>
    <w:rsid w:val="00F80FFE"/>
    <w:rsid w:val="00F81114"/>
    <w:rsid w:val="00F8131E"/>
    <w:rsid w:val="00F81382"/>
    <w:rsid w:val="00F813EF"/>
    <w:rsid w:val="00F814B1"/>
    <w:rsid w:val="00F81740"/>
    <w:rsid w:val="00F81910"/>
    <w:rsid w:val="00F81945"/>
    <w:rsid w:val="00F81D8F"/>
    <w:rsid w:val="00F81E5A"/>
    <w:rsid w:val="00F81F11"/>
    <w:rsid w:val="00F82045"/>
    <w:rsid w:val="00F8209F"/>
    <w:rsid w:val="00F822AA"/>
    <w:rsid w:val="00F822F1"/>
    <w:rsid w:val="00F823F5"/>
    <w:rsid w:val="00F824D5"/>
    <w:rsid w:val="00F82585"/>
    <w:rsid w:val="00F8278E"/>
    <w:rsid w:val="00F82818"/>
    <w:rsid w:val="00F82931"/>
    <w:rsid w:val="00F82A86"/>
    <w:rsid w:val="00F82E45"/>
    <w:rsid w:val="00F82EA2"/>
    <w:rsid w:val="00F8324E"/>
    <w:rsid w:val="00F83487"/>
    <w:rsid w:val="00F83489"/>
    <w:rsid w:val="00F83609"/>
    <w:rsid w:val="00F839F3"/>
    <w:rsid w:val="00F83B44"/>
    <w:rsid w:val="00F83BB2"/>
    <w:rsid w:val="00F83D8D"/>
    <w:rsid w:val="00F8407D"/>
    <w:rsid w:val="00F8412A"/>
    <w:rsid w:val="00F84135"/>
    <w:rsid w:val="00F8441E"/>
    <w:rsid w:val="00F84541"/>
    <w:rsid w:val="00F84584"/>
    <w:rsid w:val="00F84B0D"/>
    <w:rsid w:val="00F84BF7"/>
    <w:rsid w:val="00F84C02"/>
    <w:rsid w:val="00F84CC5"/>
    <w:rsid w:val="00F85083"/>
    <w:rsid w:val="00F85294"/>
    <w:rsid w:val="00F85412"/>
    <w:rsid w:val="00F856F7"/>
    <w:rsid w:val="00F85722"/>
    <w:rsid w:val="00F85801"/>
    <w:rsid w:val="00F85B29"/>
    <w:rsid w:val="00F85F20"/>
    <w:rsid w:val="00F85F6C"/>
    <w:rsid w:val="00F861BA"/>
    <w:rsid w:val="00F8642E"/>
    <w:rsid w:val="00F86450"/>
    <w:rsid w:val="00F86682"/>
    <w:rsid w:val="00F86A28"/>
    <w:rsid w:val="00F86A69"/>
    <w:rsid w:val="00F86AEC"/>
    <w:rsid w:val="00F86BF9"/>
    <w:rsid w:val="00F86D68"/>
    <w:rsid w:val="00F86E0E"/>
    <w:rsid w:val="00F86FCC"/>
    <w:rsid w:val="00F87001"/>
    <w:rsid w:val="00F870C5"/>
    <w:rsid w:val="00F87554"/>
    <w:rsid w:val="00F879B2"/>
    <w:rsid w:val="00F87A2E"/>
    <w:rsid w:val="00F87E0C"/>
    <w:rsid w:val="00F90030"/>
    <w:rsid w:val="00F90032"/>
    <w:rsid w:val="00F90051"/>
    <w:rsid w:val="00F901BF"/>
    <w:rsid w:val="00F9022C"/>
    <w:rsid w:val="00F9050B"/>
    <w:rsid w:val="00F90554"/>
    <w:rsid w:val="00F90651"/>
    <w:rsid w:val="00F9075F"/>
    <w:rsid w:val="00F907CA"/>
    <w:rsid w:val="00F90A2F"/>
    <w:rsid w:val="00F90AC8"/>
    <w:rsid w:val="00F90B14"/>
    <w:rsid w:val="00F90C2A"/>
    <w:rsid w:val="00F91197"/>
    <w:rsid w:val="00F9143D"/>
    <w:rsid w:val="00F9160F"/>
    <w:rsid w:val="00F91AB9"/>
    <w:rsid w:val="00F91B08"/>
    <w:rsid w:val="00F91D17"/>
    <w:rsid w:val="00F91EB0"/>
    <w:rsid w:val="00F91F1F"/>
    <w:rsid w:val="00F92252"/>
    <w:rsid w:val="00F92653"/>
    <w:rsid w:val="00F92A18"/>
    <w:rsid w:val="00F931B0"/>
    <w:rsid w:val="00F9345F"/>
    <w:rsid w:val="00F934CC"/>
    <w:rsid w:val="00F9393C"/>
    <w:rsid w:val="00F939D1"/>
    <w:rsid w:val="00F93AD3"/>
    <w:rsid w:val="00F93ADE"/>
    <w:rsid w:val="00F93CB3"/>
    <w:rsid w:val="00F93D58"/>
    <w:rsid w:val="00F93F10"/>
    <w:rsid w:val="00F9401C"/>
    <w:rsid w:val="00F940FB"/>
    <w:rsid w:val="00F947EC"/>
    <w:rsid w:val="00F94A5F"/>
    <w:rsid w:val="00F94B82"/>
    <w:rsid w:val="00F94C5F"/>
    <w:rsid w:val="00F94E31"/>
    <w:rsid w:val="00F94E3B"/>
    <w:rsid w:val="00F94E69"/>
    <w:rsid w:val="00F94EEE"/>
    <w:rsid w:val="00F94F3F"/>
    <w:rsid w:val="00F95144"/>
    <w:rsid w:val="00F95212"/>
    <w:rsid w:val="00F95223"/>
    <w:rsid w:val="00F9522D"/>
    <w:rsid w:val="00F952FA"/>
    <w:rsid w:val="00F95375"/>
    <w:rsid w:val="00F953B8"/>
    <w:rsid w:val="00F95830"/>
    <w:rsid w:val="00F9596C"/>
    <w:rsid w:val="00F95A46"/>
    <w:rsid w:val="00F95AC0"/>
    <w:rsid w:val="00F95FD5"/>
    <w:rsid w:val="00F96062"/>
    <w:rsid w:val="00F96259"/>
    <w:rsid w:val="00F963CC"/>
    <w:rsid w:val="00F96628"/>
    <w:rsid w:val="00F9691A"/>
    <w:rsid w:val="00F96BAE"/>
    <w:rsid w:val="00F96D23"/>
    <w:rsid w:val="00F96D35"/>
    <w:rsid w:val="00F96DAF"/>
    <w:rsid w:val="00F96DF4"/>
    <w:rsid w:val="00F96E3F"/>
    <w:rsid w:val="00F96E4E"/>
    <w:rsid w:val="00F97631"/>
    <w:rsid w:val="00F976B1"/>
    <w:rsid w:val="00F976B3"/>
    <w:rsid w:val="00F978F5"/>
    <w:rsid w:val="00F97B2E"/>
    <w:rsid w:val="00F97CB6"/>
    <w:rsid w:val="00F97F23"/>
    <w:rsid w:val="00FA001D"/>
    <w:rsid w:val="00FA01B9"/>
    <w:rsid w:val="00FA0263"/>
    <w:rsid w:val="00FA02F3"/>
    <w:rsid w:val="00FA04D3"/>
    <w:rsid w:val="00FA055B"/>
    <w:rsid w:val="00FA0834"/>
    <w:rsid w:val="00FA0870"/>
    <w:rsid w:val="00FA0893"/>
    <w:rsid w:val="00FA0903"/>
    <w:rsid w:val="00FA09EF"/>
    <w:rsid w:val="00FA0B46"/>
    <w:rsid w:val="00FA0E23"/>
    <w:rsid w:val="00FA10F7"/>
    <w:rsid w:val="00FA124F"/>
    <w:rsid w:val="00FA1751"/>
    <w:rsid w:val="00FA1B03"/>
    <w:rsid w:val="00FA1D2A"/>
    <w:rsid w:val="00FA1E6A"/>
    <w:rsid w:val="00FA2148"/>
    <w:rsid w:val="00FA215B"/>
    <w:rsid w:val="00FA21D5"/>
    <w:rsid w:val="00FA23EE"/>
    <w:rsid w:val="00FA28ED"/>
    <w:rsid w:val="00FA2A62"/>
    <w:rsid w:val="00FA2B28"/>
    <w:rsid w:val="00FA2C03"/>
    <w:rsid w:val="00FA309B"/>
    <w:rsid w:val="00FA30A5"/>
    <w:rsid w:val="00FA323C"/>
    <w:rsid w:val="00FA3291"/>
    <w:rsid w:val="00FA3899"/>
    <w:rsid w:val="00FA3B40"/>
    <w:rsid w:val="00FA3BEA"/>
    <w:rsid w:val="00FA3D83"/>
    <w:rsid w:val="00FA402A"/>
    <w:rsid w:val="00FA40F3"/>
    <w:rsid w:val="00FA4350"/>
    <w:rsid w:val="00FA46AF"/>
    <w:rsid w:val="00FA4803"/>
    <w:rsid w:val="00FA4880"/>
    <w:rsid w:val="00FA4991"/>
    <w:rsid w:val="00FA49E4"/>
    <w:rsid w:val="00FA4BB6"/>
    <w:rsid w:val="00FA4F98"/>
    <w:rsid w:val="00FA528F"/>
    <w:rsid w:val="00FA531F"/>
    <w:rsid w:val="00FA53E6"/>
    <w:rsid w:val="00FA555E"/>
    <w:rsid w:val="00FA5810"/>
    <w:rsid w:val="00FA5883"/>
    <w:rsid w:val="00FA58EB"/>
    <w:rsid w:val="00FA5C7A"/>
    <w:rsid w:val="00FA5DB5"/>
    <w:rsid w:val="00FA5E65"/>
    <w:rsid w:val="00FA5EF8"/>
    <w:rsid w:val="00FA5EFD"/>
    <w:rsid w:val="00FA6035"/>
    <w:rsid w:val="00FA6069"/>
    <w:rsid w:val="00FA6207"/>
    <w:rsid w:val="00FA6271"/>
    <w:rsid w:val="00FA6275"/>
    <w:rsid w:val="00FA6383"/>
    <w:rsid w:val="00FA64DB"/>
    <w:rsid w:val="00FA650E"/>
    <w:rsid w:val="00FA66D0"/>
    <w:rsid w:val="00FA6CC7"/>
    <w:rsid w:val="00FA6DE4"/>
    <w:rsid w:val="00FA6E2E"/>
    <w:rsid w:val="00FA7245"/>
    <w:rsid w:val="00FA7289"/>
    <w:rsid w:val="00FA7460"/>
    <w:rsid w:val="00FA7463"/>
    <w:rsid w:val="00FA7587"/>
    <w:rsid w:val="00FA763A"/>
    <w:rsid w:val="00FA78D4"/>
    <w:rsid w:val="00FA7BF4"/>
    <w:rsid w:val="00FA7CF8"/>
    <w:rsid w:val="00FA7F0C"/>
    <w:rsid w:val="00FA7F88"/>
    <w:rsid w:val="00FB0374"/>
    <w:rsid w:val="00FB043C"/>
    <w:rsid w:val="00FB0442"/>
    <w:rsid w:val="00FB0680"/>
    <w:rsid w:val="00FB0736"/>
    <w:rsid w:val="00FB080D"/>
    <w:rsid w:val="00FB0908"/>
    <w:rsid w:val="00FB0B0F"/>
    <w:rsid w:val="00FB0B11"/>
    <w:rsid w:val="00FB0D1E"/>
    <w:rsid w:val="00FB0DD6"/>
    <w:rsid w:val="00FB0F56"/>
    <w:rsid w:val="00FB10D8"/>
    <w:rsid w:val="00FB10EB"/>
    <w:rsid w:val="00FB1197"/>
    <w:rsid w:val="00FB1527"/>
    <w:rsid w:val="00FB1684"/>
    <w:rsid w:val="00FB1694"/>
    <w:rsid w:val="00FB1ACA"/>
    <w:rsid w:val="00FB1B5F"/>
    <w:rsid w:val="00FB1B91"/>
    <w:rsid w:val="00FB1F3B"/>
    <w:rsid w:val="00FB21AF"/>
    <w:rsid w:val="00FB21C1"/>
    <w:rsid w:val="00FB2350"/>
    <w:rsid w:val="00FB249D"/>
    <w:rsid w:val="00FB256E"/>
    <w:rsid w:val="00FB272C"/>
    <w:rsid w:val="00FB27E3"/>
    <w:rsid w:val="00FB2839"/>
    <w:rsid w:val="00FB2A07"/>
    <w:rsid w:val="00FB2A62"/>
    <w:rsid w:val="00FB2A94"/>
    <w:rsid w:val="00FB2C64"/>
    <w:rsid w:val="00FB2DBB"/>
    <w:rsid w:val="00FB3099"/>
    <w:rsid w:val="00FB31FE"/>
    <w:rsid w:val="00FB3201"/>
    <w:rsid w:val="00FB3361"/>
    <w:rsid w:val="00FB3576"/>
    <w:rsid w:val="00FB35B2"/>
    <w:rsid w:val="00FB37AD"/>
    <w:rsid w:val="00FB3CC3"/>
    <w:rsid w:val="00FB3E32"/>
    <w:rsid w:val="00FB40D4"/>
    <w:rsid w:val="00FB4282"/>
    <w:rsid w:val="00FB4442"/>
    <w:rsid w:val="00FB45D7"/>
    <w:rsid w:val="00FB47F5"/>
    <w:rsid w:val="00FB486E"/>
    <w:rsid w:val="00FB4925"/>
    <w:rsid w:val="00FB49A3"/>
    <w:rsid w:val="00FB4A0C"/>
    <w:rsid w:val="00FB4A1B"/>
    <w:rsid w:val="00FB4B7C"/>
    <w:rsid w:val="00FB4C6F"/>
    <w:rsid w:val="00FB4DBD"/>
    <w:rsid w:val="00FB4F7F"/>
    <w:rsid w:val="00FB4FA4"/>
    <w:rsid w:val="00FB533E"/>
    <w:rsid w:val="00FB54A6"/>
    <w:rsid w:val="00FB54E7"/>
    <w:rsid w:val="00FB5E80"/>
    <w:rsid w:val="00FB5EFC"/>
    <w:rsid w:val="00FB6033"/>
    <w:rsid w:val="00FB6113"/>
    <w:rsid w:val="00FB6353"/>
    <w:rsid w:val="00FB64B7"/>
    <w:rsid w:val="00FB6639"/>
    <w:rsid w:val="00FB689B"/>
    <w:rsid w:val="00FB6BF8"/>
    <w:rsid w:val="00FB6DEF"/>
    <w:rsid w:val="00FB7078"/>
    <w:rsid w:val="00FB7936"/>
    <w:rsid w:val="00FB79A1"/>
    <w:rsid w:val="00FB7C3B"/>
    <w:rsid w:val="00FB7C92"/>
    <w:rsid w:val="00FB7DCA"/>
    <w:rsid w:val="00FB7E1C"/>
    <w:rsid w:val="00FB7F7E"/>
    <w:rsid w:val="00FC0302"/>
    <w:rsid w:val="00FC0401"/>
    <w:rsid w:val="00FC07C7"/>
    <w:rsid w:val="00FC0941"/>
    <w:rsid w:val="00FC09F0"/>
    <w:rsid w:val="00FC0A5A"/>
    <w:rsid w:val="00FC0C75"/>
    <w:rsid w:val="00FC12EF"/>
    <w:rsid w:val="00FC13BB"/>
    <w:rsid w:val="00FC13EC"/>
    <w:rsid w:val="00FC15B7"/>
    <w:rsid w:val="00FC1765"/>
    <w:rsid w:val="00FC1C85"/>
    <w:rsid w:val="00FC1DB8"/>
    <w:rsid w:val="00FC1FC5"/>
    <w:rsid w:val="00FC22C0"/>
    <w:rsid w:val="00FC23F9"/>
    <w:rsid w:val="00FC2611"/>
    <w:rsid w:val="00FC269B"/>
    <w:rsid w:val="00FC2787"/>
    <w:rsid w:val="00FC2AA1"/>
    <w:rsid w:val="00FC2AF3"/>
    <w:rsid w:val="00FC2C70"/>
    <w:rsid w:val="00FC2CBB"/>
    <w:rsid w:val="00FC2D0D"/>
    <w:rsid w:val="00FC2D75"/>
    <w:rsid w:val="00FC2F14"/>
    <w:rsid w:val="00FC3205"/>
    <w:rsid w:val="00FC3230"/>
    <w:rsid w:val="00FC3248"/>
    <w:rsid w:val="00FC33C6"/>
    <w:rsid w:val="00FC34F0"/>
    <w:rsid w:val="00FC378C"/>
    <w:rsid w:val="00FC37BA"/>
    <w:rsid w:val="00FC381A"/>
    <w:rsid w:val="00FC39F5"/>
    <w:rsid w:val="00FC3E44"/>
    <w:rsid w:val="00FC4767"/>
    <w:rsid w:val="00FC47AF"/>
    <w:rsid w:val="00FC481B"/>
    <w:rsid w:val="00FC48B8"/>
    <w:rsid w:val="00FC4A6D"/>
    <w:rsid w:val="00FC4B15"/>
    <w:rsid w:val="00FC4D8D"/>
    <w:rsid w:val="00FC5059"/>
    <w:rsid w:val="00FC5493"/>
    <w:rsid w:val="00FC57DF"/>
    <w:rsid w:val="00FC5879"/>
    <w:rsid w:val="00FC59EB"/>
    <w:rsid w:val="00FC5B09"/>
    <w:rsid w:val="00FC5B0E"/>
    <w:rsid w:val="00FC5D72"/>
    <w:rsid w:val="00FC5F8B"/>
    <w:rsid w:val="00FC60B7"/>
    <w:rsid w:val="00FC615B"/>
    <w:rsid w:val="00FC617C"/>
    <w:rsid w:val="00FC688C"/>
    <w:rsid w:val="00FC6D6B"/>
    <w:rsid w:val="00FC6E1E"/>
    <w:rsid w:val="00FC70ED"/>
    <w:rsid w:val="00FC717A"/>
    <w:rsid w:val="00FC71B2"/>
    <w:rsid w:val="00FC728C"/>
    <w:rsid w:val="00FC741F"/>
    <w:rsid w:val="00FC755F"/>
    <w:rsid w:val="00FC7651"/>
    <w:rsid w:val="00FC79C6"/>
    <w:rsid w:val="00FC7AAC"/>
    <w:rsid w:val="00FC7F56"/>
    <w:rsid w:val="00FD068F"/>
    <w:rsid w:val="00FD07E9"/>
    <w:rsid w:val="00FD0D73"/>
    <w:rsid w:val="00FD0FCF"/>
    <w:rsid w:val="00FD1048"/>
    <w:rsid w:val="00FD1269"/>
    <w:rsid w:val="00FD1380"/>
    <w:rsid w:val="00FD1546"/>
    <w:rsid w:val="00FD1592"/>
    <w:rsid w:val="00FD1621"/>
    <w:rsid w:val="00FD169F"/>
    <w:rsid w:val="00FD172A"/>
    <w:rsid w:val="00FD1A38"/>
    <w:rsid w:val="00FD1A49"/>
    <w:rsid w:val="00FD1BD2"/>
    <w:rsid w:val="00FD2613"/>
    <w:rsid w:val="00FD2732"/>
    <w:rsid w:val="00FD282B"/>
    <w:rsid w:val="00FD28C5"/>
    <w:rsid w:val="00FD2B76"/>
    <w:rsid w:val="00FD2F2D"/>
    <w:rsid w:val="00FD3585"/>
    <w:rsid w:val="00FD36E2"/>
    <w:rsid w:val="00FD36ED"/>
    <w:rsid w:val="00FD3860"/>
    <w:rsid w:val="00FD3871"/>
    <w:rsid w:val="00FD39AB"/>
    <w:rsid w:val="00FD3A30"/>
    <w:rsid w:val="00FD3AE4"/>
    <w:rsid w:val="00FD3B37"/>
    <w:rsid w:val="00FD3B40"/>
    <w:rsid w:val="00FD3C8F"/>
    <w:rsid w:val="00FD3D8C"/>
    <w:rsid w:val="00FD3EBE"/>
    <w:rsid w:val="00FD4340"/>
    <w:rsid w:val="00FD4512"/>
    <w:rsid w:val="00FD4568"/>
    <w:rsid w:val="00FD4582"/>
    <w:rsid w:val="00FD4A4C"/>
    <w:rsid w:val="00FD4DF2"/>
    <w:rsid w:val="00FD5038"/>
    <w:rsid w:val="00FD5185"/>
    <w:rsid w:val="00FD53ED"/>
    <w:rsid w:val="00FD546B"/>
    <w:rsid w:val="00FD5588"/>
    <w:rsid w:val="00FD55D9"/>
    <w:rsid w:val="00FD5679"/>
    <w:rsid w:val="00FD5688"/>
    <w:rsid w:val="00FD574F"/>
    <w:rsid w:val="00FD5821"/>
    <w:rsid w:val="00FD5834"/>
    <w:rsid w:val="00FD5978"/>
    <w:rsid w:val="00FD5A16"/>
    <w:rsid w:val="00FD5B9C"/>
    <w:rsid w:val="00FD5C01"/>
    <w:rsid w:val="00FD5C1F"/>
    <w:rsid w:val="00FD5D68"/>
    <w:rsid w:val="00FD623B"/>
    <w:rsid w:val="00FD63BF"/>
    <w:rsid w:val="00FD67AD"/>
    <w:rsid w:val="00FD693C"/>
    <w:rsid w:val="00FD69B4"/>
    <w:rsid w:val="00FD6AD6"/>
    <w:rsid w:val="00FD6B5E"/>
    <w:rsid w:val="00FD6CFB"/>
    <w:rsid w:val="00FD6E33"/>
    <w:rsid w:val="00FD6EE3"/>
    <w:rsid w:val="00FD6FA7"/>
    <w:rsid w:val="00FD73C0"/>
    <w:rsid w:val="00FD74FB"/>
    <w:rsid w:val="00FD750B"/>
    <w:rsid w:val="00FD75C8"/>
    <w:rsid w:val="00FD76F8"/>
    <w:rsid w:val="00FD7A1F"/>
    <w:rsid w:val="00FD7A2D"/>
    <w:rsid w:val="00FD7DFA"/>
    <w:rsid w:val="00FD7EA4"/>
    <w:rsid w:val="00FE049F"/>
    <w:rsid w:val="00FE0569"/>
    <w:rsid w:val="00FE0786"/>
    <w:rsid w:val="00FE0960"/>
    <w:rsid w:val="00FE0A2C"/>
    <w:rsid w:val="00FE0CAC"/>
    <w:rsid w:val="00FE0EFC"/>
    <w:rsid w:val="00FE0FCA"/>
    <w:rsid w:val="00FE10A5"/>
    <w:rsid w:val="00FE15AE"/>
    <w:rsid w:val="00FE1AF1"/>
    <w:rsid w:val="00FE1BAA"/>
    <w:rsid w:val="00FE1C51"/>
    <w:rsid w:val="00FE1CDD"/>
    <w:rsid w:val="00FE1D3A"/>
    <w:rsid w:val="00FE1E18"/>
    <w:rsid w:val="00FE1F6D"/>
    <w:rsid w:val="00FE2055"/>
    <w:rsid w:val="00FE22AE"/>
    <w:rsid w:val="00FE253B"/>
    <w:rsid w:val="00FE2605"/>
    <w:rsid w:val="00FE26DA"/>
    <w:rsid w:val="00FE292A"/>
    <w:rsid w:val="00FE2C1C"/>
    <w:rsid w:val="00FE2F0B"/>
    <w:rsid w:val="00FE307F"/>
    <w:rsid w:val="00FE3151"/>
    <w:rsid w:val="00FE35AD"/>
    <w:rsid w:val="00FE35FB"/>
    <w:rsid w:val="00FE3DD1"/>
    <w:rsid w:val="00FE3F70"/>
    <w:rsid w:val="00FE40F7"/>
    <w:rsid w:val="00FE4169"/>
    <w:rsid w:val="00FE45F7"/>
    <w:rsid w:val="00FE484C"/>
    <w:rsid w:val="00FE48AB"/>
    <w:rsid w:val="00FE49D8"/>
    <w:rsid w:val="00FE4B03"/>
    <w:rsid w:val="00FE4CA6"/>
    <w:rsid w:val="00FE4F83"/>
    <w:rsid w:val="00FE5030"/>
    <w:rsid w:val="00FE5192"/>
    <w:rsid w:val="00FE5219"/>
    <w:rsid w:val="00FE535A"/>
    <w:rsid w:val="00FE53A7"/>
    <w:rsid w:val="00FE616B"/>
    <w:rsid w:val="00FE6193"/>
    <w:rsid w:val="00FE630F"/>
    <w:rsid w:val="00FE6640"/>
    <w:rsid w:val="00FE67EA"/>
    <w:rsid w:val="00FE6907"/>
    <w:rsid w:val="00FE6A34"/>
    <w:rsid w:val="00FE6A3A"/>
    <w:rsid w:val="00FE6D8C"/>
    <w:rsid w:val="00FE6E1F"/>
    <w:rsid w:val="00FE74E4"/>
    <w:rsid w:val="00FE76DC"/>
    <w:rsid w:val="00FE7B0D"/>
    <w:rsid w:val="00FE7CB3"/>
    <w:rsid w:val="00FE7D25"/>
    <w:rsid w:val="00FE7D9F"/>
    <w:rsid w:val="00FE7E25"/>
    <w:rsid w:val="00FE7F67"/>
    <w:rsid w:val="00FF0163"/>
    <w:rsid w:val="00FF0435"/>
    <w:rsid w:val="00FF0478"/>
    <w:rsid w:val="00FF04D3"/>
    <w:rsid w:val="00FF0568"/>
    <w:rsid w:val="00FF05C8"/>
    <w:rsid w:val="00FF06FD"/>
    <w:rsid w:val="00FF076E"/>
    <w:rsid w:val="00FF078C"/>
    <w:rsid w:val="00FF0841"/>
    <w:rsid w:val="00FF09B8"/>
    <w:rsid w:val="00FF0B44"/>
    <w:rsid w:val="00FF0D8F"/>
    <w:rsid w:val="00FF10A2"/>
    <w:rsid w:val="00FF10AC"/>
    <w:rsid w:val="00FF116D"/>
    <w:rsid w:val="00FF1316"/>
    <w:rsid w:val="00FF13BF"/>
    <w:rsid w:val="00FF1ADA"/>
    <w:rsid w:val="00FF1B58"/>
    <w:rsid w:val="00FF1BFA"/>
    <w:rsid w:val="00FF1D87"/>
    <w:rsid w:val="00FF206F"/>
    <w:rsid w:val="00FF2550"/>
    <w:rsid w:val="00FF272E"/>
    <w:rsid w:val="00FF2C02"/>
    <w:rsid w:val="00FF2C94"/>
    <w:rsid w:val="00FF2D4C"/>
    <w:rsid w:val="00FF3046"/>
    <w:rsid w:val="00FF3150"/>
    <w:rsid w:val="00FF32D9"/>
    <w:rsid w:val="00FF3511"/>
    <w:rsid w:val="00FF3696"/>
    <w:rsid w:val="00FF374A"/>
    <w:rsid w:val="00FF3809"/>
    <w:rsid w:val="00FF3A4E"/>
    <w:rsid w:val="00FF3AD1"/>
    <w:rsid w:val="00FF3CD9"/>
    <w:rsid w:val="00FF3F57"/>
    <w:rsid w:val="00FF407D"/>
    <w:rsid w:val="00FF40BB"/>
    <w:rsid w:val="00FF4105"/>
    <w:rsid w:val="00FF446E"/>
    <w:rsid w:val="00FF467B"/>
    <w:rsid w:val="00FF48C3"/>
    <w:rsid w:val="00FF4BA3"/>
    <w:rsid w:val="00FF4C16"/>
    <w:rsid w:val="00FF4EAB"/>
    <w:rsid w:val="00FF4F00"/>
    <w:rsid w:val="00FF5002"/>
    <w:rsid w:val="00FF5602"/>
    <w:rsid w:val="00FF58F7"/>
    <w:rsid w:val="00FF593E"/>
    <w:rsid w:val="00FF5B02"/>
    <w:rsid w:val="00FF5BEB"/>
    <w:rsid w:val="00FF5C85"/>
    <w:rsid w:val="00FF5D42"/>
    <w:rsid w:val="00FF5FC2"/>
    <w:rsid w:val="00FF6069"/>
    <w:rsid w:val="00FF6481"/>
    <w:rsid w:val="00FF6995"/>
    <w:rsid w:val="00FF6B32"/>
    <w:rsid w:val="00FF6C21"/>
    <w:rsid w:val="00FF6DA1"/>
    <w:rsid w:val="00FF71C2"/>
    <w:rsid w:val="00FF76FC"/>
    <w:rsid w:val="00FF78E0"/>
    <w:rsid w:val="00FF796F"/>
    <w:rsid w:val="00FF79B2"/>
    <w:rsid w:val="00FF7A6E"/>
    <w:rsid w:val="00FF7AAE"/>
    <w:rsid w:val="00FF7BC1"/>
    <w:rsid w:val="00FF7E24"/>
    <w:rsid w:val="00FF7E60"/>
    <w:rsid w:val="00FF7FC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v:textbox inset=",,,1mm"/>
      <o:colormru v:ext="edit" colors="#eaeaea,#ddd,silver"/>
    </o:shapedefaults>
    <o:shapelayout v:ext="edit">
      <o:idmap v:ext="edit" data="1"/>
    </o:shapelayout>
  </w:shapeDefaults>
  <w:decimalSymbol w:val="."/>
  <w:listSeparator w:val=","/>
  <w15:chartTrackingRefBased/>
  <w15:docId w15:val="{2B078843-7CA6-4360-B193-D28B545A9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qFormat="1"/>
    <w:lsdException w:name="Title" w:qFormat="1"/>
    <w:lsdException w:name="Subtitle" w:qFormat="1"/>
    <w:lsdException w:name="Block Text" w:uiPriority="99"/>
    <w:lsdException w:name="Strong" w:uiPriority="22" w:qFormat="1"/>
    <w:lsdException w:name="Emphasis" w:uiPriority="20" w:qFormat="1"/>
    <w:lsdException w:name="Normal (Web)" w:uiPriority="99"/>
    <w:lsdException w:name="HTML Acronym" w:uiPriority="99"/>
    <w:lsdException w:name="HTML Cite" w:uiPriority="99"/>
    <w:lsdException w:name="HTML Definition"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00417"/>
    <w:pPr>
      <w:bidi/>
      <w:spacing w:before="120" w:after="120" w:line="336" w:lineRule="auto"/>
      <w:jc w:val="both"/>
    </w:pPr>
    <w:rPr>
      <w:rFonts w:cs="David"/>
      <w:sz w:val="24"/>
      <w:szCs w:val="24"/>
      <w:lang w:eastAsia="he-IL"/>
    </w:rPr>
  </w:style>
  <w:style w:type="paragraph" w:styleId="10">
    <w:name w:val="heading 1"/>
    <w:basedOn w:val="a0"/>
    <w:next w:val="a0"/>
    <w:qFormat/>
    <w:pPr>
      <w:keepNext/>
      <w:outlineLvl w:val="0"/>
    </w:pPr>
    <w:rPr>
      <w:b/>
      <w:bCs/>
      <w:u w:val="single"/>
    </w:rPr>
  </w:style>
  <w:style w:type="paragraph" w:styleId="2">
    <w:name w:val="heading 2"/>
    <w:basedOn w:val="a0"/>
    <w:link w:val="20"/>
    <w:uiPriority w:val="9"/>
    <w:qFormat/>
    <w:pPr>
      <w:spacing w:before="0" w:line="288" w:lineRule="auto"/>
      <w:outlineLvl w:val="1"/>
    </w:pPr>
  </w:style>
  <w:style w:type="paragraph" w:styleId="3">
    <w:name w:val="heading 3"/>
    <w:basedOn w:val="a0"/>
    <w:link w:val="30"/>
    <w:uiPriority w:val="9"/>
    <w:qFormat/>
    <w:pPr>
      <w:spacing w:before="0" w:line="288" w:lineRule="auto"/>
      <w:outlineLvl w:val="2"/>
    </w:pPr>
  </w:style>
  <w:style w:type="paragraph" w:styleId="4">
    <w:name w:val="heading 4"/>
    <w:basedOn w:val="a0"/>
    <w:qFormat/>
    <w:pPr>
      <w:spacing w:before="0" w:line="288" w:lineRule="auto"/>
      <w:outlineLvl w:val="3"/>
    </w:pPr>
  </w:style>
  <w:style w:type="paragraph" w:styleId="5">
    <w:name w:val="heading 5"/>
    <w:basedOn w:val="a0"/>
    <w:qFormat/>
    <w:pPr>
      <w:spacing w:before="0" w:line="288" w:lineRule="auto"/>
      <w:outlineLvl w:val="4"/>
    </w:pPr>
  </w:style>
  <w:style w:type="paragraph" w:styleId="6">
    <w:name w:val="heading 6"/>
    <w:basedOn w:val="a0"/>
    <w:qFormat/>
    <w:pPr>
      <w:spacing w:before="0" w:line="288" w:lineRule="auto"/>
      <w:outlineLvl w:val="5"/>
    </w:pPr>
  </w:style>
  <w:style w:type="paragraph" w:styleId="7">
    <w:name w:val="heading 7"/>
    <w:basedOn w:val="a0"/>
    <w:qFormat/>
    <w:pPr>
      <w:spacing w:before="0" w:line="288" w:lineRule="auto"/>
      <w:outlineLvl w:val="6"/>
    </w:pPr>
  </w:style>
  <w:style w:type="paragraph" w:styleId="8">
    <w:name w:val="heading 8"/>
    <w:basedOn w:val="a0"/>
    <w:qFormat/>
    <w:pPr>
      <w:spacing w:line="288" w:lineRule="auto"/>
      <w:outlineLvl w:val="7"/>
    </w:pPr>
  </w:style>
  <w:style w:type="paragraph" w:styleId="9">
    <w:name w:val="heading 9"/>
    <w:basedOn w:val="a0"/>
    <w:qFormat/>
    <w:pPr>
      <w:spacing w:line="288" w:lineRule="auto"/>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פסקה רג"/>
    <w:basedOn w:val="a5"/>
    <w:link w:val="a6"/>
    <w:rsid w:val="00F824D5"/>
    <w:pPr>
      <w:ind w:left="0"/>
    </w:pPr>
    <w:rPr>
      <w:sz w:val="22"/>
    </w:rPr>
  </w:style>
  <w:style w:type="paragraph" w:customStyle="1" w:styleId="a5">
    <w:name w:val="דילוג"/>
    <w:basedOn w:val="a7"/>
    <w:link w:val="a8"/>
    <w:pPr>
      <w:ind w:firstLine="0"/>
    </w:pPr>
  </w:style>
  <w:style w:type="paragraph" w:customStyle="1" w:styleId="a7">
    <w:name w:val="פסקה#"/>
    <w:basedOn w:val="a0"/>
    <w:link w:val="a9"/>
    <w:pPr>
      <w:ind w:left="249" w:hanging="360"/>
    </w:pPr>
    <w:rPr>
      <w:lang w:eastAsia="en-US"/>
    </w:rPr>
  </w:style>
  <w:style w:type="paragraph" w:styleId="aa">
    <w:name w:val="footnote text"/>
    <w:basedOn w:val="a0"/>
    <w:link w:val="ab"/>
    <w:qFormat/>
    <w:rsid w:val="009C3CF0"/>
    <w:pPr>
      <w:tabs>
        <w:tab w:val="left" w:pos="210"/>
      </w:tabs>
      <w:spacing w:before="0" w:after="60" w:line="240" w:lineRule="auto"/>
      <w:ind w:left="227" w:right="227" w:hanging="227"/>
      <w:jc w:val="left"/>
    </w:pPr>
    <w:rPr>
      <w:spacing w:val="-4"/>
      <w:sz w:val="20"/>
      <w:szCs w:val="20"/>
      <w:lang w:val="x-none"/>
    </w:rPr>
  </w:style>
  <w:style w:type="character" w:styleId="ac">
    <w:name w:val="footnote reference"/>
    <w:aliases w:val="Footnote Reference"/>
    <w:qFormat/>
    <w:rPr>
      <w:vertAlign w:val="superscript"/>
    </w:rPr>
  </w:style>
  <w:style w:type="paragraph" w:styleId="ad">
    <w:name w:val="header"/>
    <w:basedOn w:val="a0"/>
    <w:pPr>
      <w:tabs>
        <w:tab w:val="center" w:pos="4153"/>
        <w:tab w:val="right" w:pos="8306"/>
      </w:tabs>
    </w:pPr>
  </w:style>
  <w:style w:type="character" w:styleId="ae">
    <w:name w:val="page number"/>
    <w:basedOn w:val="a1"/>
  </w:style>
  <w:style w:type="paragraph" w:customStyle="1" w:styleId="110">
    <w:name w:val="דילוג 1.1"/>
    <w:basedOn w:val="a0"/>
    <w:pPr>
      <w:tabs>
        <w:tab w:val="left" w:pos="567"/>
        <w:tab w:val="left" w:pos="1304"/>
        <w:tab w:val="left" w:pos="2268"/>
        <w:tab w:val="left" w:pos="3459"/>
        <w:tab w:val="left" w:pos="4876"/>
        <w:tab w:val="left" w:pos="6634"/>
      </w:tabs>
      <w:spacing w:line="288" w:lineRule="auto"/>
    </w:pPr>
  </w:style>
  <w:style w:type="paragraph" w:styleId="af">
    <w:name w:val="footer"/>
    <w:basedOn w:val="a0"/>
    <w:pPr>
      <w:tabs>
        <w:tab w:val="center" w:pos="4153"/>
        <w:tab w:val="right" w:pos="8306"/>
      </w:tabs>
    </w:pPr>
  </w:style>
  <w:style w:type="paragraph" w:customStyle="1" w:styleId="12">
    <w:name w:val="דילוג 1.א"/>
    <w:basedOn w:val="a0"/>
    <w:pPr>
      <w:tabs>
        <w:tab w:val="left" w:pos="567"/>
        <w:tab w:val="left" w:pos="1134"/>
        <w:tab w:val="left" w:pos="1701"/>
        <w:tab w:val="left" w:pos="2268"/>
        <w:tab w:val="left" w:pos="3005"/>
        <w:tab w:val="left" w:pos="3742"/>
        <w:tab w:val="left" w:pos="4139"/>
        <w:tab w:val="left" w:pos="4536"/>
        <w:tab w:val="left" w:pos="4933"/>
      </w:tabs>
      <w:spacing w:line="288" w:lineRule="auto"/>
    </w:pPr>
  </w:style>
  <w:style w:type="paragraph" w:customStyle="1" w:styleId="af0">
    <w:name w:val="ציטטה_עב"/>
    <w:basedOn w:val="a0"/>
    <w:pPr>
      <w:spacing w:before="60" w:after="60" w:line="288" w:lineRule="auto"/>
      <w:ind w:left="1134" w:right="1134"/>
    </w:pPr>
    <w:rPr>
      <w:b/>
      <w:bCs/>
      <w:sz w:val="22"/>
      <w:szCs w:val="22"/>
      <w:lang w:eastAsia="en-US"/>
    </w:rPr>
  </w:style>
  <w:style w:type="paragraph" w:styleId="21">
    <w:name w:val="Body Text 2"/>
    <w:basedOn w:val="a0"/>
    <w:pPr>
      <w:bidi w:val="0"/>
      <w:spacing w:line="288" w:lineRule="auto"/>
    </w:pPr>
    <w:rPr>
      <w:color w:val="000000"/>
      <w:sz w:val="23"/>
      <w:szCs w:val="23"/>
    </w:rPr>
  </w:style>
  <w:style w:type="paragraph" w:customStyle="1" w:styleId="af1">
    <w:name w:val="ישן"/>
    <w:basedOn w:val="a0"/>
    <w:pPr>
      <w:spacing w:before="0" w:after="0" w:line="240" w:lineRule="auto"/>
    </w:pPr>
  </w:style>
  <w:style w:type="paragraph" w:styleId="af2">
    <w:name w:val="endnote text"/>
    <w:basedOn w:val="a0"/>
    <w:semiHidden/>
    <w:pPr>
      <w:spacing w:after="60" w:line="288" w:lineRule="auto"/>
      <w:ind w:left="249" w:hanging="249"/>
    </w:pPr>
    <w:rPr>
      <w:sz w:val="20"/>
      <w:szCs w:val="20"/>
    </w:rPr>
  </w:style>
  <w:style w:type="paragraph" w:styleId="af3">
    <w:name w:val="caption"/>
    <w:basedOn w:val="a0"/>
    <w:next w:val="a0"/>
    <w:qFormat/>
    <w:pPr>
      <w:spacing w:line="288" w:lineRule="auto"/>
    </w:pPr>
    <w:rPr>
      <w:b/>
      <w:bCs/>
      <w:sz w:val="20"/>
      <w:szCs w:val="20"/>
    </w:rPr>
  </w:style>
  <w:style w:type="paragraph" w:customStyle="1" w:styleId="xl75">
    <w:name w:val="xl75"/>
    <w:basedOn w:val="a0"/>
    <w:pPr>
      <w:shd w:val="clear" w:color="auto" w:fill="CCFFCC"/>
      <w:bidi w:val="0"/>
      <w:spacing w:before="100" w:beforeAutospacing="1" w:after="100" w:afterAutospacing="1" w:line="240" w:lineRule="auto"/>
    </w:pPr>
    <w:rPr>
      <w:rFonts w:ascii="Arial" w:hAnsi="Arial" w:cs="Arial"/>
    </w:rPr>
  </w:style>
  <w:style w:type="paragraph" w:customStyle="1" w:styleId="xl24">
    <w:name w:val="xl24"/>
    <w:basedOn w:val="a0"/>
    <w:pPr>
      <w:bidi w:val="0"/>
      <w:spacing w:before="100" w:beforeAutospacing="1" w:after="100" w:afterAutospacing="1" w:line="240" w:lineRule="auto"/>
    </w:pPr>
    <w:rPr>
      <w:rFonts w:ascii="Arial" w:hAnsi="Arial" w:cs="Arial"/>
      <w:b/>
      <w:bCs/>
    </w:rPr>
  </w:style>
  <w:style w:type="paragraph" w:customStyle="1" w:styleId="xl25">
    <w:name w:val="xl25"/>
    <w:basedOn w:val="a0"/>
    <w:pPr>
      <w:bidi w:val="0"/>
      <w:spacing w:before="100" w:beforeAutospacing="1" w:after="100" w:afterAutospacing="1" w:line="240" w:lineRule="auto"/>
      <w:jc w:val="center"/>
    </w:pPr>
    <w:rPr>
      <w:rFonts w:ascii="Arial" w:hAnsi="Arial" w:cs="Arial"/>
      <w:b/>
      <w:bCs/>
    </w:rPr>
  </w:style>
  <w:style w:type="paragraph" w:customStyle="1" w:styleId="xl26">
    <w:name w:val="xl26"/>
    <w:basedOn w:val="a0"/>
    <w:pPr>
      <w:bidi w:val="0"/>
      <w:spacing w:before="100" w:beforeAutospacing="1" w:after="100" w:afterAutospacing="1" w:line="240" w:lineRule="auto"/>
    </w:pPr>
    <w:rPr>
      <w:rFonts w:ascii="Arial" w:hAnsi="Arial" w:cs="Arial"/>
    </w:rPr>
  </w:style>
  <w:style w:type="paragraph" w:customStyle="1" w:styleId="xl27">
    <w:name w:val="xl27"/>
    <w:basedOn w:val="a0"/>
    <w:pPr>
      <w:shd w:val="clear" w:color="auto" w:fill="FFCC99"/>
      <w:bidi w:val="0"/>
      <w:spacing w:before="100" w:beforeAutospacing="1" w:after="100" w:afterAutospacing="1" w:line="240" w:lineRule="auto"/>
    </w:pPr>
    <w:rPr>
      <w:rFonts w:ascii="Arial" w:hAnsi="Arial" w:cs="Arial"/>
    </w:rPr>
  </w:style>
  <w:style w:type="paragraph" w:styleId="TOC1">
    <w:name w:val="toc 1"/>
    <w:basedOn w:val="a0"/>
    <w:next w:val="a0"/>
    <w:pPr>
      <w:tabs>
        <w:tab w:val="left" w:pos="607"/>
        <w:tab w:val="right" w:pos="8889"/>
      </w:tabs>
      <w:spacing w:after="160"/>
    </w:pPr>
    <w:rPr>
      <w:b/>
      <w:bCs/>
      <w:caps/>
      <w:sz w:val="28"/>
      <w:szCs w:val="28"/>
      <w:u w:val="single"/>
    </w:rPr>
  </w:style>
  <w:style w:type="paragraph" w:styleId="TOC2">
    <w:name w:val="toc 2"/>
    <w:basedOn w:val="a0"/>
    <w:next w:val="a0"/>
    <w:pPr>
      <w:tabs>
        <w:tab w:val="right" w:pos="8879"/>
      </w:tabs>
      <w:ind w:left="249"/>
    </w:pPr>
    <w:rPr>
      <w:b/>
      <w:bCs/>
      <w:smallCaps/>
      <w:sz w:val="28"/>
      <w:szCs w:val="28"/>
    </w:rPr>
  </w:style>
  <w:style w:type="paragraph" w:styleId="TOC3">
    <w:name w:val="toc 3"/>
    <w:basedOn w:val="a0"/>
    <w:next w:val="a0"/>
    <w:pPr>
      <w:tabs>
        <w:tab w:val="right" w:pos="8879"/>
      </w:tabs>
      <w:spacing w:before="80" w:after="0"/>
      <w:ind w:left="789"/>
      <w:jc w:val="left"/>
    </w:pPr>
    <w:rPr>
      <w:b/>
      <w:bCs/>
      <w:smallCaps/>
      <w:sz w:val="28"/>
      <w:szCs w:val="28"/>
    </w:rPr>
  </w:style>
  <w:style w:type="paragraph" w:styleId="TOC4">
    <w:name w:val="toc 4"/>
    <w:basedOn w:val="a0"/>
    <w:next w:val="a0"/>
    <w:autoRedefine/>
    <w:semiHidden/>
    <w:pPr>
      <w:spacing w:before="0" w:after="0"/>
      <w:jc w:val="left"/>
    </w:pPr>
    <w:rPr>
      <w:rFonts w:cs="Times New Roman"/>
      <w:szCs w:val="22"/>
    </w:rPr>
  </w:style>
  <w:style w:type="paragraph" w:styleId="TOC5">
    <w:name w:val="toc 5"/>
    <w:basedOn w:val="a0"/>
    <w:next w:val="a0"/>
    <w:autoRedefine/>
    <w:semiHidden/>
    <w:pPr>
      <w:spacing w:before="0" w:after="0"/>
      <w:jc w:val="left"/>
    </w:pPr>
    <w:rPr>
      <w:rFonts w:cs="Times New Roman"/>
      <w:szCs w:val="22"/>
    </w:rPr>
  </w:style>
  <w:style w:type="paragraph" w:styleId="TOC6">
    <w:name w:val="toc 6"/>
    <w:basedOn w:val="a0"/>
    <w:next w:val="a0"/>
    <w:autoRedefine/>
    <w:semiHidden/>
    <w:pPr>
      <w:spacing w:before="0" w:after="0"/>
      <w:jc w:val="left"/>
    </w:pPr>
    <w:rPr>
      <w:rFonts w:cs="Times New Roman"/>
      <w:szCs w:val="22"/>
    </w:rPr>
  </w:style>
  <w:style w:type="paragraph" w:styleId="TOC7">
    <w:name w:val="toc 7"/>
    <w:basedOn w:val="a0"/>
    <w:next w:val="a0"/>
    <w:autoRedefine/>
    <w:semiHidden/>
    <w:pPr>
      <w:spacing w:before="0" w:after="0"/>
      <w:jc w:val="left"/>
    </w:pPr>
    <w:rPr>
      <w:rFonts w:cs="Times New Roman"/>
      <w:szCs w:val="22"/>
    </w:rPr>
  </w:style>
  <w:style w:type="paragraph" w:styleId="TOC8">
    <w:name w:val="toc 8"/>
    <w:basedOn w:val="a0"/>
    <w:next w:val="a0"/>
    <w:autoRedefine/>
    <w:semiHidden/>
    <w:pPr>
      <w:spacing w:before="0" w:after="0"/>
      <w:jc w:val="left"/>
    </w:pPr>
    <w:rPr>
      <w:rFonts w:cs="Times New Roman"/>
      <w:szCs w:val="22"/>
    </w:rPr>
  </w:style>
  <w:style w:type="paragraph" w:styleId="TOC9">
    <w:name w:val="toc 9"/>
    <w:basedOn w:val="a0"/>
    <w:next w:val="a0"/>
    <w:autoRedefine/>
    <w:semiHidden/>
    <w:pPr>
      <w:spacing w:before="0" w:after="0"/>
      <w:jc w:val="left"/>
    </w:pPr>
    <w:rPr>
      <w:rFonts w:cs="Times New Roman"/>
      <w:szCs w:val="22"/>
    </w:rPr>
  </w:style>
  <w:style w:type="paragraph" w:customStyle="1" w:styleId="af4">
    <w:name w:val="יום"/>
    <w:basedOn w:val="a0"/>
    <w:pPr>
      <w:spacing w:line="288" w:lineRule="auto"/>
      <w:ind w:left="-256"/>
    </w:pPr>
    <w:rPr>
      <w:b/>
      <w:bCs/>
      <w:color w:val="CC0000"/>
      <w:sz w:val="28"/>
      <w:szCs w:val="28"/>
      <w:u w:val="single"/>
      <w:lang w:eastAsia="en-US"/>
    </w:rPr>
  </w:style>
  <w:style w:type="paragraph" w:customStyle="1" w:styleId="af5">
    <w:name w:val="גיל"/>
    <w:basedOn w:val="a0"/>
    <w:rPr>
      <w:b/>
      <w:bCs/>
      <w:u w:val="single"/>
    </w:rPr>
  </w:style>
  <w:style w:type="character" w:styleId="Hyperlink">
    <w:name w:val="Hyperlink"/>
    <w:rPr>
      <w:color w:val="0000FF"/>
      <w:u w:val="single"/>
    </w:rPr>
  </w:style>
  <w:style w:type="character" w:styleId="af6">
    <w:name w:val="endnote reference"/>
    <w:semiHidden/>
    <w:rPr>
      <w:vertAlign w:val="superscript"/>
    </w:rPr>
  </w:style>
  <w:style w:type="character" w:styleId="FollowedHyperlink">
    <w:name w:val="FollowedHyperlink"/>
    <w:rPr>
      <w:color w:val="800080"/>
      <w:u w:val="single"/>
    </w:rPr>
  </w:style>
  <w:style w:type="paragraph" w:customStyle="1" w:styleId="af7">
    <w:name w:val="כתיבה"/>
    <w:basedOn w:val="a0"/>
    <w:pPr>
      <w:framePr w:hSpace="180" w:wrap="notBeside" w:vAnchor="text" w:hAnchor="margin" w:xAlign="right" w:y="266"/>
      <w:spacing w:before="0" w:after="0"/>
    </w:pPr>
    <w:rPr>
      <w:b/>
      <w:bCs/>
      <w:sz w:val="28"/>
      <w:szCs w:val="28"/>
      <w:lang w:eastAsia="en-US"/>
    </w:rPr>
  </w:style>
  <w:style w:type="paragraph" w:customStyle="1" w:styleId="af8">
    <w:name w:val="אישור"/>
    <w:basedOn w:val="a0"/>
    <w:pPr>
      <w:framePr w:hSpace="180" w:wrap="notBeside" w:vAnchor="text" w:hAnchor="margin" w:xAlign="right" w:y="266"/>
      <w:spacing w:before="100" w:after="0" w:line="240" w:lineRule="auto"/>
    </w:pPr>
    <w:rPr>
      <w:lang w:eastAsia="en-US"/>
    </w:rPr>
  </w:style>
  <w:style w:type="paragraph" w:customStyle="1" w:styleId="af9">
    <w:name w:val="תאריך עברי"/>
    <w:basedOn w:val="a0"/>
    <w:pPr>
      <w:framePr w:hSpace="180" w:wrap="notBeside" w:vAnchor="text" w:hAnchor="margin" w:xAlign="right" w:y="266"/>
      <w:spacing w:before="0" w:after="0"/>
      <w:jc w:val="center"/>
    </w:pPr>
    <w:rPr>
      <w:lang w:eastAsia="en-US"/>
    </w:rPr>
  </w:style>
  <w:style w:type="paragraph" w:styleId="afa">
    <w:name w:val="Date"/>
    <w:basedOn w:val="a0"/>
    <w:pPr>
      <w:framePr w:hSpace="180" w:wrap="notBeside" w:vAnchor="text" w:hAnchor="margin" w:xAlign="right" w:y="266"/>
      <w:spacing w:before="0" w:after="0"/>
      <w:jc w:val="center"/>
    </w:pPr>
    <w:rPr>
      <w:lang w:eastAsia="en-US"/>
    </w:rPr>
  </w:style>
  <w:style w:type="paragraph" w:customStyle="1" w:styleId="afb">
    <w:name w:val="סוג מסמך"/>
    <w:basedOn w:val="a0"/>
    <w:pPr>
      <w:ind w:left="-142"/>
      <w:jc w:val="center"/>
    </w:pPr>
    <w:rPr>
      <w:sz w:val="32"/>
      <w:szCs w:val="32"/>
      <w:lang w:eastAsia="en-US"/>
    </w:rPr>
  </w:style>
  <w:style w:type="paragraph" w:customStyle="1" w:styleId="afc">
    <w:name w:val="שם מסמך"/>
    <w:basedOn w:val="a0"/>
    <w:next w:val="a4"/>
    <w:qFormat/>
    <w:rsid w:val="008D1FA1"/>
    <w:pPr>
      <w:jc w:val="center"/>
      <w:outlineLvl w:val="0"/>
    </w:pPr>
    <w:rPr>
      <w:b/>
      <w:bCs/>
      <w:spacing w:val="2"/>
      <w:sz w:val="34"/>
      <w:szCs w:val="36"/>
      <w:lang w:eastAsia="en-US"/>
    </w:rPr>
  </w:style>
  <w:style w:type="paragraph" w:customStyle="1" w:styleId="aFootnoteText">
    <w:name w:val="a_Footnote Text"/>
    <w:basedOn w:val="aa"/>
    <w:pPr>
      <w:spacing w:before="120" w:line="336" w:lineRule="auto"/>
    </w:pPr>
  </w:style>
  <w:style w:type="paragraph" w:customStyle="1" w:styleId="afd">
    <w:name w:val="ציטטה_אנ"/>
    <w:basedOn w:val="a0"/>
    <w:pPr>
      <w:tabs>
        <w:tab w:val="right" w:pos="10980"/>
      </w:tabs>
      <w:bidi w:val="0"/>
      <w:spacing w:before="60" w:after="60" w:line="288" w:lineRule="auto"/>
      <w:ind w:left="1077" w:right="1151"/>
    </w:pPr>
    <w:rPr>
      <w:b/>
      <w:sz w:val="22"/>
      <w:szCs w:val="22"/>
    </w:rPr>
  </w:style>
  <w:style w:type="paragraph" w:customStyle="1" w:styleId="afe">
    <w:name w:val="שם_פוטר"/>
    <w:basedOn w:val="afc"/>
    <w:pPr>
      <w:spacing w:before="0" w:after="0" w:line="240" w:lineRule="auto"/>
    </w:pPr>
    <w:rPr>
      <w:rFonts w:cs="Miriam"/>
      <w:b w:val="0"/>
      <w:bCs w:val="0"/>
      <w:sz w:val="14"/>
      <w:szCs w:val="14"/>
    </w:rPr>
  </w:style>
  <w:style w:type="paragraph" w:customStyle="1" w:styleId="aff">
    <w:name w:val="כותרת_רגילה"/>
    <w:basedOn w:val="a0"/>
    <w:pPr>
      <w:ind w:left="-111"/>
    </w:pPr>
  </w:style>
  <w:style w:type="paragraph" w:customStyle="1" w:styleId="aff0">
    <w:name w:val="כות_ללא מספור"/>
    <w:basedOn w:val="a0"/>
    <w:qFormat/>
    <w:rsid w:val="007D37E8"/>
    <w:pPr>
      <w:spacing w:line="360" w:lineRule="auto"/>
      <w:outlineLvl w:val="0"/>
    </w:pPr>
    <w:rPr>
      <w:b/>
      <w:bCs/>
      <w:sz w:val="28"/>
      <w:szCs w:val="28"/>
    </w:rPr>
  </w:style>
  <w:style w:type="paragraph" w:customStyle="1" w:styleId="13">
    <w:name w:val="כות1"/>
    <w:basedOn w:val="aff0"/>
  </w:style>
  <w:style w:type="paragraph" w:customStyle="1" w:styleId="1">
    <w:name w:val="כות_1"/>
    <w:basedOn w:val="a0"/>
    <w:next w:val="a4"/>
    <w:link w:val="14"/>
    <w:qFormat/>
    <w:rsid w:val="007D37E8"/>
    <w:pPr>
      <w:numPr>
        <w:numId w:val="1"/>
      </w:numPr>
      <w:spacing w:line="360" w:lineRule="auto"/>
      <w:outlineLvl w:val="0"/>
    </w:pPr>
    <w:rPr>
      <w:b/>
      <w:bCs/>
      <w:sz w:val="28"/>
      <w:szCs w:val="28"/>
    </w:rPr>
  </w:style>
  <w:style w:type="paragraph" w:customStyle="1" w:styleId="11">
    <w:name w:val="כות_1.1"/>
    <w:basedOn w:val="1"/>
    <w:next w:val="a4"/>
    <w:link w:val="112"/>
    <w:qFormat/>
    <w:rsid w:val="009E7AD2"/>
    <w:pPr>
      <w:numPr>
        <w:ilvl w:val="1"/>
        <w:numId w:val="2"/>
      </w:numPr>
      <w:spacing w:before="240"/>
      <w:outlineLvl w:val="1"/>
    </w:pPr>
    <w:rPr>
      <w:sz w:val="24"/>
      <w:szCs w:val="26"/>
    </w:rPr>
  </w:style>
  <w:style w:type="paragraph" w:customStyle="1" w:styleId="111">
    <w:name w:val="כות_1.1.1"/>
    <w:basedOn w:val="11"/>
    <w:next w:val="a4"/>
    <w:qFormat/>
    <w:rsid w:val="00B00417"/>
    <w:pPr>
      <w:keepNext/>
      <w:keepLines/>
      <w:numPr>
        <w:ilvl w:val="2"/>
        <w:numId w:val="3"/>
      </w:numPr>
      <w:outlineLvl w:val="2"/>
    </w:pPr>
    <w:rPr>
      <w:sz w:val="22"/>
      <w:szCs w:val="24"/>
    </w:rPr>
  </w:style>
  <w:style w:type="paragraph" w:customStyle="1" w:styleId="a">
    <w:name w:val="פסקה ממוספרת"/>
    <w:basedOn w:val="a0"/>
    <w:pPr>
      <w:numPr>
        <w:numId w:val="4"/>
      </w:numPr>
      <w:tabs>
        <w:tab w:val="clear" w:pos="720"/>
        <w:tab w:val="left" w:pos="14"/>
      </w:tabs>
      <w:ind w:left="0" w:right="0" w:hanging="291"/>
    </w:pPr>
    <w:rPr>
      <w:lang w:eastAsia="en-US"/>
    </w:rPr>
  </w:style>
  <w:style w:type="paragraph" w:customStyle="1" w:styleId="aff1">
    <w:name w:val="תוכן_עניינים"/>
    <w:basedOn w:val="a0"/>
    <w:pPr>
      <w:spacing w:before="0" w:after="240"/>
      <w:ind w:left="-11"/>
      <w:jc w:val="center"/>
    </w:pPr>
    <w:rPr>
      <w:b/>
      <w:bCs/>
      <w:sz w:val="28"/>
      <w:szCs w:val="28"/>
      <w:u w:val="single"/>
      <w:lang w:eastAsia="en-US"/>
    </w:rPr>
  </w:style>
  <w:style w:type="paragraph" w:customStyle="1" w:styleId="aff2">
    <w:name w:val="סוג_מסמך"/>
    <w:basedOn w:val="a0"/>
    <w:pPr>
      <w:jc w:val="center"/>
    </w:pPr>
    <w:rPr>
      <w:b/>
      <w:bCs/>
      <w:sz w:val="32"/>
      <w:szCs w:val="32"/>
    </w:rPr>
  </w:style>
  <w:style w:type="paragraph" w:customStyle="1" w:styleId="aff3">
    <w:name w:val="יעד מסמך"/>
    <w:basedOn w:val="a0"/>
    <w:pPr>
      <w:jc w:val="center"/>
    </w:pPr>
    <w:rPr>
      <w:b/>
      <w:bCs/>
      <w:sz w:val="32"/>
      <w:szCs w:val="32"/>
    </w:rPr>
  </w:style>
  <w:style w:type="paragraph" w:customStyle="1" w:styleId="aff4">
    <w:name w:val="תאריך_עברי_פוטר"/>
    <w:basedOn w:val="afe"/>
    <w:pPr>
      <w:jc w:val="right"/>
    </w:pPr>
  </w:style>
  <w:style w:type="paragraph" w:customStyle="1" w:styleId="aff5">
    <w:name w:val="תאריך עברי_שער"/>
    <w:basedOn w:val="af3"/>
    <w:pPr>
      <w:jc w:val="center"/>
    </w:pPr>
    <w:rPr>
      <w:b w:val="0"/>
      <w:bCs w:val="0"/>
      <w:sz w:val="24"/>
      <w:szCs w:val="24"/>
    </w:rPr>
  </w:style>
  <w:style w:type="paragraph" w:customStyle="1" w:styleId="aff6">
    <w:name w:val="תאריך_לועזי_שער"/>
    <w:basedOn w:val="a0"/>
    <w:pPr>
      <w:framePr w:hSpace="180" w:wrap="notBeside" w:vAnchor="text" w:hAnchor="margin" w:xAlign="right" w:y="266"/>
      <w:jc w:val="center"/>
    </w:pPr>
    <w:rPr>
      <w:lang w:eastAsia="en-US"/>
    </w:rPr>
  </w:style>
  <w:style w:type="paragraph" w:customStyle="1" w:styleId="aff7">
    <w:name w:val="כותרת גרף"/>
    <w:basedOn w:val="a0"/>
    <w:pPr>
      <w:spacing w:before="0" w:after="0" w:line="240" w:lineRule="auto"/>
      <w:ind w:right="210"/>
    </w:pPr>
    <w:rPr>
      <w:rFonts w:ascii="Arial" w:hAnsi="Arial" w:cs="Arial"/>
      <w:spacing w:val="10"/>
      <w:sz w:val="22"/>
      <w:szCs w:val="22"/>
    </w:rPr>
  </w:style>
  <w:style w:type="paragraph" w:customStyle="1" w:styleId="aff8">
    <w:name w:val="כותרת גרף ירוקה"/>
    <w:basedOn w:val="a0"/>
    <w:pPr>
      <w:spacing w:before="60" w:after="60" w:line="240" w:lineRule="auto"/>
      <w:ind w:right="210"/>
    </w:pPr>
    <w:rPr>
      <w:rFonts w:ascii="Arial" w:hAnsi="Arial" w:cs="Arial"/>
      <w:b/>
      <w:bCs/>
      <w:color w:val="008000"/>
      <w:spacing w:val="10"/>
      <w:sz w:val="22"/>
      <w:szCs w:val="22"/>
    </w:rPr>
  </w:style>
  <w:style w:type="paragraph" w:customStyle="1" w:styleId="aff9">
    <w:name w:val="שם_מסמך"/>
    <w:basedOn w:val="a0"/>
    <w:pPr>
      <w:jc w:val="center"/>
    </w:pPr>
    <w:rPr>
      <w:b/>
      <w:bCs/>
      <w:sz w:val="40"/>
      <w:szCs w:val="40"/>
    </w:rPr>
  </w:style>
  <w:style w:type="paragraph" w:customStyle="1" w:styleId="affa">
    <w:name w:val="יעוד_מסמך"/>
    <w:basedOn w:val="a4"/>
    <w:pPr>
      <w:ind w:left="-14"/>
      <w:jc w:val="center"/>
    </w:pPr>
    <w:rPr>
      <w:b/>
      <w:bCs/>
      <w:sz w:val="32"/>
      <w:szCs w:val="32"/>
    </w:rPr>
  </w:style>
  <w:style w:type="paragraph" w:customStyle="1" w:styleId="affb">
    <w:name w:val="כתיבה_שער"/>
    <w:basedOn w:val="af1"/>
    <w:rPr>
      <w:b/>
      <w:bCs/>
      <w:sz w:val="28"/>
      <w:szCs w:val="28"/>
    </w:rPr>
  </w:style>
  <w:style w:type="paragraph" w:customStyle="1" w:styleId="affc">
    <w:name w:val="אישור_שער"/>
    <w:basedOn w:val="af2"/>
    <w:pPr>
      <w:spacing w:before="80"/>
    </w:pPr>
  </w:style>
  <w:style w:type="paragraph" w:customStyle="1" w:styleId="affd">
    <w:name w:val="סימוכין_שער"/>
    <w:basedOn w:val="aff6"/>
    <w:pPr>
      <w:framePr w:wrap="notBeside"/>
      <w:spacing w:before="0" w:after="0" w:line="240" w:lineRule="auto"/>
      <w:jc w:val="left"/>
    </w:pPr>
    <w:rPr>
      <w:sz w:val="16"/>
      <w:szCs w:val="16"/>
    </w:rPr>
  </w:style>
  <w:style w:type="paragraph" w:customStyle="1" w:styleId="affe">
    <w:name w:val="תאריך_לועזי_פוטר"/>
    <w:basedOn w:val="afe"/>
    <w:pPr>
      <w:framePr w:hSpace="180" w:wrap="around" w:vAnchor="text" w:hAnchor="margin" w:xAlign="right" w:y="1"/>
      <w:suppressOverlap/>
      <w:jc w:val="left"/>
    </w:pPr>
  </w:style>
  <w:style w:type="paragraph" w:styleId="afff">
    <w:name w:val="Body Text"/>
    <w:basedOn w:val="a0"/>
    <w:link w:val="afff0"/>
    <w:rPr>
      <w:b/>
      <w:bCs/>
      <w:spacing w:val="-4"/>
      <w:szCs w:val="20"/>
    </w:rPr>
  </w:style>
  <w:style w:type="character" w:customStyle="1" w:styleId="apple-style-span">
    <w:name w:val="apple-style-span"/>
    <w:basedOn w:val="a1"/>
    <w:rsid w:val="00976764"/>
  </w:style>
  <w:style w:type="character" w:customStyle="1" w:styleId="mw-headline">
    <w:name w:val="mw-headline"/>
    <w:basedOn w:val="a1"/>
    <w:rsid w:val="00D1208A"/>
  </w:style>
  <w:style w:type="character" w:customStyle="1" w:styleId="enumlstr">
    <w:name w:val="enumlstr"/>
    <w:rsid w:val="00CE75FE"/>
    <w:rPr>
      <w:b/>
      <w:bCs/>
      <w:color w:val="000066"/>
    </w:rPr>
  </w:style>
  <w:style w:type="character" w:customStyle="1" w:styleId="giladn">
    <w:name w:val="giladn"/>
    <w:semiHidden/>
    <w:rsid w:val="00C33835"/>
    <w:rPr>
      <w:rFonts w:ascii="Arial" w:hAnsi="Arial" w:cs="Arial"/>
      <w:color w:val="auto"/>
      <w:sz w:val="20"/>
      <w:szCs w:val="20"/>
    </w:rPr>
  </w:style>
  <w:style w:type="paragraph" w:styleId="afff1">
    <w:name w:val="Balloon Text"/>
    <w:basedOn w:val="a0"/>
    <w:semiHidden/>
    <w:rsid w:val="008345DE"/>
    <w:rPr>
      <w:rFonts w:ascii="Tahoma" w:hAnsi="Tahoma" w:cs="Tahoma"/>
      <w:sz w:val="16"/>
      <w:szCs w:val="16"/>
    </w:rPr>
  </w:style>
  <w:style w:type="character" w:customStyle="1" w:styleId="a9">
    <w:name w:val="פסקה# תו"/>
    <w:link w:val="a7"/>
    <w:rsid w:val="00470980"/>
    <w:rPr>
      <w:rFonts w:cs="David"/>
      <w:sz w:val="24"/>
      <w:szCs w:val="24"/>
      <w:lang w:val="en-US" w:eastAsia="en-US" w:bidi="he-IL"/>
    </w:rPr>
  </w:style>
  <w:style w:type="character" w:customStyle="1" w:styleId="a8">
    <w:name w:val="דילוג תו"/>
    <w:basedOn w:val="a9"/>
    <w:link w:val="a5"/>
    <w:rsid w:val="00470980"/>
    <w:rPr>
      <w:rFonts w:cs="David"/>
      <w:sz w:val="24"/>
      <w:szCs w:val="24"/>
      <w:lang w:val="en-US" w:eastAsia="en-US" w:bidi="he-IL"/>
    </w:rPr>
  </w:style>
  <w:style w:type="character" w:customStyle="1" w:styleId="a6">
    <w:name w:val="פסקה רג תו"/>
    <w:basedOn w:val="a8"/>
    <w:link w:val="a4"/>
    <w:rsid w:val="00F824D5"/>
    <w:rPr>
      <w:rFonts w:cs="David"/>
      <w:sz w:val="22"/>
      <w:szCs w:val="24"/>
      <w:lang w:val="en-US" w:eastAsia="en-US" w:bidi="he-IL"/>
    </w:rPr>
  </w:style>
  <w:style w:type="paragraph" w:styleId="NormalWeb">
    <w:name w:val="Normal (Web)"/>
    <w:basedOn w:val="a0"/>
    <w:uiPriority w:val="99"/>
    <w:rsid w:val="00EB6BF1"/>
    <w:pPr>
      <w:bidi w:val="0"/>
      <w:spacing w:before="100" w:beforeAutospacing="1" w:after="100" w:afterAutospacing="1" w:line="240" w:lineRule="auto"/>
      <w:jc w:val="left"/>
    </w:pPr>
    <w:rPr>
      <w:rFonts w:cs="Times New Roman"/>
      <w:lang w:eastAsia="en-US"/>
    </w:rPr>
  </w:style>
  <w:style w:type="character" w:customStyle="1" w:styleId="runningglos1">
    <w:name w:val="runningglos1"/>
    <w:rsid w:val="003A16DD"/>
    <w:rPr>
      <w:rFonts w:ascii="Arial" w:hAnsi="Arial" w:cs="Arial" w:hint="default"/>
      <w:sz w:val="20"/>
      <w:szCs w:val="20"/>
    </w:rPr>
  </w:style>
  <w:style w:type="paragraph" w:customStyle="1" w:styleId="western">
    <w:name w:val="western"/>
    <w:basedOn w:val="a0"/>
    <w:rsid w:val="00273E2D"/>
    <w:pPr>
      <w:bidi w:val="0"/>
      <w:spacing w:before="100" w:beforeAutospacing="1" w:after="100" w:afterAutospacing="1" w:line="240" w:lineRule="auto"/>
      <w:jc w:val="left"/>
    </w:pPr>
    <w:rPr>
      <w:rFonts w:cs="Times New Roman"/>
      <w:lang w:eastAsia="en-US"/>
    </w:rPr>
  </w:style>
  <w:style w:type="paragraph" w:customStyle="1" w:styleId="P00">
    <w:name w:val="P00"/>
    <w:rsid w:val="00A356F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paragraph" w:customStyle="1" w:styleId="P22">
    <w:name w:val="P22"/>
    <w:basedOn w:val="P00"/>
    <w:rsid w:val="00A356F9"/>
    <w:pPr>
      <w:tabs>
        <w:tab w:val="clear" w:pos="624"/>
        <w:tab w:val="clear" w:pos="1021"/>
      </w:tabs>
      <w:ind w:right="1021"/>
    </w:pPr>
  </w:style>
  <w:style w:type="character" w:customStyle="1" w:styleId="default">
    <w:name w:val="default"/>
    <w:rsid w:val="00A356F9"/>
    <w:rPr>
      <w:rFonts w:ascii="Times New Roman" w:hAnsi="Times New Roman" w:cs="Times New Roman" w:hint="default"/>
      <w:sz w:val="26"/>
      <w:szCs w:val="26"/>
    </w:rPr>
  </w:style>
  <w:style w:type="paragraph" w:customStyle="1" w:styleId="ruller5">
    <w:name w:val="ruller5"/>
    <w:basedOn w:val="a0"/>
    <w:rsid w:val="004E2020"/>
    <w:pPr>
      <w:overflowPunct w:val="0"/>
      <w:autoSpaceDE w:val="0"/>
      <w:autoSpaceDN w:val="0"/>
      <w:spacing w:before="0" w:after="0" w:line="240" w:lineRule="auto"/>
      <w:ind w:left="1642" w:right="1282"/>
    </w:pPr>
    <w:rPr>
      <w:rFonts w:ascii="Arial TUR" w:hAnsi="Arial TUR" w:cs="Arial TUR"/>
      <w:spacing w:val="10"/>
      <w:sz w:val="22"/>
      <w:szCs w:val="22"/>
    </w:rPr>
  </w:style>
  <w:style w:type="character" w:customStyle="1" w:styleId="jnenbez">
    <w:name w:val="jnenbez"/>
    <w:basedOn w:val="a1"/>
    <w:rsid w:val="000C43DA"/>
  </w:style>
  <w:style w:type="character" w:customStyle="1" w:styleId="jnentitel">
    <w:name w:val="jnentitel"/>
    <w:basedOn w:val="a1"/>
    <w:rsid w:val="000C43DA"/>
  </w:style>
  <w:style w:type="character" w:customStyle="1" w:styleId="google-src-text1">
    <w:name w:val="google-src-text1"/>
    <w:rsid w:val="000C43DA"/>
    <w:rPr>
      <w:vanish/>
      <w:webHidden w:val="0"/>
      <w:specVanish w:val="0"/>
    </w:rPr>
  </w:style>
  <w:style w:type="character" w:customStyle="1" w:styleId="simfield1">
    <w:name w:val="simfield1"/>
    <w:rsid w:val="00676261"/>
    <w:rPr>
      <w:rFonts w:ascii="Arial" w:hAnsi="Arial" w:cs="Arial" w:hint="default"/>
      <w:vanish w:val="0"/>
      <w:webHidden w:val="0"/>
      <w:color w:val="003366"/>
      <w:bdr w:val="single" w:sz="4" w:space="1" w:color="CCCCCC" w:frame="1"/>
      <w:shd w:val="clear" w:color="auto" w:fill="F2F2F2"/>
      <w:specVanish w:val="0"/>
    </w:rPr>
  </w:style>
  <w:style w:type="character" w:customStyle="1" w:styleId="apple-converted-space">
    <w:name w:val="apple-converted-space"/>
    <w:basedOn w:val="a1"/>
    <w:rsid w:val="00725DCD"/>
  </w:style>
  <w:style w:type="paragraph" w:customStyle="1" w:styleId="shw">
    <w:name w:val="shw"/>
    <w:basedOn w:val="a0"/>
    <w:rsid w:val="00B7557D"/>
    <w:pPr>
      <w:bidi w:val="0"/>
      <w:spacing w:before="100" w:beforeAutospacing="1" w:after="100" w:afterAutospacing="1" w:line="240" w:lineRule="auto"/>
      <w:jc w:val="left"/>
    </w:pPr>
    <w:rPr>
      <w:rFonts w:cs="Times New Roman"/>
      <w:lang w:eastAsia="en-US"/>
    </w:rPr>
  </w:style>
  <w:style w:type="paragraph" w:customStyle="1" w:styleId="Level1">
    <w:name w:val="Level 1"/>
    <w:basedOn w:val="a0"/>
    <w:rsid w:val="005D7E30"/>
    <w:pPr>
      <w:widowControl w:val="0"/>
      <w:bidi w:val="0"/>
      <w:spacing w:before="0" w:after="0" w:line="240" w:lineRule="auto"/>
      <w:jc w:val="left"/>
    </w:pPr>
    <w:rPr>
      <w:rFonts w:cs="Times New Roman"/>
      <w:szCs w:val="20"/>
      <w:lang w:eastAsia="en-US"/>
    </w:rPr>
  </w:style>
  <w:style w:type="paragraph" w:customStyle="1" w:styleId="ListParagraph1">
    <w:name w:val="List Paragraph1"/>
    <w:basedOn w:val="a0"/>
    <w:uiPriority w:val="34"/>
    <w:qFormat/>
    <w:rsid w:val="00F60BC6"/>
    <w:pPr>
      <w:ind w:left="720"/>
    </w:pPr>
  </w:style>
  <w:style w:type="character" w:styleId="afff2">
    <w:name w:val="Strong"/>
    <w:uiPriority w:val="22"/>
    <w:qFormat/>
    <w:rsid w:val="00A91DA2"/>
    <w:rPr>
      <w:b/>
      <w:bCs/>
    </w:rPr>
  </w:style>
  <w:style w:type="character" w:customStyle="1" w:styleId="ptext-2">
    <w:name w:val="ptext-2"/>
    <w:basedOn w:val="a1"/>
    <w:rsid w:val="003A0FBD"/>
  </w:style>
  <w:style w:type="character" w:customStyle="1" w:styleId="ptext-3">
    <w:name w:val="ptext-3"/>
    <w:basedOn w:val="a1"/>
    <w:rsid w:val="003A0FBD"/>
  </w:style>
  <w:style w:type="character" w:customStyle="1" w:styleId="enumbell">
    <w:name w:val="enumbell"/>
    <w:rsid w:val="003A0FBD"/>
    <w:rPr>
      <w:b/>
      <w:bCs/>
    </w:rPr>
  </w:style>
  <w:style w:type="character" w:styleId="afff3">
    <w:name w:val="Emphasis"/>
    <w:uiPriority w:val="20"/>
    <w:qFormat/>
    <w:rsid w:val="004F0366"/>
    <w:rPr>
      <w:i/>
      <w:iCs/>
    </w:rPr>
  </w:style>
  <w:style w:type="character" w:customStyle="1" w:styleId="searchword">
    <w:name w:val="searchword"/>
    <w:rsid w:val="000A755B"/>
    <w:rPr>
      <w:shd w:val="clear" w:color="auto" w:fill="FFFF00"/>
    </w:rPr>
  </w:style>
  <w:style w:type="paragraph" w:customStyle="1" w:styleId="legp1paratext1">
    <w:name w:val="legp1paratext1"/>
    <w:basedOn w:val="a0"/>
    <w:rsid w:val="00552131"/>
    <w:pPr>
      <w:shd w:val="clear" w:color="auto" w:fill="FFFFFF"/>
      <w:bidi w:val="0"/>
      <w:spacing w:before="0" w:line="360" w:lineRule="atLeast"/>
      <w:ind w:firstLine="240"/>
    </w:pPr>
    <w:rPr>
      <w:rFonts w:cs="Times New Roman"/>
      <w:color w:val="000000"/>
      <w:sz w:val="19"/>
      <w:szCs w:val="19"/>
      <w:lang w:eastAsia="en-US"/>
    </w:rPr>
  </w:style>
  <w:style w:type="paragraph" w:customStyle="1" w:styleId="legp2paratext1">
    <w:name w:val="legp2paratext1"/>
    <w:basedOn w:val="a0"/>
    <w:rsid w:val="00552131"/>
    <w:pPr>
      <w:shd w:val="clear" w:color="auto" w:fill="FFFFFF"/>
      <w:bidi w:val="0"/>
      <w:spacing w:before="0" w:line="360" w:lineRule="atLeast"/>
      <w:ind w:firstLine="240"/>
    </w:pPr>
    <w:rPr>
      <w:rFonts w:cs="Times New Roman"/>
      <w:color w:val="000000"/>
      <w:sz w:val="19"/>
      <w:szCs w:val="19"/>
      <w:lang w:eastAsia="en-US"/>
    </w:rPr>
  </w:style>
  <w:style w:type="character" w:customStyle="1" w:styleId="legp1no3">
    <w:name w:val="legp1no3"/>
    <w:rsid w:val="00552131"/>
    <w:rPr>
      <w:b/>
      <w:bCs/>
    </w:rPr>
  </w:style>
  <w:style w:type="character" w:customStyle="1" w:styleId="legdsleglhslegp3no">
    <w:name w:val="legds leglhs legp3no"/>
    <w:basedOn w:val="a1"/>
    <w:rsid w:val="00552131"/>
  </w:style>
  <w:style w:type="character" w:customStyle="1" w:styleId="legdslegrhslegp3text">
    <w:name w:val="legds legrhs legp3text"/>
    <w:basedOn w:val="a1"/>
    <w:rsid w:val="00552131"/>
  </w:style>
  <w:style w:type="character" w:customStyle="1" w:styleId="code">
    <w:name w:val="code"/>
    <w:basedOn w:val="a1"/>
    <w:rsid w:val="00FB0680"/>
  </w:style>
  <w:style w:type="character" w:customStyle="1" w:styleId="st1">
    <w:name w:val="st1"/>
    <w:basedOn w:val="a1"/>
    <w:rsid w:val="00871CED"/>
  </w:style>
  <w:style w:type="paragraph" w:customStyle="1" w:styleId="Default0">
    <w:name w:val="Default"/>
    <w:rsid w:val="000E2616"/>
    <w:pPr>
      <w:autoSpaceDE w:val="0"/>
      <w:autoSpaceDN w:val="0"/>
      <w:adjustRightInd w:val="0"/>
    </w:pPr>
    <w:rPr>
      <w:rFonts w:ascii="Book Antiqua" w:hAnsi="Book Antiqua" w:cs="Book Antiqua"/>
      <w:color w:val="000000"/>
      <w:sz w:val="24"/>
      <w:szCs w:val="24"/>
    </w:rPr>
  </w:style>
  <w:style w:type="paragraph" w:customStyle="1" w:styleId="gufpsak">
    <w:name w:val="gufpsak"/>
    <w:basedOn w:val="a0"/>
    <w:rsid w:val="006971B1"/>
    <w:pPr>
      <w:autoSpaceDE w:val="0"/>
      <w:autoSpaceDN w:val="0"/>
      <w:spacing w:before="0" w:after="0" w:line="300" w:lineRule="atLeast"/>
    </w:pPr>
    <w:rPr>
      <w:rFonts w:ascii="Arial" w:hAnsi="Arial" w:cs="Arial"/>
      <w:sz w:val="20"/>
      <w:szCs w:val="20"/>
      <w:lang w:eastAsia="en-US"/>
    </w:rPr>
  </w:style>
  <w:style w:type="paragraph" w:customStyle="1" w:styleId="CharChar">
    <w:name w:val="Char Char"/>
    <w:basedOn w:val="Default0"/>
    <w:next w:val="Default0"/>
    <w:uiPriority w:val="99"/>
    <w:rsid w:val="00BA5A99"/>
    <w:rPr>
      <w:rFonts w:ascii="Arial" w:hAnsi="Arial" w:cs="Arial"/>
      <w:color w:val="auto"/>
    </w:rPr>
  </w:style>
  <w:style w:type="character" w:styleId="HTML">
    <w:name w:val="HTML Acronym"/>
    <w:basedOn w:val="a1"/>
    <w:uiPriority w:val="99"/>
    <w:unhideWhenUsed/>
    <w:rsid w:val="00FC2CBB"/>
  </w:style>
  <w:style w:type="paragraph" w:customStyle="1" w:styleId="subsection">
    <w:name w:val="subsection"/>
    <w:basedOn w:val="a0"/>
    <w:rsid w:val="002D26E0"/>
    <w:pPr>
      <w:bidi w:val="0"/>
      <w:spacing w:before="100" w:beforeAutospacing="1" w:after="100" w:afterAutospacing="1" w:line="240" w:lineRule="auto"/>
      <w:jc w:val="left"/>
    </w:pPr>
    <w:rPr>
      <w:rFonts w:cs="Times New Roman"/>
      <w:lang w:eastAsia="en-US"/>
    </w:rPr>
  </w:style>
  <w:style w:type="paragraph" w:customStyle="1" w:styleId="paragraph">
    <w:name w:val="paragraph"/>
    <w:basedOn w:val="a0"/>
    <w:rsid w:val="002D26E0"/>
    <w:pPr>
      <w:bidi w:val="0"/>
      <w:spacing w:before="100" w:beforeAutospacing="1" w:after="100" w:afterAutospacing="1" w:line="240" w:lineRule="auto"/>
      <w:jc w:val="left"/>
    </w:pPr>
    <w:rPr>
      <w:rFonts w:cs="Times New Roman"/>
      <w:lang w:eastAsia="en-US"/>
    </w:rPr>
  </w:style>
  <w:style w:type="paragraph" w:customStyle="1" w:styleId="subsection2">
    <w:name w:val="subsection2"/>
    <w:basedOn w:val="a0"/>
    <w:rsid w:val="002D26E0"/>
    <w:pPr>
      <w:bidi w:val="0"/>
      <w:spacing w:before="100" w:beforeAutospacing="1" w:after="100" w:afterAutospacing="1" w:line="240" w:lineRule="auto"/>
      <w:jc w:val="left"/>
    </w:pPr>
    <w:rPr>
      <w:rFonts w:cs="Times New Roman"/>
      <w:lang w:eastAsia="en-US"/>
    </w:rPr>
  </w:style>
  <w:style w:type="paragraph" w:customStyle="1" w:styleId="notetext">
    <w:name w:val="notetext"/>
    <w:basedOn w:val="a0"/>
    <w:rsid w:val="002D26E0"/>
    <w:pPr>
      <w:bidi w:val="0"/>
      <w:spacing w:before="100" w:beforeAutospacing="1" w:after="100" w:afterAutospacing="1" w:line="240" w:lineRule="auto"/>
      <w:jc w:val="left"/>
    </w:pPr>
    <w:rPr>
      <w:rFonts w:cs="Times New Roman"/>
      <w:lang w:eastAsia="en-US"/>
    </w:rPr>
  </w:style>
  <w:style w:type="paragraph" w:customStyle="1" w:styleId="definition">
    <w:name w:val="definition"/>
    <w:basedOn w:val="a0"/>
    <w:rsid w:val="00991971"/>
    <w:pPr>
      <w:bidi w:val="0"/>
      <w:spacing w:before="100" w:beforeAutospacing="1" w:after="100" w:afterAutospacing="1" w:line="240" w:lineRule="auto"/>
      <w:jc w:val="left"/>
    </w:pPr>
    <w:rPr>
      <w:rFonts w:cs="Times New Roman"/>
      <w:lang w:eastAsia="en-US"/>
    </w:rPr>
  </w:style>
  <w:style w:type="paragraph" w:customStyle="1" w:styleId="paragraphsub">
    <w:name w:val="paragraphsub"/>
    <w:basedOn w:val="a0"/>
    <w:rsid w:val="00991971"/>
    <w:pPr>
      <w:bidi w:val="0"/>
      <w:spacing w:before="100" w:beforeAutospacing="1" w:after="100" w:afterAutospacing="1" w:line="240" w:lineRule="auto"/>
      <w:jc w:val="left"/>
    </w:pPr>
    <w:rPr>
      <w:rFonts w:cs="Times New Roman"/>
      <w:lang w:eastAsia="en-US"/>
    </w:rPr>
  </w:style>
  <w:style w:type="paragraph" w:customStyle="1" w:styleId="acthead5">
    <w:name w:val="acthead5"/>
    <w:basedOn w:val="a0"/>
    <w:rsid w:val="003D1BBD"/>
    <w:pPr>
      <w:bidi w:val="0"/>
      <w:spacing w:before="100" w:beforeAutospacing="1" w:after="100" w:afterAutospacing="1" w:line="240" w:lineRule="auto"/>
      <w:jc w:val="left"/>
    </w:pPr>
    <w:rPr>
      <w:rFonts w:cs="Times New Roman"/>
      <w:lang w:eastAsia="en-US"/>
    </w:rPr>
  </w:style>
  <w:style w:type="character" w:customStyle="1" w:styleId="plainlinksneverexpand">
    <w:name w:val="plainlinksneverexpand"/>
    <w:basedOn w:val="a1"/>
    <w:rsid w:val="00111A86"/>
  </w:style>
  <w:style w:type="character" w:customStyle="1" w:styleId="ptext-4">
    <w:name w:val="ptext-4"/>
    <w:basedOn w:val="a1"/>
    <w:rsid w:val="00E51F32"/>
  </w:style>
  <w:style w:type="character" w:styleId="HTMLCite">
    <w:name w:val="HTML Cite"/>
    <w:uiPriority w:val="99"/>
    <w:rsid w:val="00FA6DE4"/>
    <w:rPr>
      <w:i/>
      <w:iCs/>
    </w:rPr>
  </w:style>
  <w:style w:type="character" w:customStyle="1" w:styleId="term1">
    <w:name w:val="term1"/>
    <w:rsid w:val="009232B0"/>
    <w:rPr>
      <w:b/>
      <w:bCs/>
    </w:rPr>
  </w:style>
  <w:style w:type="character" w:customStyle="1" w:styleId="pmterms11">
    <w:name w:val="pmterms11"/>
    <w:rsid w:val="009232B0"/>
    <w:rPr>
      <w:b/>
      <w:bCs/>
      <w:i w:val="0"/>
      <w:iCs w:val="0"/>
      <w:color w:val="000000"/>
    </w:rPr>
  </w:style>
  <w:style w:type="character" w:customStyle="1" w:styleId="smallital">
    <w:name w:val="smallital"/>
    <w:basedOn w:val="a1"/>
    <w:rsid w:val="005E7EF9"/>
  </w:style>
  <w:style w:type="paragraph" w:customStyle="1" w:styleId="startjustify">
    <w:name w:val="start justify"/>
    <w:basedOn w:val="a0"/>
    <w:rsid w:val="00584533"/>
    <w:pPr>
      <w:bidi w:val="0"/>
      <w:spacing w:before="100" w:beforeAutospacing="1" w:after="100" w:afterAutospacing="1" w:line="240" w:lineRule="auto"/>
      <w:jc w:val="left"/>
    </w:pPr>
    <w:rPr>
      <w:rFonts w:cs="Times New Roman"/>
      <w:lang w:eastAsia="en-US"/>
    </w:rPr>
  </w:style>
  <w:style w:type="character" w:customStyle="1" w:styleId="14">
    <w:name w:val="כות_1 תו"/>
    <w:link w:val="1"/>
    <w:rsid w:val="007D37E8"/>
    <w:rPr>
      <w:rFonts w:cs="David"/>
      <w:b/>
      <w:bCs/>
      <w:sz w:val="28"/>
      <w:szCs w:val="28"/>
      <w:lang w:eastAsia="he-IL"/>
    </w:rPr>
  </w:style>
  <w:style w:type="character" w:customStyle="1" w:styleId="112">
    <w:name w:val="כות_1.1 תו"/>
    <w:basedOn w:val="14"/>
    <w:link w:val="11"/>
    <w:rsid w:val="009E7AD2"/>
    <w:rPr>
      <w:rFonts w:cs="David"/>
      <w:b/>
      <w:bCs/>
      <w:sz w:val="24"/>
      <w:szCs w:val="26"/>
      <w:lang w:eastAsia="he-IL"/>
    </w:rPr>
  </w:style>
  <w:style w:type="paragraph" w:customStyle="1" w:styleId="1113">
    <w:name w:val="סגנון כות_1.1 + (עברית ושפות אחרות) ‏13 נק'"/>
    <w:basedOn w:val="11"/>
    <w:rsid w:val="004E0EDC"/>
    <w:pPr>
      <w:keepNext/>
      <w:keepLines/>
    </w:pPr>
  </w:style>
  <w:style w:type="paragraph" w:styleId="afff4">
    <w:name w:val="List Paragraph"/>
    <w:basedOn w:val="a0"/>
    <w:uiPriority w:val="34"/>
    <w:qFormat/>
    <w:rsid w:val="00EF0682"/>
    <w:pPr>
      <w:ind w:left="720"/>
    </w:pPr>
  </w:style>
  <w:style w:type="character" w:customStyle="1" w:styleId="ab">
    <w:name w:val="טקסט הערת שוליים תו"/>
    <w:link w:val="aa"/>
    <w:rsid w:val="009C3CF0"/>
    <w:rPr>
      <w:rFonts w:cs="David"/>
      <w:spacing w:val="-4"/>
      <w:lang w:val="x-none" w:eastAsia="he-IL"/>
    </w:rPr>
  </w:style>
  <w:style w:type="paragraph" w:customStyle="1" w:styleId="p000">
    <w:name w:val="p00"/>
    <w:basedOn w:val="a0"/>
    <w:rsid w:val="00DC19DA"/>
    <w:pPr>
      <w:bidi w:val="0"/>
      <w:spacing w:before="100" w:beforeAutospacing="1" w:after="100" w:afterAutospacing="1" w:line="240" w:lineRule="auto"/>
      <w:jc w:val="left"/>
    </w:pPr>
    <w:rPr>
      <w:rFonts w:cs="Times New Roman"/>
      <w:lang w:eastAsia="en-US"/>
    </w:rPr>
  </w:style>
  <w:style w:type="character" w:customStyle="1" w:styleId="big-number">
    <w:name w:val="big-number"/>
    <w:basedOn w:val="a1"/>
    <w:rsid w:val="00DC19DA"/>
  </w:style>
  <w:style w:type="paragraph" w:customStyle="1" w:styleId="header-2">
    <w:name w:val="header-2"/>
    <w:basedOn w:val="a0"/>
    <w:rsid w:val="00DC19DA"/>
    <w:pPr>
      <w:bidi w:val="0"/>
      <w:spacing w:before="100" w:beforeAutospacing="1" w:after="100" w:afterAutospacing="1" w:line="240" w:lineRule="auto"/>
      <w:jc w:val="left"/>
    </w:pPr>
    <w:rPr>
      <w:rFonts w:cs="Times New Roman"/>
      <w:lang w:eastAsia="en-US"/>
    </w:rPr>
  </w:style>
  <w:style w:type="paragraph" w:customStyle="1" w:styleId="p11">
    <w:name w:val="p11"/>
    <w:basedOn w:val="a0"/>
    <w:rsid w:val="00DC19DA"/>
    <w:pPr>
      <w:bidi w:val="0"/>
      <w:spacing w:before="100" w:beforeAutospacing="1" w:after="100" w:afterAutospacing="1" w:line="240" w:lineRule="auto"/>
      <w:jc w:val="left"/>
    </w:pPr>
    <w:rPr>
      <w:rFonts w:cs="Times New Roman"/>
      <w:lang w:eastAsia="en-US"/>
    </w:rPr>
  </w:style>
  <w:style w:type="paragraph" w:customStyle="1" w:styleId="p220">
    <w:name w:val="p22"/>
    <w:basedOn w:val="a0"/>
    <w:rsid w:val="00DC19DA"/>
    <w:pPr>
      <w:bidi w:val="0"/>
      <w:spacing w:before="100" w:beforeAutospacing="1" w:after="100" w:afterAutospacing="1" w:line="240" w:lineRule="auto"/>
      <w:jc w:val="left"/>
    </w:pPr>
    <w:rPr>
      <w:rFonts w:cs="Times New Roman"/>
      <w:lang w:eastAsia="en-US"/>
    </w:rPr>
  </w:style>
  <w:style w:type="paragraph" w:customStyle="1" w:styleId="medium2-header">
    <w:name w:val="medium2-header"/>
    <w:basedOn w:val="a0"/>
    <w:rsid w:val="00DC19DA"/>
    <w:pPr>
      <w:bidi w:val="0"/>
      <w:spacing w:before="100" w:beforeAutospacing="1" w:after="100" w:afterAutospacing="1" w:line="240" w:lineRule="auto"/>
      <w:jc w:val="left"/>
    </w:pPr>
    <w:rPr>
      <w:rFonts w:cs="Times New Roman"/>
      <w:lang w:eastAsia="en-US"/>
    </w:rPr>
  </w:style>
  <w:style w:type="character" w:customStyle="1" w:styleId="mw-editsection">
    <w:name w:val="mw-editsection"/>
    <w:rsid w:val="00135DE5"/>
  </w:style>
  <w:style w:type="character" w:customStyle="1" w:styleId="mw-editsection-bracket">
    <w:name w:val="mw-editsection-bracket"/>
    <w:rsid w:val="00135DE5"/>
  </w:style>
  <w:style w:type="paragraph" w:styleId="HTML0">
    <w:name w:val="HTML Preformatted"/>
    <w:basedOn w:val="a0"/>
    <w:link w:val="HTML1"/>
    <w:uiPriority w:val="99"/>
    <w:unhideWhenUsed/>
    <w:rsid w:val="009965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before="0" w:after="0" w:line="240" w:lineRule="auto"/>
      <w:jc w:val="left"/>
    </w:pPr>
    <w:rPr>
      <w:rFonts w:ascii="Courier New" w:hAnsi="Courier New" w:cs="Times New Roman"/>
      <w:sz w:val="20"/>
      <w:szCs w:val="20"/>
      <w:lang w:val="x-none" w:eastAsia="x-none"/>
    </w:rPr>
  </w:style>
  <w:style w:type="character" w:customStyle="1" w:styleId="HTML1">
    <w:name w:val="HTML מעוצב מראש תו"/>
    <w:link w:val="HTML0"/>
    <w:uiPriority w:val="99"/>
    <w:rsid w:val="0099653B"/>
    <w:rPr>
      <w:rFonts w:ascii="Courier New" w:hAnsi="Courier New" w:cs="Courier New"/>
    </w:rPr>
  </w:style>
  <w:style w:type="paragraph" w:customStyle="1" w:styleId="section-label">
    <w:name w:val="section-label"/>
    <w:basedOn w:val="a0"/>
    <w:rsid w:val="00E3267F"/>
    <w:pPr>
      <w:bidi w:val="0"/>
      <w:spacing w:before="100" w:beforeAutospacing="1" w:after="100" w:afterAutospacing="1" w:line="240" w:lineRule="auto"/>
      <w:jc w:val="left"/>
    </w:pPr>
    <w:rPr>
      <w:rFonts w:cs="Times New Roman"/>
      <w:lang w:eastAsia="en-US"/>
    </w:rPr>
  </w:style>
  <w:style w:type="paragraph" w:customStyle="1" w:styleId="section-para">
    <w:name w:val="section-para"/>
    <w:basedOn w:val="a0"/>
    <w:rsid w:val="00E3267F"/>
    <w:pPr>
      <w:bidi w:val="0"/>
      <w:spacing w:before="100" w:beforeAutospacing="1" w:after="100" w:afterAutospacing="1" w:line="240" w:lineRule="auto"/>
      <w:jc w:val="left"/>
    </w:pPr>
    <w:rPr>
      <w:rFonts w:cs="Times New Roman"/>
      <w:lang w:eastAsia="en-US"/>
    </w:rPr>
  </w:style>
  <w:style w:type="paragraph" w:customStyle="1" w:styleId="section-history">
    <w:name w:val="section-history"/>
    <w:basedOn w:val="a0"/>
    <w:rsid w:val="00E3267F"/>
    <w:pPr>
      <w:bidi w:val="0"/>
      <w:spacing w:before="100" w:beforeAutospacing="1" w:after="100" w:afterAutospacing="1" w:line="240" w:lineRule="auto"/>
      <w:jc w:val="left"/>
    </w:pPr>
    <w:rPr>
      <w:rFonts w:cs="Times New Roman"/>
      <w:lang w:eastAsia="en-US"/>
    </w:rPr>
  </w:style>
  <w:style w:type="character" w:customStyle="1" w:styleId="hit-highlight">
    <w:name w:val="hit-highlight"/>
    <w:rsid w:val="005E2EE4"/>
    <w:rPr>
      <w:b/>
      <w:bCs/>
      <w:shd w:val="clear" w:color="auto" w:fill="CCCCCC"/>
    </w:rPr>
  </w:style>
  <w:style w:type="paragraph" w:customStyle="1" w:styleId="ol-1">
    <w:name w:val="ol-1"/>
    <w:basedOn w:val="a0"/>
    <w:rsid w:val="005E2EE4"/>
    <w:pPr>
      <w:bidi w:val="0"/>
      <w:spacing w:before="15" w:after="100" w:afterAutospacing="1" w:line="240" w:lineRule="atLeast"/>
      <w:jc w:val="left"/>
    </w:pPr>
    <w:rPr>
      <w:rFonts w:ascii="Verdana" w:hAnsi="Verdana" w:cs="Times New Roman"/>
      <w:sz w:val="18"/>
      <w:szCs w:val="18"/>
      <w:lang w:eastAsia="en-US"/>
    </w:rPr>
  </w:style>
  <w:style w:type="paragraph" w:customStyle="1" w:styleId="ol-2">
    <w:name w:val="ol-2"/>
    <w:basedOn w:val="a0"/>
    <w:rsid w:val="005E2EE4"/>
    <w:pPr>
      <w:bidi w:val="0"/>
      <w:spacing w:before="15" w:after="100" w:afterAutospacing="1" w:line="240" w:lineRule="atLeast"/>
      <w:jc w:val="left"/>
    </w:pPr>
    <w:rPr>
      <w:rFonts w:ascii="Verdana" w:hAnsi="Verdana" w:cs="Times New Roman"/>
      <w:sz w:val="18"/>
      <w:szCs w:val="18"/>
      <w:lang w:eastAsia="en-US"/>
    </w:rPr>
  </w:style>
  <w:style w:type="paragraph" w:customStyle="1" w:styleId="ol-3">
    <w:name w:val="ol-3"/>
    <w:basedOn w:val="a0"/>
    <w:rsid w:val="005E2EE4"/>
    <w:pPr>
      <w:bidi w:val="0"/>
      <w:spacing w:before="15" w:after="100" w:afterAutospacing="1" w:line="240" w:lineRule="atLeast"/>
      <w:jc w:val="left"/>
    </w:pPr>
    <w:rPr>
      <w:rFonts w:ascii="Verdana" w:hAnsi="Verdana" w:cs="Times New Roman"/>
      <w:sz w:val="18"/>
      <w:szCs w:val="18"/>
      <w:lang w:eastAsia="en-US"/>
    </w:rPr>
  </w:style>
  <w:style w:type="character" w:customStyle="1" w:styleId="contents">
    <w:name w:val="contents"/>
    <w:rsid w:val="007A0EA9"/>
  </w:style>
  <w:style w:type="character" w:customStyle="1" w:styleId="sectno">
    <w:name w:val="sectno"/>
    <w:rsid w:val="007A0EA9"/>
  </w:style>
  <w:style w:type="character" w:customStyle="1" w:styleId="subject">
    <w:name w:val="subject"/>
    <w:rsid w:val="007A0EA9"/>
  </w:style>
  <w:style w:type="character" w:customStyle="1" w:styleId="enumxml1">
    <w:name w:val="enumxml1"/>
    <w:rsid w:val="007A0EA9"/>
    <w:rPr>
      <w:b/>
      <w:bCs/>
    </w:rPr>
  </w:style>
  <w:style w:type="character" w:customStyle="1" w:styleId="labelleader1">
    <w:name w:val="labelleader1"/>
    <w:rsid w:val="007A0EA9"/>
    <w:rPr>
      <w:b/>
      <w:bCs/>
    </w:rPr>
  </w:style>
  <w:style w:type="character" w:customStyle="1" w:styleId="ptext-18">
    <w:name w:val="ptext-18"/>
    <w:rsid w:val="007A0EA9"/>
  </w:style>
  <w:style w:type="character" w:customStyle="1" w:styleId="ptext-23">
    <w:name w:val="ptext-23"/>
    <w:rsid w:val="007A0EA9"/>
  </w:style>
  <w:style w:type="character" w:customStyle="1" w:styleId="ptext-33">
    <w:name w:val="ptext-33"/>
    <w:rsid w:val="007A0EA9"/>
  </w:style>
  <w:style w:type="character" w:customStyle="1" w:styleId="ptext-43">
    <w:name w:val="ptext-43"/>
    <w:rsid w:val="00E353F5"/>
  </w:style>
  <w:style w:type="paragraph" w:customStyle="1" w:styleId="norm">
    <w:name w:val="norm"/>
    <w:basedOn w:val="a0"/>
    <w:rsid w:val="00C039C2"/>
    <w:pPr>
      <w:bidi w:val="0"/>
      <w:spacing w:before="100" w:beforeAutospacing="1" w:after="100" w:afterAutospacing="1" w:line="240" w:lineRule="auto"/>
      <w:jc w:val="left"/>
    </w:pPr>
    <w:rPr>
      <w:rFonts w:cs="Times New Roman"/>
      <w:lang w:eastAsia="en-US"/>
    </w:rPr>
  </w:style>
  <w:style w:type="character" w:customStyle="1" w:styleId="mb">
    <w:name w:val="mb"/>
    <w:rsid w:val="00C039C2"/>
  </w:style>
  <w:style w:type="paragraph" w:customStyle="1" w:styleId="abs">
    <w:name w:val="abs"/>
    <w:basedOn w:val="a0"/>
    <w:rsid w:val="00C039C2"/>
    <w:pPr>
      <w:bidi w:val="0"/>
      <w:spacing w:before="100" w:beforeAutospacing="1" w:after="100" w:afterAutospacing="1" w:line="240" w:lineRule="auto"/>
      <w:jc w:val="left"/>
    </w:pPr>
    <w:rPr>
      <w:rFonts w:cs="Times New Roman"/>
      <w:lang w:eastAsia="en-US"/>
    </w:rPr>
  </w:style>
  <w:style w:type="paragraph" w:customStyle="1" w:styleId="follows-h4">
    <w:name w:val="follows-h4"/>
    <w:basedOn w:val="a0"/>
    <w:rsid w:val="00C039C2"/>
    <w:pPr>
      <w:bidi w:val="0"/>
      <w:spacing w:before="100" w:beforeAutospacing="1" w:after="100" w:afterAutospacing="1" w:line="240" w:lineRule="auto"/>
      <w:jc w:val="left"/>
    </w:pPr>
    <w:rPr>
      <w:rFonts w:cs="Times New Roman"/>
      <w:lang w:eastAsia="en-US"/>
    </w:rPr>
  </w:style>
  <w:style w:type="paragraph" w:customStyle="1" w:styleId="P01">
    <w:name w:val="P01"/>
    <w:basedOn w:val="P00"/>
    <w:rsid w:val="00B32465"/>
    <w:pPr>
      <w:ind w:right="624" w:hanging="624"/>
    </w:pPr>
    <w:rPr>
      <w:rFonts w:cs="FrankRuehl"/>
    </w:rPr>
  </w:style>
  <w:style w:type="paragraph" w:styleId="afff5">
    <w:name w:val="Block Text"/>
    <w:basedOn w:val="a0"/>
    <w:uiPriority w:val="99"/>
    <w:unhideWhenUsed/>
    <w:rsid w:val="00D73315"/>
    <w:pPr>
      <w:spacing w:before="0" w:after="0" w:line="240" w:lineRule="auto"/>
      <w:ind w:left="791" w:right="981" w:firstLine="654"/>
      <w:jc w:val="left"/>
    </w:pPr>
  </w:style>
  <w:style w:type="paragraph" w:customStyle="1" w:styleId="legp1paratext">
    <w:name w:val="legp1paratext"/>
    <w:basedOn w:val="a0"/>
    <w:rsid w:val="006D3CE4"/>
    <w:pPr>
      <w:bidi w:val="0"/>
      <w:spacing w:before="100" w:beforeAutospacing="1" w:after="100" w:afterAutospacing="1" w:line="240" w:lineRule="auto"/>
      <w:jc w:val="left"/>
    </w:pPr>
    <w:rPr>
      <w:rFonts w:cs="Times New Roman"/>
      <w:lang w:eastAsia="en-US"/>
    </w:rPr>
  </w:style>
  <w:style w:type="character" w:customStyle="1" w:styleId="legp1no">
    <w:name w:val="legp1no"/>
    <w:rsid w:val="006D3CE4"/>
  </w:style>
  <w:style w:type="paragraph" w:customStyle="1" w:styleId="legclearfix">
    <w:name w:val="legclearfix"/>
    <w:basedOn w:val="a0"/>
    <w:rsid w:val="006D3CE4"/>
    <w:pPr>
      <w:bidi w:val="0"/>
      <w:spacing w:before="100" w:beforeAutospacing="1" w:after="100" w:afterAutospacing="1" w:line="240" w:lineRule="auto"/>
      <w:jc w:val="left"/>
    </w:pPr>
    <w:rPr>
      <w:rFonts w:cs="Times New Roman"/>
      <w:lang w:eastAsia="en-US"/>
    </w:rPr>
  </w:style>
  <w:style w:type="character" w:customStyle="1" w:styleId="legds">
    <w:name w:val="legds"/>
    <w:rsid w:val="006D3CE4"/>
  </w:style>
  <w:style w:type="paragraph" w:customStyle="1" w:styleId="legp2paratext">
    <w:name w:val="legp2paratext"/>
    <w:basedOn w:val="a0"/>
    <w:rsid w:val="006D3CE4"/>
    <w:pPr>
      <w:bidi w:val="0"/>
      <w:spacing w:before="100" w:beforeAutospacing="1" w:after="100" w:afterAutospacing="1" w:line="240" w:lineRule="auto"/>
      <w:jc w:val="left"/>
    </w:pPr>
    <w:rPr>
      <w:rFonts w:cs="Times New Roman"/>
      <w:lang w:eastAsia="en-US"/>
    </w:rPr>
  </w:style>
  <w:style w:type="character" w:customStyle="1" w:styleId="black">
    <w:name w:val="black"/>
    <w:rsid w:val="00D60E72"/>
    <w:rPr>
      <w:color w:val="000000"/>
    </w:rPr>
  </w:style>
  <w:style w:type="character" w:customStyle="1" w:styleId="sectionnumber">
    <w:name w:val="sectionnumber"/>
    <w:rsid w:val="008341ED"/>
  </w:style>
  <w:style w:type="character" w:customStyle="1" w:styleId="catchlinetext">
    <w:name w:val="catchlinetext"/>
    <w:rsid w:val="008341ED"/>
  </w:style>
  <w:style w:type="character" w:customStyle="1" w:styleId="emdash">
    <w:name w:val="emdash"/>
    <w:rsid w:val="008341ED"/>
  </w:style>
  <w:style w:type="character" w:customStyle="1" w:styleId="sectionbody">
    <w:name w:val="sectionbody"/>
    <w:rsid w:val="008341ED"/>
  </w:style>
  <w:style w:type="character" w:customStyle="1" w:styleId="number">
    <w:name w:val="number"/>
    <w:rsid w:val="008341ED"/>
  </w:style>
  <w:style w:type="character" w:customStyle="1" w:styleId="text">
    <w:name w:val="text"/>
    <w:rsid w:val="008341ED"/>
  </w:style>
  <w:style w:type="character" w:customStyle="1" w:styleId="italic">
    <w:name w:val="italic"/>
    <w:rsid w:val="008341ED"/>
  </w:style>
  <w:style w:type="character" w:customStyle="1" w:styleId="directions">
    <w:name w:val="directions"/>
    <w:rsid w:val="008341ED"/>
  </w:style>
  <w:style w:type="paragraph" w:customStyle="1" w:styleId="indent">
    <w:name w:val="indent"/>
    <w:basedOn w:val="a0"/>
    <w:rsid w:val="008341ED"/>
    <w:pPr>
      <w:bidi w:val="0"/>
      <w:spacing w:before="100" w:beforeAutospacing="1" w:after="100" w:afterAutospacing="1" w:line="240" w:lineRule="auto"/>
      <w:jc w:val="left"/>
    </w:pPr>
    <w:rPr>
      <w:rFonts w:ascii="Trebuchet MS" w:hAnsi="Trebuchet MS" w:cs="Times New Roman"/>
      <w:color w:val="000080"/>
      <w:sz w:val="20"/>
      <w:szCs w:val="20"/>
      <w:lang w:eastAsia="en-US"/>
    </w:rPr>
  </w:style>
  <w:style w:type="character" w:customStyle="1" w:styleId="historytitle">
    <w:name w:val="historytitle"/>
    <w:rsid w:val="008341ED"/>
  </w:style>
  <w:style w:type="character" w:customStyle="1" w:styleId="historytext">
    <w:name w:val="historytext"/>
    <w:rsid w:val="008341ED"/>
  </w:style>
  <w:style w:type="paragraph" w:customStyle="1" w:styleId="flush">
    <w:name w:val="flush"/>
    <w:basedOn w:val="a0"/>
    <w:rsid w:val="008341ED"/>
    <w:pPr>
      <w:bidi w:val="0"/>
      <w:spacing w:before="100" w:beforeAutospacing="1" w:after="100" w:afterAutospacing="1" w:line="240" w:lineRule="auto"/>
      <w:jc w:val="left"/>
    </w:pPr>
    <w:rPr>
      <w:rFonts w:ascii="Trebuchet MS" w:hAnsi="Trebuchet MS" w:cs="Times New Roman"/>
      <w:color w:val="000080"/>
      <w:sz w:val="20"/>
      <w:szCs w:val="20"/>
      <w:lang w:eastAsia="en-US"/>
    </w:rPr>
  </w:style>
  <w:style w:type="character" w:customStyle="1" w:styleId="horizontalrule">
    <w:name w:val="horizontalrule"/>
    <w:rsid w:val="008341ED"/>
  </w:style>
  <w:style w:type="paragraph" w:customStyle="1" w:styleId="reversion">
    <w:name w:val="reversion"/>
    <w:basedOn w:val="a0"/>
    <w:rsid w:val="00AE1542"/>
    <w:pPr>
      <w:bidi w:val="0"/>
      <w:spacing w:before="100" w:beforeAutospacing="1" w:after="100" w:afterAutospacing="1" w:line="240" w:lineRule="auto"/>
      <w:jc w:val="left"/>
    </w:pPr>
    <w:rPr>
      <w:rFonts w:cs="Times New Roman"/>
      <w:lang w:eastAsia="en-US"/>
    </w:rPr>
  </w:style>
  <w:style w:type="paragraph" w:customStyle="1" w:styleId="sectbody">
    <w:name w:val="sectbody"/>
    <w:basedOn w:val="a0"/>
    <w:rsid w:val="00FA7F0C"/>
    <w:pPr>
      <w:bidi w:val="0"/>
      <w:spacing w:before="100" w:beforeAutospacing="1" w:after="100" w:afterAutospacing="1" w:line="240" w:lineRule="auto"/>
      <w:jc w:val="left"/>
    </w:pPr>
    <w:rPr>
      <w:rFonts w:cs="Times New Roman"/>
      <w:lang w:eastAsia="en-US"/>
    </w:rPr>
  </w:style>
  <w:style w:type="character" w:customStyle="1" w:styleId="empty">
    <w:name w:val="empty"/>
    <w:basedOn w:val="a1"/>
    <w:rsid w:val="00FA7F0C"/>
  </w:style>
  <w:style w:type="character" w:customStyle="1" w:styleId="section">
    <w:name w:val="section"/>
    <w:basedOn w:val="a1"/>
    <w:rsid w:val="00FA7F0C"/>
  </w:style>
  <w:style w:type="character" w:customStyle="1" w:styleId="leadline">
    <w:name w:val="leadline"/>
    <w:basedOn w:val="a1"/>
    <w:rsid w:val="00FA7F0C"/>
  </w:style>
  <w:style w:type="paragraph" w:customStyle="1" w:styleId="sourcenote">
    <w:name w:val="sourcenote"/>
    <w:basedOn w:val="a0"/>
    <w:rsid w:val="00FA7F0C"/>
    <w:pPr>
      <w:bidi w:val="0"/>
      <w:spacing w:before="100" w:beforeAutospacing="1" w:after="100" w:afterAutospacing="1" w:line="240" w:lineRule="auto"/>
      <w:jc w:val="left"/>
    </w:pPr>
    <w:rPr>
      <w:rFonts w:cs="Times New Roman"/>
      <w:lang w:eastAsia="en-US"/>
    </w:rPr>
  </w:style>
  <w:style w:type="character" w:customStyle="1" w:styleId="qsnumsectnum">
    <w:name w:val="qs_num_sectnum_"/>
    <w:basedOn w:val="a1"/>
    <w:rsid w:val="00F2149E"/>
  </w:style>
  <w:style w:type="character" w:customStyle="1" w:styleId="qstitlesection">
    <w:name w:val="qs_title_section_"/>
    <w:basedOn w:val="a1"/>
    <w:rsid w:val="00F2149E"/>
  </w:style>
  <w:style w:type="character" w:customStyle="1" w:styleId="qsnumsubsecnum">
    <w:name w:val="qs_num_subsecnum_"/>
    <w:basedOn w:val="a1"/>
    <w:rsid w:val="00F2149E"/>
  </w:style>
  <w:style w:type="character" w:customStyle="1" w:styleId="qstitlesubsection">
    <w:name w:val="qs_title_sub_section_"/>
    <w:basedOn w:val="a1"/>
    <w:rsid w:val="00F2149E"/>
  </w:style>
  <w:style w:type="character" w:customStyle="1" w:styleId="qsnumparanum">
    <w:name w:val="qs_num_paranum_"/>
    <w:basedOn w:val="a1"/>
    <w:rsid w:val="00F2149E"/>
  </w:style>
  <w:style w:type="character" w:customStyle="1" w:styleId="qsrefstatnuma">
    <w:name w:val="qs_ref_statnuma_"/>
    <w:basedOn w:val="a1"/>
    <w:rsid w:val="00F2149E"/>
  </w:style>
  <w:style w:type="character" w:customStyle="1" w:styleId="qsnumsubdnum">
    <w:name w:val="qs_num_subdnum_"/>
    <w:basedOn w:val="a1"/>
    <w:rsid w:val="00F2149E"/>
  </w:style>
  <w:style w:type="character" w:customStyle="1" w:styleId="qsnotehistory">
    <w:name w:val="qs___note_history_"/>
    <w:basedOn w:val="a1"/>
    <w:rsid w:val="00F2149E"/>
  </w:style>
  <w:style w:type="paragraph" w:customStyle="1" w:styleId="p02">
    <w:name w:val="p02"/>
    <w:basedOn w:val="a0"/>
    <w:rsid w:val="009A559A"/>
    <w:pPr>
      <w:bidi w:val="0"/>
      <w:spacing w:before="100" w:beforeAutospacing="1" w:after="100" w:afterAutospacing="1" w:line="240" w:lineRule="auto"/>
      <w:jc w:val="left"/>
    </w:pPr>
    <w:rPr>
      <w:rFonts w:cs="Times New Roman"/>
      <w:lang w:eastAsia="en-US"/>
    </w:rPr>
  </w:style>
  <w:style w:type="paragraph" w:customStyle="1" w:styleId="p33">
    <w:name w:val="p33"/>
    <w:basedOn w:val="a0"/>
    <w:rsid w:val="009A559A"/>
    <w:pPr>
      <w:bidi w:val="0"/>
      <w:spacing w:before="100" w:beforeAutospacing="1" w:after="100" w:afterAutospacing="1" w:line="240" w:lineRule="auto"/>
      <w:jc w:val="left"/>
    </w:pPr>
    <w:rPr>
      <w:rFonts w:cs="Times New Roman"/>
      <w:lang w:eastAsia="en-US"/>
    </w:rPr>
  </w:style>
  <w:style w:type="paragraph" w:customStyle="1" w:styleId="legcontentsno">
    <w:name w:val="legcontentsno"/>
    <w:basedOn w:val="a0"/>
    <w:rsid w:val="00FD73C0"/>
    <w:pPr>
      <w:bidi w:val="0"/>
      <w:spacing w:before="100" w:beforeAutospacing="1" w:after="100" w:afterAutospacing="1" w:line="240" w:lineRule="auto"/>
      <w:jc w:val="left"/>
    </w:pPr>
    <w:rPr>
      <w:rFonts w:cs="Times New Roman"/>
      <w:lang w:eastAsia="en-US"/>
    </w:rPr>
  </w:style>
  <w:style w:type="paragraph" w:customStyle="1" w:styleId="legcontentstitle">
    <w:name w:val="legcontentstitle"/>
    <w:basedOn w:val="a0"/>
    <w:rsid w:val="00FD73C0"/>
    <w:pPr>
      <w:bidi w:val="0"/>
      <w:spacing w:before="100" w:beforeAutospacing="1" w:after="100" w:afterAutospacing="1" w:line="240" w:lineRule="auto"/>
      <w:jc w:val="left"/>
    </w:pPr>
    <w:rPr>
      <w:rFonts w:cs="Times New Roman"/>
      <w:lang w:eastAsia="en-US"/>
    </w:rPr>
  </w:style>
  <w:style w:type="paragraph" w:customStyle="1" w:styleId="legcontentsitem">
    <w:name w:val="legcontentsitem"/>
    <w:basedOn w:val="a0"/>
    <w:rsid w:val="00FD73C0"/>
    <w:pPr>
      <w:bidi w:val="0"/>
      <w:spacing w:before="100" w:beforeAutospacing="1" w:after="100" w:afterAutospacing="1" w:line="240" w:lineRule="auto"/>
      <w:jc w:val="left"/>
    </w:pPr>
    <w:rPr>
      <w:rFonts w:cs="Times New Roman"/>
      <w:lang w:eastAsia="en-US"/>
    </w:rPr>
  </w:style>
  <w:style w:type="character" w:customStyle="1" w:styleId="legpblocktitle">
    <w:name w:val="legpblocktitle"/>
    <w:rsid w:val="00C31CBA"/>
  </w:style>
  <w:style w:type="paragraph" w:customStyle="1" w:styleId="legrhs">
    <w:name w:val="legrhs"/>
    <w:basedOn w:val="a0"/>
    <w:rsid w:val="00C31CBA"/>
    <w:pPr>
      <w:bidi w:val="0"/>
      <w:spacing w:before="100" w:beforeAutospacing="1" w:after="100" w:afterAutospacing="1" w:line="240" w:lineRule="auto"/>
      <w:jc w:val="left"/>
    </w:pPr>
    <w:rPr>
      <w:rFonts w:cs="Times New Roman"/>
      <w:lang w:eastAsia="en-US"/>
    </w:rPr>
  </w:style>
  <w:style w:type="character" w:customStyle="1" w:styleId="legchangedelimiter">
    <w:name w:val="legchangedelimiter"/>
    <w:rsid w:val="00C31CBA"/>
  </w:style>
  <w:style w:type="character" w:customStyle="1" w:styleId="legaddition">
    <w:name w:val="legaddition"/>
    <w:rsid w:val="00C31CBA"/>
  </w:style>
  <w:style w:type="table" w:styleId="afff6">
    <w:name w:val="Table Grid"/>
    <w:basedOn w:val="a2"/>
    <w:rsid w:val="004978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egterm">
    <w:name w:val="legterm"/>
    <w:rsid w:val="00BE509E"/>
  </w:style>
  <w:style w:type="paragraph" w:customStyle="1" w:styleId="leglisttextstandard">
    <w:name w:val="leglisttextstandard"/>
    <w:basedOn w:val="a0"/>
    <w:rsid w:val="00BE509E"/>
    <w:pPr>
      <w:bidi w:val="0"/>
      <w:spacing w:before="100" w:beforeAutospacing="1" w:after="100" w:afterAutospacing="1" w:line="240" w:lineRule="auto"/>
      <w:jc w:val="left"/>
    </w:pPr>
    <w:rPr>
      <w:rFonts w:cs="Times New Roman"/>
      <w:lang w:eastAsia="en-US"/>
    </w:rPr>
  </w:style>
  <w:style w:type="paragraph" w:customStyle="1" w:styleId="legannotationsgroupheading">
    <w:name w:val="legannotationsgroupheading"/>
    <w:basedOn w:val="a0"/>
    <w:rsid w:val="00BE509E"/>
    <w:pPr>
      <w:bidi w:val="0"/>
      <w:spacing w:before="100" w:beforeAutospacing="1" w:after="100" w:afterAutospacing="1" w:line="240" w:lineRule="auto"/>
      <w:jc w:val="left"/>
    </w:pPr>
    <w:rPr>
      <w:rFonts w:cs="Times New Roman"/>
      <w:lang w:eastAsia="en-US"/>
    </w:rPr>
  </w:style>
  <w:style w:type="paragraph" w:customStyle="1" w:styleId="legcommentarypara">
    <w:name w:val="legcommentarypara"/>
    <w:basedOn w:val="a0"/>
    <w:rsid w:val="00BE509E"/>
    <w:pPr>
      <w:bidi w:val="0"/>
      <w:spacing w:before="100" w:beforeAutospacing="1" w:after="100" w:afterAutospacing="1" w:line="240" w:lineRule="auto"/>
      <w:jc w:val="left"/>
    </w:pPr>
    <w:rPr>
      <w:rFonts w:cs="Times New Roman"/>
      <w:lang w:eastAsia="en-US"/>
    </w:rPr>
  </w:style>
  <w:style w:type="character" w:customStyle="1" w:styleId="legcommentarytype">
    <w:name w:val="legcommentarytype"/>
    <w:rsid w:val="00BE509E"/>
  </w:style>
  <w:style w:type="character" w:customStyle="1" w:styleId="legcommentarytext">
    <w:name w:val="legcommentarytext"/>
    <w:rsid w:val="00BE509E"/>
  </w:style>
  <w:style w:type="character" w:customStyle="1" w:styleId="legsubstitution">
    <w:name w:val="legsubstitution"/>
    <w:rsid w:val="00BE509E"/>
  </w:style>
  <w:style w:type="character" w:customStyle="1" w:styleId="charsectno">
    <w:name w:val="charsectno"/>
    <w:rsid w:val="00CF2928"/>
  </w:style>
  <w:style w:type="paragraph" w:customStyle="1" w:styleId="penalty">
    <w:name w:val="penalty"/>
    <w:basedOn w:val="a0"/>
    <w:rsid w:val="001E62DB"/>
    <w:pPr>
      <w:bidi w:val="0"/>
      <w:spacing w:before="100" w:beforeAutospacing="1" w:after="100" w:afterAutospacing="1" w:line="240" w:lineRule="auto"/>
      <w:jc w:val="left"/>
    </w:pPr>
    <w:rPr>
      <w:rFonts w:cs="Times New Roman"/>
      <w:lang w:eastAsia="en-US"/>
    </w:rPr>
  </w:style>
  <w:style w:type="character" w:customStyle="1" w:styleId="legamendingtext">
    <w:name w:val="legamendingtext"/>
    <w:rsid w:val="00DD1D5A"/>
  </w:style>
  <w:style w:type="character" w:customStyle="1" w:styleId="legchapterno">
    <w:name w:val="legchapterno"/>
    <w:rsid w:val="00DD1D5A"/>
  </w:style>
  <w:style w:type="character" w:customStyle="1" w:styleId="legchaptertitle">
    <w:name w:val="legchaptertitle"/>
    <w:rsid w:val="00DD1D5A"/>
  </w:style>
  <w:style w:type="character" w:customStyle="1" w:styleId="legpartno">
    <w:name w:val="legpartno"/>
    <w:rsid w:val="00ED56B1"/>
  </w:style>
  <w:style w:type="character" w:customStyle="1" w:styleId="legparttitle">
    <w:name w:val="legparttitle"/>
    <w:rsid w:val="00ED56B1"/>
  </w:style>
  <w:style w:type="paragraph" w:customStyle="1" w:styleId="leglevel3">
    <w:name w:val="leglevel3"/>
    <w:basedOn w:val="a0"/>
    <w:rsid w:val="007004D3"/>
    <w:pPr>
      <w:bidi w:val="0"/>
      <w:spacing w:before="100" w:beforeAutospacing="1" w:after="100" w:afterAutospacing="1" w:line="240" w:lineRule="auto"/>
      <w:jc w:val="left"/>
    </w:pPr>
    <w:rPr>
      <w:rFonts w:cs="Times New Roman"/>
      <w:lang w:eastAsia="en-US"/>
    </w:rPr>
  </w:style>
  <w:style w:type="character" w:customStyle="1" w:styleId="legamendquote">
    <w:name w:val="legamendquote"/>
    <w:rsid w:val="007F2B1C"/>
  </w:style>
  <w:style w:type="paragraph" w:customStyle="1" w:styleId="15">
    <w:name w:val="פיסקת רשימה1"/>
    <w:basedOn w:val="a0"/>
    <w:uiPriority w:val="34"/>
    <w:qFormat/>
    <w:rsid w:val="00701C4E"/>
    <w:pPr>
      <w:ind w:left="720"/>
    </w:pPr>
  </w:style>
  <w:style w:type="character" w:customStyle="1" w:styleId="hebrewoption">
    <w:name w:val="hebrew_option"/>
    <w:basedOn w:val="a1"/>
    <w:rsid w:val="00701C4E"/>
  </w:style>
  <w:style w:type="paragraph" w:customStyle="1" w:styleId="legcommentarypara1">
    <w:name w:val="legcommentarypara1"/>
    <w:basedOn w:val="a0"/>
    <w:rsid w:val="00701C4E"/>
    <w:pPr>
      <w:shd w:val="clear" w:color="auto" w:fill="FFFFFF"/>
      <w:bidi w:val="0"/>
      <w:spacing w:before="0" w:after="0" w:line="360" w:lineRule="atLeast"/>
      <w:jc w:val="left"/>
    </w:pPr>
    <w:rPr>
      <w:rFonts w:cs="Times New Roman"/>
      <w:color w:val="000000"/>
      <w:sz w:val="17"/>
      <w:szCs w:val="17"/>
      <w:lang w:eastAsia="en-US"/>
    </w:rPr>
  </w:style>
  <w:style w:type="paragraph" w:customStyle="1" w:styleId="legannotationsgroupheading1">
    <w:name w:val="legannotationsgroupheading1"/>
    <w:basedOn w:val="a0"/>
    <w:rsid w:val="00701C4E"/>
    <w:pPr>
      <w:pBdr>
        <w:top w:val="dotted" w:sz="4" w:space="6" w:color="999999"/>
      </w:pBdr>
      <w:shd w:val="clear" w:color="auto" w:fill="FFFFFF"/>
      <w:bidi w:val="0"/>
      <w:spacing w:after="0" w:line="360" w:lineRule="atLeast"/>
      <w:jc w:val="left"/>
    </w:pPr>
    <w:rPr>
      <w:rFonts w:cs="Times New Roman"/>
      <w:b/>
      <w:bCs/>
      <w:color w:val="333333"/>
      <w:sz w:val="19"/>
      <w:szCs w:val="19"/>
      <w:lang w:eastAsia="en-US"/>
    </w:rPr>
  </w:style>
  <w:style w:type="character" w:customStyle="1" w:styleId="legpblocktitle2">
    <w:name w:val="legpblocktitle2"/>
    <w:basedOn w:val="a1"/>
    <w:rsid w:val="00701C4E"/>
    <w:rPr>
      <w:b w:val="0"/>
      <w:bCs w:val="0"/>
      <w:i/>
      <w:iCs/>
      <w:vanish w:val="0"/>
      <w:webHidden w:val="0"/>
      <w:sz w:val="19"/>
      <w:szCs w:val="19"/>
      <w:specVanish w:val="0"/>
    </w:rPr>
  </w:style>
  <w:style w:type="character" w:customStyle="1" w:styleId="legextentrestriction7">
    <w:name w:val="legextentrestriction7"/>
    <w:basedOn w:val="a1"/>
    <w:rsid w:val="00701C4E"/>
    <w:rPr>
      <w:b/>
      <w:bCs/>
      <w:i w:val="0"/>
      <w:iCs w:val="0"/>
      <w:vanish/>
      <w:webHidden w:val="0"/>
      <w:color w:val="FFFFFF"/>
      <w:sz w:val="22"/>
      <w:szCs w:val="22"/>
      <w:shd w:val="clear" w:color="auto" w:fill="660066"/>
      <w:specVanish w:val="0"/>
    </w:rPr>
  </w:style>
  <w:style w:type="character" w:customStyle="1" w:styleId="legdslegp1no">
    <w:name w:val="legds legp1no"/>
    <w:basedOn w:val="a1"/>
    <w:rsid w:val="00701C4E"/>
  </w:style>
  <w:style w:type="character" w:customStyle="1" w:styleId="legdslegp1grouptitlefirst">
    <w:name w:val="legds legp1grouptitlefirst"/>
    <w:basedOn w:val="a1"/>
    <w:rsid w:val="00701C4E"/>
  </w:style>
  <w:style w:type="character" w:customStyle="1" w:styleId="legdsleglhslegp2no">
    <w:name w:val="legds leglhs legp2no"/>
    <w:basedOn w:val="a1"/>
    <w:rsid w:val="00701C4E"/>
  </w:style>
  <w:style w:type="character" w:customStyle="1" w:styleId="legdslegrhslegp2text">
    <w:name w:val="legds legrhs legp2text"/>
    <w:basedOn w:val="a1"/>
    <w:rsid w:val="00701C4E"/>
  </w:style>
  <w:style w:type="character" w:customStyle="1" w:styleId="legcommentarytype2">
    <w:name w:val="legcommentarytype2"/>
    <w:basedOn w:val="a1"/>
    <w:rsid w:val="00701C4E"/>
    <w:rPr>
      <w:b/>
      <w:bCs/>
      <w:color w:val="666666"/>
      <w:sz w:val="24"/>
      <w:szCs w:val="24"/>
    </w:rPr>
  </w:style>
  <w:style w:type="character" w:customStyle="1" w:styleId="legcommentarytext2">
    <w:name w:val="legcommentarytext2"/>
    <w:basedOn w:val="a1"/>
    <w:rsid w:val="00701C4E"/>
    <w:rPr>
      <w:vanish w:val="0"/>
      <w:webHidden w:val="0"/>
      <w:specVanish w:val="0"/>
    </w:rPr>
  </w:style>
  <w:style w:type="character" w:customStyle="1" w:styleId="legdslegp1grouptitle">
    <w:name w:val="legds legp1grouptitle"/>
    <w:basedOn w:val="a1"/>
    <w:rsid w:val="00701C4E"/>
  </w:style>
  <w:style w:type="character" w:customStyle="1" w:styleId="legdsleglhslegp4no">
    <w:name w:val="legds leglhs legp4no"/>
    <w:basedOn w:val="a1"/>
    <w:rsid w:val="00701C4E"/>
  </w:style>
  <w:style w:type="character" w:customStyle="1" w:styleId="legdslegrhslegp4text">
    <w:name w:val="legds legrhs legp4text"/>
    <w:basedOn w:val="a1"/>
    <w:rsid w:val="00701C4E"/>
  </w:style>
  <w:style w:type="paragraph" w:customStyle="1" w:styleId="16">
    <w:name w:val="רגיל1"/>
    <w:basedOn w:val="a0"/>
    <w:rsid w:val="00701C4E"/>
    <w:pPr>
      <w:bidi w:val="0"/>
      <w:spacing w:before="100" w:beforeAutospacing="1" w:after="100" w:afterAutospacing="1" w:line="240" w:lineRule="auto"/>
      <w:jc w:val="left"/>
    </w:pPr>
    <w:rPr>
      <w:rFonts w:cs="Times New Roman"/>
      <w:lang w:eastAsia="en-US"/>
    </w:rPr>
  </w:style>
  <w:style w:type="character" w:customStyle="1" w:styleId="legaddition5">
    <w:name w:val="legaddition5"/>
    <w:basedOn w:val="a1"/>
    <w:rsid w:val="00701C4E"/>
  </w:style>
  <w:style w:type="character" w:customStyle="1" w:styleId="legchangedelimiter2">
    <w:name w:val="legchangedelimiter2"/>
    <w:basedOn w:val="a1"/>
    <w:rsid w:val="00701C4E"/>
    <w:rPr>
      <w:b/>
      <w:bCs/>
      <w:i w:val="0"/>
      <w:iCs w:val="0"/>
      <w:color w:val="000000"/>
      <w:sz w:val="34"/>
      <w:szCs w:val="34"/>
    </w:rPr>
  </w:style>
  <w:style w:type="paragraph" w:customStyle="1" w:styleId="cf">
    <w:name w:val="cf"/>
    <w:basedOn w:val="a0"/>
    <w:rsid w:val="00701C4E"/>
    <w:pPr>
      <w:bidi w:val="0"/>
      <w:spacing w:before="0" w:after="0" w:line="240" w:lineRule="auto"/>
      <w:jc w:val="left"/>
    </w:pPr>
    <w:rPr>
      <w:rFonts w:cs="Times New Roman"/>
      <w:lang w:eastAsia="en-US"/>
    </w:rPr>
  </w:style>
  <w:style w:type="paragraph" w:customStyle="1" w:styleId="history-note">
    <w:name w:val="history-note"/>
    <w:basedOn w:val="a0"/>
    <w:rsid w:val="00701C4E"/>
    <w:pPr>
      <w:bidi w:val="0"/>
      <w:spacing w:before="0" w:after="0" w:line="240" w:lineRule="auto"/>
      <w:jc w:val="left"/>
    </w:pPr>
    <w:rPr>
      <w:rFonts w:cs="Times New Roman"/>
      <w:lang w:eastAsia="en-US"/>
    </w:rPr>
  </w:style>
  <w:style w:type="character" w:customStyle="1" w:styleId="spc">
    <w:name w:val="spc"/>
    <w:basedOn w:val="a1"/>
    <w:rsid w:val="00701C4E"/>
    <w:rPr>
      <w:strike w:val="0"/>
      <w:dstrike w:val="0"/>
      <w:u w:val="none"/>
      <w:effect w:val="none"/>
    </w:rPr>
  </w:style>
  <w:style w:type="character" w:customStyle="1" w:styleId="q">
    <w:name w:val="q"/>
    <w:basedOn w:val="a1"/>
    <w:rsid w:val="00701C4E"/>
  </w:style>
  <w:style w:type="character" w:customStyle="1" w:styleId="label">
    <w:name w:val="label"/>
    <w:basedOn w:val="a1"/>
    <w:rsid w:val="00701C4E"/>
  </w:style>
  <w:style w:type="paragraph" w:customStyle="1" w:styleId="label8">
    <w:name w:val="label8"/>
    <w:basedOn w:val="a0"/>
    <w:rsid w:val="00701C4E"/>
    <w:pPr>
      <w:bidi w:val="0"/>
      <w:spacing w:before="0" w:after="0" w:line="240" w:lineRule="auto"/>
      <w:jc w:val="left"/>
    </w:pPr>
    <w:rPr>
      <w:rFonts w:cs="Times New Roman"/>
      <w:lang w:eastAsia="en-US"/>
    </w:rPr>
  </w:style>
  <w:style w:type="paragraph" w:customStyle="1" w:styleId="labelledlabel">
    <w:name w:val="labelled label"/>
    <w:basedOn w:val="a0"/>
    <w:rsid w:val="00701C4E"/>
    <w:pPr>
      <w:bidi w:val="0"/>
      <w:spacing w:before="0" w:after="0" w:line="240" w:lineRule="auto"/>
      <w:jc w:val="left"/>
    </w:pPr>
    <w:rPr>
      <w:rFonts w:cs="Times New Roman"/>
      <w:lang w:eastAsia="en-US"/>
    </w:rPr>
  </w:style>
  <w:style w:type="character" w:customStyle="1" w:styleId="deletedlabel-deleted">
    <w:name w:val="deleted label-deleted"/>
    <w:basedOn w:val="a1"/>
    <w:rsid w:val="00701C4E"/>
  </w:style>
  <w:style w:type="character" w:customStyle="1" w:styleId="highlightedglossaryterm1">
    <w:name w:val="highlightedglossaryterm1"/>
    <w:basedOn w:val="a1"/>
    <w:rsid w:val="00701C4E"/>
    <w:rPr>
      <w:shd w:val="clear" w:color="auto" w:fill="EEF3F5"/>
    </w:rPr>
  </w:style>
  <w:style w:type="paragraph" w:customStyle="1" w:styleId="1106">
    <w:name w:val="סגנון כות_1.1 + אחרי:  0 ס''מ לפני:  6 נק'"/>
    <w:basedOn w:val="11"/>
    <w:rsid w:val="00701C4E"/>
    <w:pPr>
      <w:keepNext/>
      <w:keepLines/>
    </w:pPr>
  </w:style>
  <w:style w:type="paragraph" w:customStyle="1" w:styleId="11061">
    <w:name w:val="סגנון כות_1.1 + אחרי:  0 ס''מ לפני:  6 נק'1"/>
    <w:basedOn w:val="11"/>
    <w:rsid w:val="00701C4E"/>
    <w:pPr>
      <w:keepNext/>
      <w:keepLines/>
    </w:pPr>
  </w:style>
  <w:style w:type="paragraph" w:customStyle="1" w:styleId="11100">
    <w:name w:val="סגנון כות_1.1.1 + אחרי:  0 ס''מ לפני:  0 נק'"/>
    <w:basedOn w:val="111"/>
    <w:rsid w:val="00701C4E"/>
    <w:pPr>
      <w:spacing w:before="0"/>
    </w:pPr>
  </w:style>
  <w:style w:type="table" w:styleId="17">
    <w:name w:val="Table Web 1"/>
    <w:basedOn w:val="a2"/>
    <w:rsid w:val="00701C4E"/>
    <w:pPr>
      <w:bidi/>
      <w:spacing w:before="120" w:after="120" w:line="336"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lawlabel">
    <w:name w:val="lawlabel"/>
    <w:basedOn w:val="a1"/>
    <w:rsid w:val="00701C4E"/>
  </w:style>
  <w:style w:type="character" w:customStyle="1" w:styleId="sectionlabel">
    <w:name w:val="sectionlabel"/>
    <w:basedOn w:val="a1"/>
    <w:rsid w:val="00701C4E"/>
  </w:style>
  <w:style w:type="character" w:customStyle="1" w:styleId="wb-invisible">
    <w:name w:val="wb-invisible"/>
    <w:basedOn w:val="a1"/>
    <w:rsid w:val="00701C4E"/>
  </w:style>
  <w:style w:type="character" w:styleId="HTMLDefinition">
    <w:name w:val="HTML Definition"/>
    <w:basedOn w:val="a1"/>
    <w:uiPriority w:val="99"/>
    <w:unhideWhenUsed/>
    <w:rsid w:val="00701C4E"/>
    <w:rPr>
      <w:i/>
      <w:iCs/>
    </w:rPr>
  </w:style>
  <w:style w:type="character" w:customStyle="1" w:styleId="definedtermlink">
    <w:name w:val="definedtermlink"/>
    <w:basedOn w:val="a1"/>
    <w:rsid w:val="00701C4E"/>
  </w:style>
  <w:style w:type="character" w:customStyle="1" w:styleId="htitletext2">
    <w:name w:val="htitletext2"/>
    <w:basedOn w:val="a1"/>
    <w:rsid w:val="00701C4E"/>
  </w:style>
  <w:style w:type="character" w:customStyle="1" w:styleId="htitletext4">
    <w:name w:val="htitletext4"/>
    <w:basedOn w:val="a1"/>
    <w:rsid w:val="00701C4E"/>
  </w:style>
  <w:style w:type="paragraph" w:customStyle="1" w:styleId="22">
    <w:name w:val="רגיל2"/>
    <w:basedOn w:val="a0"/>
    <w:rsid w:val="00652C86"/>
    <w:pPr>
      <w:bidi w:val="0"/>
      <w:spacing w:before="100" w:beforeAutospacing="1" w:after="100" w:afterAutospacing="1" w:line="240" w:lineRule="auto"/>
      <w:jc w:val="left"/>
    </w:pPr>
    <w:rPr>
      <w:rFonts w:cs="Times New Roman"/>
      <w:lang w:eastAsia="en-US"/>
    </w:rPr>
  </w:style>
  <w:style w:type="paragraph" w:customStyle="1" w:styleId="afff7">
    <w:name w:val="כותרת_הכנסת"/>
    <w:basedOn w:val="a0"/>
    <w:qFormat/>
    <w:rsid w:val="008D1FA1"/>
    <w:pPr>
      <w:spacing w:before="0" w:after="0" w:line="264" w:lineRule="auto"/>
      <w:jc w:val="center"/>
      <w:outlineLvl w:val="0"/>
    </w:pPr>
    <w:rPr>
      <w:rFonts w:cs="Guttman Keren"/>
      <w:bCs/>
      <w:color w:val="000060"/>
      <w:spacing w:val="30"/>
      <w:sz w:val="28"/>
      <w:szCs w:val="28"/>
    </w:rPr>
  </w:style>
  <w:style w:type="character" w:customStyle="1" w:styleId="afff0">
    <w:name w:val="גוף טקסט תו"/>
    <w:basedOn w:val="a1"/>
    <w:link w:val="afff"/>
    <w:rsid w:val="005B69A4"/>
    <w:rPr>
      <w:rFonts w:cs="David"/>
      <w:b/>
      <w:bCs/>
      <w:spacing w:val="-4"/>
      <w:sz w:val="24"/>
      <w:lang w:eastAsia="he-IL"/>
    </w:rPr>
  </w:style>
  <w:style w:type="character" w:customStyle="1" w:styleId="20">
    <w:name w:val="כותרת 2 תו"/>
    <w:basedOn w:val="a1"/>
    <w:link w:val="2"/>
    <w:uiPriority w:val="9"/>
    <w:rsid w:val="00D53D86"/>
    <w:rPr>
      <w:rFonts w:cs="David"/>
      <w:sz w:val="24"/>
      <w:szCs w:val="24"/>
      <w:lang w:eastAsia="he-IL"/>
    </w:rPr>
  </w:style>
  <w:style w:type="character" w:customStyle="1" w:styleId="30">
    <w:name w:val="כותרת 3 תו"/>
    <w:basedOn w:val="a1"/>
    <w:link w:val="3"/>
    <w:uiPriority w:val="9"/>
    <w:rsid w:val="00D53D86"/>
    <w:rPr>
      <w:rFonts w:cs="David"/>
      <w:sz w:val="24"/>
      <w:szCs w:val="24"/>
      <w:lang w:eastAsia="he-IL"/>
    </w:rPr>
  </w:style>
  <w:style w:type="paragraph" w:customStyle="1" w:styleId="1111">
    <w:name w:val="כות_1.1.1.1"/>
    <w:basedOn w:val="111"/>
    <w:next w:val="a4"/>
    <w:qFormat/>
    <w:rsid w:val="00A7027A"/>
    <w:pPr>
      <w:numPr>
        <w:ilvl w:val="3"/>
      </w:numPr>
      <w:spacing w:line="336" w:lineRule="auto"/>
      <w:outlineLvl w:val="3"/>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3644">
      <w:bodyDiv w:val="1"/>
      <w:marLeft w:val="0"/>
      <w:marRight w:val="0"/>
      <w:marTop w:val="0"/>
      <w:marBottom w:val="0"/>
      <w:divBdr>
        <w:top w:val="none" w:sz="0" w:space="0" w:color="auto"/>
        <w:left w:val="none" w:sz="0" w:space="0" w:color="auto"/>
        <w:bottom w:val="none" w:sz="0" w:space="0" w:color="auto"/>
        <w:right w:val="none" w:sz="0" w:space="0" w:color="auto"/>
      </w:divBdr>
    </w:div>
    <w:div w:id="15617597">
      <w:bodyDiv w:val="1"/>
      <w:marLeft w:val="0"/>
      <w:marRight w:val="0"/>
      <w:marTop w:val="0"/>
      <w:marBottom w:val="0"/>
      <w:divBdr>
        <w:top w:val="none" w:sz="0" w:space="0" w:color="auto"/>
        <w:left w:val="none" w:sz="0" w:space="0" w:color="auto"/>
        <w:bottom w:val="none" w:sz="0" w:space="0" w:color="auto"/>
        <w:right w:val="none" w:sz="0" w:space="0" w:color="auto"/>
      </w:divBdr>
      <w:divsChild>
        <w:div w:id="2013144146">
          <w:marLeft w:val="0"/>
          <w:marRight w:val="0"/>
          <w:marTop w:val="0"/>
          <w:marBottom w:val="0"/>
          <w:divBdr>
            <w:top w:val="none" w:sz="0" w:space="0" w:color="auto"/>
            <w:left w:val="none" w:sz="0" w:space="0" w:color="auto"/>
            <w:bottom w:val="none" w:sz="0" w:space="0" w:color="auto"/>
            <w:right w:val="none" w:sz="0" w:space="0" w:color="auto"/>
          </w:divBdr>
          <w:divsChild>
            <w:div w:id="1099717321">
              <w:marLeft w:val="0"/>
              <w:marRight w:val="0"/>
              <w:marTop w:val="0"/>
              <w:marBottom w:val="0"/>
              <w:divBdr>
                <w:top w:val="none" w:sz="0" w:space="0" w:color="auto"/>
                <w:left w:val="none" w:sz="0" w:space="0" w:color="auto"/>
                <w:bottom w:val="none" w:sz="0" w:space="0" w:color="auto"/>
                <w:right w:val="none" w:sz="0" w:space="0" w:color="auto"/>
              </w:divBdr>
              <w:divsChild>
                <w:div w:id="1665232408">
                  <w:marLeft w:val="0"/>
                  <w:marRight w:val="0"/>
                  <w:marTop w:val="0"/>
                  <w:marBottom w:val="0"/>
                  <w:divBdr>
                    <w:top w:val="none" w:sz="0" w:space="0" w:color="auto"/>
                    <w:left w:val="none" w:sz="0" w:space="0" w:color="auto"/>
                    <w:bottom w:val="none" w:sz="0" w:space="0" w:color="auto"/>
                    <w:right w:val="none" w:sz="0" w:space="0" w:color="auto"/>
                  </w:divBdr>
                  <w:divsChild>
                    <w:div w:id="118208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8076">
      <w:bodyDiv w:val="1"/>
      <w:marLeft w:val="0"/>
      <w:marRight w:val="0"/>
      <w:marTop w:val="0"/>
      <w:marBottom w:val="0"/>
      <w:divBdr>
        <w:top w:val="none" w:sz="0" w:space="0" w:color="auto"/>
        <w:left w:val="none" w:sz="0" w:space="0" w:color="auto"/>
        <w:bottom w:val="none" w:sz="0" w:space="0" w:color="auto"/>
        <w:right w:val="none" w:sz="0" w:space="0" w:color="auto"/>
      </w:divBdr>
    </w:div>
    <w:div w:id="29035117">
      <w:bodyDiv w:val="1"/>
      <w:marLeft w:val="0"/>
      <w:marRight w:val="0"/>
      <w:marTop w:val="0"/>
      <w:marBottom w:val="0"/>
      <w:divBdr>
        <w:top w:val="none" w:sz="0" w:space="0" w:color="auto"/>
        <w:left w:val="none" w:sz="0" w:space="0" w:color="auto"/>
        <w:bottom w:val="none" w:sz="0" w:space="0" w:color="auto"/>
        <w:right w:val="none" w:sz="0" w:space="0" w:color="auto"/>
      </w:divBdr>
    </w:div>
    <w:div w:id="69542459">
      <w:bodyDiv w:val="1"/>
      <w:marLeft w:val="0"/>
      <w:marRight w:val="0"/>
      <w:marTop w:val="0"/>
      <w:marBottom w:val="0"/>
      <w:divBdr>
        <w:top w:val="none" w:sz="0" w:space="0" w:color="auto"/>
        <w:left w:val="none" w:sz="0" w:space="0" w:color="auto"/>
        <w:bottom w:val="none" w:sz="0" w:space="0" w:color="auto"/>
        <w:right w:val="none" w:sz="0" w:space="0" w:color="auto"/>
      </w:divBdr>
    </w:div>
    <w:div w:id="70198736">
      <w:bodyDiv w:val="1"/>
      <w:marLeft w:val="0"/>
      <w:marRight w:val="0"/>
      <w:marTop w:val="0"/>
      <w:marBottom w:val="0"/>
      <w:divBdr>
        <w:top w:val="none" w:sz="0" w:space="0" w:color="auto"/>
        <w:left w:val="none" w:sz="0" w:space="0" w:color="auto"/>
        <w:bottom w:val="none" w:sz="0" w:space="0" w:color="auto"/>
        <w:right w:val="none" w:sz="0" w:space="0" w:color="auto"/>
      </w:divBdr>
      <w:divsChild>
        <w:div w:id="2080706541">
          <w:marLeft w:val="0"/>
          <w:marRight w:val="0"/>
          <w:marTop w:val="0"/>
          <w:marBottom w:val="0"/>
          <w:divBdr>
            <w:top w:val="none" w:sz="0" w:space="0" w:color="auto"/>
            <w:left w:val="none" w:sz="0" w:space="0" w:color="auto"/>
            <w:bottom w:val="none" w:sz="0" w:space="0" w:color="auto"/>
            <w:right w:val="none" w:sz="0" w:space="0" w:color="auto"/>
          </w:divBdr>
        </w:div>
      </w:divsChild>
    </w:div>
    <w:div w:id="73169169">
      <w:bodyDiv w:val="1"/>
      <w:marLeft w:val="0"/>
      <w:marRight w:val="0"/>
      <w:marTop w:val="0"/>
      <w:marBottom w:val="0"/>
      <w:divBdr>
        <w:top w:val="none" w:sz="0" w:space="0" w:color="auto"/>
        <w:left w:val="none" w:sz="0" w:space="0" w:color="auto"/>
        <w:bottom w:val="none" w:sz="0" w:space="0" w:color="auto"/>
        <w:right w:val="none" w:sz="0" w:space="0" w:color="auto"/>
      </w:divBdr>
      <w:divsChild>
        <w:div w:id="299268177">
          <w:marLeft w:val="0"/>
          <w:marRight w:val="0"/>
          <w:marTop w:val="0"/>
          <w:marBottom w:val="0"/>
          <w:divBdr>
            <w:top w:val="none" w:sz="0" w:space="0" w:color="auto"/>
            <w:left w:val="none" w:sz="0" w:space="0" w:color="auto"/>
            <w:bottom w:val="none" w:sz="0" w:space="0" w:color="auto"/>
            <w:right w:val="none" w:sz="0" w:space="0" w:color="auto"/>
          </w:divBdr>
        </w:div>
        <w:div w:id="339890296">
          <w:marLeft w:val="0"/>
          <w:marRight w:val="0"/>
          <w:marTop w:val="0"/>
          <w:marBottom w:val="0"/>
          <w:divBdr>
            <w:top w:val="none" w:sz="0" w:space="0" w:color="auto"/>
            <w:left w:val="none" w:sz="0" w:space="0" w:color="auto"/>
            <w:bottom w:val="none" w:sz="0" w:space="0" w:color="auto"/>
            <w:right w:val="none" w:sz="0" w:space="0" w:color="auto"/>
          </w:divBdr>
        </w:div>
        <w:div w:id="761268281">
          <w:marLeft w:val="0"/>
          <w:marRight w:val="0"/>
          <w:marTop w:val="0"/>
          <w:marBottom w:val="0"/>
          <w:divBdr>
            <w:top w:val="none" w:sz="0" w:space="0" w:color="auto"/>
            <w:left w:val="none" w:sz="0" w:space="0" w:color="auto"/>
            <w:bottom w:val="none" w:sz="0" w:space="0" w:color="auto"/>
            <w:right w:val="none" w:sz="0" w:space="0" w:color="auto"/>
          </w:divBdr>
        </w:div>
        <w:div w:id="1224681071">
          <w:marLeft w:val="0"/>
          <w:marRight w:val="0"/>
          <w:marTop w:val="0"/>
          <w:marBottom w:val="0"/>
          <w:divBdr>
            <w:top w:val="none" w:sz="0" w:space="0" w:color="auto"/>
            <w:left w:val="none" w:sz="0" w:space="0" w:color="auto"/>
            <w:bottom w:val="none" w:sz="0" w:space="0" w:color="auto"/>
            <w:right w:val="none" w:sz="0" w:space="0" w:color="auto"/>
          </w:divBdr>
        </w:div>
        <w:div w:id="1977374720">
          <w:marLeft w:val="0"/>
          <w:marRight w:val="0"/>
          <w:marTop w:val="0"/>
          <w:marBottom w:val="0"/>
          <w:divBdr>
            <w:top w:val="none" w:sz="0" w:space="0" w:color="auto"/>
            <w:left w:val="none" w:sz="0" w:space="0" w:color="auto"/>
            <w:bottom w:val="none" w:sz="0" w:space="0" w:color="auto"/>
            <w:right w:val="none" w:sz="0" w:space="0" w:color="auto"/>
          </w:divBdr>
        </w:div>
      </w:divsChild>
    </w:div>
    <w:div w:id="80219236">
      <w:bodyDiv w:val="1"/>
      <w:marLeft w:val="0"/>
      <w:marRight w:val="0"/>
      <w:marTop w:val="0"/>
      <w:marBottom w:val="0"/>
      <w:divBdr>
        <w:top w:val="none" w:sz="0" w:space="0" w:color="auto"/>
        <w:left w:val="none" w:sz="0" w:space="0" w:color="auto"/>
        <w:bottom w:val="none" w:sz="0" w:space="0" w:color="auto"/>
        <w:right w:val="none" w:sz="0" w:space="0" w:color="auto"/>
      </w:divBdr>
    </w:div>
    <w:div w:id="88308425">
      <w:bodyDiv w:val="1"/>
      <w:marLeft w:val="0"/>
      <w:marRight w:val="0"/>
      <w:marTop w:val="0"/>
      <w:marBottom w:val="0"/>
      <w:divBdr>
        <w:top w:val="none" w:sz="0" w:space="0" w:color="auto"/>
        <w:left w:val="none" w:sz="0" w:space="0" w:color="auto"/>
        <w:bottom w:val="none" w:sz="0" w:space="0" w:color="auto"/>
        <w:right w:val="none" w:sz="0" w:space="0" w:color="auto"/>
      </w:divBdr>
    </w:div>
    <w:div w:id="102844554">
      <w:bodyDiv w:val="1"/>
      <w:marLeft w:val="0"/>
      <w:marRight w:val="0"/>
      <w:marTop w:val="0"/>
      <w:marBottom w:val="0"/>
      <w:divBdr>
        <w:top w:val="none" w:sz="0" w:space="0" w:color="auto"/>
        <w:left w:val="none" w:sz="0" w:space="0" w:color="auto"/>
        <w:bottom w:val="none" w:sz="0" w:space="0" w:color="auto"/>
        <w:right w:val="none" w:sz="0" w:space="0" w:color="auto"/>
      </w:divBdr>
    </w:div>
    <w:div w:id="105203306">
      <w:bodyDiv w:val="1"/>
      <w:marLeft w:val="0"/>
      <w:marRight w:val="0"/>
      <w:marTop w:val="0"/>
      <w:marBottom w:val="0"/>
      <w:divBdr>
        <w:top w:val="none" w:sz="0" w:space="0" w:color="auto"/>
        <w:left w:val="none" w:sz="0" w:space="0" w:color="auto"/>
        <w:bottom w:val="none" w:sz="0" w:space="0" w:color="auto"/>
        <w:right w:val="none" w:sz="0" w:space="0" w:color="auto"/>
      </w:divBdr>
    </w:div>
    <w:div w:id="107698508">
      <w:bodyDiv w:val="1"/>
      <w:marLeft w:val="0"/>
      <w:marRight w:val="0"/>
      <w:marTop w:val="0"/>
      <w:marBottom w:val="0"/>
      <w:divBdr>
        <w:top w:val="none" w:sz="0" w:space="0" w:color="auto"/>
        <w:left w:val="none" w:sz="0" w:space="0" w:color="auto"/>
        <w:bottom w:val="none" w:sz="0" w:space="0" w:color="auto"/>
        <w:right w:val="none" w:sz="0" w:space="0" w:color="auto"/>
      </w:divBdr>
    </w:div>
    <w:div w:id="110246578">
      <w:bodyDiv w:val="1"/>
      <w:marLeft w:val="0"/>
      <w:marRight w:val="0"/>
      <w:marTop w:val="0"/>
      <w:marBottom w:val="0"/>
      <w:divBdr>
        <w:top w:val="none" w:sz="0" w:space="0" w:color="auto"/>
        <w:left w:val="none" w:sz="0" w:space="0" w:color="auto"/>
        <w:bottom w:val="none" w:sz="0" w:space="0" w:color="auto"/>
        <w:right w:val="none" w:sz="0" w:space="0" w:color="auto"/>
      </w:divBdr>
    </w:div>
    <w:div w:id="111292448">
      <w:bodyDiv w:val="1"/>
      <w:marLeft w:val="0"/>
      <w:marRight w:val="0"/>
      <w:marTop w:val="0"/>
      <w:marBottom w:val="0"/>
      <w:divBdr>
        <w:top w:val="none" w:sz="0" w:space="0" w:color="auto"/>
        <w:left w:val="none" w:sz="0" w:space="0" w:color="auto"/>
        <w:bottom w:val="none" w:sz="0" w:space="0" w:color="auto"/>
        <w:right w:val="none" w:sz="0" w:space="0" w:color="auto"/>
      </w:divBdr>
      <w:divsChild>
        <w:div w:id="670328799">
          <w:marLeft w:val="0"/>
          <w:marRight w:val="0"/>
          <w:marTop w:val="0"/>
          <w:marBottom w:val="0"/>
          <w:divBdr>
            <w:top w:val="none" w:sz="0" w:space="0" w:color="auto"/>
            <w:left w:val="none" w:sz="0" w:space="0" w:color="auto"/>
            <w:bottom w:val="none" w:sz="0" w:space="0" w:color="auto"/>
            <w:right w:val="none" w:sz="0" w:space="0" w:color="auto"/>
          </w:divBdr>
          <w:divsChild>
            <w:div w:id="142398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80445">
      <w:bodyDiv w:val="1"/>
      <w:marLeft w:val="0"/>
      <w:marRight w:val="0"/>
      <w:marTop w:val="0"/>
      <w:marBottom w:val="0"/>
      <w:divBdr>
        <w:top w:val="none" w:sz="0" w:space="0" w:color="auto"/>
        <w:left w:val="none" w:sz="0" w:space="0" w:color="auto"/>
        <w:bottom w:val="none" w:sz="0" w:space="0" w:color="auto"/>
        <w:right w:val="none" w:sz="0" w:space="0" w:color="auto"/>
      </w:divBdr>
    </w:div>
    <w:div w:id="120616709">
      <w:bodyDiv w:val="1"/>
      <w:marLeft w:val="0"/>
      <w:marRight w:val="0"/>
      <w:marTop w:val="0"/>
      <w:marBottom w:val="0"/>
      <w:divBdr>
        <w:top w:val="none" w:sz="0" w:space="0" w:color="auto"/>
        <w:left w:val="none" w:sz="0" w:space="0" w:color="auto"/>
        <w:bottom w:val="none" w:sz="0" w:space="0" w:color="auto"/>
        <w:right w:val="none" w:sz="0" w:space="0" w:color="auto"/>
      </w:divBdr>
      <w:divsChild>
        <w:div w:id="288167838">
          <w:marLeft w:val="0"/>
          <w:marRight w:val="0"/>
          <w:marTop w:val="0"/>
          <w:marBottom w:val="0"/>
          <w:divBdr>
            <w:top w:val="none" w:sz="0" w:space="0" w:color="auto"/>
            <w:left w:val="none" w:sz="0" w:space="0" w:color="auto"/>
            <w:bottom w:val="none" w:sz="0" w:space="0" w:color="auto"/>
            <w:right w:val="none" w:sz="0" w:space="0" w:color="auto"/>
          </w:divBdr>
          <w:divsChild>
            <w:div w:id="1163666451">
              <w:marLeft w:val="0"/>
              <w:marRight w:val="0"/>
              <w:marTop w:val="0"/>
              <w:marBottom w:val="0"/>
              <w:divBdr>
                <w:top w:val="none" w:sz="0" w:space="0" w:color="auto"/>
                <w:left w:val="none" w:sz="0" w:space="0" w:color="auto"/>
                <w:bottom w:val="none" w:sz="0" w:space="0" w:color="auto"/>
                <w:right w:val="none" w:sz="0" w:space="0" w:color="auto"/>
              </w:divBdr>
              <w:divsChild>
                <w:div w:id="1187983475">
                  <w:marLeft w:val="0"/>
                  <w:marRight w:val="0"/>
                  <w:marTop w:val="0"/>
                  <w:marBottom w:val="0"/>
                  <w:divBdr>
                    <w:top w:val="none" w:sz="0" w:space="0" w:color="auto"/>
                    <w:left w:val="none" w:sz="0" w:space="0" w:color="auto"/>
                    <w:bottom w:val="none" w:sz="0" w:space="0" w:color="auto"/>
                    <w:right w:val="none" w:sz="0" w:space="0" w:color="auto"/>
                  </w:divBdr>
                  <w:divsChild>
                    <w:div w:id="2052067488">
                      <w:marLeft w:val="0"/>
                      <w:marRight w:val="0"/>
                      <w:marTop w:val="0"/>
                      <w:marBottom w:val="0"/>
                      <w:divBdr>
                        <w:top w:val="none" w:sz="0" w:space="0" w:color="auto"/>
                        <w:left w:val="none" w:sz="0" w:space="0" w:color="auto"/>
                        <w:bottom w:val="none" w:sz="0" w:space="0" w:color="auto"/>
                        <w:right w:val="none" w:sz="0" w:space="0" w:color="auto"/>
                      </w:divBdr>
                      <w:divsChild>
                        <w:div w:id="537013703">
                          <w:marLeft w:val="0"/>
                          <w:marRight w:val="0"/>
                          <w:marTop w:val="0"/>
                          <w:marBottom w:val="0"/>
                          <w:divBdr>
                            <w:top w:val="none" w:sz="0" w:space="0" w:color="auto"/>
                            <w:left w:val="none" w:sz="0" w:space="0" w:color="auto"/>
                            <w:bottom w:val="none" w:sz="0" w:space="0" w:color="auto"/>
                            <w:right w:val="none" w:sz="0" w:space="0" w:color="auto"/>
                          </w:divBdr>
                        </w:div>
                        <w:div w:id="1617982378">
                          <w:marLeft w:val="0"/>
                          <w:marRight w:val="0"/>
                          <w:marTop w:val="0"/>
                          <w:marBottom w:val="0"/>
                          <w:divBdr>
                            <w:top w:val="none" w:sz="0" w:space="0" w:color="auto"/>
                            <w:left w:val="none" w:sz="0" w:space="0" w:color="auto"/>
                            <w:bottom w:val="none" w:sz="0" w:space="0" w:color="auto"/>
                            <w:right w:val="none" w:sz="0" w:space="0" w:color="auto"/>
                          </w:divBdr>
                          <w:divsChild>
                            <w:div w:id="1716806031">
                              <w:marLeft w:val="0"/>
                              <w:marRight w:val="0"/>
                              <w:marTop w:val="0"/>
                              <w:marBottom w:val="0"/>
                              <w:divBdr>
                                <w:top w:val="none" w:sz="0" w:space="0" w:color="auto"/>
                                <w:left w:val="none" w:sz="0" w:space="0" w:color="auto"/>
                                <w:bottom w:val="none" w:sz="0" w:space="0" w:color="auto"/>
                                <w:right w:val="none" w:sz="0" w:space="0" w:color="auto"/>
                              </w:divBdr>
                              <w:divsChild>
                                <w:div w:id="29111322">
                                  <w:marLeft w:val="0"/>
                                  <w:marRight w:val="0"/>
                                  <w:marTop w:val="0"/>
                                  <w:marBottom w:val="0"/>
                                  <w:divBdr>
                                    <w:top w:val="none" w:sz="0" w:space="0" w:color="auto"/>
                                    <w:left w:val="none" w:sz="0" w:space="0" w:color="auto"/>
                                    <w:bottom w:val="none" w:sz="0" w:space="0" w:color="auto"/>
                                    <w:right w:val="none" w:sz="0" w:space="0" w:color="auto"/>
                                  </w:divBdr>
                                </w:div>
                                <w:div w:id="131531156">
                                  <w:marLeft w:val="0"/>
                                  <w:marRight w:val="0"/>
                                  <w:marTop w:val="0"/>
                                  <w:marBottom w:val="0"/>
                                  <w:divBdr>
                                    <w:top w:val="none" w:sz="0" w:space="0" w:color="auto"/>
                                    <w:left w:val="none" w:sz="0" w:space="0" w:color="auto"/>
                                    <w:bottom w:val="none" w:sz="0" w:space="0" w:color="auto"/>
                                    <w:right w:val="none" w:sz="0" w:space="0" w:color="auto"/>
                                  </w:divBdr>
                                </w:div>
                                <w:div w:id="112030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743481">
      <w:bodyDiv w:val="1"/>
      <w:marLeft w:val="0"/>
      <w:marRight w:val="0"/>
      <w:marTop w:val="0"/>
      <w:marBottom w:val="0"/>
      <w:divBdr>
        <w:top w:val="none" w:sz="0" w:space="0" w:color="auto"/>
        <w:left w:val="none" w:sz="0" w:space="0" w:color="auto"/>
        <w:bottom w:val="none" w:sz="0" w:space="0" w:color="auto"/>
        <w:right w:val="none" w:sz="0" w:space="0" w:color="auto"/>
      </w:divBdr>
    </w:div>
    <w:div w:id="126239054">
      <w:bodyDiv w:val="1"/>
      <w:marLeft w:val="0"/>
      <w:marRight w:val="0"/>
      <w:marTop w:val="0"/>
      <w:marBottom w:val="0"/>
      <w:divBdr>
        <w:top w:val="none" w:sz="0" w:space="0" w:color="auto"/>
        <w:left w:val="none" w:sz="0" w:space="0" w:color="auto"/>
        <w:bottom w:val="none" w:sz="0" w:space="0" w:color="auto"/>
        <w:right w:val="none" w:sz="0" w:space="0" w:color="auto"/>
      </w:divBdr>
    </w:div>
    <w:div w:id="130564360">
      <w:bodyDiv w:val="1"/>
      <w:marLeft w:val="0"/>
      <w:marRight w:val="0"/>
      <w:marTop w:val="0"/>
      <w:marBottom w:val="0"/>
      <w:divBdr>
        <w:top w:val="none" w:sz="0" w:space="0" w:color="auto"/>
        <w:left w:val="none" w:sz="0" w:space="0" w:color="auto"/>
        <w:bottom w:val="none" w:sz="0" w:space="0" w:color="auto"/>
        <w:right w:val="none" w:sz="0" w:space="0" w:color="auto"/>
      </w:divBdr>
      <w:divsChild>
        <w:div w:id="25182318">
          <w:marLeft w:val="0"/>
          <w:marRight w:val="0"/>
          <w:marTop w:val="0"/>
          <w:marBottom w:val="0"/>
          <w:divBdr>
            <w:top w:val="none" w:sz="0" w:space="0" w:color="auto"/>
            <w:left w:val="none" w:sz="0" w:space="0" w:color="auto"/>
            <w:bottom w:val="none" w:sz="0" w:space="0" w:color="auto"/>
            <w:right w:val="none" w:sz="0" w:space="0" w:color="auto"/>
          </w:divBdr>
          <w:divsChild>
            <w:div w:id="448621776">
              <w:marLeft w:val="0"/>
              <w:marRight w:val="0"/>
              <w:marTop w:val="144"/>
              <w:marBottom w:val="0"/>
              <w:divBdr>
                <w:top w:val="none" w:sz="0" w:space="0" w:color="auto"/>
                <w:left w:val="none" w:sz="0" w:space="0" w:color="auto"/>
                <w:bottom w:val="none" w:sz="0" w:space="0" w:color="auto"/>
                <w:right w:val="none" w:sz="0" w:space="0" w:color="auto"/>
              </w:divBdr>
              <w:divsChild>
                <w:div w:id="74742431">
                  <w:marLeft w:val="0"/>
                  <w:marRight w:val="0"/>
                  <w:marTop w:val="144"/>
                  <w:marBottom w:val="0"/>
                  <w:divBdr>
                    <w:top w:val="none" w:sz="0" w:space="0" w:color="auto"/>
                    <w:left w:val="none" w:sz="0" w:space="0" w:color="auto"/>
                    <w:bottom w:val="none" w:sz="0" w:space="0" w:color="auto"/>
                    <w:right w:val="none" w:sz="0" w:space="0" w:color="auto"/>
                  </w:divBdr>
                </w:div>
                <w:div w:id="78060506">
                  <w:marLeft w:val="0"/>
                  <w:marRight w:val="0"/>
                  <w:marTop w:val="144"/>
                  <w:marBottom w:val="0"/>
                  <w:divBdr>
                    <w:top w:val="none" w:sz="0" w:space="0" w:color="auto"/>
                    <w:left w:val="none" w:sz="0" w:space="0" w:color="auto"/>
                    <w:bottom w:val="none" w:sz="0" w:space="0" w:color="auto"/>
                    <w:right w:val="none" w:sz="0" w:space="0" w:color="auto"/>
                  </w:divBdr>
                </w:div>
                <w:div w:id="120733992">
                  <w:marLeft w:val="0"/>
                  <w:marRight w:val="0"/>
                  <w:marTop w:val="144"/>
                  <w:marBottom w:val="0"/>
                  <w:divBdr>
                    <w:top w:val="none" w:sz="0" w:space="0" w:color="auto"/>
                    <w:left w:val="none" w:sz="0" w:space="0" w:color="auto"/>
                    <w:bottom w:val="none" w:sz="0" w:space="0" w:color="auto"/>
                    <w:right w:val="none" w:sz="0" w:space="0" w:color="auto"/>
                  </w:divBdr>
                  <w:divsChild>
                    <w:div w:id="192767035">
                      <w:marLeft w:val="0"/>
                      <w:marRight w:val="0"/>
                      <w:marTop w:val="144"/>
                      <w:marBottom w:val="0"/>
                      <w:divBdr>
                        <w:top w:val="none" w:sz="0" w:space="0" w:color="auto"/>
                        <w:left w:val="none" w:sz="0" w:space="0" w:color="auto"/>
                        <w:bottom w:val="none" w:sz="0" w:space="0" w:color="auto"/>
                        <w:right w:val="none" w:sz="0" w:space="0" w:color="auto"/>
                      </w:divBdr>
                      <w:divsChild>
                        <w:div w:id="287666323">
                          <w:marLeft w:val="-216"/>
                          <w:marRight w:val="0"/>
                          <w:marTop w:val="0"/>
                          <w:marBottom w:val="0"/>
                          <w:divBdr>
                            <w:top w:val="none" w:sz="0" w:space="0" w:color="auto"/>
                            <w:left w:val="none" w:sz="0" w:space="0" w:color="auto"/>
                            <w:bottom w:val="none" w:sz="0" w:space="0" w:color="auto"/>
                            <w:right w:val="none" w:sz="0" w:space="0" w:color="auto"/>
                          </w:divBdr>
                        </w:div>
                        <w:div w:id="1309213920">
                          <w:marLeft w:val="1080"/>
                          <w:marRight w:val="0"/>
                          <w:marTop w:val="0"/>
                          <w:marBottom w:val="0"/>
                          <w:divBdr>
                            <w:top w:val="none" w:sz="0" w:space="0" w:color="auto"/>
                            <w:left w:val="none" w:sz="0" w:space="0" w:color="auto"/>
                            <w:bottom w:val="none" w:sz="0" w:space="0" w:color="auto"/>
                            <w:right w:val="none" w:sz="0" w:space="0" w:color="auto"/>
                          </w:divBdr>
                        </w:div>
                      </w:divsChild>
                    </w:div>
                    <w:div w:id="1300263054">
                      <w:marLeft w:val="0"/>
                      <w:marRight w:val="0"/>
                      <w:marTop w:val="144"/>
                      <w:marBottom w:val="0"/>
                      <w:divBdr>
                        <w:top w:val="none" w:sz="0" w:space="0" w:color="auto"/>
                        <w:left w:val="none" w:sz="0" w:space="0" w:color="auto"/>
                        <w:bottom w:val="none" w:sz="0" w:space="0" w:color="auto"/>
                        <w:right w:val="none" w:sz="0" w:space="0" w:color="auto"/>
                      </w:divBdr>
                      <w:divsChild>
                        <w:div w:id="1162236136">
                          <w:marLeft w:val="-216"/>
                          <w:marRight w:val="0"/>
                          <w:marTop w:val="0"/>
                          <w:marBottom w:val="0"/>
                          <w:divBdr>
                            <w:top w:val="none" w:sz="0" w:space="0" w:color="auto"/>
                            <w:left w:val="none" w:sz="0" w:space="0" w:color="auto"/>
                            <w:bottom w:val="none" w:sz="0" w:space="0" w:color="auto"/>
                            <w:right w:val="none" w:sz="0" w:space="0" w:color="auto"/>
                          </w:divBdr>
                        </w:div>
                        <w:div w:id="2065637056">
                          <w:marLeft w:val="1080"/>
                          <w:marRight w:val="0"/>
                          <w:marTop w:val="0"/>
                          <w:marBottom w:val="0"/>
                          <w:divBdr>
                            <w:top w:val="none" w:sz="0" w:space="0" w:color="auto"/>
                            <w:left w:val="none" w:sz="0" w:space="0" w:color="auto"/>
                            <w:bottom w:val="none" w:sz="0" w:space="0" w:color="auto"/>
                            <w:right w:val="none" w:sz="0" w:space="0" w:color="auto"/>
                          </w:divBdr>
                        </w:div>
                      </w:divsChild>
                    </w:div>
                    <w:div w:id="1445227267">
                      <w:marLeft w:val="0"/>
                      <w:marRight w:val="0"/>
                      <w:marTop w:val="144"/>
                      <w:marBottom w:val="0"/>
                      <w:divBdr>
                        <w:top w:val="none" w:sz="0" w:space="0" w:color="auto"/>
                        <w:left w:val="none" w:sz="0" w:space="0" w:color="auto"/>
                        <w:bottom w:val="none" w:sz="0" w:space="0" w:color="auto"/>
                        <w:right w:val="none" w:sz="0" w:space="0" w:color="auto"/>
                      </w:divBdr>
                    </w:div>
                    <w:div w:id="1560897312">
                      <w:marLeft w:val="0"/>
                      <w:marRight w:val="0"/>
                      <w:marTop w:val="144"/>
                      <w:marBottom w:val="0"/>
                      <w:divBdr>
                        <w:top w:val="none" w:sz="0" w:space="0" w:color="auto"/>
                        <w:left w:val="none" w:sz="0" w:space="0" w:color="auto"/>
                        <w:bottom w:val="none" w:sz="0" w:space="0" w:color="auto"/>
                        <w:right w:val="none" w:sz="0" w:space="0" w:color="auto"/>
                      </w:divBdr>
                      <w:divsChild>
                        <w:div w:id="503592655">
                          <w:marLeft w:val="-216"/>
                          <w:marRight w:val="0"/>
                          <w:marTop w:val="0"/>
                          <w:marBottom w:val="0"/>
                          <w:divBdr>
                            <w:top w:val="none" w:sz="0" w:space="0" w:color="auto"/>
                            <w:left w:val="none" w:sz="0" w:space="0" w:color="auto"/>
                            <w:bottom w:val="none" w:sz="0" w:space="0" w:color="auto"/>
                            <w:right w:val="none" w:sz="0" w:space="0" w:color="auto"/>
                          </w:divBdr>
                        </w:div>
                        <w:div w:id="786386678">
                          <w:marLeft w:val="1080"/>
                          <w:marRight w:val="0"/>
                          <w:marTop w:val="0"/>
                          <w:marBottom w:val="0"/>
                          <w:divBdr>
                            <w:top w:val="none" w:sz="0" w:space="0" w:color="auto"/>
                            <w:left w:val="none" w:sz="0" w:space="0" w:color="auto"/>
                            <w:bottom w:val="none" w:sz="0" w:space="0" w:color="auto"/>
                            <w:right w:val="none" w:sz="0" w:space="0" w:color="auto"/>
                          </w:divBdr>
                        </w:div>
                      </w:divsChild>
                    </w:div>
                    <w:div w:id="1975138089">
                      <w:marLeft w:val="0"/>
                      <w:marRight w:val="0"/>
                      <w:marTop w:val="144"/>
                      <w:marBottom w:val="0"/>
                      <w:divBdr>
                        <w:top w:val="none" w:sz="0" w:space="0" w:color="auto"/>
                        <w:left w:val="none" w:sz="0" w:space="0" w:color="auto"/>
                        <w:bottom w:val="none" w:sz="0" w:space="0" w:color="auto"/>
                        <w:right w:val="none" w:sz="0" w:space="0" w:color="auto"/>
                      </w:divBdr>
                      <w:divsChild>
                        <w:div w:id="1487742000">
                          <w:marLeft w:val="-216"/>
                          <w:marRight w:val="0"/>
                          <w:marTop w:val="0"/>
                          <w:marBottom w:val="0"/>
                          <w:divBdr>
                            <w:top w:val="none" w:sz="0" w:space="0" w:color="auto"/>
                            <w:left w:val="none" w:sz="0" w:space="0" w:color="auto"/>
                            <w:bottom w:val="none" w:sz="0" w:space="0" w:color="auto"/>
                            <w:right w:val="none" w:sz="0" w:space="0" w:color="auto"/>
                          </w:divBdr>
                        </w:div>
                        <w:div w:id="1536117588">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624583491">
                  <w:marLeft w:val="0"/>
                  <w:marRight w:val="0"/>
                  <w:marTop w:val="144"/>
                  <w:marBottom w:val="0"/>
                  <w:divBdr>
                    <w:top w:val="none" w:sz="0" w:space="0" w:color="auto"/>
                    <w:left w:val="none" w:sz="0" w:space="0" w:color="auto"/>
                    <w:bottom w:val="none" w:sz="0" w:space="0" w:color="auto"/>
                    <w:right w:val="none" w:sz="0" w:space="0" w:color="auto"/>
                  </w:divBdr>
                </w:div>
                <w:div w:id="874660999">
                  <w:marLeft w:val="0"/>
                  <w:marRight w:val="0"/>
                  <w:marTop w:val="144"/>
                  <w:marBottom w:val="0"/>
                  <w:divBdr>
                    <w:top w:val="none" w:sz="0" w:space="0" w:color="auto"/>
                    <w:left w:val="none" w:sz="0" w:space="0" w:color="auto"/>
                    <w:bottom w:val="none" w:sz="0" w:space="0" w:color="auto"/>
                    <w:right w:val="none" w:sz="0" w:space="0" w:color="auto"/>
                  </w:divBdr>
                </w:div>
                <w:div w:id="1076366142">
                  <w:marLeft w:val="0"/>
                  <w:marRight w:val="0"/>
                  <w:marTop w:val="0"/>
                  <w:marBottom w:val="0"/>
                  <w:divBdr>
                    <w:top w:val="none" w:sz="0" w:space="0" w:color="auto"/>
                    <w:left w:val="none" w:sz="0" w:space="0" w:color="auto"/>
                    <w:bottom w:val="none" w:sz="0" w:space="0" w:color="auto"/>
                    <w:right w:val="none" w:sz="0" w:space="0" w:color="auto"/>
                  </w:divBdr>
                </w:div>
                <w:div w:id="1149639115">
                  <w:marLeft w:val="0"/>
                  <w:marRight w:val="0"/>
                  <w:marTop w:val="144"/>
                  <w:marBottom w:val="0"/>
                  <w:divBdr>
                    <w:top w:val="none" w:sz="0" w:space="0" w:color="auto"/>
                    <w:left w:val="none" w:sz="0" w:space="0" w:color="auto"/>
                    <w:bottom w:val="none" w:sz="0" w:space="0" w:color="auto"/>
                    <w:right w:val="none" w:sz="0" w:space="0" w:color="auto"/>
                  </w:divBdr>
                </w:div>
                <w:div w:id="1306929392">
                  <w:marLeft w:val="0"/>
                  <w:marRight w:val="0"/>
                  <w:marTop w:val="144"/>
                  <w:marBottom w:val="0"/>
                  <w:divBdr>
                    <w:top w:val="none" w:sz="0" w:space="0" w:color="auto"/>
                    <w:left w:val="none" w:sz="0" w:space="0" w:color="auto"/>
                    <w:bottom w:val="none" w:sz="0" w:space="0" w:color="auto"/>
                    <w:right w:val="none" w:sz="0" w:space="0" w:color="auto"/>
                  </w:divBdr>
                </w:div>
                <w:div w:id="1635020199">
                  <w:marLeft w:val="0"/>
                  <w:marRight w:val="0"/>
                  <w:marTop w:val="144"/>
                  <w:marBottom w:val="0"/>
                  <w:divBdr>
                    <w:top w:val="none" w:sz="0" w:space="0" w:color="auto"/>
                    <w:left w:val="none" w:sz="0" w:space="0" w:color="auto"/>
                    <w:bottom w:val="none" w:sz="0" w:space="0" w:color="auto"/>
                    <w:right w:val="none" w:sz="0" w:space="0" w:color="auto"/>
                  </w:divBdr>
                </w:div>
                <w:div w:id="1652712732">
                  <w:marLeft w:val="0"/>
                  <w:marRight w:val="0"/>
                  <w:marTop w:val="144"/>
                  <w:marBottom w:val="0"/>
                  <w:divBdr>
                    <w:top w:val="none" w:sz="0" w:space="0" w:color="auto"/>
                    <w:left w:val="none" w:sz="0" w:space="0" w:color="auto"/>
                    <w:bottom w:val="none" w:sz="0" w:space="0" w:color="auto"/>
                    <w:right w:val="none" w:sz="0" w:space="0" w:color="auto"/>
                  </w:divBdr>
                </w:div>
                <w:div w:id="1673297404">
                  <w:marLeft w:val="0"/>
                  <w:marRight w:val="0"/>
                  <w:marTop w:val="144"/>
                  <w:marBottom w:val="0"/>
                  <w:divBdr>
                    <w:top w:val="none" w:sz="0" w:space="0" w:color="auto"/>
                    <w:left w:val="none" w:sz="0" w:space="0" w:color="auto"/>
                    <w:bottom w:val="none" w:sz="0" w:space="0" w:color="auto"/>
                    <w:right w:val="none" w:sz="0" w:space="0" w:color="auto"/>
                  </w:divBdr>
                </w:div>
                <w:div w:id="2036273606">
                  <w:marLeft w:val="0"/>
                  <w:marRight w:val="0"/>
                  <w:marTop w:val="144"/>
                  <w:marBottom w:val="0"/>
                  <w:divBdr>
                    <w:top w:val="none" w:sz="0" w:space="0" w:color="auto"/>
                    <w:left w:val="none" w:sz="0" w:space="0" w:color="auto"/>
                    <w:bottom w:val="none" w:sz="0" w:space="0" w:color="auto"/>
                    <w:right w:val="none" w:sz="0" w:space="0" w:color="auto"/>
                  </w:divBdr>
                </w:div>
              </w:divsChild>
            </w:div>
          </w:divsChild>
        </w:div>
        <w:div w:id="1801803445">
          <w:marLeft w:val="0"/>
          <w:marRight w:val="0"/>
          <w:marTop w:val="0"/>
          <w:marBottom w:val="0"/>
          <w:divBdr>
            <w:top w:val="none" w:sz="0" w:space="0" w:color="auto"/>
            <w:left w:val="none" w:sz="0" w:space="0" w:color="auto"/>
            <w:bottom w:val="none" w:sz="0" w:space="0" w:color="auto"/>
            <w:right w:val="none" w:sz="0" w:space="0" w:color="auto"/>
          </w:divBdr>
          <w:divsChild>
            <w:div w:id="220334934">
              <w:marLeft w:val="0"/>
              <w:marRight w:val="0"/>
              <w:marTop w:val="144"/>
              <w:marBottom w:val="0"/>
              <w:divBdr>
                <w:top w:val="none" w:sz="0" w:space="0" w:color="auto"/>
                <w:left w:val="none" w:sz="0" w:space="0" w:color="auto"/>
                <w:bottom w:val="none" w:sz="0" w:space="0" w:color="auto"/>
                <w:right w:val="none" w:sz="0" w:space="0" w:color="auto"/>
              </w:divBdr>
              <w:divsChild>
                <w:div w:id="405036776">
                  <w:marLeft w:val="0"/>
                  <w:marRight w:val="0"/>
                  <w:marTop w:val="144"/>
                  <w:marBottom w:val="0"/>
                  <w:divBdr>
                    <w:top w:val="none" w:sz="0" w:space="0" w:color="auto"/>
                    <w:left w:val="none" w:sz="0" w:space="0" w:color="auto"/>
                    <w:bottom w:val="none" w:sz="0" w:space="0" w:color="auto"/>
                    <w:right w:val="none" w:sz="0" w:space="0" w:color="auto"/>
                  </w:divBdr>
                </w:div>
                <w:div w:id="1105004215">
                  <w:marLeft w:val="0"/>
                  <w:marRight w:val="0"/>
                  <w:marTop w:val="0"/>
                  <w:marBottom w:val="0"/>
                  <w:divBdr>
                    <w:top w:val="none" w:sz="0" w:space="0" w:color="auto"/>
                    <w:left w:val="none" w:sz="0" w:space="0" w:color="auto"/>
                    <w:bottom w:val="none" w:sz="0" w:space="0" w:color="auto"/>
                    <w:right w:val="none" w:sz="0" w:space="0" w:color="auto"/>
                  </w:divBdr>
                  <w:divsChild>
                    <w:div w:id="301229307">
                      <w:marLeft w:val="0"/>
                      <w:marRight w:val="0"/>
                      <w:marTop w:val="144"/>
                      <w:marBottom w:val="0"/>
                      <w:divBdr>
                        <w:top w:val="none" w:sz="0" w:space="0" w:color="auto"/>
                        <w:left w:val="none" w:sz="0" w:space="0" w:color="auto"/>
                        <w:bottom w:val="none" w:sz="0" w:space="0" w:color="auto"/>
                        <w:right w:val="none" w:sz="0" w:space="0" w:color="auto"/>
                      </w:divBdr>
                      <w:divsChild>
                        <w:div w:id="603808460">
                          <w:marLeft w:val="-216"/>
                          <w:marRight w:val="0"/>
                          <w:marTop w:val="0"/>
                          <w:marBottom w:val="0"/>
                          <w:divBdr>
                            <w:top w:val="none" w:sz="0" w:space="0" w:color="auto"/>
                            <w:left w:val="none" w:sz="0" w:space="0" w:color="auto"/>
                            <w:bottom w:val="none" w:sz="0" w:space="0" w:color="auto"/>
                            <w:right w:val="none" w:sz="0" w:space="0" w:color="auto"/>
                          </w:divBdr>
                        </w:div>
                        <w:div w:id="1272392784">
                          <w:marLeft w:val="1080"/>
                          <w:marRight w:val="0"/>
                          <w:marTop w:val="0"/>
                          <w:marBottom w:val="0"/>
                          <w:divBdr>
                            <w:top w:val="none" w:sz="0" w:space="0" w:color="auto"/>
                            <w:left w:val="none" w:sz="0" w:space="0" w:color="auto"/>
                            <w:bottom w:val="none" w:sz="0" w:space="0" w:color="auto"/>
                            <w:right w:val="none" w:sz="0" w:space="0" w:color="auto"/>
                          </w:divBdr>
                        </w:div>
                      </w:divsChild>
                    </w:div>
                    <w:div w:id="1253511477">
                      <w:marLeft w:val="0"/>
                      <w:marRight w:val="0"/>
                      <w:marTop w:val="144"/>
                      <w:marBottom w:val="0"/>
                      <w:divBdr>
                        <w:top w:val="none" w:sz="0" w:space="0" w:color="auto"/>
                        <w:left w:val="none" w:sz="0" w:space="0" w:color="auto"/>
                        <w:bottom w:val="none" w:sz="0" w:space="0" w:color="auto"/>
                        <w:right w:val="none" w:sz="0" w:space="0" w:color="auto"/>
                      </w:divBdr>
                      <w:divsChild>
                        <w:div w:id="898903115">
                          <w:marLeft w:val="1080"/>
                          <w:marRight w:val="0"/>
                          <w:marTop w:val="0"/>
                          <w:marBottom w:val="0"/>
                          <w:divBdr>
                            <w:top w:val="none" w:sz="0" w:space="0" w:color="auto"/>
                            <w:left w:val="none" w:sz="0" w:space="0" w:color="auto"/>
                            <w:bottom w:val="none" w:sz="0" w:space="0" w:color="auto"/>
                            <w:right w:val="none" w:sz="0" w:space="0" w:color="auto"/>
                          </w:divBdr>
                        </w:div>
                        <w:div w:id="2028284942">
                          <w:marLeft w:val="-216"/>
                          <w:marRight w:val="0"/>
                          <w:marTop w:val="0"/>
                          <w:marBottom w:val="0"/>
                          <w:divBdr>
                            <w:top w:val="none" w:sz="0" w:space="0" w:color="auto"/>
                            <w:left w:val="none" w:sz="0" w:space="0" w:color="auto"/>
                            <w:bottom w:val="none" w:sz="0" w:space="0" w:color="auto"/>
                            <w:right w:val="none" w:sz="0" w:space="0" w:color="auto"/>
                          </w:divBdr>
                        </w:div>
                      </w:divsChild>
                    </w:div>
                    <w:div w:id="2060081427">
                      <w:marLeft w:val="0"/>
                      <w:marRight w:val="0"/>
                      <w:marTop w:val="144"/>
                      <w:marBottom w:val="0"/>
                      <w:divBdr>
                        <w:top w:val="none" w:sz="0" w:space="0" w:color="auto"/>
                        <w:left w:val="none" w:sz="0" w:space="0" w:color="auto"/>
                        <w:bottom w:val="none" w:sz="0" w:space="0" w:color="auto"/>
                        <w:right w:val="none" w:sz="0" w:space="0" w:color="auto"/>
                      </w:divBdr>
                      <w:divsChild>
                        <w:div w:id="549801313">
                          <w:marLeft w:val="-216"/>
                          <w:marRight w:val="0"/>
                          <w:marTop w:val="0"/>
                          <w:marBottom w:val="0"/>
                          <w:divBdr>
                            <w:top w:val="none" w:sz="0" w:space="0" w:color="auto"/>
                            <w:left w:val="none" w:sz="0" w:space="0" w:color="auto"/>
                            <w:bottom w:val="none" w:sz="0" w:space="0" w:color="auto"/>
                            <w:right w:val="none" w:sz="0" w:space="0" w:color="auto"/>
                          </w:divBdr>
                        </w:div>
                        <w:div w:id="640232237">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1948349095">
                  <w:marLeft w:val="0"/>
                  <w:marRight w:val="0"/>
                  <w:marTop w:val="144"/>
                  <w:marBottom w:val="0"/>
                  <w:divBdr>
                    <w:top w:val="none" w:sz="0" w:space="0" w:color="auto"/>
                    <w:left w:val="none" w:sz="0" w:space="0" w:color="auto"/>
                    <w:bottom w:val="none" w:sz="0" w:space="0" w:color="auto"/>
                    <w:right w:val="none" w:sz="0" w:space="0" w:color="auto"/>
                  </w:divBdr>
                  <w:divsChild>
                    <w:div w:id="121966983">
                      <w:marLeft w:val="0"/>
                      <w:marRight w:val="0"/>
                      <w:marTop w:val="144"/>
                      <w:marBottom w:val="0"/>
                      <w:divBdr>
                        <w:top w:val="none" w:sz="0" w:space="0" w:color="auto"/>
                        <w:left w:val="none" w:sz="0" w:space="0" w:color="auto"/>
                        <w:bottom w:val="none" w:sz="0" w:space="0" w:color="auto"/>
                        <w:right w:val="none" w:sz="0" w:space="0" w:color="auto"/>
                      </w:divBdr>
                      <w:divsChild>
                        <w:div w:id="63264240">
                          <w:marLeft w:val="-216"/>
                          <w:marRight w:val="0"/>
                          <w:marTop w:val="0"/>
                          <w:marBottom w:val="0"/>
                          <w:divBdr>
                            <w:top w:val="none" w:sz="0" w:space="0" w:color="auto"/>
                            <w:left w:val="none" w:sz="0" w:space="0" w:color="auto"/>
                            <w:bottom w:val="none" w:sz="0" w:space="0" w:color="auto"/>
                            <w:right w:val="none" w:sz="0" w:space="0" w:color="auto"/>
                          </w:divBdr>
                        </w:div>
                        <w:div w:id="80613451">
                          <w:marLeft w:val="1080"/>
                          <w:marRight w:val="0"/>
                          <w:marTop w:val="0"/>
                          <w:marBottom w:val="0"/>
                          <w:divBdr>
                            <w:top w:val="none" w:sz="0" w:space="0" w:color="auto"/>
                            <w:left w:val="none" w:sz="0" w:space="0" w:color="auto"/>
                            <w:bottom w:val="none" w:sz="0" w:space="0" w:color="auto"/>
                            <w:right w:val="none" w:sz="0" w:space="0" w:color="auto"/>
                          </w:divBdr>
                        </w:div>
                      </w:divsChild>
                    </w:div>
                    <w:div w:id="817918932">
                      <w:marLeft w:val="0"/>
                      <w:marRight w:val="0"/>
                      <w:marTop w:val="144"/>
                      <w:marBottom w:val="0"/>
                      <w:divBdr>
                        <w:top w:val="none" w:sz="0" w:space="0" w:color="auto"/>
                        <w:left w:val="none" w:sz="0" w:space="0" w:color="auto"/>
                        <w:bottom w:val="none" w:sz="0" w:space="0" w:color="auto"/>
                        <w:right w:val="none" w:sz="0" w:space="0" w:color="auto"/>
                      </w:divBdr>
                      <w:divsChild>
                        <w:div w:id="690883059">
                          <w:marLeft w:val="1080"/>
                          <w:marRight w:val="0"/>
                          <w:marTop w:val="0"/>
                          <w:marBottom w:val="0"/>
                          <w:divBdr>
                            <w:top w:val="none" w:sz="0" w:space="0" w:color="auto"/>
                            <w:left w:val="none" w:sz="0" w:space="0" w:color="auto"/>
                            <w:bottom w:val="none" w:sz="0" w:space="0" w:color="auto"/>
                            <w:right w:val="none" w:sz="0" w:space="0" w:color="auto"/>
                          </w:divBdr>
                        </w:div>
                        <w:div w:id="1168255463">
                          <w:marLeft w:val="-216"/>
                          <w:marRight w:val="0"/>
                          <w:marTop w:val="0"/>
                          <w:marBottom w:val="0"/>
                          <w:divBdr>
                            <w:top w:val="none" w:sz="0" w:space="0" w:color="auto"/>
                            <w:left w:val="none" w:sz="0" w:space="0" w:color="auto"/>
                            <w:bottom w:val="none" w:sz="0" w:space="0" w:color="auto"/>
                            <w:right w:val="none" w:sz="0" w:space="0" w:color="auto"/>
                          </w:divBdr>
                        </w:div>
                      </w:divsChild>
                    </w:div>
                    <w:div w:id="915935729">
                      <w:marLeft w:val="0"/>
                      <w:marRight w:val="0"/>
                      <w:marTop w:val="144"/>
                      <w:marBottom w:val="0"/>
                      <w:divBdr>
                        <w:top w:val="none" w:sz="0" w:space="0" w:color="auto"/>
                        <w:left w:val="none" w:sz="0" w:space="0" w:color="auto"/>
                        <w:bottom w:val="none" w:sz="0" w:space="0" w:color="auto"/>
                        <w:right w:val="none" w:sz="0" w:space="0" w:color="auto"/>
                      </w:divBdr>
                      <w:divsChild>
                        <w:div w:id="330372142">
                          <w:marLeft w:val="-216"/>
                          <w:marRight w:val="0"/>
                          <w:marTop w:val="0"/>
                          <w:marBottom w:val="0"/>
                          <w:divBdr>
                            <w:top w:val="none" w:sz="0" w:space="0" w:color="auto"/>
                            <w:left w:val="none" w:sz="0" w:space="0" w:color="auto"/>
                            <w:bottom w:val="none" w:sz="0" w:space="0" w:color="auto"/>
                            <w:right w:val="none" w:sz="0" w:space="0" w:color="auto"/>
                          </w:divBdr>
                        </w:div>
                        <w:div w:id="1219248454">
                          <w:marLeft w:val="1080"/>
                          <w:marRight w:val="0"/>
                          <w:marTop w:val="0"/>
                          <w:marBottom w:val="0"/>
                          <w:divBdr>
                            <w:top w:val="none" w:sz="0" w:space="0" w:color="auto"/>
                            <w:left w:val="none" w:sz="0" w:space="0" w:color="auto"/>
                            <w:bottom w:val="none" w:sz="0" w:space="0" w:color="auto"/>
                            <w:right w:val="none" w:sz="0" w:space="0" w:color="auto"/>
                          </w:divBdr>
                        </w:div>
                      </w:divsChild>
                    </w:div>
                    <w:div w:id="1360816671">
                      <w:marLeft w:val="0"/>
                      <w:marRight w:val="0"/>
                      <w:marTop w:val="144"/>
                      <w:marBottom w:val="0"/>
                      <w:divBdr>
                        <w:top w:val="none" w:sz="0" w:space="0" w:color="auto"/>
                        <w:left w:val="none" w:sz="0" w:space="0" w:color="auto"/>
                        <w:bottom w:val="none" w:sz="0" w:space="0" w:color="auto"/>
                        <w:right w:val="none" w:sz="0" w:space="0" w:color="auto"/>
                      </w:divBdr>
                      <w:divsChild>
                        <w:div w:id="204411984">
                          <w:marLeft w:val="1080"/>
                          <w:marRight w:val="0"/>
                          <w:marTop w:val="0"/>
                          <w:marBottom w:val="0"/>
                          <w:divBdr>
                            <w:top w:val="none" w:sz="0" w:space="0" w:color="auto"/>
                            <w:left w:val="none" w:sz="0" w:space="0" w:color="auto"/>
                            <w:bottom w:val="none" w:sz="0" w:space="0" w:color="auto"/>
                            <w:right w:val="none" w:sz="0" w:space="0" w:color="auto"/>
                          </w:divBdr>
                        </w:div>
                        <w:div w:id="1163400948">
                          <w:marLeft w:val="-216"/>
                          <w:marRight w:val="0"/>
                          <w:marTop w:val="0"/>
                          <w:marBottom w:val="0"/>
                          <w:divBdr>
                            <w:top w:val="none" w:sz="0" w:space="0" w:color="auto"/>
                            <w:left w:val="none" w:sz="0" w:space="0" w:color="auto"/>
                            <w:bottom w:val="none" w:sz="0" w:space="0" w:color="auto"/>
                            <w:right w:val="none" w:sz="0" w:space="0" w:color="auto"/>
                          </w:divBdr>
                        </w:div>
                      </w:divsChild>
                    </w:div>
                    <w:div w:id="1730567294">
                      <w:marLeft w:val="0"/>
                      <w:marRight w:val="0"/>
                      <w:marTop w:val="144"/>
                      <w:marBottom w:val="0"/>
                      <w:divBdr>
                        <w:top w:val="none" w:sz="0" w:space="0" w:color="auto"/>
                        <w:left w:val="none" w:sz="0" w:space="0" w:color="auto"/>
                        <w:bottom w:val="none" w:sz="0" w:space="0" w:color="auto"/>
                        <w:right w:val="none" w:sz="0" w:space="0" w:color="auto"/>
                      </w:divBdr>
                      <w:divsChild>
                        <w:div w:id="1044254677">
                          <w:marLeft w:val="-216"/>
                          <w:marRight w:val="0"/>
                          <w:marTop w:val="0"/>
                          <w:marBottom w:val="0"/>
                          <w:divBdr>
                            <w:top w:val="none" w:sz="0" w:space="0" w:color="auto"/>
                            <w:left w:val="none" w:sz="0" w:space="0" w:color="auto"/>
                            <w:bottom w:val="none" w:sz="0" w:space="0" w:color="auto"/>
                            <w:right w:val="none" w:sz="0" w:space="0" w:color="auto"/>
                          </w:divBdr>
                        </w:div>
                        <w:div w:id="1491291334">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699390">
              <w:marLeft w:val="0"/>
              <w:marRight w:val="0"/>
              <w:marTop w:val="288"/>
              <w:marBottom w:val="144"/>
              <w:divBdr>
                <w:top w:val="none" w:sz="0" w:space="0" w:color="auto"/>
                <w:left w:val="none" w:sz="0" w:space="0" w:color="auto"/>
                <w:bottom w:val="none" w:sz="0" w:space="0" w:color="auto"/>
                <w:right w:val="none" w:sz="0" w:space="0" w:color="auto"/>
              </w:divBdr>
            </w:div>
          </w:divsChild>
        </w:div>
      </w:divsChild>
    </w:div>
    <w:div w:id="141312863">
      <w:bodyDiv w:val="1"/>
      <w:marLeft w:val="0"/>
      <w:marRight w:val="0"/>
      <w:marTop w:val="0"/>
      <w:marBottom w:val="0"/>
      <w:divBdr>
        <w:top w:val="none" w:sz="0" w:space="0" w:color="auto"/>
        <w:left w:val="none" w:sz="0" w:space="0" w:color="auto"/>
        <w:bottom w:val="none" w:sz="0" w:space="0" w:color="auto"/>
        <w:right w:val="none" w:sz="0" w:space="0" w:color="auto"/>
      </w:divBdr>
      <w:divsChild>
        <w:div w:id="633682268">
          <w:marLeft w:val="0"/>
          <w:marRight w:val="0"/>
          <w:marTop w:val="240"/>
          <w:marBottom w:val="0"/>
          <w:divBdr>
            <w:top w:val="none" w:sz="0" w:space="0" w:color="auto"/>
            <w:left w:val="none" w:sz="0" w:space="0" w:color="auto"/>
            <w:bottom w:val="none" w:sz="0" w:space="0" w:color="auto"/>
            <w:right w:val="none" w:sz="0" w:space="0" w:color="auto"/>
          </w:divBdr>
          <w:divsChild>
            <w:div w:id="20606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04849">
      <w:bodyDiv w:val="1"/>
      <w:marLeft w:val="0"/>
      <w:marRight w:val="0"/>
      <w:marTop w:val="0"/>
      <w:marBottom w:val="0"/>
      <w:divBdr>
        <w:top w:val="none" w:sz="0" w:space="0" w:color="auto"/>
        <w:left w:val="none" w:sz="0" w:space="0" w:color="auto"/>
        <w:bottom w:val="none" w:sz="0" w:space="0" w:color="auto"/>
        <w:right w:val="none" w:sz="0" w:space="0" w:color="auto"/>
      </w:divBdr>
    </w:div>
    <w:div w:id="164903071">
      <w:bodyDiv w:val="1"/>
      <w:marLeft w:val="0"/>
      <w:marRight w:val="0"/>
      <w:marTop w:val="0"/>
      <w:marBottom w:val="0"/>
      <w:divBdr>
        <w:top w:val="none" w:sz="0" w:space="0" w:color="auto"/>
        <w:left w:val="none" w:sz="0" w:space="0" w:color="auto"/>
        <w:bottom w:val="none" w:sz="0" w:space="0" w:color="auto"/>
        <w:right w:val="none" w:sz="0" w:space="0" w:color="auto"/>
      </w:divBdr>
    </w:div>
    <w:div w:id="168372877">
      <w:bodyDiv w:val="1"/>
      <w:marLeft w:val="0"/>
      <w:marRight w:val="0"/>
      <w:marTop w:val="0"/>
      <w:marBottom w:val="0"/>
      <w:divBdr>
        <w:top w:val="none" w:sz="0" w:space="0" w:color="auto"/>
        <w:left w:val="none" w:sz="0" w:space="0" w:color="auto"/>
        <w:bottom w:val="none" w:sz="0" w:space="0" w:color="auto"/>
        <w:right w:val="none" w:sz="0" w:space="0" w:color="auto"/>
      </w:divBdr>
    </w:div>
    <w:div w:id="170416463">
      <w:bodyDiv w:val="1"/>
      <w:marLeft w:val="0"/>
      <w:marRight w:val="0"/>
      <w:marTop w:val="0"/>
      <w:marBottom w:val="0"/>
      <w:divBdr>
        <w:top w:val="none" w:sz="0" w:space="0" w:color="auto"/>
        <w:left w:val="none" w:sz="0" w:space="0" w:color="auto"/>
        <w:bottom w:val="none" w:sz="0" w:space="0" w:color="auto"/>
        <w:right w:val="none" w:sz="0" w:space="0" w:color="auto"/>
      </w:divBdr>
      <w:divsChild>
        <w:div w:id="1391928096">
          <w:marLeft w:val="0"/>
          <w:marRight w:val="0"/>
          <w:marTop w:val="0"/>
          <w:marBottom w:val="0"/>
          <w:divBdr>
            <w:top w:val="none" w:sz="0" w:space="0" w:color="auto"/>
            <w:left w:val="none" w:sz="0" w:space="0" w:color="auto"/>
            <w:bottom w:val="none" w:sz="0" w:space="0" w:color="auto"/>
            <w:right w:val="none" w:sz="0" w:space="0" w:color="auto"/>
          </w:divBdr>
        </w:div>
      </w:divsChild>
    </w:div>
    <w:div w:id="179010966">
      <w:bodyDiv w:val="1"/>
      <w:marLeft w:val="0"/>
      <w:marRight w:val="0"/>
      <w:marTop w:val="0"/>
      <w:marBottom w:val="0"/>
      <w:divBdr>
        <w:top w:val="none" w:sz="0" w:space="0" w:color="auto"/>
        <w:left w:val="none" w:sz="0" w:space="0" w:color="auto"/>
        <w:bottom w:val="none" w:sz="0" w:space="0" w:color="auto"/>
        <w:right w:val="none" w:sz="0" w:space="0" w:color="auto"/>
      </w:divBdr>
    </w:div>
    <w:div w:id="184175002">
      <w:bodyDiv w:val="1"/>
      <w:marLeft w:val="0"/>
      <w:marRight w:val="0"/>
      <w:marTop w:val="0"/>
      <w:marBottom w:val="450"/>
      <w:divBdr>
        <w:top w:val="none" w:sz="0" w:space="0" w:color="auto"/>
        <w:left w:val="none" w:sz="0" w:space="0" w:color="auto"/>
        <w:bottom w:val="none" w:sz="0" w:space="0" w:color="auto"/>
        <w:right w:val="none" w:sz="0" w:space="0" w:color="auto"/>
      </w:divBdr>
      <w:divsChild>
        <w:div w:id="702708808">
          <w:marLeft w:val="0"/>
          <w:marRight w:val="0"/>
          <w:marTop w:val="100"/>
          <w:marBottom w:val="100"/>
          <w:divBdr>
            <w:top w:val="none" w:sz="0" w:space="0" w:color="auto"/>
            <w:left w:val="none" w:sz="0" w:space="0" w:color="auto"/>
            <w:bottom w:val="none" w:sz="0" w:space="0" w:color="auto"/>
            <w:right w:val="none" w:sz="0" w:space="0" w:color="auto"/>
          </w:divBdr>
          <w:divsChild>
            <w:div w:id="1805582884">
              <w:marLeft w:val="0"/>
              <w:marRight w:val="0"/>
              <w:marTop w:val="0"/>
              <w:marBottom w:val="0"/>
              <w:divBdr>
                <w:top w:val="none" w:sz="0" w:space="0" w:color="auto"/>
                <w:left w:val="none" w:sz="0" w:space="0" w:color="auto"/>
                <w:bottom w:val="none" w:sz="0" w:space="0" w:color="auto"/>
                <w:right w:val="none" w:sz="0" w:space="0" w:color="auto"/>
              </w:divBdr>
              <w:divsChild>
                <w:div w:id="371929154">
                  <w:marLeft w:val="300"/>
                  <w:marRight w:val="300"/>
                  <w:marTop w:val="0"/>
                  <w:marBottom w:val="0"/>
                  <w:divBdr>
                    <w:top w:val="none" w:sz="0" w:space="0" w:color="auto"/>
                    <w:left w:val="none" w:sz="0" w:space="0" w:color="auto"/>
                    <w:bottom w:val="none" w:sz="0" w:space="0" w:color="auto"/>
                    <w:right w:val="none" w:sz="0" w:space="0" w:color="auto"/>
                  </w:divBdr>
                  <w:divsChild>
                    <w:div w:id="1178810142">
                      <w:marLeft w:val="0"/>
                      <w:marRight w:val="0"/>
                      <w:marTop w:val="0"/>
                      <w:marBottom w:val="0"/>
                      <w:divBdr>
                        <w:top w:val="none" w:sz="0" w:space="0" w:color="auto"/>
                        <w:left w:val="none" w:sz="0" w:space="0" w:color="auto"/>
                        <w:bottom w:val="none" w:sz="0" w:space="0" w:color="auto"/>
                        <w:right w:val="none" w:sz="0" w:space="0" w:color="auto"/>
                      </w:divBdr>
                      <w:divsChild>
                        <w:div w:id="569002571">
                          <w:marLeft w:val="0"/>
                          <w:marRight w:val="0"/>
                          <w:marTop w:val="0"/>
                          <w:marBottom w:val="0"/>
                          <w:divBdr>
                            <w:top w:val="none" w:sz="0" w:space="0" w:color="auto"/>
                            <w:left w:val="none" w:sz="0" w:space="0" w:color="auto"/>
                            <w:bottom w:val="none" w:sz="0" w:space="0" w:color="auto"/>
                            <w:right w:val="none" w:sz="0" w:space="0" w:color="auto"/>
                          </w:divBdr>
                          <w:divsChild>
                            <w:div w:id="195948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32945">
      <w:bodyDiv w:val="1"/>
      <w:marLeft w:val="0"/>
      <w:marRight w:val="0"/>
      <w:marTop w:val="0"/>
      <w:marBottom w:val="0"/>
      <w:divBdr>
        <w:top w:val="none" w:sz="0" w:space="0" w:color="auto"/>
        <w:left w:val="none" w:sz="0" w:space="0" w:color="auto"/>
        <w:bottom w:val="none" w:sz="0" w:space="0" w:color="auto"/>
        <w:right w:val="none" w:sz="0" w:space="0" w:color="auto"/>
      </w:divBdr>
    </w:div>
    <w:div w:id="192229214">
      <w:bodyDiv w:val="1"/>
      <w:marLeft w:val="0"/>
      <w:marRight w:val="0"/>
      <w:marTop w:val="0"/>
      <w:marBottom w:val="0"/>
      <w:divBdr>
        <w:top w:val="none" w:sz="0" w:space="0" w:color="auto"/>
        <w:left w:val="none" w:sz="0" w:space="0" w:color="auto"/>
        <w:bottom w:val="none" w:sz="0" w:space="0" w:color="auto"/>
        <w:right w:val="none" w:sz="0" w:space="0" w:color="auto"/>
      </w:divBdr>
      <w:divsChild>
        <w:div w:id="1761944735">
          <w:marLeft w:val="0"/>
          <w:marRight w:val="0"/>
          <w:marTop w:val="0"/>
          <w:marBottom w:val="0"/>
          <w:divBdr>
            <w:top w:val="none" w:sz="0" w:space="0" w:color="auto"/>
            <w:left w:val="none" w:sz="0" w:space="0" w:color="auto"/>
            <w:bottom w:val="none" w:sz="0" w:space="0" w:color="auto"/>
            <w:right w:val="none" w:sz="0" w:space="0" w:color="auto"/>
          </w:divBdr>
          <w:divsChild>
            <w:div w:id="102794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2498">
      <w:bodyDiv w:val="1"/>
      <w:marLeft w:val="0"/>
      <w:marRight w:val="0"/>
      <w:marTop w:val="0"/>
      <w:marBottom w:val="0"/>
      <w:divBdr>
        <w:top w:val="none" w:sz="0" w:space="0" w:color="auto"/>
        <w:left w:val="none" w:sz="0" w:space="0" w:color="auto"/>
        <w:bottom w:val="none" w:sz="0" w:space="0" w:color="auto"/>
        <w:right w:val="none" w:sz="0" w:space="0" w:color="auto"/>
      </w:divBdr>
    </w:div>
    <w:div w:id="202444660">
      <w:bodyDiv w:val="1"/>
      <w:marLeft w:val="0"/>
      <w:marRight w:val="0"/>
      <w:marTop w:val="0"/>
      <w:marBottom w:val="0"/>
      <w:divBdr>
        <w:top w:val="none" w:sz="0" w:space="0" w:color="auto"/>
        <w:left w:val="none" w:sz="0" w:space="0" w:color="auto"/>
        <w:bottom w:val="none" w:sz="0" w:space="0" w:color="auto"/>
        <w:right w:val="none" w:sz="0" w:space="0" w:color="auto"/>
      </w:divBdr>
    </w:div>
    <w:div w:id="202711304">
      <w:bodyDiv w:val="1"/>
      <w:marLeft w:val="0"/>
      <w:marRight w:val="0"/>
      <w:marTop w:val="0"/>
      <w:marBottom w:val="0"/>
      <w:divBdr>
        <w:top w:val="none" w:sz="0" w:space="0" w:color="auto"/>
        <w:left w:val="none" w:sz="0" w:space="0" w:color="auto"/>
        <w:bottom w:val="none" w:sz="0" w:space="0" w:color="auto"/>
        <w:right w:val="none" w:sz="0" w:space="0" w:color="auto"/>
      </w:divBdr>
    </w:div>
    <w:div w:id="204877674">
      <w:bodyDiv w:val="1"/>
      <w:marLeft w:val="0"/>
      <w:marRight w:val="0"/>
      <w:marTop w:val="0"/>
      <w:marBottom w:val="0"/>
      <w:divBdr>
        <w:top w:val="none" w:sz="0" w:space="0" w:color="auto"/>
        <w:left w:val="none" w:sz="0" w:space="0" w:color="auto"/>
        <w:bottom w:val="none" w:sz="0" w:space="0" w:color="auto"/>
        <w:right w:val="none" w:sz="0" w:space="0" w:color="auto"/>
      </w:divBdr>
    </w:div>
    <w:div w:id="207643886">
      <w:bodyDiv w:val="1"/>
      <w:marLeft w:val="0"/>
      <w:marRight w:val="0"/>
      <w:marTop w:val="0"/>
      <w:marBottom w:val="0"/>
      <w:divBdr>
        <w:top w:val="none" w:sz="0" w:space="0" w:color="auto"/>
        <w:left w:val="none" w:sz="0" w:space="0" w:color="auto"/>
        <w:bottom w:val="none" w:sz="0" w:space="0" w:color="auto"/>
        <w:right w:val="none" w:sz="0" w:space="0" w:color="auto"/>
      </w:divBdr>
    </w:div>
    <w:div w:id="210195031">
      <w:bodyDiv w:val="1"/>
      <w:marLeft w:val="0"/>
      <w:marRight w:val="0"/>
      <w:marTop w:val="0"/>
      <w:marBottom w:val="0"/>
      <w:divBdr>
        <w:top w:val="none" w:sz="0" w:space="0" w:color="auto"/>
        <w:left w:val="none" w:sz="0" w:space="0" w:color="auto"/>
        <w:bottom w:val="none" w:sz="0" w:space="0" w:color="auto"/>
        <w:right w:val="none" w:sz="0" w:space="0" w:color="auto"/>
      </w:divBdr>
    </w:div>
    <w:div w:id="211498589">
      <w:bodyDiv w:val="1"/>
      <w:marLeft w:val="0"/>
      <w:marRight w:val="0"/>
      <w:marTop w:val="0"/>
      <w:marBottom w:val="0"/>
      <w:divBdr>
        <w:top w:val="none" w:sz="0" w:space="0" w:color="auto"/>
        <w:left w:val="none" w:sz="0" w:space="0" w:color="auto"/>
        <w:bottom w:val="none" w:sz="0" w:space="0" w:color="auto"/>
        <w:right w:val="none" w:sz="0" w:space="0" w:color="auto"/>
      </w:divBdr>
    </w:div>
    <w:div w:id="212930905">
      <w:bodyDiv w:val="1"/>
      <w:marLeft w:val="0"/>
      <w:marRight w:val="0"/>
      <w:marTop w:val="0"/>
      <w:marBottom w:val="0"/>
      <w:divBdr>
        <w:top w:val="none" w:sz="0" w:space="0" w:color="auto"/>
        <w:left w:val="none" w:sz="0" w:space="0" w:color="auto"/>
        <w:bottom w:val="none" w:sz="0" w:space="0" w:color="auto"/>
        <w:right w:val="none" w:sz="0" w:space="0" w:color="auto"/>
      </w:divBdr>
    </w:div>
    <w:div w:id="213081048">
      <w:bodyDiv w:val="1"/>
      <w:marLeft w:val="0"/>
      <w:marRight w:val="0"/>
      <w:marTop w:val="0"/>
      <w:marBottom w:val="0"/>
      <w:divBdr>
        <w:top w:val="none" w:sz="0" w:space="0" w:color="auto"/>
        <w:left w:val="none" w:sz="0" w:space="0" w:color="auto"/>
        <w:bottom w:val="none" w:sz="0" w:space="0" w:color="auto"/>
        <w:right w:val="none" w:sz="0" w:space="0" w:color="auto"/>
      </w:divBdr>
    </w:div>
    <w:div w:id="224486721">
      <w:bodyDiv w:val="1"/>
      <w:marLeft w:val="0"/>
      <w:marRight w:val="0"/>
      <w:marTop w:val="0"/>
      <w:marBottom w:val="0"/>
      <w:divBdr>
        <w:top w:val="none" w:sz="0" w:space="0" w:color="auto"/>
        <w:left w:val="none" w:sz="0" w:space="0" w:color="auto"/>
        <w:bottom w:val="none" w:sz="0" w:space="0" w:color="auto"/>
        <w:right w:val="none" w:sz="0" w:space="0" w:color="auto"/>
      </w:divBdr>
      <w:divsChild>
        <w:div w:id="1125662061">
          <w:marLeft w:val="0"/>
          <w:marRight w:val="0"/>
          <w:marTop w:val="0"/>
          <w:marBottom w:val="0"/>
          <w:divBdr>
            <w:top w:val="none" w:sz="0" w:space="0" w:color="auto"/>
            <w:left w:val="none" w:sz="0" w:space="0" w:color="auto"/>
            <w:bottom w:val="none" w:sz="0" w:space="0" w:color="auto"/>
            <w:right w:val="none" w:sz="0" w:space="0" w:color="auto"/>
          </w:divBdr>
          <w:divsChild>
            <w:div w:id="2704477">
              <w:marLeft w:val="0"/>
              <w:marRight w:val="0"/>
              <w:marTop w:val="0"/>
              <w:marBottom w:val="0"/>
              <w:divBdr>
                <w:top w:val="none" w:sz="0" w:space="0" w:color="auto"/>
                <w:left w:val="none" w:sz="0" w:space="0" w:color="auto"/>
                <w:bottom w:val="none" w:sz="0" w:space="0" w:color="auto"/>
                <w:right w:val="none" w:sz="0" w:space="0" w:color="auto"/>
              </w:divBdr>
              <w:divsChild>
                <w:div w:id="348683036">
                  <w:marLeft w:val="0"/>
                  <w:marRight w:val="0"/>
                  <w:marTop w:val="0"/>
                  <w:marBottom w:val="0"/>
                  <w:divBdr>
                    <w:top w:val="none" w:sz="0" w:space="0" w:color="auto"/>
                    <w:left w:val="none" w:sz="0" w:space="0" w:color="auto"/>
                    <w:bottom w:val="none" w:sz="0" w:space="0" w:color="auto"/>
                    <w:right w:val="none" w:sz="0" w:space="0" w:color="auto"/>
                  </w:divBdr>
                  <w:divsChild>
                    <w:div w:id="869799144">
                      <w:marLeft w:val="0"/>
                      <w:marRight w:val="0"/>
                      <w:marTop w:val="0"/>
                      <w:marBottom w:val="0"/>
                      <w:divBdr>
                        <w:top w:val="none" w:sz="0" w:space="0" w:color="auto"/>
                        <w:left w:val="none" w:sz="0" w:space="0" w:color="auto"/>
                        <w:bottom w:val="none" w:sz="0" w:space="0" w:color="auto"/>
                        <w:right w:val="none" w:sz="0" w:space="0" w:color="auto"/>
                      </w:divBdr>
                      <w:divsChild>
                        <w:div w:id="481385079">
                          <w:marLeft w:val="0"/>
                          <w:marRight w:val="0"/>
                          <w:marTop w:val="0"/>
                          <w:marBottom w:val="0"/>
                          <w:divBdr>
                            <w:top w:val="none" w:sz="0" w:space="0" w:color="auto"/>
                            <w:left w:val="none" w:sz="0" w:space="0" w:color="auto"/>
                            <w:bottom w:val="none" w:sz="0" w:space="0" w:color="auto"/>
                            <w:right w:val="none" w:sz="0" w:space="0" w:color="auto"/>
                          </w:divBdr>
                          <w:divsChild>
                            <w:div w:id="2009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3803931">
      <w:bodyDiv w:val="1"/>
      <w:marLeft w:val="0"/>
      <w:marRight w:val="0"/>
      <w:marTop w:val="0"/>
      <w:marBottom w:val="0"/>
      <w:divBdr>
        <w:top w:val="none" w:sz="0" w:space="0" w:color="auto"/>
        <w:left w:val="none" w:sz="0" w:space="0" w:color="auto"/>
        <w:bottom w:val="none" w:sz="0" w:space="0" w:color="auto"/>
        <w:right w:val="none" w:sz="0" w:space="0" w:color="auto"/>
      </w:divBdr>
    </w:div>
    <w:div w:id="247428943">
      <w:bodyDiv w:val="1"/>
      <w:marLeft w:val="0"/>
      <w:marRight w:val="0"/>
      <w:marTop w:val="0"/>
      <w:marBottom w:val="0"/>
      <w:divBdr>
        <w:top w:val="none" w:sz="0" w:space="0" w:color="auto"/>
        <w:left w:val="none" w:sz="0" w:space="0" w:color="auto"/>
        <w:bottom w:val="none" w:sz="0" w:space="0" w:color="auto"/>
        <w:right w:val="none" w:sz="0" w:space="0" w:color="auto"/>
      </w:divBdr>
      <w:divsChild>
        <w:div w:id="1737320502">
          <w:marLeft w:val="0"/>
          <w:marRight w:val="0"/>
          <w:marTop w:val="0"/>
          <w:marBottom w:val="0"/>
          <w:divBdr>
            <w:top w:val="none" w:sz="0" w:space="0" w:color="auto"/>
            <w:left w:val="none" w:sz="0" w:space="0" w:color="auto"/>
            <w:bottom w:val="none" w:sz="0" w:space="0" w:color="auto"/>
            <w:right w:val="none" w:sz="0" w:space="0" w:color="auto"/>
          </w:divBdr>
          <w:divsChild>
            <w:div w:id="1074662594">
              <w:marLeft w:val="0"/>
              <w:marRight w:val="0"/>
              <w:marTop w:val="0"/>
              <w:marBottom w:val="0"/>
              <w:divBdr>
                <w:top w:val="none" w:sz="0" w:space="0" w:color="auto"/>
                <w:left w:val="none" w:sz="0" w:space="0" w:color="auto"/>
                <w:bottom w:val="none" w:sz="0" w:space="0" w:color="auto"/>
                <w:right w:val="none" w:sz="0" w:space="0" w:color="auto"/>
              </w:divBdr>
              <w:divsChild>
                <w:div w:id="1433278804">
                  <w:marLeft w:val="0"/>
                  <w:marRight w:val="0"/>
                  <w:marTop w:val="0"/>
                  <w:marBottom w:val="0"/>
                  <w:divBdr>
                    <w:top w:val="none" w:sz="0" w:space="0" w:color="auto"/>
                    <w:left w:val="none" w:sz="0" w:space="0" w:color="auto"/>
                    <w:bottom w:val="none" w:sz="0" w:space="0" w:color="auto"/>
                    <w:right w:val="none" w:sz="0" w:space="0" w:color="auto"/>
                  </w:divBdr>
                  <w:divsChild>
                    <w:div w:id="59810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753891">
      <w:bodyDiv w:val="1"/>
      <w:marLeft w:val="0"/>
      <w:marRight w:val="0"/>
      <w:marTop w:val="0"/>
      <w:marBottom w:val="450"/>
      <w:divBdr>
        <w:top w:val="none" w:sz="0" w:space="0" w:color="auto"/>
        <w:left w:val="none" w:sz="0" w:space="0" w:color="auto"/>
        <w:bottom w:val="none" w:sz="0" w:space="0" w:color="auto"/>
        <w:right w:val="none" w:sz="0" w:space="0" w:color="auto"/>
      </w:divBdr>
      <w:divsChild>
        <w:div w:id="1540780601">
          <w:marLeft w:val="0"/>
          <w:marRight w:val="0"/>
          <w:marTop w:val="100"/>
          <w:marBottom w:val="100"/>
          <w:divBdr>
            <w:top w:val="none" w:sz="0" w:space="0" w:color="auto"/>
            <w:left w:val="none" w:sz="0" w:space="0" w:color="auto"/>
            <w:bottom w:val="none" w:sz="0" w:space="0" w:color="auto"/>
            <w:right w:val="none" w:sz="0" w:space="0" w:color="auto"/>
          </w:divBdr>
          <w:divsChild>
            <w:div w:id="1281381174">
              <w:marLeft w:val="0"/>
              <w:marRight w:val="0"/>
              <w:marTop w:val="0"/>
              <w:marBottom w:val="0"/>
              <w:divBdr>
                <w:top w:val="none" w:sz="0" w:space="0" w:color="auto"/>
                <w:left w:val="none" w:sz="0" w:space="0" w:color="auto"/>
                <w:bottom w:val="none" w:sz="0" w:space="0" w:color="auto"/>
                <w:right w:val="none" w:sz="0" w:space="0" w:color="auto"/>
              </w:divBdr>
              <w:divsChild>
                <w:div w:id="2128229401">
                  <w:marLeft w:val="300"/>
                  <w:marRight w:val="300"/>
                  <w:marTop w:val="0"/>
                  <w:marBottom w:val="0"/>
                  <w:divBdr>
                    <w:top w:val="none" w:sz="0" w:space="0" w:color="auto"/>
                    <w:left w:val="none" w:sz="0" w:space="0" w:color="auto"/>
                    <w:bottom w:val="none" w:sz="0" w:space="0" w:color="auto"/>
                    <w:right w:val="none" w:sz="0" w:space="0" w:color="auto"/>
                  </w:divBdr>
                  <w:divsChild>
                    <w:div w:id="711543403">
                      <w:marLeft w:val="0"/>
                      <w:marRight w:val="0"/>
                      <w:marTop w:val="0"/>
                      <w:marBottom w:val="0"/>
                      <w:divBdr>
                        <w:top w:val="none" w:sz="0" w:space="0" w:color="auto"/>
                        <w:left w:val="none" w:sz="0" w:space="0" w:color="auto"/>
                        <w:bottom w:val="none" w:sz="0" w:space="0" w:color="auto"/>
                        <w:right w:val="none" w:sz="0" w:space="0" w:color="auto"/>
                      </w:divBdr>
                      <w:divsChild>
                        <w:div w:id="1309280718">
                          <w:marLeft w:val="0"/>
                          <w:marRight w:val="0"/>
                          <w:marTop w:val="0"/>
                          <w:marBottom w:val="0"/>
                          <w:divBdr>
                            <w:top w:val="none" w:sz="0" w:space="0" w:color="auto"/>
                            <w:left w:val="none" w:sz="0" w:space="0" w:color="auto"/>
                            <w:bottom w:val="none" w:sz="0" w:space="0" w:color="auto"/>
                            <w:right w:val="none" w:sz="0" w:space="0" w:color="auto"/>
                          </w:divBdr>
                          <w:divsChild>
                            <w:div w:id="132081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0819357">
      <w:bodyDiv w:val="1"/>
      <w:marLeft w:val="0"/>
      <w:marRight w:val="0"/>
      <w:marTop w:val="0"/>
      <w:marBottom w:val="0"/>
      <w:divBdr>
        <w:top w:val="none" w:sz="0" w:space="0" w:color="auto"/>
        <w:left w:val="none" w:sz="0" w:space="0" w:color="auto"/>
        <w:bottom w:val="none" w:sz="0" w:space="0" w:color="auto"/>
        <w:right w:val="none" w:sz="0" w:space="0" w:color="auto"/>
      </w:divBdr>
    </w:div>
    <w:div w:id="272834036">
      <w:bodyDiv w:val="1"/>
      <w:marLeft w:val="0"/>
      <w:marRight w:val="0"/>
      <w:marTop w:val="0"/>
      <w:marBottom w:val="0"/>
      <w:divBdr>
        <w:top w:val="none" w:sz="0" w:space="0" w:color="auto"/>
        <w:left w:val="none" w:sz="0" w:space="0" w:color="auto"/>
        <w:bottom w:val="none" w:sz="0" w:space="0" w:color="auto"/>
        <w:right w:val="none" w:sz="0" w:space="0" w:color="auto"/>
      </w:divBdr>
      <w:divsChild>
        <w:div w:id="1169293579">
          <w:marLeft w:val="0"/>
          <w:marRight w:val="0"/>
          <w:marTop w:val="0"/>
          <w:marBottom w:val="0"/>
          <w:divBdr>
            <w:top w:val="none" w:sz="0" w:space="0" w:color="auto"/>
            <w:left w:val="none" w:sz="0" w:space="0" w:color="auto"/>
            <w:bottom w:val="none" w:sz="0" w:space="0" w:color="auto"/>
            <w:right w:val="none" w:sz="0" w:space="0" w:color="auto"/>
          </w:divBdr>
          <w:divsChild>
            <w:div w:id="1356692584">
              <w:marLeft w:val="0"/>
              <w:marRight w:val="0"/>
              <w:marTop w:val="0"/>
              <w:marBottom w:val="0"/>
              <w:divBdr>
                <w:top w:val="none" w:sz="0" w:space="0" w:color="auto"/>
                <w:left w:val="none" w:sz="0" w:space="0" w:color="auto"/>
                <w:bottom w:val="none" w:sz="0" w:space="0" w:color="auto"/>
                <w:right w:val="none" w:sz="0" w:space="0" w:color="auto"/>
              </w:divBdr>
              <w:divsChild>
                <w:div w:id="668169209">
                  <w:marLeft w:val="0"/>
                  <w:marRight w:val="0"/>
                  <w:marTop w:val="0"/>
                  <w:marBottom w:val="0"/>
                  <w:divBdr>
                    <w:top w:val="none" w:sz="0" w:space="0" w:color="auto"/>
                    <w:left w:val="none" w:sz="0" w:space="0" w:color="auto"/>
                    <w:bottom w:val="none" w:sz="0" w:space="0" w:color="auto"/>
                    <w:right w:val="none" w:sz="0" w:space="0" w:color="auto"/>
                  </w:divBdr>
                  <w:divsChild>
                    <w:div w:id="96443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052636">
      <w:bodyDiv w:val="1"/>
      <w:marLeft w:val="0"/>
      <w:marRight w:val="0"/>
      <w:marTop w:val="0"/>
      <w:marBottom w:val="0"/>
      <w:divBdr>
        <w:top w:val="none" w:sz="0" w:space="0" w:color="auto"/>
        <w:left w:val="none" w:sz="0" w:space="0" w:color="auto"/>
        <w:bottom w:val="none" w:sz="0" w:space="0" w:color="auto"/>
        <w:right w:val="none" w:sz="0" w:space="0" w:color="auto"/>
      </w:divBdr>
      <w:divsChild>
        <w:div w:id="1195919335">
          <w:marLeft w:val="0"/>
          <w:marRight w:val="0"/>
          <w:marTop w:val="0"/>
          <w:marBottom w:val="0"/>
          <w:divBdr>
            <w:top w:val="none" w:sz="0" w:space="0" w:color="auto"/>
            <w:left w:val="none" w:sz="0" w:space="0" w:color="auto"/>
            <w:bottom w:val="none" w:sz="0" w:space="0" w:color="auto"/>
            <w:right w:val="none" w:sz="0" w:space="0" w:color="auto"/>
          </w:divBdr>
        </w:div>
      </w:divsChild>
    </w:div>
    <w:div w:id="273365816">
      <w:bodyDiv w:val="1"/>
      <w:marLeft w:val="0"/>
      <w:marRight w:val="0"/>
      <w:marTop w:val="0"/>
      <w:marBottom w:val="0"/>
      <w:divBdr>
        <w:top w:val="none" w:sz="0" w:space="0" w:color="auto"/>
        <w:left w:val="none" w:sz="0" w:space="0" w:color="auto"/>
        <w:bottom w:val="none" w:sz="0" w:space="0" w:color="auto"/>
        <w:right w:val="none" w:sz="0" w:space="0" w:color="auto"/>
      </w:divBdr>
      <w:divsChild>
        <w:div w:id="890193395">
          <w:marLeft w:val="0"/>
          <w:marRight w:val="0"/>
          <w:marTop w:val="0"/>
          <w:marBottom w:val="0"/>
          <w:divBdr>
            <w:top w:val="none" w:sz="0" w:space="0" w:color="auto"/>
            <w:left w:val="none" w:sz="0" w:space="0" w:color="auto"/>
            <w:bottom w:val="none" w:sz="0" w:space="0" w:color="auto"/>
            <w:right w:val="none" w:sz="0" w:space="0" w:color="auto"/>
          </w:divBdr>
          <w:divsChild>
            <w:div w:id="997225214">
              <w:marLeft w:val="0"/>
              <w:marRight w:val="0"/>
              <w:marTop w:val="0"/>
              <w:marBottom w:val="0"/>
              <w:divBdr>
                <w:top w:val="none" w:sz="0" w:space="0" w:color="auto"/>
                <w:left w:val="none" w:sz="0" w:space="0" w:color="auto"/>
                <w:bottom w:val="none" w:sz="0" w:space="0" w:color="auto"/>
                <w:right w:val="none" w:sz="0" w:space="0" w:color="auto"/>
              </w:divBdr>
              <w:divsChild>
                <w:div w:id="1865941604">
                  <w:marLeft w:val="0"/>
                  <w:marRight w:val="0"/>
                  <w:marTop w:val="0"/>
                  <w:marBottom w:val="0"/>
                  <w:divBdr>
                    <w:top w:val="none" w:sz="0" w:space="0" w:color="auto"/>
                    <w:left w:val="none" w:sz="0" w:space="0" w:color="auto"/>
                    <w:bottom w:val="none" w:sz="0" w:space="0" w:color="auto"/>
                    <w:right w:val="none" w:sz="0" w:space="0" w:color="auto"/>
                  </w:divBdr>
                  <w:divsChild>
                    <w:div w:id="61059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042678">
      <w:bodyDiv w:val="1"/>
      <w:marLeft w:val="0"/>
      <w:marRight w:val="0"/>
      <w:marTop w:val="0"/>
      <w:marBottom w:val="0"/>
      <w:divBdr>
        <w:top w:val="none" w:sz="0" w:space="0" w:color="auto"/>
        <w:left w:val="none" w:sz="0" w:space="0" w:color="auto"/>
        <w:bottom w:val="none" w:sz="0" w:space="0" w:color="auto"/>
        <w:right w:val="none" w:sz="0" w:space="0" w:color="auto"/>
      </w:divBdr>
    </w:div>
    <w:div w:id="298999025">
      <w:bodyDiv w:val="1"/>
      <w:marLeft w:val="0"/>
      <w:marRight w:val="0"/>
      <w:marTop w:val="0"/>
      <w:marBottom w:val="0"/>
      <w:divBdr>
        <w:top w:val="none" w:sz="0" w:space="0" w:color="auto"/>
        <w:left w:val="none" w:sz="0" w:space="0" w:color="auto"/>
        <w:bottom w:val="none" w:sz="0" w:space="0" w:color="auto"/>
        <w:right w:val="none" w:sz="0" w:space="0" w:color="auto"/>
      </w:divBdr>
    </w:div>
    <w:div w:id="305863654">
      <w:bodyDiv w:val="1"/>
      <w:marLeft w:val="0"/>
      <w:marRight w:val="0"/>
      <w:marTop w:val="0"/>
      <w:marBottom w:val="0"/>
      <w:divBdr>
        <w:top w:val="none" w:sz="0" w:space="0" w:color="auto"/>
        <w:left w:val="none" w:sz="0" w:space="0" w:color="auto"/>
        <w:bottom w:val="none" w:sz="0" w:space="0" w:color="auto"/>
        <w:right w:val="none" w:sz="0" w:space="0" w:color="auto"/>
      </w:divBdr>
    </w:div>
    <w:div w:id="308173571">
      <w:bodyDiv w:val="1"/>
      <w:marLeft w:val="0"/>
      <w:marRight w:val="0"/>
      <w:marTop w:val="0"/>
      <w:marBottom w:val="0"/>
      <w:divBdr>
        <w:top w:val="none" w:sz="0" w:space="0" w:color="auto"/>
        <w:left w:val="none" w:sz="0" w:space="0" w:color="auto"/>
        <w:bottom w:val="none" w:sz="0" w:space="0" w:color="auto"/>
        <w:right w:val="none" w:sz="0" w:space="0" w:color="auto"/>
      </w:divBdr>
    </w:div>
    <w:div w:id="317350243">
      <w:bodyDiv w:val="1"/>
      <w:marLeft w:val="0"/>
      <w:marRight w:val="0"/>
      <w:marTop w:val="0"/>
      <w:marBottom w:val="0"/>
      <w:divBdr>
        <w:top w:val="none" w:sz="0" w:space="0" w:color="auto"/>
        <w:left w:val="none" w:sz="0" w:space="0" w:color="auto"/>
        <w:bottom w:val="none" w:sz="0" w:space="0" w:color="auto"/>
        <w:right w:val="none" w:sz="0" w:space="0" w:color="auto"/>
      </w:divBdr>
    </w:div>
    <w:div w:id="317466766">
      <w:bodyDiv w:val="1"/>
      <w:marLeft w:val="0"/>
      <w:marRight w:val="0"/>
      <w:marTop w:val="0"/>
      <w:marBottom w:val="0"/>
      <w:divBdr>
        <w:top w:val="none" w:sz="0" w:space="0" w:color="auto"/>
        <w:left w:val="none" w:sz="0" w:space="0" w:color="auto"/>
        <w:bottom w:val="none" w:sz="0" w:space="0" w:color="auto"/>
        <w:right w:val="none" w:sz="0" w:space="0" w:color="auto"/>
      </w:divBdr>
    </w:div>
    <w:div w:id="328674156">
      <w:bodyDiv w:val="1"/>
      <w:marLeft w:val="0"/>
      <w:marRight w:val="0"/>
      <w:marTop w:val="0"/>
      <w:marBottom w:val="0"/>
      <w:divBdr>
        <w:top w:val="none" w:sz="0" w:space="0" w:color="auto"/>
        <w:left w:val="none" w:sz="0" w:space="0" w:color="auto"/>
        <w:bottom w:val="none" w:sz="0" w:space="0" w:color="auto"/>
        <w:right w:val="none" w:sz="0" w:space="0" w:color="auto"/>
      </w:divBdr>
    </w:div>
    <w:div w:id="329648559">
      <w:bodyDiv w:val="1"/>
      <w:marLeft w:val="0"/>
      <w:marRight w:val="0"/>
      <w:marTop w:val="0"/>
      <w:marBottom w:val="0"/>
      <w:divBdr>
        <w:top w:val="none" w:sz="0" w:space="0" w:color="auto"/>
        <w:left w:val="none" w:sz="0" w:space="0" w:color="auto"/>
        <w:bottom w:val="none" w:sz="0" w:space="0" w:color="auto"/>
        <w:right w:val="none" w:sz="0" w:space="0" w:color="auto"/>
      </w:divBdr>
    </w:div>
    <w:div w:id="333647444">
      <w:bodyDiv w:val="1"/>
      <w:marLeft w:val="0"/>
      <w:marRight w:val="0"/>
      <w:marTop w:val="0"/>
      <w:marBottom w:val="0"/>
      <w:divBdr>
        <w:top w:val="none" w:sz="0" w:space="0" w:color="auto"/>
        <w:left w:val="none" w:sz="0" w:space="0" w:color="auto"/>
        <w:bottom w:val="none" w:sz="0" w:space="0" w:color="auto"/>
        <w:right w:val="none" w:sz="0" w:space="0" w:color="auto"/>
      </w:divBdr>
    </w:div>
    <w:div w:id="335890058">
      <w:bodyDiv w:val="1"/>
      <w:marLeft w:val="0"/>
      <w:marRight w:val="0"/>
      <w:marTop w:val="0"/>
      <w:marBottom w:val="0"/>
      <w:divBdr>
        <w:top w:val="none" w:sz="0" w:space="0" w:color="auto"/>
        <w:left w:val="none" w:sz="0" w:space="0" w:color="auto"/>
        <w:bottom w:val="none" w:sz="0" w:space="0" w:color="auto"/>
        <w:right w:val="none" w:sz="0" w:space="0" w:color="auto"/>
      </w:divBdr>
    </w:div>
    <w:div w:id="347104598">
      <w:bodyDiv w:val="1"/>
      <w:marLeft w:val="0"/>
      <w:marRight w:val="0"/>
      <w:marTop w:val="0"/>
      <w:marBottom w:val="0"/>
      <w:divBdr>
        <w:top w:val="none" w:sz="0" w:space="0" w:color="auto"/>
        <w:left w:val="none" w:sz="0" w:space="0" w:color="auto"/>
        <w:bottom w:val="none" w:sz="0" w:space="0" w:color="auto"/>
        <w:right w:val="none" w:sz="0" w:space="0" w:color="auto"/>
      </w:divBdr>
    </w:div>
    <w:div w:id="371005465">
      <w:bodyDiv w:val="1"/>
      <w:marLeft w:val="300"/>
      <w:marRight w:val="150"/>
      <w:marTop w:val="150"/>
      <w:marBottom w:val="150"/>
      <w:divBdr>
        <w:top w:val="none" w:sz="0" w:space="0" w:color="auto"/>
        <w:left w:val="none" w:sz="0" w:space="0" w:color="auto"/>
        <w:bottom w:val="none" w:sz="0" w:space="0" w:color="auto"/>
        <w:right w:val="none" w:sz="0" w:space="0" w:color="auto"/>
      </w:divBdr>
      <w:divsChild>
        <w:div w:id="1544900088">
          <w:marLeft w:val="0"/>
          <w:marRight w:val="0"/>
          <w:marTop w:val="0"/>
          <w:marBottom w:val="0"/>
          <w:divBdr>
            <w:top w:val="none" w:sz="0" w:space="0" w:color="auto"/>
            <w:left w:val="none" w:sz="0" w:space="0" w:color="auto"/>
            <w:bottom w:val="none" w:sz="0" w:space="0" w:color="auto"/>
            <w:right w:val="none" w:sz="0" w:space="0" w:color="auto"/>
          </w:divBdr>
          <w:divsChild>
            <w:div w:id="1995644589">
              <w:marLeft w:val="0"/>
              <w:marRight w:val="0"/>
              <w:marTop w:val="0"/>
              <w:marBottom w:val="0"/>
              <w:divBdr>
                <w:top w:val="none" w:sz="0" w:space="0" w:color="auto"/>
                <w:left w:val="none" w:sz="0" w:space="0" w:color="auto"/>
                <w:bottom w:val="none" w:sz="0" w:space="0" w:color="auto"/>
                <w:right w:val="none" w:sz="0" w:space="0" w:color="auto"/>
              </w:divBdr>
              <w:divsChild>
                <w:div w:id="1568222578">
                  <w:marLeft w:val="0"/>
                  <w:marRight w:val="0"/>
                  <w:marTop w:val="0"/>
                  <w:marBottom w:val="0"/>
                  <w:divBdr>
                    <w:top w:val="none" w:sz="0" w:space="0" w:color="auto"/>
                    <w:left w:val="none" w:sz="0" w:space="0" w:color="auto"/>
                    <w:bottom w:val="none" w:sz="0" w:space="0" w:color="auto"/>
                    <w:right w:val="none" w:sz="0" w:space="0" w:color="auto"/>
                  </w:divBdr>
                  <w:divsChild>
                    <w:div w:id="1426421224">
                      <w:marLeft w:val="0"/>
                      <w:marRight w:val="0"/>
                      <w:marTop w:val="0"/>
                      <w:marBottom w:val="0"/>
                      <w:divBdr>
                        <w:top w:val="none" w:sz="0" w:space="0" w:color="auto"/>
                        <w:left w:val="none" w:sz="0" w:space="0" w:color="auto"/>
                        <w:bottom w:val="none" w:sz="0" w:space="0" w:color="auto"/>
                        <w:right w:val="none" w:sz="0" w:space="0" w:color="auto"/>
                      </w:divBdr>
                      <w:divsChild>
                        <w:div w:id="11616620">
                          <w:marLeft w:val="0"/>
                          <w:marRight w:val="0"/>
                          <w:marTop w:val="0"/>
                          <w:marBottom w:val="0"/>
                          <w:divBdr>
                            <w:top w:val="none" w:sz="0" w:space="0" w:color="auto"/>
                            <w:left w:val="none" w:sz="0" w:space="0" w:color="auto"/>
                            <w:bottom w:val="none" w:sz="0" w:space="0" w:color="auto"/>
                            <w:right w:val="none" w:sz="0" w:space="0" w:color="auto"/>
                          </w:divBdr>
                        </w:div>
                        <w:div w:id="147221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156721">
      <w:bodyDiv w:val="1"/>
      <w:marLeft w:val="0"/>
      <w:marRight w:val="0"/>
      <w:marTop w:val="0"/>
      <w:marBottom w:val="0"/>
      <w:divBdr>
        <w:top w:val="none" w:sz="0" w:space="0" w:color="auto"/>
        <w:left w:val="none" w:sz="0" w:space="0" w:color="auto"/>
        <w:bottom w:val="none" w:sz="0" w:space="0" w:color="auto"/>
        <w:right w:val="none" w:sz="0" w:space="0" w:color="auto"/>
      </w:divBdr>
    </w:div>
    <w:div w:id="382799658">
      <w:bodyDiv w:val="1"/>
      <w:marLeft w:val="0"/>
      <w:marRight w:val="0"/>
      <w:marTop w:val="0"/>
      <w:marBottom w:val="0"/>
      <w:divBdr>
        <w:top w:val="none" w:sz="0" w:space="0" w:color="auto"/>
        <w:left w:val="none" w:sz="0" w:space="0" w:color="auto"/>
        <w:bottom w:val="none" w:sz="0" w:space="0" w:color="auto"/>
        <w:right w:val="none" w:sz="0" w:space="0" w:color="auto"/>
      </w:divBdr>
      <w:divsChild>
        <w:div w:id="1194533597">
          <w:marLeft w:val="0"/>
          <w:marRight w:val="0"/>
          <w:marTop w:val="0"/>
          <w:marBottom w:val="0"/>
          <w:divBdr>
            <w:top w:val="none" w:sz="0" w:space="0" w:color="auto"/>
            <w:left w:val="none" w:sz="0" w:space="0" w:color="auto"/>
            <w:bottom w:val="none" w:sz="0" w:space="0" w:color="auto"/>
            <w:right w:val="none" w:sz="0" w:space="0" w:color="auto"/>
          </w:divBdr>
          <w:divsChild>
            <w:div w:id="996572761">
              <w:marLeft w:val="0"/>
              <w:marRight w:val="0"/>
              <w:marTop w:val="0"/>
              <w:marBottom w:val="0"/>
              <w:divBdr>
                <w:top w:val="none" w:sz="0" w:space="0" w:color="auto"/>
                <w:left w:val="none" w:sz="0" w:space="0" w:color="auto"/>
                <w:bottom w:val="none" w:sz="0" w:space="0" w:color="auto"/>
                <w:right w:val="none" w:sz="0" w:space="0" w:color="auto"/>
              </w:divBdr>
              <w:divsChild>
                <w:div w:id="1486779038">
                  <w:marLeft w:val="0"/>
                  <w:marRight w:val="0"/>
                  <w:marTop w:val="0"/>
                  <w:marBottom w:val="0"/>
                  <w:divBdr>
                    <w:top w:val="none" w:sz="0" w:space="0" w:color="auto"/>
                    <w:left w:val="none" w:sz="0" w:space="0" w:color="auto"/>
                    <w:bottom w:val="none" w:sz="0" w:space="0" w:color="auto"/>
                    <w:right w:val="none" w:sz="0" w:space="0" w:color="auto"/>
                  </w:divBdr>
                  <w:divsChild>
                    <w:div w:id="10689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820107">
      <w:bodyDiv w:val="1"/>
      <w:marLeft w:val="0"/>
      <w:marRight w:val="0"/>
      <w:marTop w:val="0"/>
      <w:marBottom w:val="0"/>
      <w:divBdr>
        <w:top w:val="none" w:sz="0" w:space="0" w:color="auto"/>
        <w:left w:val="none" w:sz="0" w:space="0" w:color="auto"/>
        <w:bottom w:val="none" w:sz="0" w:space="0" w:color="auto"/>
        <w:right w:val="none" w:sz="0" w:space="0" w:color="auto"/>
      </w:divBdr>
    </w:div>
    <w:div w:id="395595172">
      <w:bodyDiv w:val="1"/>
      <w:marLeft w:val="0"/>
      <w:marRight w:val="0"/>
      <w:marTop w:val="0"/>
      <w:marBottom w:val="0"/>
      <w:divBdr>
        <w:top w:val="none" w:sz="0" w:space="0" w:color="auto"/>
        <w:left w:val="none" w:sz="0" w:space="0" w:color="auto"/>
        <w:bottom w:val="none" w:sz="0" w:space="0" w:color="auto"/>
        <w:right w:val="none" w:sz="0" w:space="0" w:color="auto"/>
      </w:divBdr>
    </w:div>
    <w:div w:id="400059289">
      <w:bodyDiv w:val="1"/>
      <w:marLeft w:val="0"/>
      <w:marRight w:val="0"/>
      <w:marTop w:val="0"/>
      <w:marBottom w:val="0"/>
      <w:divBdr>
        <w:top w:val="none" w:sz="0" w:space="0" w:color="auto"/>
        <w:left w:val="none" w:sz="0" w:space="0" w:color="auto"/>
        <w:bottom w:val="none" w:sz="0" w:space="0" w:color="auto"/>
        <w:right w:val="none" w:sz="0" w:space="0" w:color="auto"/>
      </w:divBdr>
    </w:div>
    <w:div w:id="400567478">
      <w:bodyDiv w:val="1"/>
      <w:marLeft w:val="0"/>
      <w:marRight w:val="0"/>
      <w:marTop w:val="0"/>
      <w:marBottom w:val="0"/>
      <w:divBdr>
        <w:top w:val="none" w:sz="0" w:space="0" w:color="auto"/>
        <w:left w:val="none" w:sz="0" w:space="0" w:color="auto"/>
        <w:bottom w:val="none" w:sz="0" w:space="0" w:color="auto"/>
        <w:right w:val="none" w:sz="0" w:space="0" w:color="auto"/>
      </w:divBdr>
    </w:div>
    <w:div w:id="406074492">
      <w:bodyDiv w:val="1"/>
      <w:marLeft w:val="0"/>
      <w:marRight w:val="0"/>
      <w:marTop w:val="0"/>
      <w:marBottom w:val="0"/>
      <w:divBdr>
        <w:top w:val="none" w:sz="0" w:space="0" w:color="auto"/>
        <w:left w:val="none" w:sz="0" w:space="0" w:color="auto"/>
        <w:bottom w:val="none" w:sz="0" w:space="0" w:color="auto"/>
        <w:right w:val="none" w:sz="0" w:space="0" w:color="auto"/>
      </w:divBdr>
    </w:div>
    <w:div w:id="406923188">
      <w:bodyDiv w:val="1"/>
      <w:marLeft w:val="0"/>
      <w:marRight w:val="0"/>
      <w:marTop w:val="0"/>
      <w:marBottom w:val="0"/>
      <w:divBdr>
        <w:top w:val="none" w:sz="0" w:space="0" w:color="auto"/>
        <w:left w:val="none" w:sz="0" w:space="0" w:color="auto"/>
        <w:bottom w:val="none" w:sz="0" w:space="0" w:color="auto"/>
        <w:right w:val="none" w:sz="0" w:space="0" w:color="auto"/>
      </w:divBdr>
    </w:div>
    <w:div w:id="411047361">
      <w:bodyDiv w:val="1"/>
      <w:marLeft w:val="0"/>
      <w:marRight w:val="0"/>
      <w:marTop w:val="0"/>
      <w:marBottom w:val="0"/>
      <w:divBdr>
        <w:top w:val="none" w:sz="0" w:space="0" w:color="auto"/>
        <w:left w:val="none" w:sz="0" w:space="0" w:color="auto"/>
        <w:bottom w:val="none" w:sz="0" w:space="0" w:color="auto"/>
        <w:right w:val="none" w:sz="0" w:space="0" w:color="auto"/>
      </w:divBdr>
    </w:div>
    <w:div w:id="425930474">
      <w:bodyDiv w:val="1"/>
      <w:marLeft w:val="0"/>
      <w:marRight w:val="0"/>
      <w:marTop w:val="0"/>
      <w:marBottom w:val="0"/>
      <w:divBdr>
        <w:top w:val="none" w:sz="0" w:space="0" w:color="auto"/>
        <w:left w:val="none" w:sz="0" w:space="0" w:color="auto"/>
        <w:bottom w:val="none" w:sz="0" w:space="0" w:color="auto"/>
        <w:right w:val="none" w:sz="0" w:space="0" w:color="auto"/>
      </w:divBdr>
    </w:div>
    <w:div w:id="436221208">
      <w:bodyDiv w:val="1"/>
      <w:marLeft w:val="0"/>
      <w:marRight w:val="0"/>
      <w:marTop w:val="0"/>
      <w:marBottom w:val="0"/>
      <w:divBdr>
        <w:top w:val="none" w:sz="0" w:space="0" w:color="auto"/>
        <w:left w:val="none" w:sz="0" w:space="0" w:color="auto"/>
        <w:bottom w:val="none" w:sz="0" w:space="0" w:color="auto"/>
        <w:right w:val="none" w:sz="0" w:space="0" w:color="auto"/>
      </w:divBdr>
      <w:divsChild>
        <w:div w:id="590164138">
          <w:marLeft w:val="2850"/>
          <w:marRight w:val="600"/>
          <w:marTop w:val="0"/>
          <w:marBottom w:val="0"/>
          <w:divBdr>
            <w:top w:val="none" w:sz="0" w:space="0" w:color="auto"/>
            <w:left w:val="none" w:sz="0" w:space="0" w:color="auto"/>
            <w:bottom w:val="none" w:sz="0" w:space="0" w:color="auto"/>
            <w:right w:val="none" w:sz="0" w:space="0" w:color="auto"/>
          </w:divBdr>
        </w:div>
        <w:div w:id="801390075">
          <w:marLeft w:val="0"/>
          <w:marRight w:val="0"/>
          <w:marTop w:val="0"/>
          <w:marBottom w:val="0"/>
          <w:divBdr>
            <w:top w:val="none" w:sz="0" w:space="0" w:color="auto"/>
            <w:left w:val="none" w:sz="0" w:space="0" w:color="auto"/>
            <w:bottom w:val="none" w:sz="0" w:space="0" w:color="auto"/>
            <w:right w:val="none" w:sz="0" w:space="0" w:color="auto"/>
          </w:divBdr>
        </w:div>
        <w:div w:id="231045035">
          <w:marLeft w:val="2850"/>
          <w:marRight w:val="600"/>
          <w:marTop w:val="0"/>
          <w:marBottom w:val="0"/>
          <w:divBdr>
            <w:top w:val="none" w:sz="0" w:space="0" w:color="auto"/>
            <w:left w:val="none" w:sz="0" w:space="0" w:color="auto"/>
            <w:bottom w:val="none" w:sz="0" w:space="0" w:color="auto"/>
            <w:right w:val="none" w:sz="0" w:space="0" w:color="auto"/>
          </w:divBdr>
          <w:divsChild>
            <w:div w:id="1350179762">
              <w:marLeft w:val="0"/>
              <w:marRight w:val="0"/>
              <w:marTop w:val="0"/>
              <w:marBottom w:val="0"/>
              <w:divBdr>
                <w:top w:val="none" w:sz="0" w:space="0" w:color="auto"/>
                <w:left w:val="none" w:sz="0" w:space="0" w:color="auto"/>
                <w:bottom w:val="none" w:sz="0" w:space="0" w:color="auto"/>
                <w:right w:val="none" w:sz="0" w:space="0" w:color="auto"/>
              </w:divBdr>
            </w:div>
            <w:div w:id="183902665">
              <w:marLeft w:val="0"/>
              <w:marRight w:val="0"/>
              <w:marTop w:val="0"/>
              <w:marBottom w:val="0"/>
              <w:divBdr>
                <w:top w:val="none" w:sz="0" w:space="0" w:color="auto"/>
                <w:left w:val="none" w:sz="0" w:space="0" w:color="auto"/>
                <w:bottom w:val="none" w:sz="0" w:space="0" w:color="auto"/>
                <w:right w:val="none" w:sz="0" w:space="0" w:color="auto"/>
              </w:divBdr>
            </w:div>
            <w:div w:id="876504790">
              <w:marLeft w:val="0"/>
              <w:marRight w:val="0"/>
              <w:marTop w:val="0"/>
              <w:marBottom w:val="0"/>
              <w:divBdr>
                <w:top w:val="none" w:sz="0" w:space="0" w:color="auto"/>
                <w:left w:val="none" w:sz="0" w:space="0" w:color="auto"/>
                <w:bottom w:val="none" w:sz="0" w:space="0" w:color="auto"/>
                <w:right w:val="none" w:sz="0" w:space="0" w:color="auto"/>
              </w:divBdr>
            </w:div>
            <w:div w:id="1435903276">
              <w:marLeft w:val="0"/>
              <w:marRight w:val="600"/>
              <w:marTop w:val="0"/>
              <w:marBottom w:val="0"/>
              <w:divBdr>
                <w:top w:val="none" w:sz="0" w:space="0" w:color="auto"/>
                <w:left w:val="none" w:sz="0" w:space="0" w:color="auto"/>
                <w:bottom w:val="none" w:sz="0" w:space="0" w:color="auto"/>
                <w:right w:val="none" w:sz="0" w:space="0" w:color="auto"/>
              </w:divBdr>
            </w:div>
          </w:divsChild>
        </w:div>
      </w:divsChild>
    </w:div>
    <w:div w:id="438912289">
      <w:bodyDiv w:val="1"/>
      <w:marLeft w:val="0"/>
      <w:marRight w:val="0"/>
      <w:marTop w:val="0"/>
      <w:marBottom w:val="0"/>
      <w:divBdr>
        <w:top w:val="none" w:sz="0" w:space="0" w:color="auto"/>
        <w:left w:val="none" w:sz="0" w:space="0" w:color="auto"/>
        <w:bottom w:val="none" w:sz="0" w:space="0" w:color="auto"/>
        <w:right w:val="none" w:sz="0" w:space="0" w:color="auto"/>
      </w:divBdr>
    </w:div>
    <w:div w:id="443574294">
      <w:bodyDiv w:val="1"/>
      <w:marLeft w:val="0"/>
      <w:marRight w:val="0"/>
      <w:marTop w:val="0"/>
      <w:marBottom w:val="0"/>
      <w:divBdr>
        <w:top w:val="none" w:sz="0" w:space="0" w:color="auto"/>
        <w:left w:val="none" w:sz="0" w:space="0" w:color="auto"/>
        <w:bottom w:val="none" w:sz="0" w:space="0" w:color="auto"/>
        <w:right w:val="none" w:sz="0" w:space="0" w:color="auto"/>
      </w:divBdr>
    </w:div>
    <w:div w:id="446320366">
      <w:bodyDiv w:val="1"/>
      <w:marLeft w:val="300"/>
      <w:marRight w:val="150"/>
      <w:marTop w:val="150"/>
      <w:marBottom w:val="150"/>
      <w:divBdr>
        <w:top w:val="none" w:sz="0" w:space="0" w:color="auto"/>
        <w:left w:val="none" w:sz="0" w:space="0" w:color="auto"/>
        <w:bottom w:val="none" w:sz="0" w:space="0" w:color="auto"/>
        <w:right w:val="none" w:sz="0" w:space="0" w:color="auto"/>
      </w:divBdr>
      <w:divsChild>
        <w:div w:id="1220629889">
          <w:marLeft w:val="0"/>
          <w:marRight w:val="0"/>
          <w:marTop w:val="0"/>
          <w:marBottom w:val="0"/>
          <w:divBdr>
            <w:top w:val="none" w:sz="0" w:space="0" w:color="auto"/>
            <w:left w:val="none" w:sz="0" w:space="0" w:color="auto"/>
            <w:bottom w:val="none" w:sz="0" w:space="0" w:color="auto"/>
            <w:right w:val="none" w:sz="0" w:space="0" w:color="auto"/>
          </w:divBdr>
          <w:divsChild>
            <w:div w:id="1892228707">
              <w:marLeft w:val="0"/>
              <w:marRight w:val="0"/>
              <w:marTop w:val="0"/>
              <w:marBottom w:val="0"/>
              <w:divBdr>
                <w:top w:val="none" w:sz="0" w:space="0" w:color="auto"/>
                <w:left w:val="none" w:sz="0" w:space="0" w:color="auto"/>
                <w:bottom w:val="none" w:sz="0" w:space="0" w:color="auto"/>
                <w:right w:val="none" w:sz="0" w:space="0" w:color="auto"/>
              </w:divBdr>
              <w:divsChild>
                <w:div w:id="433866283">
                  <w:marLeft w:val="0"/>
                  <w:marRight w:val="0"/>
                  <w:marTop w:val="0"/>
                  <w:marBottom w:val="0"/>
                  <w:divBdr>
                    <w:top w:val="none" w:sz="0" w:space="0" w:color="auto"/>
                    <w:left w:val="none" w:sz="0" w:space="0" w:color="auto"/>
                    <w:bottom w:val="none" w:sz="0" w:space="0" w:color="auto"/>
                    <w:right w:val="none" w:sz="0" w:space="0" w:color="auto"/>
                  </w:divBdr>
                  <w:divsChild>
                    <w:div w:id="1088385780">
                      <w:marLeft w:val="0"/>
                      <w:marRight w:val="0"/>
                      <w:marTop w:val="0"/>
                      <w:marBottom w:val="0"/>
                      <w:divBdr>
                        <w:top w:val="none" w:sz="0" w:space="0" w:color="auto"/>
                        <w:left w:val="none" w:sz="0" w:space="0" w:color="auto"/>
                        <w:bottom w:val="none" w:sz="0" w:space="0" w:color="auto"/>
                        <w:right w:val="none" w:sz="0" w:space="0" w:color="auto"/>
                      </w:divBdr>
                      <w:divsChild>
                        <w:div w:id="75748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6458461">
      <w:bodyDiv w:val="1"/>
      <w:marLeft w:val="0"/>
      <w:marRight w:val="0"/>
      <w:marTop w:val="0"/>
      <w:marBottom w:val="0"/>
      <w:divBdr>
        <w:top w:val="none" w:sz="0" w:space="0" w:color="auto"/>
        <w:left w:val="none" w:sz="0" w:space="0" w:color="auto"/>
        <w:bottom w:val="none" w:sz="0" w:space="0" w:color="auto"/>
        <w:right w:val="none" w:sz="0" w:space="0" w:color="auto"/>
      </w:divBdr>
    </w:div>
    <w:div w:id="457377065">
      <w:bodyDiv w:val="1"/>
      <w:marLeft w:val="0"/>
      <w:marRight w:val="0"/>
      <w:marTop w:val="0"/>
      <w:marBottom w:val="0"/>
      <w:divBdr>
        <w:top w:val="none" w:sz="0" w:space="0" w:color="auto"/>
        <w:left w:val="none" w:sz="0" w:space="0" w:color="auto"/>
        <w:bottom w:val="none" w:sz="0" w:space="0" w:color="auto"/>
        <w:right w:val="none" w:sz="0" w:space="0" w:color="auto"/>
      </w:divBdr>
      <w:divsChild>
        <w:div w:id="1834835665">
          <w:marLeft w:val="0"/>
          <w:marRight w:val="0"/>
          <w:marTop w:val="0"/>
          <w:marBottom w:val="0"/>
          <w:divBdr>
            <w:top w:val="none" w:sz="0" w:space="0" w:color="auto"/>
            <w:left w:val="none" w:sz="0" w:space="0" w:color="auto"/>
            <w:bottom w:val="none" w:sz="0" w:space="0" w:color="auto"/>
            <w:right w:val="none" w:sz="0" w:space="0" w:color="auto"/>
          </w:divBdr>
        </w:div>
      </w:divsChild>
    </w:div>
    <w:div w:id="466320180">
      <w:bodyDiv w:val="1"/>
      <w:marLeft w:val="0"/>
      <w:marRight w:val="0"/>
      <w:marTop w:val="0"/>
      <w:marBottom w:val="0"/>
      <w:divBdr>
        <w:top w:val="none" w:sz="0" w:space="0" w:color="auto"/>
        <w:left w:val="none" w:sz="0" w:space="0" w:color="auto"/>
        <w:bottom w:val="none" w:sz="0" w:space="0" w:color="auto"/>
        <w:right w:val="none" w:sz="0" w:space="0" w:color="auto"/>
      </w:divBdr>
    </w:div>
    <w:div w:id="473908087">
      <w:bodyDiv w:val="1"/>
      <w:marLeft w:val="0"/>
      <w:marRight w:val="0"/>
      <w:marTop w:val="0"/>
      <w:marBottom w:val="0"/>
      <w:divBdr>
        <w:top w:val="none" w:sz="0" w:space="0" w:color="auto"/>
        <w:left w:val="none" w:sz="0" w:space="0" w:color="auto"/>
        <w:bottom w:val="none" w:sz="0" w:space="0" w:color="auto"/>
        <w:right w:val="none" w:sz="0" w:space="0" w:color="auto"/>
      </w:divBdr>
      <w:divsChild>
        <w:div w:id="766926255">
          <w:marLeft w:val="0"/>
          <w:marRight w:val="0"/>
          <w:marTop w:val="0"/>
          <w:marBottom w:val="0"/>
          <w:divBdr>
            <w:top w:val="none" w:sz="0" w:space="0" w:color="auto"/>
            <w:left w:val="none" w:sz="0" w:space="0" w:color="auto"/>
            <w:bottom w:val="none" w:sz="0" w:space="0" w:color="auto"/>
            <w:right w:val="none" w:sz="0" w:space="0" w:color="auto"/>
          </w:divBdr>
          <w:divsChild>
            <w:div w:id="78427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567554">
      <w:bodyDiv w:val="1"/>
      <w:marLeft w:val="0"/>
      <w:marRight w:val="0"/>
      <w:marTop w:val="0"/>
      <w:marBottom w:val="0"/>
      <w:divBdr>
        <w:top w:val="none" w:sz="0" w:space="0" w:color="auto"/>
        <w:left w:val="none" w:sz="0" w:space="0" w:color="auto"/>
        <w:bottom w:val="none" w:sz="0" w:space="0" w:color="auto"/>
        <w:right w:val="none" w:sz="0" w:space="0" w:color="auto"/>
      </w:divBdr>
    </w:div>
    <w:div w:id="479736139">
      <w:bodyDiv w:val="1"/>
      <w:marLeft w:val="0"/>
      <w:marRight w:val="0"/>
      <w:marTop w:val="0"/>
      <w:marBottom w:val="0"/>
      <w:divBdr>
        <w:top w:val="none" w:sz="0" w:space="0" w:color="auto"/>
        <w:left w:val="none" w:sz="0" w:space="0" w:color="auto"/>
        <w:bottom w:val="none" w:sz="0" w:space="0" w:color="auto"/>
        <w:right w:val="none" w:sz="0" w:space="0" w:color="auto"/>
      </w:divBdr>
    </w:div>
    <w:div w:id="485895784">
      <w:bodyDiv w:val="1"/>
      <w:marLeft w:val="0"/>
      <w:marRight w:val="0"/>
      <w:marTop w:val="0"/>
      <w:marBottom w:val="0"/>
      <w:divBdr>
        <w:top w:val="none" w:sz="0" w:space="0" w:color="auto"/>
        <w:left w:val="none" w:sz="0" w:space="0" w:color="auto"/>
        <w:bottom w:val="none" w:sz="0" w:space="0" w:color="auto"/>
        <w:right w:val="none" w:sz="0" w:space="0" w:color="auto"/>
      </w:divBdr>
    </w:div>
    <w:div w:id="488711657">
      <w:bodyDiv w:val="1"/>
      <w:marLeft w:val="0"/>
      <w:marRight w:val="0"/>
      <w:marTop w:val="0"/>
      <w:marBottom w:val="0"/>
      <w:divBdr>
        <w:top w:val="none" w:sz="0" w:space="0" w:color="auto"/>
        <w:left w:val="none" w:sz="0" w:space="0" w:color="auto"/>
        <w:bottom w:val="none" w:sz="0" w:space="0" w:color="auto"/>
        <w:right w:val="none" w:sz="0" w:space="0" w:color="auto"/>
      </w:divBdr>
    </w:div>
    <w:div w:id="491412399">
      <w:bodyDiv w:val="1"/>
      <w:marLeft w:val="0"/>
      <w:marRight w:val="0"/>
      <w:marTop w:val="0"/>
      <w:marBottom w:val="0"/>
      <w:divBdr>
        <w:top w:val="none" w:sz="0" w:space="0" w:color="auto"/>
        <w:left w:val="none" w:sz="0" w:space="0" w:color="auto"/>
        <w:bottom w:val="none" w:sz="0" w:space="0" w:color="auto"/>
        <w:right w:val="none" w:sz="0" w:space="0" w:color="auto"/>
      </w:divBdr>
      <w:divsChild>
        <w:div w:id="741219374">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494880932">
      <w:bodyDiv w:val="1"/>
      <w:marLeft w:val="0"/>
      <w:marRight w:val="0"/>
      <w:marTop w:val="0"/>
      <w:marBottom w:val="0"/>
      <w:divBdr>
        <w:top w:val="none" w:sz="0" w:space="0" w:color="auto"/>
        <w:left w:val="none" w:sz="0" w:space="0" w:color="auto"/>
        <w:bottom w:val="none" w:sz="0" w:space="0" w:color="auto"/>
        <w:right w:val="none" w:sz="0" w:space="0" w:color="auto"/>
      </w:divBdr>
      <w:divsChild>
        <w:div w:id="1559628615">
          <w:marLeft w:val="0"/>
          <w:marRight w:val="0"/>
          <w:marTop w:val="0"/>
          <w:marBottom w:val="0"/>
          <w:divBdr>
            <w:top w:val="none" w:sz="0" w:space="0" w:color="auto"/>
            <w:left w:val="none" w:sz="0" w:space="0" w:color="auto"/>
            <w:bottom w:val="none" w:sz="0" w:space="0" w:color="auto"/>
            <w:right w:val="none" w:sz="0" w:space="0" w:color="auto"/>
          </w:divBdr>
        </w:div>
      </w:divsChild>
    </w:div>
    <w:div w:id="501432888">
      <w:bodyDiv w:val="1"/>
      <w:marLeft w:val="0"/>
      <w:marRight w:val="0"/>
      <w:marTop w:val="0"/>
      <w:marBottom w:val="0"/>
      <w:divBdr>
        <w:top w:val="none" w:sz="0" w:space="0" w:color="auto"/>
        <w:left w:val="none" w:sz="0" w:space="0" w:color="auto"/>
        <w:bottom w:val="none" w:sz="0" w:space="0" w:color="auto"/>
        <w:right w:val="none" w:sz="0" w:space="0" w:color="auto"/>
      </w:divBdr>
    </w:div>
    <w:div w:id="513543417">
      <w:bodyDiv w:val="1"/>
      <w:marLeft w:val="0"/>
      <w:marRight w:val="0"/>
      <w:marTop w:val="0"/>
      <w:marBottom w:val="0"/>
      <w:divBdr>
        <w:top w:val="none" w:sz="0" w:space="0" w:color="auto"/>
        <w:left w:val="none" w:sz="0" w:space="0" w:color="auto"/>
        <w:bottom w:val="none" w:sz="0" w:space="0" w:color="auto"/>
        <w:right w:val="none" w:sz="0" w:space="0" w:color="auto"/>
      </w:divBdr>
      <w:divsChild>
        <w:div w:id="911043472">
          <w:marLeft w:val="0"/>
          <w:marRight w:val="0"/>
          <w:marTop w:val="0"/>
          <w:marBottom w:val="0"/>
          <w:divBdr>
            <w:top w:val="none" w:sz="0" w:space="0" w:color="auto"/>
            <w:left w:val="none" w:sz="0" w:space="0" w:color="auto"/>
            <w:bottom w:val="none" w:sz="0" w:space="0" w:color="auto"/>
            <w:right w:val="none" w:sz="0" w:space="0" w:color="auto"/>
          </w:divBdr>
          <w:divsChild>
            <w:div w:id="193150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855134">
      <w:bodyDiv w:val="1"/>
      <w:marLeft w:val="0"/>
      <w:marRight w:val="0"/>
      <w:marTop w:val="0"/>
      <w:marBottom w:val="0"/>
      <w:divBdr>
        <w:top w:val="none" w:sz="0" w:space="0" w:color="auto"/>
        <w:left w:val="none" w:sz="0" w:space="0" w:color="auto"/>
        <w:bottom w:val="none" w:sz="0" w:space="0" w:color="auto"/>
        <w:right w:val="none" w:sz="0" w:space="0" w:color="auto"/>
      </w:divBdr>
    </w:div>
    <w:div w:id="559219926">
      <w:bodyDiv w:val="1"/>
      <w:marLeft w:val="0"/>
      <w:marRight w:val="0"/>
      <w:marTop w:val="0"/>
      <w:marBottom w:val="0"/>
      <w:divBdr>
        <w:top w:val="none" w:sz="0" w:space="0" w:color="auto"/>
        <w:left w:val="none" w:sz="0" w:space="0" w:color="auto"/>
        <w:bottom w:val="none" w:sz="0" w:space="0" w:color="auto"/>
        <w:right w:val="none" w:sz="0" w:space="0" w:color="auto"/>
      </w:divBdr>
    </w:div>
    <w:div w:id="560798943">
      <w:bodyDiv w:val="1"/>
      <w:marLeft w:val="0"/>
      <w:marRight w:val="0"/>
      <w:marTop w:val="0"/>
      <w:marBottom w:val="0"/>
      <w:divBdr>
        <w:top w:val="none" w:sz="0" w:space="0" w:color="auto"/>
        <w:left w:val="none" w:sz="0" w:space="0" w:color="auto"/>
        <w:bottom w:val="none" w:sz="0" w:space="0" w:color="auto"/>
        <w:right w:val="none" w:sz="0" w:space="0" w:color="auto"/>
      </w:divBdr>
      <w:divsChild>
        <w:div w:id="374626808">
          <w:marLeft w:val="0"/>
          <w:marRight w:val="0"/>
          <w:marTop w:val="0"/>
          <w:marBottom w:val="0"/>
          <w:divBdr>
            <w:top w:val="none" w:sz="0" w:space="0" w:color="auto"/>
            <w:left w:val="none" w:sz="0" w:space="0" w:color="auto"/>
            <w:bottom w:val="none" w:sz="0" w:space="0" w:color="auto"/>
            <w:right w:val="none" w:sz="0" w:space="0" w:color="auto"/>
          </w:divBdr>
        </w:div>
      </w:divsChild>
    </w:div>
    <w:div w:id="564030554">
      <w:bodyDiv w:val="1"/>
      <w:marLeft w:val="0"/>
      <w:marRight w:val="0"/>
      <w:marTop w:val="0"/>
      <w:marBottom w:val="0"/>
      <w:divBdr>
        <w:top w:val="none" w:sz="0" w:space="0" w:color="auto"/>
        <w:left w:val="none" w:sz="0" w:space="0" w:color="auto"/>
        <w:bottom w:val="none" w:sz="0" w:space="0" w:color="auto"/>
        <w:right w:val="none" w:sz="0" w:space="0" w:color="auto"/>
      </w:divBdr>
    </w:div>
    <w:div w:id="565073513">
      <w:bodyDiv w:val="1"/>
      <w:marLeft w:val="0"/>
      <w:marRight w:val="0"/>
      <w:marTop w:val="0"/>
      <w:marBottom w:val="0"/>
      <w:divBdr>
        <w:top w:val="none" w:sz="0" w:space="0" w:color="auto"/>
        <w:left w:val="none" w:sz="0" w:space="0" w:color="auto"/>
        <w:bottom w:val="none" w:sz="0" w:space="0" w:color="auto"/>
        <w:right w:val="none" w:sz="0" w:space="0" w:color="auto"/>
      </w:divBdr>
      <w:divsChild>
        <w:div w:id="46296205">
          <w:marLeft w:val="0"/>
          <w:marRight w:val="0"/>
          <w:marTop w:val="245"/>
          <w:marBottom w:val="43"/>
          <w:divBdr>
            <w:top w:val="single" w:sz="4" w:space="0" w:color="DDDDDD"/>
            <w:left w:val="none" w:sz="0" w:space="0" w:color="auto"/>
            <w:bottom w:val="single" w:sz="4" w:space="0" w:color="EEEEEE"/>
            <w:right w:val="none" w:sz="0" w:space="0" w:color="auto"/>
          </w:divBdr>
        </w:div>
        <w:div w:id="141629106">
          <w:marLeft w:val="0"/>
          <w:marRight w:val="0"/>
          <w:marTop w:val="43"/>
          <w:marBottom w:val="43"/>
          <w:divBdr>
            <w:top w:val="single" w:sz="4" w:space="0" w:color="auto"/>
            <w:left w:val="none" w:sz="0" w:space="0" w:color="auto"/>
            <w:bottom w:val="single" w:sz="4" w:space="0" w:color="auto"/>
            <w:right w:val="none" w:sz="0" w:space="0" w:color="auto"/>
          </w:divBdr>
        </w:div>
        <w:div w:id="145561439">
          <w:marLeft w:val="0"/>
          <w:marRight w:val="0"/>
          <w:marTop w:val="43"/>
          <w:marBottom w:val="43"/>
          <w:divBdr>
            <w:top w:val="single" w:sz="4" w:space="0" w:color="auto"/>
            <w:left w:val="none" w:sz="0" w:space="0" w:color="auto"/>
            <w:bottom w:val="single" w:sz="4" w:space="0" w:color="auto"/>
            <w:right w:val="none" w:sz="0" w:space="0" w:color="auto"/>
          </w:divBdr>
        </w:div>
        <w:div w:id="546334452">
          <w:marLeft w:val="0"/>
          <w:marRight w:val="0"/>
          <w:marTop w:val="43"/>
          <w:marBottom w:val="43"/>
          <w:divBdr>
            <w:top w:val="single" w:sz="4" w:space="0" w:color="auto"/>
            <w:left w:val="none" w:sz="0" w:space="0" w:color="auto"/>
            <w:bottom w:val="single" w:sz="4" w:space="0" w:color="auto"/>
            <w:right w:val="none" w:sz="0" w:space="0" w:color="auto"/>
          </w:divBdr>
        </w:div>
        <w:div w:id="815687165">
          <w:marLeft w:val="0"/>
          <w:marRight w:val="0"/>
          <w:marTop w:val="43"/>
          <w:marBottom w:val="43"/>
          <w:divBdr>
            <w:top w:val="single" w:sz="4" w:space="0" w:color="auto"/>
            <w:left w:val="none" w:sz="0" w:space="0" w:color="auto"/>
            <w:bottom w:val="single" w:sz="4" w:space="0" w:color="auto"/>
            <w:right w:val="none" w:sz="0" w:space="0" w:color="auto"/>
          </w:divBdr>
        </w:div>
        <w:div w:id="822544881">
          <w:marLeft w:val="0"/>
          <w:marRight w:val="0"/>
          <w:marTop w:val="43"/>
          <w:marBottom w:val="43"/>
          <w:divBdr>
            <w:top w:val="single" w:sz="4" w:space="0" w:color="auto"/>
            <w:left w:val="none" w:sz="0" w:space="0" w:color="auto"/>
            <w:bottom w:val="single" w:sz="4" w:space="0" w:color="auto"/>
            <w:right w:val="none" w:sz="0" w:space="0" w:color="auto"/>
          </w:divBdr>
        </w:div>
        <w:div w:id="930433512">
          <w:marLeft w:val="0"/>
          <w:marRight w:val="0"/>
          <w:marTop w:val="43"/>
          <w:marBottom w:val="43"/>
          <w:divBdr>
            <w:top w:val="single" w:sz="4" w:space="0" w:color="auto"/>
            <w:left w:val="none" w:sz="0" w:space="0" w:color="auto"/>
            <w:bottom w:val="single" w:sz="4" w:space="0" w:color="auto"/>
            <w:right w:val="none" w:sz="0" w:space="0" w:color="auto"/>
          </w:divBdr>
        </w:div>
        <w:div w:id="958535149">
          <w:marLeft w:val="0"/>
          <w:marRight w:val="0"/>
          <w:marTop w:val="43"/>
          <w:marBottom w:val="43"/>
          <w:divBdr>
            <w:top w:val="single" w:sz="4" w:space="0" w:color="auto"/>
            <w:left w:val="none" w:sz="0" w:space="0" w:color="auto"/>
            <w:bottom w:val="single" w:sz="4" w:space="0" w:color="auto"/>
            <w:right w:val="none" w:sz="0" w:space="0" w:color="auto"/>
          </w:divBdr>
        </w:div>
        <w:div w:id="1249727277">
          <w:marLeft w:val="0"/>
          <w:marRight w:val="0"/>
          <w:marTop w:val="43"/>
          <w:marBottom w:val="43"/>
          <w:divBdr>
            <w:top w:val="single" w:sz="4" w:space="0" w:color="auto"/>
            <w:left w:val="none" w:sz="0" w:space="0" w:color="auto"/>
            <w:bottom w:val="single" w:sz="4" w:space="0" w:color="auto"/>
            <w:right w:val="none" w:sz="0" w:space="0" w:color="auto"/>
          </w:divBdr>
        </w:div>
        <w:div w:id="1518108415">
          <w:marLeft w:val="0"/>
          <w:marRight w:val="0"/>
          <w:marTop w:val="43"/>
          <w:marBottom w:val="43"/>
          <w:divBdr>
            <w:top w:val="single" w:sz="4" w:space="0" w:color="auto"/>
            <w:left w:val="none" w:sz="0" w:space="0" w:color="auto"/>
            <w:bottom w:val="single" w:sz="4" w:space="0" w:color="auto"/>
            <w:right w:val="none" w:sz="0" w:space="0" w:color="auto"/>
          </w:divBdr>
        </w:div>
        <w:div w:id="1792893096">
          <w:marLeft w:val="0"/>
          <w:marRight w:val="0"/>
          <w:marTop w:val="43"/>
          <w:marBottom w:val="43"/>
          <w:divBdr>
            <w:top w:val="single" w:sz="4" w:space="0" w:color="auto"/>
            <w:left w:val="none" w:sz="0" w:space="0" w:color="auto"/>
            <w:bottom w:val="single" w:sz="4" w:space="0" w:color="auto"/>
            <w:right w:val="none" w:sz="0" w:space="0" w:color="auto"/>
          </w:divBdr>
        </w:div>
        <w:div w:id="1943106295">
          <w:marLeft w:val="0"/>
          <w:marRight w:val="0"/>
          <w:marTop w:val="43"/>
          <w:marBottom w:val="43"/>
          <w:divBdr>
            <w:top w:val="single" w:sz="4" w:space="0" w:color="auto"/>
            <w:left w:val="none" w:sz="0" w:space="0" w:color="auto"/>
            <w:bottom w:val="single" w:sz="4" w:space="0" w:color="auto"/>
            <w:right w:val="none" w:sz="0" w:space="0" w:color="auto"/>
          </w:divBdr>
        </w:div>
        <w:div w:id="1968000015">
          <w:marLeft w:val="0"/>
          <w:marRight w:val="0"/>
          <w:marTop w:val="43"/>
          <w:marBottom w:val="43"/>
          <w:divBdr>
            <w:top w:val="single" w:sz="4" w:space="0" w:color="auto"/>
            <w:left w:val="none" w:sz="0" w:space="0" w:color="auto"/>
            <w:bottom w:val="single" w:sz="4" w:space="0" w:color="auto"/>
            <w:right w:val="none" w:sz="0" w:space="0" w:color="auto"/>
          </w:divBdr>
        </w:div>
        <w:div w:id="2077586236">
          <w:marLeft w:val="0"/>
          <w:marRight w:val="0"/>
          <w:marTop w:val="43"/>
          <w:marBottom w:val="43"/>
          <w:divBdr>
            <w:top w:val="single" w:sz="4" w:space="0" w:color="auto"/>
            <w:left w:val="none" w:sz="0" w:space="0" w:color="auto"/>
            <w:bottom w:val="single" w:sz="4" w:space="0" w:color="auto"/>
            <w:right w:val="none" w:sz="0" w:space="0" w:color="auto"/>
          </w:divBdr>
        </w:div>
      </w:divsChild>
    </w:div>
    <w:div w:id="584463785">
      <w:bodyDiv w:val="1"/>
      <w:marLeft w:val="0"/>
      <w:marRight w:val="0"/>
      <w:marTop w:val="0"/>
      <w:marBottom w:val="450"/>
      <w:divBdr>
        <w:top w:val="none" w:sz="0" w:space="0" w:color="auto"/>
        <w:left w:val="none" w:sz="0" w:space="0" w:color="auto"/>
        <w:bottom w:val="none" w:sz="0" w:space="0" w:color="auto"/>
        <w:right w:val="none" w:sz="0" w:space="0" w:color="auto"/>
      </w:divBdr>
      <w:divsChild>
        <w:div w:id="1429036670">
          <w:marLeft w:val="0"/>
          <w:marRight w:val="0"/>
          <w:marTop w:val="100"/>
          <w:marBottom w:val="100"/>
          <w:divBdr>
            <w:top w:val="none" w:sz="0" w:space="0" w:color="auto"/>
            <w:left w:val="none" w:sz="0" w:space="0" w:color="auto"/>
            <w:bottom w:val="none" w:sz="0" w:space="0" w:color="auto"/>
            <w:right w:val="none" w:sz="0" w:space="0" w:color="auto"/>
          </w:divBdr>
          <w:divsChild>
            <w:div w:id="1354498097">
              <w:marLeft w:val="0"/>
              <w:marRight w:val="0"/>
              <w:marTop w:val="0"/>
              <w:marBottom w:val="0"/>
              <w:divBdr>
                <w:top w:val="none" w:sz="0" w:space="0" w:color="auto"/>
                <w:left w:val="none" w:sz="0" w:space="0" w:color="auto"/>
                <w:bottom w:val="none" w:sz="0" w:space="0" w:color="auto"/>
                <w:right w:val="none" w:sz="0" w:space="0" w:color="auto"/>
              </w:divBdr>
              <w:divsChild>
                <w:div w:id="524559491">
                  <w:marLeft w:val="300"/>
                  <w:marRight w:val="300"/>
                  <w:marTop w:val="0"/>
                  <w:marBottom w:val="0"/>
                  <w:divBdr>
                    <w:top w:val="none" w:sz="0" w:space="0" w:color="auto"/>
                    <w:left w:val="none" w:sz="0" w:space="0" w:color="auto"/>
                    <w:bottom w:val="none" w:sz="0" w:space="0" w:color="auto"/>
                    <w:right w:val="none" w:sz="0" w:space="0" w:color="auto"/>
                  </w:divBdr>
                  <w:divsChild>
                    <w:div w:id="1710836722">
                      <w:marLeft w:val="0"/>
                      <w:marRight w:val="0"/>
                      <w:marTop w:val="0"/>
                      <w:marBottom w:val="0"/>
                      <w:divBdr>
                        <w:top w:val="none" w:sz="0" w:space="0" w:color="auto"/>
                        <w:left w:val="none" w:sz="0" w:space="0" w:color="auto"/>
                        <w:bottom w:val="none" w:sz="0" w:space="0" w:color="auto"/>
                        <w:right w:val="none" w:sz="0" w:space="0" w:color="auto"/>
                      </w:divBdr>
                      <w:divsChild>
                        <w:div w:id="981233000">
                          <w:marLeft w:val="0"/>
                          <w:marRight w:val="0"/>
                          <w:marTop w:val="0"/>
                          <w:marBottom w:val="0"/>
                          <w:divBdr>
                            <w:top w:val="none" w:sz="0" w:space="0" w:color="auto"/>
                            <w:left w:val="none" w:sz="0" w:space="0" w:color="auto"/>
                            <w:bottom w:val="none" w:sz="0" w:space="0" w:color="auto"/>
                            <w:right w:val="none" w:sz="0" w:space="0" w:color="auto"/>
                          </w:divBdr>
                          <w:divsChild>
                            <w:div w:id="134493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1015859">
      <w:bodyDiv w:val="1"/>
      <w:marLeft w:val="0"/>
      <w:marRight w:val="0"/>
      <w:marTop w:val="0"/>
      <w:marBottom w:val="0"/>
      <w:divBdr>
        <w:top w:val="none" w:sz="0" w:space="0" w:color="auto"/>
        <w:left w:val="none" w:sz="0" w:space="0" w:color="auto"/>
        <w:bottom w:val="none" w:sz="0" w:space="0" w:color="auto"/>
        <w:right w:val="none" w:sz="0" w:space="0" w:color="auto"/>
      </w:divBdr>
      <w:divsChild>
        <w:div w:id="1800995838">
          <w:marLeft w:val="0"/>
          <w:marRight w:val="0"/>
          <w:marTop w:val="0"/>
          <w:marBottom w:val="0"/>
          <w:divBdr>
            <w:top w:val="none" w:sz="0" w:space="0" w:color="auto"/>
            <w:left w:val="none" w:sz="0" w:space="0" w:color="auto"/>
            <w:bottom w:val="none" w:sz="0" w:space="0" w:color="auto"/>
            <w:right w:val="none" w:sz="0" w:space="0" w:color="auto"/>
          </w:divBdr>
          <w:divsChild>
            <w:div w:id="492185982">
              <w:marLeft w:val="0"/>
              <w:marRight w:val="0"/>
              <w:marTop w:val="0"/>
              <w:marBottom w:val="0"/>
              <w:divBdr>
                <w:top w:val="single" w:sz="2" w:space="0" w:color="FFFFFF"/>
                <w:left w:val="single" w:sz="6" w:space="0" w:color="FFFFFF"/>
                <w:bottom w:val="single" w:sz="6" w:space="0" w:color="FFFFFF"/>
                <w:right w:val="single" w:sz="6" w:space="0" w:color="FFFFFF"/>
              </w:divBdr>
              <w:divsChild>
                <w:div w:id="1006593078">
                  <w:marLeft w:val="0"/>
                  <w:marRight w:val="0"/>
                  <w:marTop w:val="0"/>
                  <w:marBottom w:val="0"/>
                  <w:divBdr>
                    <w:top w:val="single" w:sz="6" w:space="1" w:color="D3D3D3"/>
                    <w:left w:val="none" w:sz="0" w:space="0" w:color="auto"/>
                    <w:bottom w:val="none" w:sz="0" w:space="0" w:color="auto"/>
                    <w:right w:val="none" w:sz="0" w:space="0" w:color="auto"/>
                  </w:divBdr>
                  <w:divsChild>
                    <w:div w:id="75559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685313">
      <w:bodyDiv w:val="1"/>
      <w:marLeft w:val="0"/>
      <w:marRight w:val="0"/>
      <w:marTop w:val="0"/>
      <w:marBottom w:val="0"/>
      <w:divBdr>
        <w:top w:val="none" w:sz="0" w:space="0" w:color="auto"/>
        <w:left w:val="none" w:sz="0" w:space="0" w:color="auto"/>
        <w:bottom w:val="none" w:sz="0" w:space="0" w:color="auto"/>
        <w:right w:val="none" w:sz="0" w:space="0" w:color="auto"/>
      </w:divBdr>
    </w:div>
    <w:div w:id="605700245">
      <w:bodyDiv w:val="1"/>
      <w:marLeft w:val="0"/>
      <w:marRight w:val="0"/>
      <w:marTop w:val="0"/>
      <w:marBottom w:val="0"/>
      <w:divBdr>
        <w:top w:val="none" w:sz="0" w:space="0" w:color="auto"/>
        <w:left w:val="none" w:sz="0" w:space="0" w:color="auto"/>
        <w:bottom w:val="none" w:sz="0" w:space="0" w:color="auto"/>
        <w:right w:val="none" w:sz="0" w:space="0" w:color="auto"/>
      </w:divBdr>
    </w:div>
    <w:div w:id="607125547">
      <w:bodyDiv w:val="1"/>
      <w:marLeft w:val="0"/>
      <w:marRight w:val="0"/>
      <w:marTop w:val="0"/>
      <w:marBottom w:val="0"/>
      <w:divBdr>
        <w:top w:val="none" w:sz="0" w:space="0" w:color="auto"/>
        <w:left w:val="none" w:sz="0" w:space="0" w:color="auto"/>
        <w:bottom w:val="none" w:sz="0" w:space="0" w:color="auto"/>
        <w:right w:val="none" w:sz="0" w:space="0" w:color="auto"/>
      </w:divBdr>
      <w:divsChild>
        <w:div w:id="2106152263">
          <w:marLeft w:val="0"/>
          <w:marRight w:val="0"/>
          <w:marTop w:val="0"/>
          <w:marBottom w:val="0"/>
          <w:divBdr>
            <w:top w:val="none" w:sz="0" w:space="0" w:color="auto"/>
            <w:left w:val="none" w:sz="0" w:space="0" w:color="auto"/>
            <w:bottom w:val="none" w:sz="0" w:space="0" w:color="auto"/>
            <w:right w:val="none" w:sz="0" w:space="0" w:color="auto"/>
          </w:divBdr>
          <w:divsChild>
            <w:div w:id="988053012">
              <w:marLeft w:val="0"/>
              <w:marRight w:val="0"/>
              <w:marTop w:val="0"/>
              <w:marBottom w:val="0"/>
              <w:divBdr>
                <w:top w:val="none" w:sz="0" w:space="0" w:color="auto"/>
                <w:left w:val="none" w:sz="0" w:space="0" w:color="auto"/>
                <w:bottom w:val="none" w:sz="0" w:space="0" w:color="auto"/>
                <w:right w:val="none" w:sz="0" w:space="0" w:color="auto"/>
              </w:divBdr>
              <w:divsChild>
                <w:div w:id="1810122255">
                  <w:marLeft w:val="0"/>
                  <w:marRight w:val="0"/>
                  <w:marTop w:val="0"/>
                  <w:marBottom w:val="0"/>
                  <w:divBdr>
                    <w:top w:val="none" w:sz="0" w:space="0" w:color="auto"/>
                    <w:left w:val="none" w:sz="0" w:space="0" w:color="auto"/>
                    <w:bottom w:val="none" w:sz="0" w:space="0" w:color="auto"/>
                    <w:right w:val="none" w:sz="0" w:space="0" w:color="auto"/>
                  </w:divBdr>
                  <w:divsChild>
                    <w:div w:id="1968268461">
                      <w:marLeft w:val="0"/>
                      <w:marRight w:val="0"/>
                      <w:marTop w:val="0"/>
                      <w:marBottom w:val="0"/>
                      <w:divBdr>
                        <w:top w:val="none" w:sz="0" w:space="0" w:color="auto"/>
                        <w:left w:val="none" w:sz="0" w:space="0" w:color="auto"/>
                        <w:bottom w:val="none" w:sz="0" w:space="0" w:color="auto"/>
                        <w:right w:val="none" w:sz="0" w:space="0" w:color="auto"/>
                      </w:divBdr>
                      <w:divsChild>
                        <w:div w:id="936062001">
                          <w:marLeft w:val="0"/>
                          <w:marRight w:val="0"/>
                          <w:marTop w:val="0"/>
                          <w:marBottom w:val="0"/>
                          <w:divBdr>
                            <w:top w:val="none" w:sz="0" w:space="0" w:color="auto"/>
                            <w:left w:val="none" w:sz="0" w:space="0" w:color="auto"/>
                            <w:bottom w:val="none" w:sz="0" w:space="0" w:color="auto"/>
                            <w:right w:val="none" w:sz="0" w:space="0" w:color="auto"/>
                          </w:divBdr>
                          <w:divsChild>
                            <w:div w:id="1382637606">
                              <w:marLeft w:val="0"/>
                              <w:marRight w:val="0"/>
                              <w:marTop w:val="0"/>
                              <w:marBottom w:val="0"/>
                              <w:divBdr>
                                <w:top w:val="none" w:sz="0" w:space="0" w:color="auto"/>
                                <w:left w:val="none" w:sz="0" w:space="0" w:color="auto"/>
                                <w:bottom w:val="none" w:sz="0" w:space="0" w:color="auto"/>
                                <w:right w:val="none" w:sz="0" w:space="0" w:color="auto"/>
                              </w:divBdr>
                              <w:divsChild>
                                <w:div w:id="1765611947">
                                  <w:marLeft w:val="0"/>
                                  <w:marRight w:val="0"/>
                                  <w:marTop w:val="0"/>
                                  <w:marBottom w:val="0"/>
                                  <w:divBdr>
                                    <w:top w:val="none" w:sz="0" w:space="0" w:color="auto"/>
                                    <w:left w:val="none" w:sz="0" w:space="0" w:color="auto"/>
                                    <w:bottom w:val="none" w:sz="0" w:space="0" w:color="auto"/>
                                    <w:right w:val="none" w:sz="0" w:space="0" w:color="auto"/>
                                  </w:divBdr>
                                  <w:divsChild>
                                    <w:div w:id="1721245727">
                                      <w:marLeft w:val="0"/>
                                      <w:marRight w:val="0"/>
                                      <w:marTop w:val="0"/>
                                      <w:marBottom w:val="0"/>
                                      <w:divBdr>
                                        <w:top w:val="none" w:sz="0" w:space="0" w:color="auto"/>
                                        <w:left w:val="none" w:sz="0" w:space="0" w:color="auto"/>
                                        <w:bottom w:val="none" w:sz="0" w:space="0" w:color="auto"/>
                                        <w:right w:val="none" w:sz="0" w:space="0" w:color="auto"/>
                                      </w:divBdr>
                                      <w:divsChild>
                                        <w:div w:id="2065180867">
                                          <w:marLeft w:val="0"/>
                                          <w:marRight w:val="0"/>
                                          <w:marTop w:val="0"/>
                                          <w:marBottom w:val="0"/>
                                          <w:divBdr>
                                            <w:top w:val="none" w:sz="0" w:space="0" w:color="auto"/>
                                            <w:left w:val="none" w:sz="0" w:space="0" w:color="auto"/>
                                            <w:bottom w:val="none" w:sz="0" w:space="0" w:color="auto"/>
                                            <w:right w:val="none" w:sz="0" w:space="0" w:color="auto"/>
                                          </w:divBdr>
                                          <w:divsChild>
                                            <w:div w:id="765686535">
                                              <w:marLeft w:val="0"/>
                                              <w:marRight w:val="0"/>
                                              <w:marTop w:val="0"/>
                                              <w:marBottom w:val="0"/>
                                              <w:divBdr>
                                                <w:top w:val="none" w:sz="0" w:space="0" w:color="auto"/>
                                                <w:left w:val="none" w:sz="0" w:space="0" w:color="auto"/>
                                                <w:bottom w:val="none" w:sz="0" w:space="0" w:color="auto"/>
                                                <w:right w:val="none" w:sz="0" w:space="0" w:color="auto"/>
                                              </w:divBdr>
                                              <w:divsChild>
                                                <w:div w:id="1571888418">
                                                  <w:marLeft w:val="0"/>
                                                  <w:marRight w:val="0"/>
                                                  <w:marTop w:val="0"/>
                                                  <w:marBottom w:val="0"/>
                                                  <w:divBdr>
                                                    <w:top w:val="none" w:sz="0" w:space="0" w:color="auto"/>
                                                    <w:left w:val="none" w:sz="0" w:space="0" w:color="auto"/>
                                                    <w:bottom w:val="none" w:sz="0" w:space="0" w:color="auto"/>
                                                    <w:right w:val="none" w:sz="0" w:space="0" w:color="auto"/>
                                                  </w:divBdr>
                                                  <w:divsChild>
                                                    <w:div w:id="52266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08781638">
      <w:bodyDiv w:val="1"/>
      <w:marLeft w:val="0"/>
      <w:marRight w:val="0"/>
      <w:marTop w:val="0"/>
      <w:marBottom w:val="0"/>
      <w:divBdr>
        <w:top w:val="none" w:sz="0" w:space="0" w:color="auto"/>
        <w:left w:val="none" w:sz="0" w:space="0" w:color="auto"/>
        <w:bottom w:val="none" w:sz="0" w:space="0" w:color="auto"/>
        <w:right w:val="none" w:sz="0" w:space="0" w:color="auto"/>
      </w:divBdr>
    </w:div>
    <w:div w:id="610011229">
      <w:bodyDiv w:val="1"/>
      <w:marLeft w:val="0"/>
      <w:marRight w:val="0"/>
      <w:marTop w:val="0"/>
      <w:marBottom w:val="0"/>
      <w:divBdr>
        <w:top w:val="none" w:sz="0" w:space="0" w:color="auto"/>
        <w:left w:val="none" w:sz="0" w:space="0" w:color="auto"/>
        <w:bottom w:val="none" w:sz="0" w:space="0" w:color="auto"/>
        <w:right w:val="none" w:sz="0" w:space="0" w:color="auto"/>
      </w:divBdr>
    </w:div>
    <w:div w:id="620501311">
      <w:bodyDiv w:val="1"/>
      <w:marLeft w:val="0"/>
      <w:marRight w:val="0"/>
      <w:marTop w:val="0"/>
      <w:marBottom w:val="0"/>
      <w:divBdr>
        <w:top w:val="none" w:sz="0" w:space="0" w:color="auto"/>
        <w:left w:val="none" w:sz="0" w:space="0" w:color="auto"/>
        <w:bottom w:val="none" w:sz="0" w:space="0" w:color="auto"/>
        <w:right w:val="none" w:sz="0" w:space="0" w:color="auto"/>
      </w:divBdr>
    </w:div>
    <w:div w:id="626932555">
      <w:bodyDiv w:val="1"/>
      <w:marLeft w:val="0"/>
      <w:marRight w:val="0"/>
      <w:marTop w:val="0"/>
      <w:marBottom w:val="0"/>
      <w:divBdr>
        <w:top w:val="none" w:sz="0" w:space="0" w:color="auto"/>
        <w:left w:val="none" w:sz="0" w:space="0" w:color="auto"/>
        <w:bottom w:val="none" w:sz="0" w:space="0" w:color="auto"/>
        <w:right w:val="none" w:sz="0" w:space="0" w:color="auto"/>
      </w:divBdr>
    </w:div>
    <w:div w:id="629281628">
      <w:bodyDiv w:val="1"/>
      <w:marLeft w:val="0"/>
      <w:marRight w:val="0"/>
      <w:marTop w:val="0"/>
      <w:marBottom w:val="0"/>
      <w:divBdr>
        <w:top w:val="none" w:sz="0" w:space="0" w:color="auto"/>
        <w:left w:val="none" w:sz="0" w:space="0" w:color="auto"/>
        <w:bottom w:val="none" w:sz="0" w:space="0" w:color="auto"/>
        <w:right w:val="none" w:sz="0" w:space="0" w:color="auto"/>
      </w:divBdr>
    </w:div>
    <w:div w:id="629941162">
      <w:bodyDiv w:val="1"/>
      <w:marLeft w:val="0"/>
      <w:marRight w:val="0"/>
      <w:marTop w:val="0"/>
      <w:marBottom w:val="0"/>
      <w:divBdr>
        <w:top w:val="none" w:sz="0" w:space="0" w:color="auto"/>
        <w:left w:val="none" w:sz="0" w:space="0" w:color="auto"/>
        <w:bottom w:val="none" w:sz="0" w:space="0" w:color="auto"/>
        <w:right w:val="none" w:sz="0" w:space="0" w:color="auto"/>
      </w:divBdr>
    </w:div>
    <w:div w:id="634868314">
      <w:bodyDiv w:val="1"/>
      <w:marLeft w:val="0"/>
      <w:marRight w:val="0"/>
      <w:marTop w:val="0"/>
      <w:marBottom w:val="0"/>
      <w:divBdr>
        <w:top w:val="none" w:sz="0" w:space="0" w:color="auto"/>
        <w:left w:val="none" w:sz="0" w:space="0" w:color="auto"/>
        <w:bottom w:val="none" w:sz="0" w:space="0" w:color="auto"/>
        <w:right w:val="none" w:sz="0" w:space="0" w:color="auto"/>
      </w:divBdr>
    </w:div>
    <w:div w:id="637690463">
      <w:bodyDiv w:val="1"/>
      <w:marLeft w:val="0"/>
      <w:marRight w:val="0"/>
      <w:marTop w:val="0"/>
      <w:marBottom w:val="0"/>
      <w:divBdr>
        <w:top w:val="none" w:sz="0" w:space="0" w:color="auto"/>
        <w:left w:val="none" w:sz="0" w:space="0" w:color="auto"/>
        <w:bottom w:val="none" w:sz="0" w:space="0" w:color="auto"/>
        <w:right w:val="none" w:sz="0" w:space="0" w:color="auto"/>
      </w:divBdr>
      <w:divsChild>
        <w:div w:id="869224011">
          <w:marLeft w:val="0"/>
          <w:marRight w:val="0"/>
          <w:marTop w:val="0"/>
          <w:marBottom w:val="0"/>
          <w:divBdr>
            <w:top w:val="none" w:sz="0" w:space="0" w:color="auto"/>
            <w:left w:val="none" w:sz="0" w:space="0" w:color="auto"/>
            <w:bottom w:val="none" w:sz="0" w:space="0" w:color="auto"/>
            <w:right w:val="none" w:sz="0" w:space="0" w:color="auto"/>
          </w:divBdr>
        </w:div>
      </w:divsChild>
    </w:div>
    <w:div w:id="649673577">
      <w:bodyDiv w:val="1"/>
      <w:marLeft w:val="0"/>
      <w:marRight w:val="0"/>
      <w:marTop w:val="0"/>
      <w:marBottom w:val="0"/>
      <w:divBdr>
        <w:top w:val="none" w:sz="0" w:space="0" w:color="auto"/>
        <w:left w:val="none" w:sz="0" w:space="0" w:color="auto"/>
        <w:bottom w:val="none" w:sz="0" w:space="0" w:color="auto"/>
        <w:right w:val="none" w:sz="0" w:space="0" w:color="auto"/>
      </w:divBdr>
      <w:divsChild>
        <w:div w:id="88234425">
          <w:marLeft w:val="0"/>
          <w:marRight w:val="0"/>
          <w:marTop w:val="0"/>
          <w:marBottom w:val="0"/>
          <w:divBdr>
            <w:top w:val="none" w:sz="0" w:space="0" w:color="auto"/>
            <w:left w:val="none" w:sz="0" w:space="0" w:color="auto"/>
            <w:bottom w:val="none" w:sz="0" w:space="0" w:color="auto"/>
            <w:right w:val="none" w:sz="0" w:space="0" w:color="auto"/>
          </w:divBdr>
          <w:divsChild>
            <w:div w:id="1177573735">
              <w:marLeft w:val="0"/>
              <w:marRight w:val="0"/>
              <w:marTop w:val="0"/>
              <w:marBottom w:val="0"/>
              <w:divBdr>
                <w:top w:val="none" w:sz="0" w:space="0" w:color="auto"/>
                <w:left w:val="none" w:sz="0" w:space="0" w:color="auto"/>
                <w:bottom w:val="none" w:sz="0" w:space="0" w:color="auto"/>
                <w:right w:val="none" w:sz="0" w:space="0" w:color="auto"/>
              </w:divBdr>
            </w:div>
            <w:div w:id="1423720386">
              <w:marLeft w:val="0"/>
              <w:marRight w:val="0"/>
              <w:marTop w:val="0"/>
              <w:marBottom w:val="0"/>
              <w:divBdr>
                <w:top w:val="none" w:sz="0" w:space="0" w:color="auto"/>
                <w:left w:val="none" w:sz="0" w:space="0" w:color="auto"/>
                <w:bottom w:val="none" w:sz="0" w:space="0" w:color="auto"/>
                <w:right w:val="none" w:sz="0" w:space="0" w:color="auto"/>
              </w:divBdr>
            </w:div>
          </w:divsChild>
        </w:div>
        <w:div w:id="539782797">
          <w:marLeft w:val="0"/>
          <w:marRight w:val="0"/>
          <w:marTop w:val="0"/>
          <w:marBottom w:val="0"/>
          <w:divBdr>
            <w:top w:val="none" w:sz="0" w:space="0" w:color="auto"/>
            <w:left w:val="none" w:sz="0" w:space="0" w:color="auto"/>
            <w:bottom w:val="none" w:sz="0" w:space="0" w:color="auto"/>
            <w:right w:val="none" w:sz="0" w:space="0" w:color="auto"/>
          </w:divBdr>
          <w:divsChild>
            <w:div w:id="732965550">
              <w:marLeft w:val="0"/>
              <w:marRight w:val="0"/>
              <w:marTop w:val="0"/>
              <w:marBottom w:val="0"/>
              <w:divBdr>
                <w:top w:val="none" w:sz="0" w:space="0" w:color="auto"/>
                <w:left w:val="none" w:sz="0" w:space="0" w:color="auto"/>
                <w:bottom w:val="none" w:sz="0" w:space="0" w:color="auto"/>
                <w:right w:val="none" w:sz="0" w:space="0" w:color="auto"/>
              </w:divBdr>
              <w:divsChild>
                <w:div w:id="449401189">
                  <w:marLeft w:val="0"/>
                  <w:marRight w:val="0"/>
                  <w:marTop w:val="0"/>
                  <w:marBottom w:val="0"/>
                  <w:divBdr>
                    <w:top w:val="none" w:sz="0" w:space="0" w:color="auto"/>
                    <w:left w:val="none" w:sz="0" w:space="0" w:color="auto"/>
                    <w:bottom w:val="none" w:sz="0" w:space="0" w:color="auto"/>
                    <w:right w:val="none" w:sz="0" w:space="0" w:color="auto"/>
                  </w:divBdr>
                </w:div>
                <w:div w:id="677346897">
                  <w:marLeft w:val="0"/>
                  <w:marRight w:val="0"/>
                  <w:marTop w:val="0"/>
                  <w:marBottom w:val="0"/>
                  <w:divBdr>
                    <w:top w:val="none" w:sz="0" w:space="0" w:color="auto"/>
                    <w:left w:val="none" w:sz="0" w:space="0" w:color="auto"/>
                    <w:bottom w:val="none" w:sz="0" w:space="0" w:color="auto"/>
                    <w:right w:val="none" w:sz="0" w:space="0" w:color="auto"/>
                  </w:divBdr>
                </w:div>
                <w:div w:id="2131239522">
                  <w:marLeft w:val="0"/>
                  <w:marRight w:val="0"/>
                  <w:marTop w:val="0"/>
                  <w:marBottom w:val="0"/>
                  <w:divBdr>
                    <w:top w:val="none" w:sz="0" w:space="0" w:color="auto"/>
                    <w:left w:val="none" w:sz="0" w:space="0" w:color="auto"/>
                    <w:bottom w:val="none" w:sz="0" w:space="0" w:color="auto"/>
                    <w:right w:val="none" w:sz="0" w:space="0" w:color="auto"/>
                  </w:divBdr>
                </w:div>
              </w:divsChild>
            </w:div>
            <w:div w:id="1591239024">
              <w:marLeft w:val="0"/>
              <w:marRight w:val="0"/>
              <w:marTop w:val="0"/>
              <w:marBottom w:val="0"/>
              <w:divBdr>
                <w:top w:val="none" w:sz="0" w:space="0" w:color="auto"/>
                <w:left w:val="none" w:sz="0" w:space="0" w:color="auto"/>
                <w:bottom w:val="none" w:sz="0" w:space="0" w:color="auto"/>
                <w:right w:val="none" w:sz="0" w:space="0" w:color="auto"/>
              </w:divBdr>
            </w:div>
          </w:divsChild>
        </w:div>
        <w:div w:id="690767488">
          <w:marLeft w:val="0"/>
          <w:marRight w:val="0"/>
          <w:marTop w:val="0"/>
          <w:marBottom w:val="0"/>
          <w:divBdr>
            <w:top w:val="none" w:sz="0" w:space="0" w:color="auto"/>
            <w:left w:val="none" w:sz="0" w:space="0" w:color="auto"/>
            <w:bottom w:val="none" w:sz="0" w:space="0" w:color="auto"/>
            <w:right w:val="none" w:sz="0" w:space="0" w:color="auto"/>
          </w:divBdr>
        </w:div>
        <w:div w:id="926185725">
          <w:marLeft w:val="0"/>
          <w:marRight w:val="0"/>
          <w:marTop w:val="0"/>
          <w:marBottom w:val="0"/>
          <w:divBdr>
            <w:top w:val="none" w:sz="0" w:space="0" w:color="auto"/>
            <w:left w:val="none" w:sz="0" w:space="0" w:color="auto"/>
            <w:bottom w:val="none" w:sz="0" w:space="0" w:color="auto"/>
            <w:right w:val="none" w:sz="0" w:space="0" w:color="auto"/>
          </w:divBdr>
        </w:div>
        <w:div w:id="1698316394">
          <w:marLeft w:val="0"/>
          <w:marRight w:val="0"/>
          <w:marTop w:val="0"/>
          <w:marBottom w:val="0"/>
          <w:divBdr>
            <w:top w:val="none" w:sz="0" w:space="0" w:color="auto"/>
            <w:left w:val="none" w:sz="0" w:space="0" w:color="auto"/>
            <w:bottom w:val="none" w:sz="0" w:space="0" w:color="auto"/>
            <w:right w:val="none" w:sz="0" w:space="0" w:color="auto"/>
          </w:divBdr>
          <w:divsChild>
            <w:div w:id="131291971">
              <w:marLeft w:val="0"/>
              <w:marRight w:val="0"/>
              <w:marTop w:val="0"/>
              <w:marBottom w:val="0"/>
              <w:divBdr>
                <w:top w:val="none" w:sz="0" w:space="0" w:color="auto"/>
                <w:left w:val="none" w:sz="0" w:space="0" w:color="auto"/>
                <w:bottom w:val="none" w:sz="0" w:space="0" w:color="auto"/>
                <w:right w:val="none" w:sz="0" w:space="0" w:color="auto"/>
              </w:divBdr>
            </w:div>
            <w:div w:id="347365133">
              <w:marLeft w:val="0"/>
              <w:marRight w:val="0"/>
              <w:marTop w:val="0"/>
              <w:marBottom w:val="0"/>
              <w:divBdr>
                <w:top w:val="none" w:sz="0" w:space="0" w:color="auto"/>
                <w:left w:val="none" w:sz="0" w:space="0" w:color="auto"/>
                <w:bottom w:val="none" w:sz="0" w:space="0" w:color="auto"/>
                <w:right w:val="none" w:sz="0" w:space="0" w:color="auto"/>
              </w:divBdr>
            </w:div>
            <w:div w:id="377511904">
              <w:marLeft w:val="0"/>
              <w:marRight w:val="0"/>
              <w:marTop w:val="0"/>
              <w:marBottom w:val="0"/>
              <w:divBdr>
                <w:top w:val="none" w:sz="0" w:space="0" w:color="auto"/>
                <w:left w:val="none" w:sz="0" w:space="0" w:color="auto"/>
                <w:bottom w:val="none" w:sz="0" w:space="0" w:color="auto"/>
                <w:right w:val="none" w:sz="0" w:space="0" w:color="auto"/>
              </w:divBdr>
            </w:div>
            <w:div w:id="431316522">
              <w:marLeft w:val="0"/>
              <w:marRight w:val="0"/>
              <w:marTop w:val="0"/>
              <w:marBottom w:val="0"/>
              <w:divBdr>
                <w:top w:val="none" w:sz="0" w:space="0" w:color="auto"/>
                <w:left w:val="none" w:sz="0" w:space="0" w:color="auto"/>
                <w:bottom w:val="none" w:sz="0" w:space="0" w:color="auto"/>
                <w:right w:val="none" w:sz="0" w:space="0" w:color="auto"/>
              </w:divBdr>
            </w:div>
            <w:div w:id="443381990">
              <w:marLeft w:val="0"/>
              <w:marRight w:val="0"/>
              <w:marTop w:val="0"/>
              <w:marBottom w:val="0"/>
              <w:divBdr>
                <w:top w:val="none" w:sz="0" w:space="0" w:color="auto"/>
                <w:left w:val="none" w:sz="0" w:space="0" w:color="auto"/>
                <w:bottom w:val="none" w:sz="0" w:space="0" w:color="auto"/>
                <w:right w:val="none" w:sz="0" w:space="0" w:color="auto"/>
              </w:divBdr>
              <w:divsChild>
                <w:div w:id="8068014">
                  <w:marLeft w:val="0"/>
                  <w:marRight w:val="0"/>
                  <w:marTop w:val="0"/>
                  <w:marBottom w:val="0"/>
                  <w:divBdr>
                    <w:top w:val="none" w:sz="0" w:space="0" w:color="auto"/>
                    <w:left w:val="none" w:sz="0" w:space="0" w:color="auto"/>
                    <w:bottom w:val="none" w:sz="0" w:space="0" w:color="auto"/>
                    <w:right w:val="none" w:sz="0" w:space="0" w:color="auto"/>
                  </w:divBdr>
                </w:div>
                <w:div w:id="8414749">
                  <w:marLeft w:val="0"/>
                  <w:marRight w:val="0"/>
                  <w:marTop w:val="0"/>
                  <w:marBottom w:val="0"/>
                  <w:divBdr>
                    <w:top w:val="none" w:sz="0" w:space="0" w:color="auto"/>
                    <w:left w:val="none" w:sz="0" w:space="0" w:color="auto"/>
                    <w:bottom w:val="none" w:sz="0" w:space="0" w:color="auto"/>
                    <w:right w:val="none" w:sz="0" w:space="0" w:color="auto"/>
                  </w:divBdr>
                </w:div>
                <w:div w:id="1524636654">
                  <w:marLeft w:val="0"/>
                  <w:marRight w:val="0"/>
                  <w:marTop w:val="0"/>
                  <w:marBottom w:val="0"/>
                  <w:divBdr>
                    <w:top w:val="none" w:sz="0" w:space="0" w:color="auto"/>
                    <w:left w:val="none" w:sz="0" w:space="0" w:color="auto"/>
                    <w:bottom w:val="none" w:sz="0" w:space="0" w:color="auto"/>
                    <w:right w:val="none" w:sz="0" w:space="0" w:color="auto"/>
                  </w:divBdr>
                </w:div>
              </w:divsChild>
            </w:div>
            <w:div w:id="522937079">
              <w:marLeft w:val="0"/>
              <w:marRight w:val="0"/>
              <w:marTop w:val="0"/>
              <w:marBottom w:val="0"/>
              <w:divBdr>
                <w:top w:val="none" w:sz="0" w:space="0" w:color="auto"/>
                <w:left w:val="none" w:sz="0" w:space="0" w:color="auto"/>
                <w:bottom w:val="none" w:sz="0" w:space="0" w:color="auto"/>
                <w:right w:val="none" w:sz="0" w:space="0" w:color="auto"/>
              </w:divBdr>
            </w:div>
            <w:div w:id="570580647">
              <w:marLeft w:val="0"/>
              <w:marRight w:val="0"/>
              <w:marTop w:val="0"/>
              <w:marBottom w:val="0"/>
              <w:divBdr>
                <w:top w:val="none" w:sz="0" w:space="0" w:color="auto"/>
                <w:left w:val="none" w:sz="0" w:space="0" w:color="auto"/>
                <w:bottom w:val="none" w:sz="0" w:space="0" w:color="auto"/>
                <w:right w:val="none" w:sz="0" w:space="0" w:color="auto"/>
              </w:divBdr>
            </w:div>
            <w:div w:id="688874986">
              <w:marLeft w:val="0"/>
              <w:marRight w:val="0"/>
              <w:marTop w:val="0"/>
              <w:marBottom w:val="0"/>
              <w:divBdr>
                <w:top w:val="none" w:sz="0" w:space="0" w:color="auto"/>
                <w:left w:val="none" w:sz="0" w:space="0" w:color="auto"/>
                <w:bottom w:val="none" w:sz="0" w:space="0" w:color="auto"/>
                <w:right w:val="none" w:sz="0" w:space="0" w:color="auto"/>
              </w:divBdr>
            </w:div>
            <w:div w:id="739062924">
              <w:marLeft w:val="0"/>
              <w:marRight w:val="0"/>
              <w:marTop w:val="0"/>
              <w:marBottom w:val="0"/>
              <w:divBdr>
                <w:top w:val="none" w:sz="0" w:space="0" w:color="auto"/>
                <w:left w:val="none" w:sz="0" w:space="0" w:color="auto"/>
                <w:bottom w:val="none" w:sz="0" w:space="0" w:color="auto"/>
                <w:right w:val="none" w:sz="0" w:space="0" w:color="auto"/>
              </w:divBdr>
            </w:div>
            <w:div w:id="772824803">
              <w:marLeft w:val="0"/>
              <w:marRight w:val="0"/>
              <w:marTop w:val="0"/>
              <w:marBottom w:val="0"/>
              <w:divBdr>
                <w:top w:val="none" w:sz="0" w:space="0" w:color="auto"/>
                <w:left w:val="none" w:sz="0" w:space="0" w:color="auto"/>
                <w:bottom w:val="none" w:sz="0" w:space="0" w:color="auto"/>
                <w:right w:val="none" w:sz="0" w:space="0" w:color="auto"/>
              </w:divBdr>
            </w:div>
            <w:div w:id="796292063">
              <w:marLeft w:val="0"/>
              <w:marRight w:val="0"/>
              <w:marTop w:val="0"/>
              <w:marBottom w:val="0"/>
              <w:divBdr>
                <w:top w:val="none" w:sz="0" w:space="0" w:color="auto"/>
                <w:left w:val="none" w:sz="0" w:space="0" w:color="auto"/>
                <w:bottom w:val="none" w:sz="0" w:space="0" w:color="auto"/>
                <w:right w:val="none" w:sz="0" w:space="0" w:color="auto"/>
              </w:divBdr>
              <w:divsChild>
                <w:div w:id="335765363">
                  <w:marLeft w:val="0"/>
                  <w:marRight w:val="0"/>
                  <w:marTop w:val="0"/>
                  <w:marBottom w:val="0"/>
                  <w:divBdr>
                    <w:top w:val="none" w:sz="0" w:space="0" w:color="auto"/>
                    <w:left w:val="none" w:sz="0" w:space="0" w:color="auto"/>
                    <w:bottom w:val="none" w:sz="0" w:space="0" w:color="auto"/>
                    <w:right w:val="none" w:sz="0" w:space="0" w:color="auto"/>
                  </w:divBdr>
                  <w:divsChild>
                    <w:div w:id="139465212">
                      <w:marLeft w:val="0"/>
                      <w:marRight w:val="0"/>
                      <w:marTop w:val="0"/>
                      <w:marBottom w:val="0"/>
                      <w:divBdr>
                        <w:top w:val="none" w:sz="0" w:space="0" w:color="auto"/>
                        <w:left w:val="none" w:sz="0" w:space="0" w:color="auto"/>
                        <w:bottom w:val="none" w:sz="0" w:space="0" w:color="auto"/>
                        <w:right w:val="none" w:sz="0" w:space="0" w:color="auto"/>
                      </w:divBdr>
                    </w:div>
                    <w:div w:id="258220210">
                      <w:marLeft w:val="0"/>
                      <w:marRight w:val="0"/>
                      <w:marTop w:val="0"/>
                      <w:marBottom w:val="0"/>
                      <w:divBdr>
                        <w:top w:val="none" w:sz="0" w:space="0" w:color="auto"/>
                        <w:left w:val="none" w:sz="0" w:space="0" w:color="auto"/>
                        <w:bottom w:val="none" w:sz="0" w:space="0" w:color="auto"/>
                        <w:right w:val="none" w:sz="0" w:space="0" w:color="auto"/>
                      </w:divBdr>
                    </w:div>
                    <w:div w:id="1871675001">
                      <w:marLeft w:val="0"/>
                      <w:marRight w:val="0"/>
                      <w:marTop w:val="0"/>
                      <w:marBottom w:val="0"/>
                      <w:divBdr>
                        <w:top w:val="none" w:sz="0" w:space="0" w:color="auto"/>
                        <w:left w:val="none" w:sz="0" w:space="0" w:color="auto"/>
                        <w:bottom w:val="none" w:sz="0" w:space="0" w:color="auto"/>
                        <w:right w:val="none" w:sz="0" w:space="0" w:color="auto"/>
                      </w:divBdr>
                    </w:div>
                    <w:div w:id="1960718847">
                      <w:marLeft w:val="0"/>
                      <w:marRight w:val="0"/>
                      <w:marTop w:val="0"/>
                      <w:marBottom w:val="0"/>
                      <w:divBdr>
                        <w:top w:val="none" w:sz="0" w:space="0" w:color="auto"/>
                        <w:left w:val="none" w:sz="0" w:space="0" w:color="auto"/>
                        <w:bottom w:val="none" w:sz="0" w:space="0" w:color="auto"/>
                        <w:right w:val="none" w:sz="0" w:space="0" w:color="auto"/>
                      </w:divBdr>
                    </w:div>
                  </w:divsChild>
                </w:div>
                <w:div w:id="336275848">
                  <w:marLeft w:val="0"/>
                  <w:marRight w:val="0"/>
                  <w:marTop w:val="0"/>
                  <w:marBottom w:val="0"/>
                  <w:divBdr>
                    <w:top w:val="none" w:sz="0" w:space="0" w:color="auto"/>
                    <w:left w:val="none" w:sz="0" w:space="0" w:color="auto"/>
                    <w:bottom w:val="none" w:sz="0" w:space="0" w:color="auto"/>
                    <w:right w:val="none" w:sz="0" w:space="0" w:color="auto"/>
                  </w:divBdr>
                </w:div>
                <w:div w:id="352222262">
                  <w:marLeft w:val="0"/>
                  <w:marRight w:val="0"/>
                  <w:marTop w:val="0"/>
                  <w:marBottom w:val="0"/>
                  <w:divBdr>
                    <w:top w:val="none" w:sz="0" w:space="0" w:color="auto"/>
                    <w:left w:val="none" w:sz="0" w:space="0" w:color="auto"/>
                    <w:bottom w:val="none" w:sz="0" w:space="0" w:color="auto"/>
                    <w:right w:val="none" w:sz="0" w:space="0" w:color="auto"/>
                  </w:divBdr>
                  <w:divsChild>
                    <w:div w:id="560988504">
                      <w:marLeft w:val="0"/>
                      <w:marRight w:val="0"/>
                      <w:marTop w:val="0"/>
                      <w:marBottom w:val="0"/>
                      <w:divBdr>
                        <w:top w:val="none" w:sz="0" w:space="0" w:color="auto"/>
                        <w:left w:val="none" w:sz="0" w:space="0" w:color="auto"/>
                        <w:bottom w:val="none" w:sz="0" w:space="0" w:color="auto"/>
                        <w:right w:val="none" w:sz="0" w:space="0" w:color="auto"/>
                      </w:divBdr>
                      <w:divsChild>
                        <w:div w:id="998070978">
                          <w:marLeft w:val="0"/>
                          <w:marRight w:val="0"/>
                          <w:marTop w:val="0"/>
                          <w:marBottom w:val="0"/>
                          <w:divBdr>
                            <w:top w:val="none" w:sz="0" w:space="0" w:color="auto"/>
                            <w:left w:val="none" w:sz="0" w:space="0" w:color="auto"/>
                            <w:bottom w:val="none" w:sz="0" w:space="0" w:color="auto"/>
                            <w:right w:val="none" w:sz="0" w:space="0" w:color="auto"/>
                          </w:divBdr>
                        </w:div>
                        <w:div w:id="1659771967">
                          <w:marLeft w:val="0"/>
                          <w:marRight w:val="0"/>
                          <w:marTop w:val="0"/>
                          <w:marBottom w:val="0"/>
                          <w:divBdr>
                            <w:top w:val="none" w:sz="0" w:space="0" w:color="auto"/>
                            <w:left w:val="none" w:sz="0" w:space="0" w:color="auto"/>
                            <w:bottom w:val="none" w:sz="0" w:space="0" w:color="auto"/>
                            <w:right w:val="none" w:sz="0" w:space="0" w:color="auto"/>
                          </w:divBdr>
                        </w:div>
                      </w:divsChild>
                    </w:div>
                    <w:div w:id="937328147">
                      <w:marLeft w:val="0"/>
                      <w:marRight w:val="0"/>
                      <w:marTop w:val="0"/>
                      <w:marBottom w:val="0"/>
                      <w:divBdr>
                        <w:top w:val="none" w:sz="0" w:space="0" w:color="auto"/>
                        <w:left w:val="none" w:sz="0" w:space="0" w:color="auto"/>
                        <w:bottom w:val="none" w:sz="0" w:space="0" w:color="auto"/>
                        <w:right w:val="none" w:sz="0" w:space="0" w:color="auto"/>
                      </w:divBdr>
                      <w:divsChild>
                        <w:div w:id="179711117">
                          <w:marLeft w:val="0"/>
                          <w:marRight w:val="0"/>
                          <w:marTop w:val="0"/>
                          <w:marBottom w:val="0"/>
                          <w:divBdr>
                            <w:top w:val="none" w:sz="0" w:space="0" w:color="auto"/>
                            <w:left w:val="none" w:sz="0" w:space="0" w:color="auto"/>
                            <w:bottom w:val="none" w:sz="0" w:space="0" w:color="auto"/>
                            <w:right w:val="none" w:sz="0" w:space="0" w:color="auto"/>
                          </w:divBdr>
                        </w:div>
                        <w:div w:id="556360606">
                          <w:marLeft w:val="0"/>
                          <w:marRight w:val="0"/>
                          <w:marTop w:val="0"/>
                          <w:marBottom w:val="0"/>
                          <w:divBdr>
                            <w:top w:val="none" w:sz="0" w:space="0" w:color="auto"/>
                            <w:left w:val="none" w:sz="0" w:space="0" w:color="auto"/>
                            <w:bottom w:val="none" w:sz="0" w:space="0" w:color="auto"/>
                            <w:right w:val="none" w:sz="0" w:space="0" w:color="auto"/>
                          </w:divBdr>
                          <w:divsChild>
                            <w:div w:id="506485157">
                              <w:marLeft w:val="0"/>
                              <w:marRight w:val="0"/>
                              <w:marTop w:val="0"/>
                              <w:marBottom w:val="0"/>
                              <w:divBdr>
                                <w:top w:val="none" w:sz="0" w:space="0" w:color="auto"/>
                                <w:left w:val="none" w:sz="0" w:space="0" w:color="auto"/>
                                <w:bottom w:val="none" w:sz="0" w:space="0" w:color="auto"/>
                                <w:right w:val="none" w:sz="0" w:space="0" w:color="auto"/>
                              </w:divBdr>
                            </w:div>
                            <w:div w:id="557865838">
                              <w:marLeft w:val="0"/>
                              <w:marRight w:val="0"/>
                              <w:marTop w:val="0"/>
                              <w:marBottom w:val="0"/>
                              <w:divBdr>
                                <w:top w:val="none" w:sz="0" w:space="0" w:color="auto"/>
                                <w:left w:val="none" w:sz="0" w:space="0" w:color="auto"/>
                                <w:bottom w:val="none" w:sz="0" w:space="0" w:color="auto"/>
                                <w:right w:val="none" w:sz="0" w:space="0" w:color="auto"/>
                              </w:divBdr>
                            </w:div>
                          </w:divsChild>
                        </w:div>
                        <w:div w:id="591209695">
                          <w:marLeft w:val="0"/>
                          <w:marRight w:val="0"/>
                          <w:marTop w:val="0"/>
                          <w:marBottom w:val="0"/>
                          <w:divBdr>
                            <w:top w:val="none" w:sz="0" w:space="0" w:color="auto"/>
                            <w:left w:val="none" w:sz="0" w:space="0" w:color="auto"/>
                            <w:bottom w:val="none" w:sz="0" w:space="0" w:color="auto"/>
                            <w:right w:val="none" w:sz="0" w:space="0" w:color="auto"/>
                          </w:divBdr>
                        </w:div>
                        <w:div w:id="723024273">
                          <w:marLeft w:val="0"/>
                          <w:marRight w:val="0"/>
                          <w:marTop w:val="0"/>
                          <w:marBottom w:val="0"/>
                          <w:divBdr>
                            <w:top w:val="none" w:sz="0" w:space="0" w:color="auto"/>
                            <w:left w:val="none" w:sz="0" w:space="0" w:color="auto"/>
                            <w:bottom w:val="none" w:sz="0" w:space="0" w:color="auto"/>
                            <w:right w:val="none" w:sz="0" w:space="0" w:color="auto"/>
                          </w:divBdr>
                        </w:div>
                        <w:div w:id="738289110">
                          <w:marLeft w:val="0"/>
                          <w:marRight w:val="0"/>
                          <w:marTop w:val="0"/>
                          <w:marBottom w:val="0"/>
                          <w:divBdr>
                            <w:top w:val="none" w:sz="0" w:space="0" w:color="auto"/>
                            <w:left w:val="none" w:sz="0" w:space="0" w:color="auto"/>
                            <w:bottom w:val="none" w:sz="0" w:space="0" w:color="auto"/>
                            <w:right w:val="none" w:sz="0" w:space="0" w:color="auto"/>
                          </w:divBdr>
                        </w:div>
                        <w:div w:id="946892854">
                          <w:marLeft w:val="0"/>
                          <w:marRight w:val="0"/>
                          <w:marTop w:val="0"/>
                          <w:marBottom w:val="0"/>
                          <w:divBdr>
                            <w:top w:val="none" w:sz="0" w:space="0" w:color="auto"/>
                            <w:left w:val="none" w:sz="0" w:space="0" w:color="auto"/>
                            <w:bottom w:val="none" w:sz="0" w:space="0" w:color="auto"/>
                            <w:right w:val="none" w:sz="0" w:space="0" w:color="auto"/>
                          </w:divBdr>
                        </w:div>
                        <w:div w:id="966930350">
                          <w:marLeft w:val="0"/>
                          <w:marRight w:val="0"/>
                          <w:marTop w:val="0"/>
                          <w:marBottom w:val="0"/>
                          <w:divBdr>
                            <w:top w:val="none" w:sz="0" w:space="0" w:color="auto"/>
                            <w:left w:val="none" w:sz="0" w:space="0" w:color="auto"/>
                            <w:bottom w:val="none" w:sz="0" w:space="0" w:color="auto"/>
                            <w:right w:val="none" w:sz="0" w:space="0" w:color="auto"/>
                          </w:divBdr>
                        </w:div>
                        <w:div w:id="1163356258">
                          <w:marLeft w:val="0"/>
                          <w:marRight w:val="0"/>
                          <w:marTop w:val="0"/>
                          <w:marBottom w:val="0"/>
                          <w:divBdr>
                            <w:top w:val="none" w:sz="0" w:space="0" w:color="auto"/>
                            <w:left w:val="none" w:sz="0" w:space="0" w:color="auto"/>
                            <w:bottom w:val="none" w:sz="0" w:space="0" w:color="auto"/>
                            <w:right w:val="none" w:sz="0" w:space="0" w:color="auto"/>
                          </w:divBdr>
                        </w:div>
                        <w:div w:id="1254046265">
                          <w:marLeft w:val="0"/>
                          <w:marRight w:val="0"/>
                          <w:marTop w:val="0"/>
                          <w:marBottom w:val="0"/>
                          <w:divBdr>
                            <w:top w:val="none" w:sz="0" w:space="0" w:color="auto"/>
                            <w:left w:val="none" w:sz="0" w:space="0" w:color="auto"/>
                            <w:bottom w:val="none" w:sz="0" w:space="0" w:color="auto"/>
                            <w:right w:val="none" w:sz="0" w:space="0" w:color="auto"/>
                          </w:divBdr>
                        </w:div>
                        <w:div w:id="1689988496">
                          <w:marLeft w:val="0"/>
                          <w:marRight w:val="0"/>
                          <w:marTop w:val="0"/>
                          <w:marBottom w:val="0"/>
                          <w:divBdr>
                            <w:top w:val="none" w:sz="0" w:space="0" w:color="auto"/>
                            <w:left w:val="none" w:sz="0" w:space="0" w:color="auto"/>
                            <w:bottom w:val="none" w:sz="0" w:space="0" w:color="auto"/>
                            <w:right w:val="none" w:sz="0" w:space="0" w:color="auto"/>
                          </w:divBdr>
                        </w:div>
                        <w:div w:id="1933581492">
                          <w:marLeft w:val="0"/>
                          <w:marRight w:val="0"/>
                          <w:marTop w:val="0"/>
                          <w:marBottom w:val="0"/>
                          <w:divBdr>
                            <w:top w:val="none" w:sz="0" w:space="0" w:color="auto"/>
                            <w:left w:val="none" w:sz="0" w:space="0" w:color="auto"/>
                            <w:bottom w:val="none" w:sz="0" w:space="0" w:color="auto"/>
                            <w:right w:val="none" w:sz="0" w:space="0" w:color="auto"/>
                          </w:divBdr>
                        </w:div>
                        <w:div w:id="204119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502647">
                  <w:marLeft w:val="0"/>
                  <w:marRight w:val="0"/>
                  <w:marTop w:val="0"/>
                  <w:marBottom w:val="0"/>
                  <w:divBdr>
                    <w:top w:val="none" w:sz="0" w:space="0" w:color="auto"/>
                    <w:left w:val="none" w:sz="0" w:space="0" w:color="auto"/>
                    <w:bottom w:val="none" w:sz="0" w:space="0" w:color="auto"/>
                    <w:right w:val="none" w:sz="0" w:space="0" w:color="auto"/>
                  </w:divBdr>
                  <w:divsChild>
                    <w:div w:id="570163334">
                      <w:marLeft w:val="0"/>
                      <w:marRight w:val="0"/>
                      <w:marTop w:val="0"/>
                      <w:marBottom w:val="0"/>
                      <w:divBdr>
                        <w:top w:val="none" w:sz="0" w:space="0" w:color="auto"/>
                        <w:left w:val="none" w:sz="0" w:space="0" w:color="auto"/>
                        <w:bottom w:val="none" w:sz="0" w:space="0" w:color="auto"/>
                        <w:right w:val="none" w:sz="0" w:space="0" w:color="auto"/>
                      </w:divBdr>
                    </w:div>
                    <w:div w:id="656571581">
                      <w:marLeft w:val="0"/>
                      <w:marRight w:val="0"/>
                      <w:marTop w:val="0"/>
                      <w:marBottom w:val="0"/>
                      <w:divBdr>
                        <w:top w:val="none" w:sz="0" w:space="0" w:color="auto"/>
                        <w:left w:val="none" w:sz="0" w:space="0" w:color="auto"/>
                        <w:bottom w:val="none" w:sz="0" w:space="0" w:color="auto"/>
                        <w:right w:val="none" w:sz="0" w:space="0" w:color="auto"/>
                      </w:divBdr>
                    </w:div>
                    <w:div w:id="1965309317">
                      <w:marLeft w:val="0"/>
                      <w:marRight w:val="0"/>
                      <w:marTop w:val="0"/>
                      <w:marBottom w:val="0"/>
                      <w:divBdr>
                        <w:top w:val="none" w:sz="0" w:space="0" w:color="auto"/>
                        <w:left w:val="none" w:sz="0" w:space="0" w:color="auto"/>
                        <w:bottom w:val="none" w:sz="0" w:space="0" w:color="auto"/>
                        <w:right w:val="none" w:sz="0" w:space="0" w:color="auto"/>
                      </w:divBdr>
                    </w:div>
                  </w:divsChild>
                </w:div>
                <w:div w:id="1500610015">
                  <w:marLeft w:val="0"/>
                  <w:marRight w:val="0"/>
                  <w:marTop w:val="0"/>
                  <w:marBottom w:val="0"/>
                  <w:divBdr>
                    <w:top w:val="none" w:sz="0" w:space="0" w:color="auto"/>
                    <w:left w:val="none" w:sz="0" w:space="0" w:color="auto"/>
                    <w:bottom w:val="none" w:sz="0" w:space="0" w:color="auto"/>
                    <w:right w:val="none" w:sz="0" w:space="0" w:color="auto"/>
                  </w:divBdr>
                </w:div>
                <w:div w:id="1521965479">
                  <w:marLeft w:val="0"/>
                  <w:marRight w:val="0"/>
                  <w:marTop w:val="0"/>
                  <w:marBottom w:val="0"/>
                  <w:divBdr>
                    <w:top w:val="none" w:sz="0" w:space="0" w:color="auto"/>
                    <w:left w:val="none" w:sz="0" w:space="0" w:color="auto"/>
                    <w:bottom w:val="none" w:sz="0" w:space="0" w:color="auto"/>
                    <w:right w:val="none" w:sz="0" w:space="0" w:color="auto"/>
                  </w:divBdr>
                </w:div>
                <w:div w:id="1770391347">
                  <w:marLeft w:val="0"/>
                  <w:marRight w:val="0"/>
                  <w:marTop w:val="0"/>
                  <w:marBottom w:val="0"/>
                  <w:divBdr>
                    <w:top w:val="none" w:sz="0" w:space="0" w:color="auto"/>
                    <w:left w:val="none" w:sz="0" w:space="0" w:color="auto"/>
                    <w:bottom w:val="none" w:sz="0" w:space="0" w:color="auto"/>
                    <w:right w:val="none" w:sz="0" w:space="0" w:color="auto"/>
                  </w:divBdr>
                </w:div>
              </w:divsChild>
            </w:div>
            <w:div w:id="829298063">
              <w:marLeft w:val="0"/>
              <w:marRight w:val="0"/>
              <w:marTop w:val="0"/>
              <w:marBottom w:val="0"/>
              <w:divBdr>
                <w:top w:val="none" w:sz="0" w:space="0" w:color="auto"/>
                <w:left w:val="none" w:sz="0" w:space="0" w:color="auto"/>
                <w:bottom w:val="none" w:sz="0" w:space="0" w:color="auto"/>
                <w:right w:val="none" w:sz="0" w:space="0" w:color="auto"/>
              </w:divBdr>
            </w:div>
            <w:div w:id="914432663">
              <w:marLeft w:val="0"/>
              <w:marRight w:val="0"/>
              <w:marTop w:val="0"/>
              <w:marBottom w:val="0"/>
              <w:divBdr>
                <w:top w:val="none" w:sz="0" w:space="0" w:color="auto"/>
                <w:left w:val="none" w:sz="0" w:space="0" w:color="auto"/>
                <w:bottom w:val="none" w:sz="0" w:space="0" w:color="auto"/>
                <w:right w:val="none" w:sz="0" w:space="0" w:color="auto"/>
              </w:divBdr>
            </w:div>
            <w:div w:id="940527671">
              <w:marLeft w:val="0"/>
              <w:marRight w:val="0"/>
              <w:marTop w:val="0"/>
              <w:marBottom w:val="0"/>
              <w:divBdr>
                <w:top w:val="none" w:sz="0" w:space="0" w:color="auto"/>
                <w:left w:val="none" w:sz="0" w:space="0" w:color="auto"/>
                <w:bottom w:val="none" w:sz="0" w:space="0" w:color="auto"/>
                <w:right w:val="none" w:sz="0" w:space="0" w:color="auto"/>
              </w:divBdr>
              <w:divsChild>
                <w:div w:id="662052461">
                  <w:marLeft w:val="0"/>
                  <w:marRight w:val="0"/>
                  <w:marTop w:val="0"/>
                  <w:marBottom w:val="0"/>
                  <w:divBdr>
                    <w:top w:val="none" w:sz="0" w:space="0" w:color="auto"/>
                    <w:left w:val="none" w:sz="0" w:space="0" w:color="auto"/>
                    <w:bottom w:val="none" w:sz="0" w:space="0" w:color="auto"/>
                    <w:right w:val="none" w:sz="0" w:space="0" w:color="auto"/>
                  </w:divBdr>
                </w:div>
                <w:div w:id="1114328968">
                  <w:marLeft w:val="0"/>
                  <w:marRight w:val="0"/>
                  <w:marTop w:val="0"/>
                  <w:marBottom w:val="0"/>
                  <w:divBdr>
                    <w:top w:val="none" w:sz="0" w:space="0" w:color="auto"/>
                    <w:left w:val="none" w:sz="0" w:space="0" w:color="auto"/>
                    <w:bottom w:val="none" w:sz="0" w:space="0" w:color="auto"/>
                    <w:right w:val="none" w:sz="0" w:space="0" w:color="auto"/>
                  </w:divBdr>
                </w:div>
                <w:div w:id="1176312452">
                  <w:marLeft w:val="0"/>
                  <w:marRight w:val="0"/>
                  <w:marTop w:val="0"/>
                  <w:marBottom w:val="0"/>
                  <w:divBdr>
                    <w:top w:val="none" w:sz="0" w:space="0" w:color="auto"/>
                    <w:left w:val="none" w:sz="0" w:space="0" w:color="auto"/>
                    <w:bottom w:val="none" w:sz="0" w:space="0" w:color="auto"/>
                    <w:right w:val="none" w:sz="0" w:space="0" w:color="auto"/>
                  </w:divBdr>
                </w:div>
                <w:div w:id="1218660138">
                  <w:marLeft w:val="0"/>
                  <w:marRight w:val="0"/>
                  <w:marTop w:val="0"/>
                  <w:marBottom w:val="0"/>
                  <w:divBdr>
                    <w:top w:val="none" w:sz="0" w:space="0" w:color="auto"/>
                    <w:left w:val="none" w:sz="0" w:space="0" w:color="auto"/>
                    <w:bottom w:val="none" w:sz="0" w:space="0" w:color="auto"/>
                    <w:right w:val="none" w:sz="0" w:space="0" w:color="auto"/>
                  </w:divBdr>
                </w:div>
                <w:div w:id="1281759476">
                  <w:marLeft w:val="0"/>
                  <w:marRight w:val="0"/>
                  <w:marTop w:val="0"/>
                  <w:marBottom w:val="0"/>
                  <w:divBdr>
                    <w:top w:val="none" w:sz="0" w:space="0" w:color="auto"/>
                    <w:left w:val="none" w:sz="0" w:space="0" w:color="auto"/>
                    <w:bottom w:val="none" w:sz="0" w:space="0" w:color="auto"/>
                    <w:right w:val="none" w:sz="0" w:space="0" w:color="auto"/>
                  </w:divBdr>
                </w:div>
                <w:div w:id="1757241119">
                  <w:marLeft w:val="0"/>
                  <w:marRight w:val="0"/>
                  <w:marTop w:val="0"/>
                  <w:marBottom w:val="0"/>
                  <w:divBdr>
                    <w:top w:val="none" w:sz="0" w:space="0" w:color="auto"/>
                    <w:left w:val="none" w:sz="0" w:space="0" w:color="auto"/>
                    <w:bottom w:val="none" w:sz="0" w:space="0" w:color="auto"/>
                    <w:right w:val="none" w:sz="0" w:space="0" w:color="auto"/>
                  </w:divBdr>
                </w:div>
              </w:divsChild>
            </w:div>
            <w:div w:id="975137223">
              <w:marLeft w:val="0"/>
              <w:marRight w:val="0"/>
              <w:marTop w:val="0"/>
              <w:marBottom w:val="0"/>
              <w:divBdr>
                <w:top w:val="none" w:sz="0" w:space="0" w:color="auto"/>
                <w:left w:val="none" w:sz="0" w:space="0" w:color="auto"/>
                <w:bottom w:val="none" w:sz="0" w:space="0" w:color="auto"/>
                <w:right w:val="none" w:sz="0" w:space="0" w:color="auto"/>
              </w:divBdr>
            </w:div>
            <w:div w:id="1110201323">
              <w:marLeft w:val="0"/>
              <w:marRight w:val="0"/>
              <w:marTop w:val="0"/>
              <w:marBottom w:val="0"/>
              <w:divBdr>
                <w:top w:val="none" w:sz="0" w:space="0" w:color="auto"/>
                <w:left w:val="none" w:sz="0" w:space="0" w:color="auto"/>
                <w:bottom w:val="none" w:sz="0" w:space="0" w:color="auto"/>
                <w:right w:val="none" w:sz="0" w:space="0" w:color="auto"/>
              </w:divBdr>
            </w:div>
            <w:div w:id="1144397850">
              <w:marLeft w:val="0"/>
              <w:marRight w:val="0"/>
              <w:marTop w:val="0"/>
              <w:marBottom w:val="0"/>
              <w:divBdr>
                <w:top w:val="none" w:sz="0" w:space="0" w:color="auto"/>
                <w:left w:val="none" w:sz="0" w:space="0" w:color="auto"/>
                <w:bottom w:val="none" w:sz="0" w:space="0" w:color="auto"/>
                <w:right w:val="none" w:sz="0" w:space="0" w:color="auto"/>
              </w:divBdr>
            </w:div>
            <w:div w:id="1252274651">
              <w:marLeft w:val="0"/>
              <w:marRight w:val="0"/>
              <w:marTop w:val="0"/>
              <w:marBottom w:val="0"/>
              <w:divBdr>
                <w:top w:val="none" w:sz="0" w:space="0" w:color="auto"/>
                <w:left w:val="none" w:sz="0" w:space="0" w:color="auto"/>
                <w:bottom w:val="none" w:sz="0" w:space="0" w:color="auto"/>
                <w:right w:val="none" w:sz="0" w:space="0" w:color="auto"/>
              </w:divBdr>
              <w:divsChild>
                <w:div w:id="253587052">
                  <w:marLeft w:val="0"/>
                  <w:marRight w:val="0"/>
                  <w:marTop w:val="0"/>
                  <w:marBottom w:val="0"/>
                  <w:divBdr>
                    <w:top w:val="none" w:sz="0" w:space="0" w:color="auto"/>
                    <w:left w:val="none" w:sz="0" w:space="0" w:color="auto"/>
                    <w:bottom w:val="none" w:sz="0" w:space="0" w:color="auto"/>
                    <w:right w:val="none" w:sz="0" w:space="0" w:color="auto"/>
                  </w:divBdr>
                </w:div>
                <w:div w:id="435911440">
                  <w:marLeft w:val="0"/>
                  <w:marRight w:val="0"/>
                  <w:marTop w:val="0"/>
                  <w:marBottom w:val="0"/>
                  <w:divBdr>
                    <w:top w:val="none" w:sz="0" w:space="0" w:color="auto"/>
                    <w:left w:val="none" w:sz="0" w:space="0" w:color="auto"/>
                    <w:bottom w:val="none" w:sz="0" w:space="0" w:color="auto"/>
                    <w:right w:val="none" w:sz="0" w:space="0" w:color="auto"/>
                  </w:divBdr>
                </w:div>
                <w:div w:id="687289605">
                  <w:marLeft w:val="0"/>
                  <w:marRight w:val="0"/>
                  <w:marTop w:val="0"/>
                  <w:marBottom w:val="0"/>
                  <w:divBdr>
                    <w:top w:val="none" w:sz="0" w:space="0" w:color="auto"/>
                    <w:left w:val="none" w:sz="0" w:space="0" w:color="auto"/>
                    <w:bottom w:val="none" w:sz="0" w:space="0" w:color="auto"/>
                    <w:right w:val="none" w:sz="0" w:space="0" w:color="auto"/>
                  </w:divBdr>
                </w:div>
                <w:div w:id="1177379705">
                  <w:marLeft w:val="0"/>
                  <w:marRight w:val="0"/>
                  <w:marTop w:val="0"/>
                  <w:marBottom w:val="0"/>
                  <w:divBdr>
                    <w:top w:val="none" w:sz="0" w:space="0" w:color="auto"/>
                    <w:left w:val="none" w:sz="0" w:space="0" w:color="auto"/>
                    <w:bottom w:val="none" w:sz="0" w:space="0" w:color="auto"/>
                    <w:right w:val="none" w:sz="0" w:space="0" w:color="auto"/>
                  </w:divBdr>
                </w:div>
                <w:div w:id="1582639768">
                  <w:marLeft w:val="0"/>
                  <w:marRight w:val="0"/>
                  <w:marTop w:val="0"/>
                  <w:marBottom w:val="0"/>
                  <w:divBdr>
                    <w:top w:val="none" w:sz="0" w:space="0" w:color="auto"/>
                    <w:left w:val="none" w:sz="0" w:space="0" w:color="auto"/>
                    <w:bottom w:val="none" w:sz="0" w:space="0" w:color="auto"/>
                    <w:right w:val="none" w:sz="0" w:space="0" w:color="auto"/>
                  </w:divBdr>
                </w:div>
              </w:divsChild>
            </w:div>
            <w:div w:id="1287152591">
              <w:marLeft w:val="0"/>
              <w:marRight w:val="0"/>
              <w:marTop w:val="0"/>
              <w:marBottom w:val="0"/>
              <w:divBdr>
                <w:top w:val="none" w:sz="0" w:space="0" w:color="auto"/>
                <w:left w:val="none" w:sz="0" w:space="0" w:color="auto"/>
                <w:bottom w:val="none" w:sz="0" w:space="0" w:color="auto"/>
                <w:right w:val="none" w:sz="0" w:space="0" w:color="auto"/>
              </w:divBdr>
            </w:div>
            <w:div w:id="1287272401">
              <w:marLeft w:val="0"/>
              <w:marRight w:val="0"/>
              <w:marTop w:val="0"/>
              <w:marBottom w:val="0"/>
              <w:divBdr>
                <w:top w:val="none" w:sz="0" w:space="0" w:color="auto"/>
                <w:left w:val="none" w:sz="0" w:space="0" w:color="auto"/>
                <w:bottom w:val="none" w:sz="0" w:space="0" w:color="auto"/>
                <w:right w:val="none" w:sz="0" w:space="0" w:color="auto"/>
              </w:divBdr>
            </w:div>
            <w:div w:id="1290283825">
              <w:marLeft w:val="0"/>
              <w:marRight w:val="0"/>
              <w:marTop w:val="0"/>
              <w:marBottom w:val="0"/>
              <w:divBdr>
                <w:top w:val="none" w:sz="0" w:space="0" w:color="auto"/>
                <w:left w:val="none" w:sz="0" w:space="0" w:color="auto"/>
                <w:bottom w:val="none" w:sz="0" w:space="0" w:color="auto"/>
                <w:right w:val="none" w:sz="0" w:space="0" w:color="auto"/>
              </w:divBdr>
            </w:div>
            <w:div w:id="1376345332">
              <w:marLeft w:val="0"/>
              <w:marRight w:val="0"/>
              <w:marTop w:val="0"/>
              <w:marBottom w:val="0"/>
              <w:divBdr>
                <w:top w:val="none" w:sz="0" w:space="0" w:color="auto"/>
                <w:left w:val="none" w:sz="0" w:space="0" w:color="auto"/>
                <w:bottom w:val="none" w:sz="0" w:space="0" w:color="auto"/>
                <w:right w:val="none" w:sz="0" w:space="0" w:color="auto"/>
              </w:divBdr>
            </w:div>
            <w:div w:id="1414929820">
              <w:marLeft w:val="0"/>
              <w:marRight w:val="0"/>
              <w:marTop w:val="0"/>
              <w:marBottom w:val="0"/>
              <w:divBdr>
                <w:top w:val="none" w:sz="0" w:space="0" w:color="auto"/>
                <w:left w:val="none" w:sz="0" w:space="0" w:color="auto"/>
                <w:bottom w:val="none" w:sz="0" w:space="0" w:color="auto"/>
                <w:right w:val="none" w:sz="0" w:space="0" w:color="auto"/>
              </w:divBdr>
            </w:div>
            <w:div w:id="1455977946">
              <w:marLeft w:val="0"/>
              <w:marRight w:val="0"/>
              <w:marTop w:val="0"/>
              <w:marBottom w:val="0"/>
              <w:divBdr>
                <w:top w:val="none" w:sz="0" w:space="0" w:color="auto"/>
                <w:left w:val="none" w:sz="0" w:space="0" w:color="auto"/>
                <w:bottom w:val="none" w:sz="0" w:space="0" w:color="auto"/>
                <w:right w:val="none" w:sz="0" w:space="0" w:color="auto"/>
              </w:divBdr>
            </w:div>
            <w:div w:id="1466924471">
              <w:marLeft w:val="0"/>
              <w:marRight w:val="0"/>
              <w:marTop w:val="0"/>
              <w:marBottom w:val="0"/>
              <w:divBdr>
                <w:top w:val="none" w:sz="0" w:space="0" w:color="auto"/>
                <w:left w:val="none" w:sz="0" w:space="0" w:color="auto"/>
                <w:bottom w:val="none" w:sz="0" w:space="0" w:color="auto"/>
                <w:right w:val="none" w:sz="0" w:space="0" w:color="auto"/>
              </w:divBdr>
            </w:div>
            <w:div w:id="1655528440">
              <w:marLeft w:val="0"/>
              <w:marRight w:val="0"/>
              <w:marTop w:val="0"/>
              <w:marBottom w:val="0"/>
              <w:divBdr>
                <w:top w:val="none" w:sz="0" w:space="0" w:color="auto"/>
                <w:left w:val="none" w:sz="0" w:space="0" w:color="auto"/>
                <w:bottom w:val="none" w:sz="0" w:space="0" w:color="auto"/>
                <w:right w:val="none" w:sz="0" w:space="0" w:color="auto"/>
              </w:divBdr>
            </w:div>
            <w:div w:id="1726564284">
              <w:marLeft w:val="0"/>
              <w:marRight w:val="0"/>
              <w:marTop w:val="0"/>
              <w:marBottom w:val="0"/>
              <w:divBdr>
                <w:top w:val="none" w:sz="0" w:space="0" w:color="auto"/>
                <w:left w:val="none" w:sz="0" w:space="0" w:color="auto"/>
                <w:bottom w:val="none" w:sz="0" w:space="0" w:color="auto"/>
                <w:right w:val="none" w:sz="0" w:space="0" w:color="auto"/>
              </w:divBdr>
            </w:div>
            <w:div w:id="1729912927">
              <w:marLeft w:val="0"/>
              <w:marRight w:val="0"/>
              <w:marTop w:val="0"/>
              <w:marBottom w:val="0"/>
              <w:divBdr>
                <w:top w:val="none" w:sz="0" w:space="0" w:color="auto"/>
                <w:left w:val="none" w:sz="0" w:space="0" w:color="auto"/>
                <w:bottom w:val="none" w:sz="0" w:space="0" w:color="auto"/>
                <w:right w:val="none" w:sz="0" w:space="0" w:color="auto"/>
              </w:divBdr>
              <w:divsChild>
                <w:div w:id="312805208">
                  <w:marLeft w:val="0"/>
                  <w:marRight w:val="0"/>
                  <w:marTop w:val="0"/>
                  <w:marBottom w:val="0"/>
                  <w:divBdr>
                    <w:top w:val="none" w:sz="0" w:space="0" w:color="auto"/>
                    <w:left w:val="none" w:sz="0" w:space="0" w:color="auto"/>
                    <w:bottom w:val="none" w:sz="0" w:space="0" w:color="auto"/>
                    <w:right w:val="none" w:sz="0" w:space="0" w:color="auto"/>
                  </w:divBdr>
                </w:div>
                <w:div w:id="1074278970">
                  <w:marLeft w:val="0"/>
                  <w:marRight w:val="0"/>
                  <w:marTop w:val="0"/>
                  <w:marBottom w:val="0"/>
                  <w:divBdr>
                    <w:top w:val="none" w:sz="0" w:space="0" w:color="auto"/>
                    <w:left w:val="none" w:sz="0" w:space="0" w:color="auto"/>
                    <w:bottom w:val="none" w:sz="0" w:space="0" w:color="auto"/>
                    <w:right w:val="none" w:sz="0" w:space="0" w:color="auto"/>
                  </w:divBdr>
                </w:div>
              </w:divsChild>
            </w:div>
            <w:div w:id="1740402164">
              <w:marLeft w:val="0"/>
              <w:marRight w:val="0"/>
              <w:marTop w:val="0"/>
              <w:marBottom w:val="0"/>
              <w:divBdr>
                <w:top w:val="none" w:sz="0" w:space="0" w:color="auto"/>
                <w:left w:val="none" w:sz="0" w:space="0" w:color="auto"/>
                <w:bottom w:val="none" w:sz="0" w:space="0" w:color="auto"/>
                <w:right w:val="none" w:sz="0" w:space="0" w:color="auto"/>
              </w:divBdr>
              <w:divsChild>
                <w:div w:id="73863052">
                  <w:marLeft w:val="0"/>
                  <w:marRight w:val="0"/>
                  <w:marTop w:val="0"/>
                  <w:marBottom w:val="0"/>
                  <w:divBdr>
                    <w:top w:val="none" w:sz="0" w:space="0" w:color="auto"/>
                    <w:left w:val="none" w:sz="0" w:space="0" w:color="auto"/>
                    <w:bottom w:val="none" w:sz="0" w:space="0" w:color="auto"/>
                    <w:right w:val="none" w:sz="0" w:space="0" w:color="auto"/>
                  </w:divBdr>
                </w:div>
                <w:div w:id="307395005">
                  <w:marLeft w:val="0"/>
                  <w:marRight w:val="0"/>
                  <w:marTop w:val="0"/>
                  <w:marBottom w:val="0"/>
                  <w:divBdr>
                    <w:top w:val="none" w:sz="0" w:space="0" w:color="auto"/>
                    <w:left w:val="none" w:sz="0" w:space="0" w:color="auto"/>
                    <w:bottom w:val="none" w:sz="0" w:space="0" w:color="auto"/>
                    <w:right w:val="none" w:sz="0" w:space="0" w:color="auto"/>
                  </w:divBdr>
                </w:div>
              </w:divsChild>
            </w:div>
            <w:div w:id="1785807658">
              <w:marLeft w:val="0"/>
              <w:marRight w:val="0"/>
              <w:marTop w:val="0"/>
              <w:marBottom w:val="0"/>
              <w:divBdr>
                <w:top w:val="none" w:sz="0" w:space="0" w:color="auto"/>
                <w:left w:val="none" w:sz="0" w:space="0" w:color="auto"/>
                <w:bottom w:val="none" w:sz="0" w:space="0" w:color="auto"/>
                <w:right w:val="none" w:sz="0" w:space="0" w:color="auto"/>
              </w:divBdr>
              <w:divsChild>
                <w:div w:id="489372505">
                  <w:marLeft w:val="0"/>
                  <w:marRight w:val="0"/>
                  <w:marTop w:val="0"/>
                  <w:marBottom w:val="0"/>
                  <w:divBdr>
                    <w:top w:val="none" w:sz="0" w:space="0" w:color="auto"/>
                    <w:left w:val="none" w:sz="0" w:space="0" w:color="auto"/>
                    <w:bottom w:val="none" w:sz="0" w:space="0" w:color="auto"/>
                    <w:right w:val="none" w:sz="0" w:space="0" w:color="auto"/>
                  </w:divBdr>
                </w:div>
                <w:div w:id="1044907993">
                  <w:marLeft w:val="0"/>
                  <w:marRight w:val="0"/>
                  <w:marTop w:val="0"/>
                  <w:marBottom w:val="0"/>
                  <w:divBdr>
                    <w:top w:val="none" w:sz="0" w:space="0" w:color="auto"/>
                    <w:left w:val="none" w:sz="0" w:space="0" w:color="auto"/>
                    <w:bottom w:val="none" w:sz="0" w:space="0" w:color="auto"/>
                    <w:right w:val="none" w:sz="0" w:space="0" w:color="auto"/>
                  </w:divBdr>
                </w:div>
              </w:divsChild>
            </w:div>
            <w:div w:id="1802190206">
              <w:marLeft w:val="0"/>
              <w:marRight w:val="0"/>
              <w:marTop w:val="0"/>
              <w:marBottom w:val="0"/>
              <w:divBdr>
                <w:top w:val="none" w:sz="0" w:space="0" w:color="auto"/>
                <w:left w:val="none" w:sz="0" w:space="0" w:color="auto"/>
                <w:bottom w:val="none" w:sz="0" w:space="0" w:color="auto"/>
                <w:right w:val="none" w:sz="0" w:space="0" w:color="auto"/>
              </w:divBdr>
              <w:divsChild>
                <w:div w:id="102117009">
                  <w:marLeft w:val="0"/>
                  <w:marRight w:val="0"/>
                  <w:marTop w:val="0"/>
                  <w:marBottom w:val="0"/>
                  <w:divBdr>
                    <w:top w:val="none" w:sz="0" w:space="0" w:color="auto"/>
                    <w:left w:val="none" w:sz="0" w:space="0" w:color="auto"/>
                    <w:bottom w:val="none" w:sz="0" w:space="0" w:color="auto"/>
                    <w:right w:val="none" w:sz="0" w:space="0" w:color="auto"/>
                  </w:divBdr>
                </w:div>
                <w:div w:id="148864054">
                  <w:marLeft w:val="0"/>
                  <w:marRight w:val="0"/>
                  <w:marTop w:val="0"/>
                  <w:marBottom w:val="0"/>
                  <w:divBdr>
                    <w:top w:val="none" w:sz="0" w:space="0" w:color="auto"/>
                    <w:left w:val="none" w:sz="0" w:space="0" w:color="auto"/>
                    <w:bottom w:val="none" w:sz="0" w:space="0" w:color="auto"/>
                    <w:right w:val="none" w:sz="0" w:space="0" w:color="auto"/>
                  </w:divBdr>
                </w:div>
                <w:div w:id="196965731">
                  <w:marLeft w:val="0"/>
                  <w:marRight w:val="0"/>
                  <w:marTop w:val="0"/>
                  <w:marBottom w:val="0"/>
                  <w:divBdr>
                    <w:top w:val="none" w:sz="0" w:space="0" w:color="auto"/>
                    <w:left w:val="none" w:sz="0" w:space="0" w:color="auto"/>
                    <w:bottom w:val="none" w:sz="0" w:space="0" w:color="auto"/>
                    <w:right w:val="none" w:sz="0" w:space="0" w:color="auto"/>
                  </w:divBdr>
                </w:div>
                <w:div w:id="208416031">
                  <w:marLeft w:val="0"/>
                  <w:marRight w:val="0"/>
                  <w:marTop w:val="0"/>
                  <w:marBottom w:val="0"/>
                  <w:divBdr>
                    <w:top w:val="none" w:sz="0" w:space="0" w:color="auto"/>
                    <w:left w:val="none" w:sz="0" w:space="0" w:color="auto"/>
                    <w:bottom w:val="none" w:sz="0" w:space="0" w:color="auto"/>
                    <w:right w:val="none" w:sz="0" w:space="0" w:color="auto"/>
                  </w:divBdr>
                </w:div>
                <w:div w:id="322854185">
                  <w:marLeft w:val="0"/>
                  <w:marRight w:val="0"/>
                  <w:marTop w:val="0"/>
                  <w:marBottom w:val="0"/>
                  <w:divBdr>
                    <w:top w:val="none" w:sz="0" w:space="0" w:color="auto"/>
                    <w:left w:val="none" w:sz="0" w:space="0" w:color="auto"/>
                    <w:bottom w:val="none" w:sz="0" w:space="0" w:color="auto"/>
                    <w:right w:val="none" w:sz="0" w:space="0" w:color="auto"/>
                  </w:divBdr>
                </w:div>
                <w:div w:id="394544576">
                  <w:marLeft w:val="0"/>
                  <w:marRight w:val="0"/>
                  <w:marTop w:val="0"/>
                  <w:marBottom w:val="0"/>
                  <w:divBdr>
                    <w:top w:val="none" w:sz="0" w:space="0" w:color="auto"/>
                    <w:left w:val="none" w:sz="0" w:space="0" w:color="auto"/>
                    <w:bottom w:val="none" w:sz="0" w:space="0" w:color="auto"/>
                    <w:right w:val="none" w:sz="0" w:space="0" w:color="auto"/>
                  </w:divBdr>
                </w:div>
                <w:div w:id="445545281">
                  <w:marLeft w:val="0"/>
                  <w:marRight w:val="0"/>
                  <w:marTop w:val="0"/>
                  <w:marBottom w:val="0"/>
                  <w:divBdr>
                    <w:top w:val="none" w:sz="0" w:space="0" w:color="auto"/>
                    <w:left w:val="none" w:sz="0" w:space="0" w:color="auto"/>
                    <w:bottom w:val="none" w:sz="0" w:space="0" w:color="auto"/>
                    <w:right w:val="none" w:sz="0" w:space="0" w:color="auto"/>
                  </w:divBdr>
                </w:div>
                <w:div w:id="674116981">
                  <w:marLeft w:val="0"/>
                  <w:marRight w:val="0"/>
                  <w:marTop w:val="0"/>
                  <w:marBottom w:val="0"/>
                  <w:divBdr>
                    <w:top w:val="none" w:sz="0" w:space="0" w:color="auto"/>
                    <w:left w:val="none" w:sz="0" w:space="0" w:color="auto"/>
                    <w:bottom w:val="none" w:sz="0" w:space="0" w:color="auto"/>
                    <w:right w:val="none" w:sz="0" w:space="0" w:color="auto"/>
                  </w:divBdr>
                </w:div>
                <w:div w:id="748188433">
                  <w:marLeft w:val="0"/>
                  <w:marRight w:val="0"/>
                  <w:marTop w:val="0"/>
                  <w:marBottom w:val="0"/>
                  <w:divBdr>
                    <w:top w:val="none" w:sz="0" w:space="0" w:color="auto"/>
                    <w:left w:val="none" w:sz="0" w:space="0" w:color="auto"/>
                    <w:bottom w:val="none" w:sz="0" w:space="0" w:color="auto"/>
                    <w:right w:val="none" w:sz="0" w:space="0" w:color="auto"/>
                  </w:divBdr>
                </w:div>
                <w:div w:id="1026714946">
                  <w:marLeft w:val="0"/>
                  <w:marRight w:val="0"/>
                  <w:marTop w:val="0"/>
                  <w:marBottom w:val="0"/>
                  <w:divBdr>
                    <w:top w:val="none" w:sz="0" w:space="0" w:color="auto"/>
                    <w:left w:val="none" w:sz="0" w:space="0" w:color="auto"/>
                    <w:bottom w:val="none" w:sz="0" w:space="0" w:color="auto"/>
                    <w:right w:val="none" w:sz="0" w:space="0" w:color="auto"/>
                  </w:divBdr>
                </w:div>
                <w:div w:id="1224680351">
                  <w:marLeft w:val="0"/>
                  <w:marRight w:val="0"/>
                  <w:marTop w:val="0"/>
                  <w:marBottom w:val="0"/>
                  <w:divBdr>
                    <w:top w:val="none" w:sz="0" w:space="0" w:color="auto"/>
                    <w:left w:val="none" w:sz="0" w:space="0" w:color="auto"/>
                    <w:bottom w:val="none" w:sz="0" w:space="0" w:color="auto"/>
                    <w:right w:val="none" w:sz="0" w:space="0" w:color="auto"/>
                  </w:divBdr>
                </w:div>
                <w:div w:id="1303384797">
                  <w:marLeft w:val="0"/>
                  <w:marRight w:val="0"/>
                  <w:marTop w:val="0"/>
                  <w:marBottom w:val="0"/>
                  <w:divBdr>
                    <w:top w:val="none" w:sz="0" w:space="0" w:color="auto"/>
                    <w:left w:val="none" w:sz="0" w:space="0" w:color="auto"/>
                    <w:bottom w:val="none" w:sz="0" w:space="0" w:color="auto"/>
                    <w:right w:val="none" w:sz="0" w:space="0" w:color="auto"/>
                  </w:divBdr>
                </w:div>
                <w:div w:id="1318803191">
                  <w:marLeft w:val="0"/>
                  <w:marRight w:val="0"/>
                  <w:marTop w:val="0"/>
                  <w:marBottom w:val="0"/>
                  <w:divBdr>
                    <w:top w:val="none" w:sz="0" w:space="0" w:color="auto"/>
                    <w:left w:val="none" w:sz="0" w:space="0" w:color="auto"/>
                    <w:bottom w:val="none" w:sz="0" w:space="0" w:color="auto"/>
                    <w:right w:val="none" w:sz="0" w:space="0" w:color="auto"/>
                  </w:divBdr>
                </w:div>
                <w:div w:id="1452748481">
                  <w:marLeft w:val="0"/>
                  <w:marRight w:val="0"/>
                  <w:marTop w:val="0"/>
                  <w:marBottom w:val="0"/>
                  <w:divBdr>
                    <w:top w:val="none" w:sz="0" w:space="0" w:color="auto"/>
                    <w:left w:val="none" w:sz="0" w:space="0" w:color="auto"/>
                    <w:bottom w:val="none" w:sz="0" w:space="0" w:color="auto"/>
                    <w:right w:val="none" w:sz="0" w:space="0" w:color="auto"/>
                  </w:divBdr>
                </w:div>
                <w:div w:id="1502432538">
                  <w:marLeft w:val="0"/>
                  <w:marRight w:val="0"/>
                  <w:marTop w:val="0"/>
                  <w:marBottom w:val="0"/>
                  <w:divBdr>
                    <w:top w:val="none" w:sz="0" w:space="0" w:color="auto"/>
                    <w:left w:val="none" w:sz="0" w:space="0" w:color="auto"/>
                    <w:bottom w:val="none" w:sz="0" w:space="0" w:color="auto"/>
                    <w:right w:val="none" w:sz="0" w:space="0" w:color="auto"/>
                  </w:divBdr>
                </w:div>
                <w:div w:id="1602761507">
                  <w:marLeft w:val="0"/>
                  <w:marRight w:val="0"/>
                  <w:marTop w:val="0"/>
                  <w:marBottom w:val="0"/>
                  <w:divBdr>
                    <w:top w:val="none" w:sz="0" w:space="0" w:color="auto"/>
                    <w:left w:val="none" w:sz="0" w:space="0" w:color="auto"/>
                    <w:bottom w:val="none" w:sz="0" w:space="0" w:color="auto"/>
                    <w:right w:val="none" w:sz="0" w:space="0" w:color="auto"/>
                  </w:divBdr>
                </w:div>
                <w:div w:id="1810896576">
                  <w:marLeft w:val="0"/>
                  <w:marRight w:val="0"/>
                  <w:marTop w:val="0"/>
                  <w:marBottom w:val="0"/>
                  <w:divBdr>
                    <w:top w:val="none" w:sz="0" w:space="0" w:color="auto"/>
                    <w:left w:val="none" w:sz="0" w:space="0" w:color="auto"/>
                    <w:bottom w:val="none" w:sz="0" w:space="0" w:color="auto"/>
                    <w:right w:val="none" w:sz="0" w:space="0" w:color="auto"/>
                  </w:divBdr>
                </w:div>
                <w:div w:id="1912545721">
                  <w:marLeft w:val="0"/>
                  <w:marRight w:val="0"/>
                  <w:marTop w:val="0"/>
                  <w:marBottom w:val="0"/>
                  <w:divBdr>
                    <w:top w:val="none" w:sz="0" w:space="0" w:color="auto"/>
                    <w:left w:val="none" w:sz="0" w:space="0" w:color="auto"/>
                    <w:bottom w:val="none" w:sz="0" w:space="0" w:color="auto"/>
                    <w:right w:val="none" w:sz="0" w:space="0" w:color="auto"/>
                  </w:divBdr>
                </w:div>
                <w:div w:id="1914661610">
                  <w:marLeft w:val="0"/>
                  <w:marRight w:val="0"/>
                  <w:marTop w:val="0"/>
                  <w:marBottom w:val="0"/>
                  <w:divBdr>
                    <w:top w:val="none" w:sz="0" w:space="0" w:color="auto"/>
                    <w:left w:val="none" w:sz="0" w:space="0" w:color="auto"/>
                    <w:bottom w:val="none" w:sz="0" w:space="0" w:color="auto"/>
                    <w:right w:val="none" w:sz="0" w:space="0" w:color="auto"/>
                  </w:divBdr>
                </w:div>
                <w:div w:id="1930499920">
                  <w:marLeft w:val="0"/>
                  <w:marRight w:val="0"/>
                  <w:marTop w:val="0"/>
                  <w:marBottom w:val="0"/>
                  <w:divBdr>
                    <w:top w:val="none" w:sz="0" w:space="0" w:color="auto"/>
                    <w:left w:val="none" w:sz="0" w:space="0" w:color="auto"/>
                    <w:bottom w:val="none" w:sz="0" w:space="0" w:color="auto"/>
                    <w:right w:val="none" w:sz="0" w:space="0" w:color="auto"/>
                  </w:divBdr>
                </w:div>
              </w:divsChild>
            </w:div>
            <w:div w:id="1861509526">
              <w:marLeft w:val="0"/>
              <w:marRight w:val="0"/>
              <w:marTop w:val="0"/>
              <w:marBottom w:val="0"/>
              <w:divBdr>
                <w:top w:val="none" w:sz="0" w:space="0" w:color="auto"/>
                <w:left w:val="none" w:sz="0" w:space="0" w:color="auto"/>
                <w:bottom w:val="none" w:sz="0" w:space="0" w:color="auto"/>
                <w:right w:val="none" w:sz="0" w:space="0" w:color="auto"/>
              </w:divBdr>
            </w:div>
            <w:div w:id="1890336581">
              <w:marLeft w:val="0"/>
              <w:marRight w:val="0"/>
              <w:marTop w:val="0"/>
              <w:marBottom w:val="0"/>
              <w:divBdr>
                <w:top w:val="none" w:sz="0" w:space="0" w:color="auto"/>
                <w:left w:val="none" w:sz="0" w:space="0" w:color="auto"/>
                <w:bottom w:val="none" w:sz="0" w:space="0" w:color="auto"/>
                <w:right w:val="none" w:sz="0" w:space="0" w:color="auto"/>
              </w:divBdr>
            </w:div>
            <w:div w:id="2040617131">
              <w:marLeft w:val="0"/>
              <w:marRight w:val="0"/>
              <w:marTop w:val="0"/>
              <w:marBottom w:val="0"/>
              <w:divBdr>
                <w:top w:val="none" w:sz="0" w:space="0" w:color="auto"/>
                <w:left w:val="none" w:sz="0" w:space="0" w:color="auto"/>
                <w:bottom w:val="none" w:sz="0" w:space="0" w:color="auto"/>
                <w:right w:val="none" w:sz="0" w:space="0" w:color="auto"/>
              </w:divBdr>
            </w:div>
            <w:div w:id="2073037483">
              <w:marLeft w:val="0"/>
              <w:marRight w:val="0"/>
              <w:marTop w:val="0"/>
              <w:marBottom w:val="0"/>
              <w:divBdr>
                <w:top w:val="none" w:sz="0" w:space="0" w:color="auto"/>
                <w:left w:val="none" w:sz="0" w:space="0" w:color="auto"/>
                <w:bottom w:val="none" w:sz="0" w:space="0" w:color="auto"/>
                <w:right w:val="none" w:sz="0" w:space="0" w:color="auto"/>
              </w:divBdr>
              <w:divsChild>
                <w:div w:id="106431795">
                  <w:marLeft w:val="0"/>
                  <w:marRight w:val="0"/>
                  <w:marTop w:val="0"/>
                  <w:marBottom w:val="0"/>
                  <w:divBdr>
                    <w:top w:val="none" w:sz="0" w:space="0" w:color="auto"/>
                    <w:left w:val="none" w:sz="0" w:space="0" w:color="auto"/>
                    <w:bottom w:val="none" w:sz="0" w:space="0" w:color="auto"/>
                    <w:right w:val="none" w:sz="0" w:space="0" w:color="auto"/>
                  </w:divBdr>
                  <w:divsChild>
                    <w:div w:id="374357450">
                      <w:marLeft w:val="0"/>
                      <w:marRight w:val="0"/>
                      <w:marTop w:val="0"/>
                      <w:marBottom w:val="0"/>
                      <w:divBdr>
                        <w:top w:val="none" w:sz="0" w:space="0" w:color="auto"/>
                        <w:left w:val="none" w:sz="0" w:space="0" w:color="auto"/>
                        <w:bottom w:val="none" w:sz="0" w:space="0" w:color="auto"/>
                        <w:right w:val="none" w:sz="0" w:space="0" w:color="auto"/>
                      </w:divBdr>
                    </w:div>
                    <w:div w:id="470485407">
                      <w:marLeft w:val="0"/>
                      <w:marRight w:val="0"/>
                      <w:marTop w:val="0"/>
                      <w:marBottom w:val="0"/>
                      <w:divBdr>
                        <w:top w:val="none" w:sz="0" w:space="0" w:color="auto"/>
                        <w:left w:val="none" w:sz="0" w:space="0" w:color="auto"/>
                        <w:bottom w:val="none" w:sz="0" w:space="0" w:color="auto"/>
                        <w:right w:val="none" w:sz="0" w:space="0" w:color="auto"/>
                      </w:divBdr>
                    </w:div>
                  </w:divsChild>
                </w:div>
                <w:div w:id="708409956">
                  <w:marLeft w:val="0"/>
                  <w:marRight w:val="0"/>
                  <w:marTop w:val="0"/>
                  <w:marBottom w:val="0"/>
                  <w:divBdr>
                    <w:top w:val="none" w:sz="0" w:space="0" w:color="auto"/>
                    <w:left w:val="none" w:sz="0" w:space="0" w:color="auto"/>
                    <w:bottom w:val="none" w:sz="0" w:space="0" w:color="auto"/>
                    <w:right w:val="none" w:sz="0" w:space="0" w:color="auto"/>
                  </w:divBdr>
                </w:div>
                <w:div w:id="1021590086">
                  <w:marLeft w:val="0"/>
                  <w:marRight w:val="0"/>
                  <w:marTop w:val="0"/>
                  <w:marBottom w:val="0"/>
                  <w:divBdr>
                    <w:top w:val="none" w:sz="0" w:space="0" w:color="auto"/>
                    <w:left w:val="none" w:sz="0" w:space="0" w:color="auto"/>
                    <w:bottom w:val="none" w:sz="0" w:space="0" w:color="auto"/>
                    <w:right w:val="none" w:sz="0" w:space="0" w:color="auto"/>
                  </w:divBdr>
                </w:div>
                <w:div w:id="1975940773">
                  <w:marLeft w:val="0"/>
                  <w:marRight w:val="0"/>
                  <w:marTop w:val="0"/>
                  <w:marBottom w:val="0"/>
                  <w:divBdr>
                    <w:top w:val="none" w:sz="0" w:space="0" w:color="auto"/>
                    <w:left w:val="none" w:sz="0" w:space="0" w:color="auto"/>
                    <w:bottom w:val="none" w:sz="0" w:space="0" w:color="auto"/>
                    <w:right w:val="none" w:sz="0" w:space="0" w:color="auto"/>
                  </w:divBdr>
                  <w:divsChild>
                    <w:div w:id="312221644">
                      <w:marLeft w:val="0"/>
                      <w:marRight w:val="0"/>
                      <w:marTop w:val="0"/>
                      <w:marBottom w:val="0"/>
                      <w:divBdr>
                        <w:top w:val="none" w:sz="0" w:space="0" w:color="auto"/>
                        <w:left w:val="none" w:sz="0" w:space="0" w:color="auto"/>
                        <w:bottom w:val="none" w:sz="0" w:space="0" w:color="auto"/>
                        <w:right w:val="none" w:sz="0" w:space="0" w:color="auto"/>
                      </w:divBdr>
                    </w:div>
                    <w:div w:id="1124664587">
                      <w:marLeft w:val="0"/>
                      <w:marRight w:val="0"/>
                      <w:marTop w:val="0"/>
                      <w:marBottom w:val="0"/>
                      <w:divBdr>
                        <w:top w:val="none" w:sz="0" w:space="0" w:color="auto"/>
                        <w:left w:val="none" w:sz="0" w:space="0" w:color="auto"/>
                        <w:bottom w:val="none" w:sz="0" w:space="0" w:color="auto"/>
                        <w:right w:val="none" w:sz="0" w:space="0" w:color="auto"/>
                      </w:divBdr>
                    </w:div>
                    <w:div w:id="1872499054">
                      <w:marLeft w:val="0"/>
                      <w:marRight w:val="0"/>
                      <w:marTop w:val="0"/>
                      <w:marBottom w:val="0"/>
                      <w:divBdr>
                        <w:top w:val="none" w:sz="0" w:space="0" w:color="auto"/>
                        <w:left w:val="none" w:sz="0" w:space="0" w:color="auto"/>
                        <w:bottom w:val="none" w:sz="0" w:space="0" w:color="auto"/>
                        <w:right w:val="none" w:sz="0" w:space="0" w:color="auto"/>
                      </w:divBdr>
                    </w:div>
                    <w:div w:id="187885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02176">
              <w:marLeft w:val="0"/>
              <w:marRight w:val="0"/>
              <w:marTop w:val="0"/>
              <w:marBottom w:val="0"/>
              <w:divBdr>
                <w:top w:val="none" w:sz="0" w:space="0" w:color="auto"/>
                <w:left w:val="none" w:sz="0" w:space="0" w:color="auto"/>
                <w:bottom w:val="none" w:sz="0" w:space="0" w:color="auto"/>
                <w:right w:val="none" w:sz="0" w:space="0" w:color="auto"/>
              </w:divBdr>
            </w:div>
          </w:divsChild>
        </w:div>
        <w:div w:id="1962104896">
          <w:marLeft w:val="0"/>
          <w:marRight w:val="0"/>
          <w:marTop w:val="0"/>
          <w:marBottom w:val="0"/>
          <w:divBdr>
            <w:top w:val="none" w:sz="0" w:space="0" w:color="auto"/>
            <w:left w:val="none" w:sz="0" w:space="0" w:color="auto"/>
            <w:bottom w:val="none" w:sz="0" w:space="0" w:color="auto"/>
            <w:right w:val="none" w:sz="0" w:space="0" w:color="auto"/>
          </w:divBdr>
          <w:divsChild>
            <w:div w:id="436029184">
              <w:marLeft w:val="0"/>
              <w:marRight w:val="0"/>
              <w:marTop w:val="0"/>
              <w:marBottom w:val="0"/>
              <w:divBdr>
                <w:top w:val="none" w:sz="0" w:space="0" w:color="auto"/>
                <w:left w:val="none" w:sz="0" w:space="0" w:color="auto"/>
                <w:bottom w:val="none" w:sz="0" w:space="0" w:color="auto"/>
                <w:right w:val="none" w:sz="0" w:space="0" w:color="auto"/>
              </w:divBdr>
            </w:div>
            <w:div w:id="917906328">
              <w:marLeft w:val="0"/>
              <w:marRight w:val="0"/>
              <w:marTop w:val="0"/>
              <w:marBottom w:val="0"/>
              <w:divBdr>
                <w:top w:val="none" w:sz="0" w:space="0" w:color="auto"/>
                <w:left w:val="none" w:sz="0" w:space="0" w:color="auto"/>
                <w:bottom w:val="none" w:sz="0" w:space="0" w:color="auto"/>
                <w:right w:val="none" w:sz="0" w:space="0" w:color="auto"/>
              </w:divBdr>
            </w:div>
            <w:div w:id="1152872524">
              <w:marLeft w:val="0"/>
              <w:marRight w:val="0"/>
              <w:marTop w:val="0"/>
              <w:marBottom w:val="0"/>
              <w:divBdr>
                <w:top w:val="none" w:sz="0" w:space="0" w:color="auto"/>
                <w:left w:val="none" w:sz="0" w:space="0" w:color="auto"/>
                <w:bottom w:val="none" w:sz="0" w:space="0" w:color="auto"/>
                <w:right w:val="none" w:sz="0" w:space="0" w:color="auto"/>
              </w:divBdr>
            </w:div>
            <w:div w:id="1271888230">
              <w:marLeft w:val="0"/>
              <w:marRight w:val="0"/>
              <w:marTop w:val="0"/>
              <w:marBottom w:val="0"/>
              <w:divBdr>
                <w:top w:val="none" w:sz="0" w:space="0" w:color="auto"/>
                <w:left w:val="none" w:sz="0" w:space="0" w:color="auto"/>
                <w:bottom w:val="none" w:sz="0" w:space="0" w:color="auto"/>
                <w:right w:val="none" w:sz="0" w:space="0" w:color="auto"/>
              </w:divBdr>
            </w:div>
            <w:div w:id="1694184244">
              <w:marLeft w:val="0"/>
              <w:marRight w:val="0"/>
              <w:marTop w:val="0"/>
              <w:marBottom w:val="0"/>
              <w:divBdr>
                <w:top w:val="none" w:sz="0" w:space="0" w:color="auto"/>
                <w:left w:val="none" w:sz="0" w:space="0" w:color="auto"/>
                <w:bottom w:val="none" w:sz="0" w:space="0" w:color="auto"/>
                <w:right w:val="none" w:sz="0" w:space="0" w:color="auto"/>
              </w:divBdr>
            </w:div>
            <w:div w:id="179470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917934">
      <w:bodyDiv w:val="1"/>
      <w:marLeft w:val="0"/>
      <w:marRight w:val="0"/>
      <w:marTop w:val="0"/>
      <w:marBottom w:val="0"/>
      <w:divBdr>
        <w:top w:val="none" w:sz="0" w:space="0" w:color="auto"/>
        <w:left w:val="none" w:sz="0" w:space="0" w:color="auto"/>
        <w:bottom w:val="none" w:sz="0" w:space="0" w:color="auto"/>
        <w:right w:val="none" w:sz="0" w:space="0" w:color="auto"/>
      </w:divBdr>
    </w:div>
    <w:div w:id="681010579">
      <w:bodyDiv w:val="1"/>
      <w:marLeft w:val="0"/>
      <w:marRight w:val="0"/>
      <w:marTop w:val="0"/>
      <w:marBottom w:val="0"/>
      <w:divBdr>
        <w:top w:val="none" w:sz="0" w:space="0" w:color="auto"/>
        <w:left w:val="none" w:sz="0" w:space="0" w:color="auto"/>
        <w:bottom w:val="none" w:sz="0" w:space="0" w:color="auto"/>
        <w:right w:val="none" w:sz="0" w:space="0" w:color="auto"/>
      </w:divBdr>
    </w:div>
    <w:div w:id="697319605">
      <w:bodyDiv w:val="1"/>
      <w:marLeft w:val="0"/>
      <w:marRight w:val="0"/>
      <w:marTop w:val="0"/>
      <w:marBottom w:val="0"/>
      <w:divBdr>
        <w:top w:val="none" w:sz="0" w:space="0" w:color="auto"/>
        <w:left w:val="none" w:sz="0" w:space="0" w:color="auto"/>
        <w:bottom w:val="none" w:sz="0" w:space="0" w:color="auto"/>
        <w:right w:val="none" w:sz="0" w:space="0" w:color="auto"/>
      </w:divBdr>
    </w:div>
    <w:div w:id="701785265">
      <w:bodyDiv w:val="1"/>
      <w:marLeft w:val="0"/>
      <w:marRight w:val="0"/>
      <w:marTop w:val="0"/>
      <w:marBottom w:val="0"/>
      <w:divBdr>
        <w:top w:val="none" w:sz="0" w:space="0" w:color="auto"/>
        <w:left w:val="none" w:sz="0" w:space="0" w:color="auto"/>
        <w:bottom w:val="none" w:sz="0" w:space="0" w:color="auto"/>
        <w:right w:val="none" w:sz="0" w:space="0" w:color="auto"/>
      </w:divBdr>
    </w:div>
    <w:div w:id="703872991">
      <w:bodyDiv w:val="1"/>
      <w:marLeft w:val="0"/>
      <w:marRight w:val="0"/>
      <w:marTop w:val="0"/>
      <w:marBottom w:val="0"/>
      <w:divBdr>
        <w:top w:val="none" w:sz="0" w:space="0" w:color="auto"/>
        <w:left w:val="none" w:sz="0" w:space="0" w:color="auto"/>
        <w:bottom w:val="none" w:sz="0" w:space="0" w:color="auto"/>
        <w:right w:val="none" w:sz="0" w:space="0" w:color="auto"/>
      </w:divBdr>
    </w:div>
    <w:div w:id="704403809">
      <w:bodyDiv w:val="1"/>
      <w:marLeft w:val="0"/>
      <w:marRight w:val="0"/>
      <w:marTop w:val="0"/>
      <w:marBottom w:val="0"/>
      <w:divBdr>
        <w:top w:val="none" w:sz="0" w:space="0" w:color="auto"/>
        <w:left w:val="none" w:sz="0" w:space="0" w:color="auto"/>
        <w:bottom w:val="none" w:sz="0" w:space="0" w:color="auto"/>
        <w:right w:val="none" w:sz="0" w:space="0" w:color="auto"/>
      </w:divBdr>
    </w:div>
    <w:div w:id="710885939">
      <w:bodyDiv w:val="1"/>
      <w:marLeft w:val="0"/>
      <w:marRight w:val="0"/>
      <w:marTop w:val="0"/>
      <w:marBottom w:val="0"/>
      <w:divBdr>
        <w:top w:val="none" w:sz="0" w:space="0" w:color="auto"/>
        <w:left w:val="none" w:sz="0" w:space="0" w:color="auto"/>
        <w:bottom w:val="none" w:sz="0" w:space="0" w:color="auto"/>
        <w:right w:val="none" w:sz="0" w:space="0" w:color="auto"/>
      </w:divBdr>
      <w:divsChild>
        <w:div w:id="1647008268">
          <w:marLeft w:val="0"/>
          <w:marRight w:val="0"/>
          <w:marTop w:val="0"/>
          <w:marBottom w:val="0"/>
          <w:divBdr>
            <w:top w:val="none" w:sz="0" w:space="0" w:color="auto"/>
            <w:left w:val="none" w:sz="0" w:space="0" w:color="auto"/>
            <w:bottom w:val="none" w:sz="0" w:space="0" w:color="auto"/>
            <w:right w:val="none" w:sz="0" w:space="0" w:color="auto"/>
          </w:divBdr>
          <w:divsChild>
            <w:div w:id="1488130725">
              <w:marLeft w:val="0"/>
              <w:marRight w:val="0"/>
              <w:marTop w:val="0"/>
              <w:marBottom w:val="0"/>
              <w:divBdr>
                <w:top w:val="none" w:sz="0" w:space="0" w:color="auto"/>
                <w:left w:val="none" w:sz="0" w:space="0" w:color="auto"/>
                <w:bottom w:val="none" w:sz="0" w:space="0" w:color="auto"/>
                <w:right w:val="none" w:sz="0" w:space="0" w:color="auto"/>
              </w:divBdr>
              <w:divsChild>
                <w:div w:id="1226188418">
                  <w:marLeft w:val="0"/>
                  <w:marRight w:val="0"/>
                  <w:marTop w:val="0"/>
                  <w:marBottom w:val="0"/>
                  <w:divBdr>
                    <w:top w:val="none" w:sz="0" w:space="0" w:color="auto"/>
                    <w:left w:val="none" w:sz="0" w:space="0" w:color="auto"/>
                    <w:bottom w:val="none" w:sz="0" w:space="0" w:color="auto"/>
                    <w:right w:val="none" w:sz="0" w:space="0" w:color="auto"/>
                  </w:divBdr>
                  <w:divsChild>
                    <w:div w:id="1004212060">
                      <w:marLeft w:val="0"/>
                      <w:marRight w:val="0"/>
                      <w:marTop w:val="0"/>
                      <w:marBottom w:val="0"/>
                      <w:divBdr>
                        <w:top w:val="none" w:sz="0" w:space="0" w:color="auto"/>
                        <w:left w:val="none" w:sz="0" w:space="0" w:color="auto"/>
                        <w:bottom w:val="none" w:sz="0" w:space="0" w:color="auto"/>
                        <w:right w:val="none" w:sz="0" w:space="0" w:color="auto"/>
                      </w:divBdr>
                      <w:divsChild>
                        <w:div w:id="747580614">
                          <w:marLeft w:val="0"/>
                          <w:marRight w:val="0"/>
                          <w:marTop w:val="0"/>
                          <w:marBottom w:val="0"/>
                          <w:divBdr>
                            <w:top w:val="none" w:sz="0" w:space="0" w:color="auto"/>
                            <w:left w:val="none" w:sz="0" w:space="0" w:color="auto"/>
                            <w:bottom w:val="none" w:sz="0" w:space="0" w:color="auto"/>
                            <w:right w:val="none" w:sz="0" w:space="0" w:color="auto"/>
                          </w:divBdr>
                          <w:divsChild>
                            <w:div w:id="1747609051">
                              <w:marLeft w:val="0"/>
                              <w:marRight w:val="0"/>
                              <w:marTop w:val="0"/>
                              <w:marBottom w:val="0"/>
                              <w:divBdr>
                                <w:top w:val="none" w:sz="0" w:space="0" w:color="auto"/>
                                <w:left w:val="none" w:sz="0" w:space="0" w:color="auto"/>
                                <w:bottom w:val="none" w:sz="0" w:space="0" w:color="auto"/>
                                <w:right w:val="none" w:sz="0" w:space="0" w:color="auto"/>
                              </w:divBdr>
                              <w:divsChild>
                                <w:div w:id="909776103">
                                  <w:marLeft w:val="0"/>
                                  <w:marRight w:val="0"/>
                                  <w:marTop w:val="0"/>
                                  <w:marBottom w:val="0"/>
                                  <w:divBdr>
                                    <w:top w:val="none" w:sz="0" w:space="0" w:color="auto"/>
                                    <w:left w:val="none" w:sz="0" w:space="0" w:color="auto"/>
                                    <w:bottom w:val="none" w:sz="0" w:space="0" w:color="auto"/>
                                    <w:right w:val="none" w:sz="0" w:space="0" w:color="auto"/>
                                  </w:divBdr>
                                  <w:divsChild>
                                    <w:div w:id="800346579">
                                      <w:marLeft w:val="0"/>
                                      <w:marRight w:val="0"/>
                                      <w:marTop w:val="0"/>
                                      <w:marBottom w:val="0"/>
                                      <w:divBdr>
                                        <w:top w:val="none" w:sz="0" w:space="0" w:color="auto"/>
                                        <w:left w:val="none" w:sz="0" w:space="0" w:color="auto"/>
                                        <w:bottom w:val="none" w:sz="0" w:space="0" w:color="auto"/>
                                        <w:right w:val="none" w:sz="0" w:space="0" w:color="auto"/>
                                      </w:divBdr>
                                      <w:divsChild>
                                        <w:div w:id="727724817">
                                          <w:marLeft w:val="0"/>
                                          <w:marRight w:val="0"/>
                                          <w:marTop w:val="0"/>
                                          <w:marBottom w:val="0"/>
                                          <w:divBdr>
                                            <w:top w:val="none" w:sz="0" w:space="0" w:color="auto"/>
                                            <w:left w:val="none" w:sz="0" w:space="0" w:color="auto"/>
                                            <w:bottom w:val="none" w:sz="0" w:space="0" w:color="auto"/>
                                            <w:right w:val="none" w:sz="0" w:space="0" w:color="auto"/>
                                          </w:divBdr>
                                          <w:divsChild>
                                            <w:div w:id="433745422">
                                              <w:marLeft w:val="0"/>
                                              <w:marRight w:val="0"/>
                                              <w:marTop w:val="0"/>
                                              <w:marBottom w:val="0"/>
                                              <w:divBdr>
                                                <w:top w:val="none" w:sz="0" w:space="0" w:color="auto"/>
                                                <w:left w:val="none" w:sz="0" w:space="0" w:color="auto"/>
                                                <w:bottom w:val="none" w:sz="0" w:space="0" w:color="auto"/>
                                                <w:right w:val="none" w:sz="0" w:space="0" w:color="auto"/>
                                              </w:divBdr>
                                              <w:divsChild>
                                                <w:div w:id="14425184">
                                                  <w:marLeft w:val="0"/>
                                                  <w:marRight w:val="0"/>
                                                  <w:marTop w:val="0"/>
                                                  <w:marBottom w:val="0"/>
                                                  <w:divBdr>
                                                    <w:top w:val="none" w:sz="0" w:space="0" w:color="auto"/>
                                                    <w:left w:val="none" w:sz="0" w:space="0" w:color="auto"/>
                                                    <w:bottom w:val="none" w:sz="0" w:space="0" w:color="auto"/>
                                                    <w:right w:val="none" w:sz="0" w:space="0" w:color="auto"/>
                                                  </w:divBdr>
                                                  <w:divsChild>
                                                    <w:div w:id="1005595277">
                                                      <w:marLeft w:val="0"/>
                                                      <w:marRight w:val="0"/>
                                                      <w:marTop w:val="0"/>
                                                      <w:marBottom w:val="0"/>
                                                      <w:divBdr>
                                                        <w:top w:val="none" w:sz="0" w:space="0" w:color="auto"/>
                                                        <w:left w:val="none" w:sz="0" w:space="0" w:color="auto"/>
                                                        <w:bottom w:val="none" w:sz="0" w:space="0" w:color="auto"/>
                                                        <w:right w:val="none" w:sz="0" w:space="0" w:color="auto"/>
                                                      </w:divBdr>
                                                      <w:divsChild>
                                                        <w:div w:id="2091465990">
                                                          <w:marLeft w:val="0"/>
                                                          <w:marRight w:val="0"/>
                                                          <w:marTop w:val="0"/>
                                                          <w:marBottom w:val="0"/>
                                                          <w:divBdr>
                                                            <w:top w:val="none" w:sz="0" w:space="0" w:color="auto"/>
                                                            <w:left w:val="none" w:sz="0" w:space="0" w:color="auto"/>
                                                            <w:bottom w:val="none" w:sz="0" w:space="0" w:color="auto"/>
                                                            <w:right w:val="none" w:sz="0" w:space="0" w:color="auto"/>
                                                          </w:divBdr>
                                                          <w:divsChild>
                                                            <w:div w:id="1547721774">
                                                              <w:marLeft w:val="0"/>
                                                              <w:marRight w:val="0"/>
                                                              <w:marTop w:val="0"/>
                                                              <w:marBottom w:val="0"/>
                                                              <w:divBdr>
                                                                <w:top w:val="none" w:sz="0" w:space="0" w:color="auto"/>
                                                                <w:left w:val="none" w:sz="0" w:space="0" w:color="auto"/>
                                                                <w:bottom w:val="none" w:sz="0" w:space="0" w:color="auto"/>
                                                                <w:right w:val="none" w:sz="0" w:space="0" w:color="auto"/>
                                                              </w:divBdr>
                                                              <w:divsChild>
                                                                <w:div w:id="88308159">
                                                                  <w:marLeft w:val="0"/>
                                                                  <w:marRight w:val="0"/>
                                                                  <w:marTop w:val="0"/>
                                                                  <w:marBottom w:val="0"/>
                                                                  <w:divBdr>
                                                                    <w:top w:val="none" w:sz="0" w:space="0" w:color="auto"/>
                                                                    <w:left w:val="none" w:sz="0" w:space="0" w:color="auto"/>
                                                                    <w:bottom w:val="none" w:sz="0" w:space="0" w:color="auto"/>
                                                                    <w:right w:val="none" w:sz="0" w:space="0" w:color="auto"/>
                                                                  </w:divBdr>
                                                                </w:div>
                                                                <w:div w:id="157625150">
                                                                  <w:marLeft w:val="0"/>
                                                                  <w:marRight w:val="0"/>
                                                                  <w:marTop w:val="0"/>
                                                                  <w:marBottom w:val="0"/>
                                                                  <w:divBdr>
                                                                    <w:top w:val="none" w:sz="0" w:space="0" w:color="auto"/>
                                                                    <w:left w:val="none" w:sz="0" w:space="0" w:color="auto"/>
                                                                    <w:bottom w:val="none" w:sz="0" w:space="0" w:color="auto"/>
                                                                    <w:right w:val="none" w:sz="0" w:space="0" w:color="auto"/>
                                                                  </w:divBdr>
                                                                </w:div>
                                                                <w:div w:id="510608686">
                                                                  <w:marLeft w:val="0"/>
                                                                  <w:marRight w:val="0"/>
                                                                  <w:marTop w:val="0"/>
                                                                  <w:marBottom w:val="0"/>
                                                                  <w:divBdr>
                                                                    <w:top w:val="none" w:sz="0" w:space="0" w:color="auto"/>
                                                                    <w:left w:val="none" w:sz="0" w:space="0" w:color="auto"/>
                                                                    <w:bottom w:val="none" w:sz="0" w:space="0" w:color="auto"/>
                                                                    <w:right w:val="none" w:sz="0" w:space="0" w:color="auto"/>
                                                                  </w:divBdr>
                                                                </w:div>
                                                                <w:div w:id="1074280494">
                                                                  <w:marLeft w:val="0"/>
                                                                  <w:marRight w:val="0"/>
                                                                  <w:marTop w:val="0"/>
                                                                  <w:marBottom w:val="0"/>
                                                                  <w:divBdr>
                                                                    <w:top w:val="none" w:sz="0" w:space="0" w:color="auto"/>
                                                                    <w:left w:val="none" w:sz="0" w:space="0" w:color="auto"/>
                                                                    <w:bottom w:val="none" w:sz="0" w:space="0" w:color="auto"/>
                                                                    <w:right w:val="none" w:sz="0" w:space="0" w:color="auto"/>
                                                                  </w:divBdr>
                                                                </w:div>
                                                                <w:div w:id="1076896683">
                                                                  <w:marLeft w:val="0"/>
                                                                  <w:marRight w:val="0"/>
                                                                  <w:marTop w:val="0"/>
                                                                  <w:marBottom w:val="0"/>
                                                                  <w:divBdr>
                                                                    <w:top w:val="none" w:sz="0" w:space="0" w:color="auto"/>
                                                                    <w:left w:val="none" w:sz="0" w:space="0" w:color="auto"/>
                                                                    <w:bottom w:val="none" w:sz="0" w:space="0" w:color="auto"/>
                                                                    <w:right w:val="none" w:sz="0" w:space="0" w:color="auto"/>
                                                                  </w:divBdr>
                                                                </w:div>
                                                                <w:div w:id="1658723596">
                                                                  <w:marLeft w:val="0"/>
                                                                  <w:marRight w:val="0"/>
                                                                  <w:marTop w:val="120"/>
                                                                  <w:marBottom w:val="120"/>
                                                                  <w:divBdr>
                                                                    <w:top w:val="none" w:sz="0" w:space="0" w:color="auto"/>
                                                                    <w:left w:val="none" w:sz="0" w:space="0" w:color="auto"/>
                                                                    <w:bottom w:val="none" w:sz="0" w:space="0" w:color="auto"/>
                                                                    <w:right w:val="none" w:sz="0" w:space="0" w:color="auto"/>
                                                                  </w:divBdr>
                                                                  <w:divsChild>
                                                                    <w:div w:id="149906415">
                                                                      <w:marLeft w:val="0"/>
                                                                      <w:marRight w:val="0"/>
                                                                      <w:marTop w:val="0"/>
                                                                      <w:marBottom w:val="0"/>
                                                                      <w:divBdr>
                                                                        <w:top w:val="none" w:sz="0" w:space="0" w:color="auto"/>
                                                                        <w:left w:val="none" w:sz="0" w:space="0" w:color="auto"/>
                                                                        <w:bottom w:val="none" w:sz="0" w:space="0" w:color="auto"/>
                                                                        <w:right w:val="none" w:sz="0" w:space="0" w:color="auto"/>
                                                                      </w:divBdr>
                                                                    </w:div>
                                                                    <w:div w:id="218517269">
                                                                      <w:marLeft w:val="0"/>
                                                                      <w:marRight w:val="0"/>
                                                                      <w:marTop w:val="0"/>
                                                                      <w:marBottom w:val="0"/>
                                                                      <w:divBdr>
                                                                        <w:top w:val="none" w:sz="0" w:space="0" w:color="auto"/>
                                                                        <w:left w:val="none" w:sz="0" w:space="0" w:color="auto"/>
                                                                        <w:bottom w:val="none" w:sz="0" w:space="0" w:color="auto"/>
                                                                        <w:right w:val="none" w:sz="0" w:space="0" w:color="auto"/>
                                                                      </w:divBdr>
                                                                    </w:div>
                                                                    <w:div w:id="2136412722">
                                                                      <w:marLeft w:val="0"/>
                                                                      <w:marRight w:val="0"/>
                                                                      <w:marTop w:val="0"/>
                                                                      <w:marBottom w:val="0"/>
                                                                      <w:divBdr>
                                                                        <w:top w:val="none" w:sz="0" w:space="0" w:color="auto"/>
                                                                        <w:left w:val="none" w:sz="0" w:space="0" w:color="auto"/>
                                                                        <w:bottom w:val="none" w:sz="0" w:space="0" w:color="auto"/>
                                                                        <w:right w:val="none" w:sz="0" w:space="0" w:color="auto"/>
                                                                      </w:divBdr>
                                                                    </w:div>
                                                                  </w:divsChild>
                                                                </w:div>
                                                                <w:div w:id="1735008795">
                                                                  <w:marLeft w:val="0"/>
                                                                  <w:marRight w:val="0"/>
                                                                  <w:marTop w:val="0"/>
                                                                  <w:marBottom w:val="0"/>
                                                                  <w:divBdr>
                                                                    <w:top w:val="none" w:sz="0" w:space="0" w:color="auto"/>
                                                                    <w:left w:val="none" w:sz="0" w:space="0" w:color="auto"/>
                                                                    <w:bottom w:val="none" w:sz="0" w:space="0" w:color="auto"/>
                                                                    <w:right w:val="none" w:sz="0" w:space="0" w:color="auto"/>
                                                                  </w:divBdr>
                                                                </w:div>
                                                                <w:div w:id="191693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12971864">
      <w:bodyDiv w:val="1"/>
      <w:marLeft w:val="0"/>
      <w:marRight w:val="0"/>
      <w:marTop w:val="0"/>
      <w:marBottom w:val="0"/>
      <w:divBdr>
        <w:top w:val="none" w:sz="0" w:space="0" w:color="auto"/>
        <w:left w:val="none" w:sz="0" w:space="0" w:color="auto"/>
        <w:bottom w:val="none" w:sz="0" w:space="0" w:color="auto"/>
        <w:right w:val="none" w:sz="0" w:space="0" w:color="auto"/>
      </w:divBdr>
      <w:divsChild>
        <w:div w:id="1244685407">
          <w:marLeft w:val="0"/>
          <w:marRight w:val="0"/>
          <w:marTop w:val="0"/>
          <w:marBottom w:val="0"/>
          <w:divBdr>
            <w:top w:val="none" w:sz="0" w:space="0" w:color="auto"/>
            <w:left w:val="none" w:sz="0" w:space="0" w:color="auto"/>
            <w:bottom w:val="none" w:sz="0" w:space="0" w:color="auto"/>
            <w:right w:val="none" w:sz="0" w:space="0" w:color="auto"/>
          </w:divBdr>
          <w:divsChild>
            <w:div w:id="1216703808">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715087443">
      <w:bodyDiv w:val="1"/>
      <w:marLeft w:val="0"/>
      <w:marRight w:val="0"/>
      <w:marTop w:val="0"/>
      <w:marBottom w:val="0"/>
      <w:divBdr>
        <w:top w:val="none" w:sz="0" w:space="0" w:color="auto"/>
        <w:left w:val="none" w:sz="0" w:space="0" w:color="auto"/>
        <w:bottom w:val="none" w:sz="0" w:space="0" w:color="auto"/>
        <w:right w:val="none" w:sz="0" w:space="0" w:color="auto"/>
      </w:divBdr>
    </w:div>
    <w:div w:id="721517159">
      <w:bodyDiv w:val="1"/>
      <w:marLeft w:val="0"/>
      <w:marRight w:val="0"/>
      <w:marTop w:val="0"/>
      <w:marBottom w:val="450"/>
      <w:divBdr>
        <w:top w:val="none" w:sz="0" w:space="0" w:color="auto"/>
        <w:left w:val="none" w:sz="0" w:space="0" w:color="auto"/>
        <w:bottom w:val="none" w:sz="0" w:space="0" w:color="auto"/>
        <w:right w:val="none" w:sz="0" w:space="0" w:color="auto"/>
      </w:divBdr>
      <w:divsChild>
        <w:div w:id="1829131795">
          <w:marLeft w:val="0"/>
          <w:marRight w:val="0"/>
          <w:marTop w:val="100"/>
          <w:marBottom w:val="100"/>
          <w:divBdr>
            <w:top w:val="none" w:sz="0" w:space="0" w:color="auto"/>
            <w:left w:val="none" w:sz="0" w:space="0" w:color="auto"/>
            <w:bottom w:val="none" w:sz="0" w:space="0" w:color="auto"/>
            <w:right w:val="none" w:sz="0" w:space="0" w:color="auto"/>
          </w:divBdr>
          <w:divsChild>
            <w:div w:id="1366717524">
              <w:marLeft w:val="0"/>
              <w:marRight w:val="0"/>
              <w:marTop w:val="0"/>
              <w:marBottom w:val="0"/>
              <w:divBdr>
                <w:top w:val="none" w:sz="0" w:space="0" w:color="auto"/>
                <w:left w:val="none" w:sz="0" w:space="0" w:color="auto"/>
                <w:bottom w:val="none" w:sz="0" w:space="0" w:color="auto"/>
                <w:right w:val="none" w:sz="0" w:space="0" w:color="auto"/>
              </w:divBdr>
              <w:divsChild>
                <w:div w:id="669721945">
                  <w:marLeft w:val="300"/>
                  <w:marRight w:val="300"/>
                  <w:marTop w:val="0"/>
                  <w:marBottom w:val="0"/>
                  <w:divBdr>
                    <w:top w:val="none" w:sz="0" w:space="0" w:color="auto"/>
                    <w:left w:val="none" w:sz="0" w:space="0" w:color="auto"/>
                    <w:bottom w:val="none" w:sz="0" w:space="0" w:color="auto"/>
                    <w:right w:val="none" w:sz="0" w:space="0" w:color="auto"/>
                  </w:divBdr>
                  <w:divsChild>
                    <w:div w:id="2113158463">
                      <w:marLeft w:val="0"/>
                      <w:marRight w:val="0"/>
                      <w:marTop w:val="0"/>
                      <w:marBottom w:val="0"/>
                      <w:divBdr>
                        <w:top w:val="none" w:sz="0" w:space="0" w:color="auto"/>
                        <w:left w:val="none" w:sz="0" w:space="0" w:color="auto"/>
                        <w:bottom w:val="none" w:sz="0" w:space="0" w:color="auto"/>
                        <w:right w:val="none" w:sz="0" w:space="0" w:color="auto"/>
                      </w:divBdr>
                      <w:divsChild>
                        <w:div w:id="945771929">
                          <w:marLeft w:val="0"/>
                          <w:marRight w:val="0"/>
                          <w:marTop w:val="0"/>
                          <w:marBottom w:val="0"/>
                          <w:divBdr>
                            <w:top w:val="none" w:sz="0" w:space="0" w:color="auto"/>
                            <w:left w:val="none" w:sz="0" w:space="0" w:color="auto"/>
                            <w:bottom w:val="none" w:sz="0" w:space="0" w:color="auto"/>
                            <w:right w:val="none" w:sz="0" w:space="0" w:color="auto"/>
                          </w:divBdr>
                          <w:divsChild>
                            <w:div w:id="107243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4446264">
      <w:bodyDiv w:val="1"/>
      <w:marLeft w:val="0"/>
      <w:marRight w:val="0"/>
      <w:marTop w:val="0"/>
      <w:marBottom w:val="0"/>
      <w:divBdr>
        <w:top w:val="none" w:sz="0" w:space="0" w:color="auto"/>
        <w:left w:val="none" w:sz="0" w:space="0" w:color="auto"/>
        <w:bottom w:val="none" w:sz="0" w:space="0" w:color="auto"/>
        <w:right w:val="none" w:sz="0" w:space="0" w:color="auto"/>
      </w:divBdr>
      <w:divsChild>
        <w:div w:id="316150310">
          <w:marLeft w:val="0"/>
          <w:marRight w:val="0"/>
          <w:marTop w:val="0"/>
          <w:marBottom w:val="0"/>
          <w:divBdr>
            <w:top w:val="none" w:sz="0" w:space="0" w:color="auto"/>
            <w:left w:val="none" w:sz="0" w:space="0" w:color="auto"/>
            <w:bottom w:val="none" w:sz="0" w:space="0" w:color="auto"/>
            <w:right w:val="none" w:sz="0" w:space="0" w:color="auto"/>
          </w:divBdr>
          <w:divsChild>
            <w:div w:id="2046056211">
              <w:marLeft w:val="0"/>
              <w:marRight w:val="0"/>
              <w:marTop w:val="0"/>
              <w:marBottom w:val="0"/>
              <w:divBdr>
                <w:top w:val="none" w:sz="0" w:space="0" w:color="auto"/>
                <w:left w:val="none" w:sz="0" w:space="0" w:color="auto"/>
                <w:bottom w:val="none" w:sz="0" w:space="0" w:color="auto"/>
                <w:right w:val="none" w:sz="0" w:space="0" w:color="auto"/>
              </w:divBdr>
              <w:divsChild>
                <w:div w:id="426463788">
                  <w:marLeft w:val="0"/>
                  <w:marRight w:val="0"/>
                  <w:marTop w:val="0"/>
                  <w:marBottom w:val="0"/>
                  <w:divBdr>
                    <w:top w:val="none" w:sz="0" w:space="0" w:color="auto"/>
                    <w:left w:val="none" w:sz="0" w:space="0" w:color="auto"/>
                    <w:bottom w:val="none" w:sz="0" w:space="0" w:color="auto"/>
                    <w:right w:val="none" w:sz="0" w:space="0" w:color="auto"/>
                  </w:divBdr>
                </w:div>
                <w:div w:id="139389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90199">
          <w:marLeft w:val="0"/>
          <w:marRight w:val="0"/>
          <w:marTop w:val="0"/>
          <w:marBottom w:val="0"/>
          <w:divBdr>
            <w:top w:val="none" w:sz="0" w:space="0" w:color="auto"/>
            <w:left w:val="none" w:sz="0" w:space="0" w:color="auto"/>
            <w:bottom w:val="none" w:sz="0" w:space="0" w:color="auto"/>
            <w:right w:val="none" w:sz="0" w:space="0" w:color="auto"/>
          </w:divBdr>
          <w:divsChild>
            <w:div w:id="772435995">
              <w:marLeft w:val="0"/>
              <w:marRight w:val="0"/>
              <w:marTop w:val="0"/>
              <w:marBottom w:val="0"/>
              <w:divBdr>
                <w:top w:val="none" w:sz="0" w:space="0" w:color="auto"/>
                <w:left w:val="none" w:sz="0" w:space="0" w:color="auto"/>
                <w:bottom w:val="none" w:sz="0" w:space="0" w:color="auto"/>
                <w:right w:val="none" w:sz="0" w:space="0" w:color="auto"/>
              </w:divBdr>
              <w:divsChild>
                <w:div w:id="222645161">
                  <w:marLeft w:val="0"/>
                  <w:marRight w:val="0"/>
                  <w:marTop w:val="0"/>
                  <w:marBottom w:val="0"/>
                  <w:divBdr>
                    <w:top w:val="none" w:sz="0" w:space="0" w:color="auto"/>
                    <w:left w:val="none" w:sz="0" w:space="0" w:color="auto"/>
                    <w:bottom w:val="none" w:sz="0" w:space="0" w:color="auto"/>
                    <w:right w:val="none" w:sz="0" w:space="0" w:color="auto"/>
                  </w:divBdr>
                </w:div>
                <w:div w:id="114087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76756">
          <w:marLeft w:val="0"/>
          <w:marRight w:val="0"/>
          <w:marTop w:val="0"/>
          <w:marBottom w:val="0"/>
          <w:divBdr>
            <w:top w:val="none" w:sz="0" w:space="0" w:color="auto"/>
            <w:left w:val="none" w:sz="0" w:space="0" w:color="auto"/>
            <w:bottom w:val="none" w:sz="0" w:space="0" w:color="auto"/>
            <w:right w:val="none" w:sz="0" w:space="0" w:color="auto"/>
          </w:divBdr>
          <w:divsChild>
            <w:div w:id="1773352793">
              <w:marLeft w:val="0"/>
              <w:marRight w:val="0"/>
              <w:marTop w:val="0"/>
              <w:marBottom w:val="0"/>
              <w:divBdr>
                <w:top w:val="none" w:sz="0" w:space="0" w:color="auto"/>
                <w:left w:val="none" w:sz="0" w:space="0" w:color="auto"/>
                <w:bottom w:val="none" w:sz="0" w:space="0" w:color="auto"/>
                <w:right w:val="none" w:sz="0" w:space="0" w:color="auto"/>
              </w:divBdr>
              <w:divsChild>
                <w:div w:id="152336912">
                  <w:marLeft w:val="0"/>
                  <w:marRight w:val="0"/>
                  <w:marTop w:val="0"/>
                  <w:marBottom w:val="0"/>
                  <w:divBdr>
                    <w:top w:val="none" w:sz="0" w:space="0" w:color="auto"/>
                    <w:left w:val="none" w:sz="0" w:space="0" w:color="auto"/>
                    <w:bottom w:val="none" w:sz="0" w:space="0" w:color="auto"/>
                    <w:right w:val="none" w:sz="0" w:space="0" w:color="auto"/>
                  </w:divBdr>
                </w:div>
                <w:div w:id="154312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315687">
          <w:marLeft w:val="0"/>
          <w:marRight w:val="0"/>
          <w:marTop w:val="0"/>
          <w:marBottom w:val="0"/>
          <w:divBdr>
            <w:top w:val="none" w:sz="0" w:space="0" w:color="auto"/>
            <w:left w:val="none" w:sz="0" w:space="0" w:color="auto"/>
            <w:bottom w:val="none" w:sz="0" w:space="0" w:color="auto"/>
            <w:right w:val="none" w:sz="0" w:space="0" w:color="auto"/>
          </w:divBdr>
          <w:divsChild>
            <w:div w:id="85155846">
              <w:marLeft w:val="0"/>
              <w:marRight w:val="0"/>
              <w:marTop w:val="0"/>
              <w:marBottom w:val="0"/>
              <w:divBdr>
                <w:top w:val="none" w:sz="0" w:space="0" w:color="auto"/>
                <w:left w:val="none" w:sz="0" w:space="0" w:color="auto"/>
                <w:bottom w:val="none" w:sz="0" w:space="0" w:color="auto"/>
                <w:right w:val="none" w:sz="0" w:space="0" w:color="auto"/>
              </w:divBdr>
              <w:divsChild>
                <w:div w:id="364136834">
                  <w:marLeft w:val="0"/>
                  <w:marRight w:val="0"/>
                  <w:marTop w:val="0"/>
                  <w:marBottom w:val="0"/>
                  <w:divBdr>
                    <w:top w:val="none" w:sz="0" w:space="0" w:color="auto"/>
                    <w:left w:val="none" w:sz="0" w:space="0" w:color="auto"/>
                    <w:bottom w:val="none" w:sz="0" w:space="0" w:color="auto"/>
                    <w:right w:val="none" w:sz="0" w:space="0" w:color="auto"/>
                  </w:divBdr>
                </w:div>
                <w:div w:id="73239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007504">
      <w:bodyDiv w:val="1"/>
      <w:marLeft w:val="0"/>
      <w:marRight w:val="0"/>
      <w:marTop w:val="0"/>
      <w:marBottom w:val="0"/>
      <w:divBdr>
        <w:top w:val="none" w:sz="0" w:space="0" w:color="auto"/>
        <w:left w:val="none" w:sz="0" w:space="0" w:color="auto"/>
        <w:bottom w:val="none" w:sz="0" w:space="0" w:color="auto"/>
        <w:right w:val="none" w:sz="0" w:space="0" w:color="auto"/>
      </w:divBdr>
    </w:div>
    <w:div w:id="751244573">
      <w:bodyDiv w:val="1"/>
      <w:marLeft w:val="0"/>
      <w:marRight w:val="0"/>
      <w:marTop w:val="0"/>
      <w:marBottom w:val="0"/>
      <w:divBdr>
        <w:top w:val="none" w:sz="0" w:space="0" w:color="auto"/>
        <w:left w:val="none" w:sz="0" w:space="0" w:color="auto"/>
        <w:bottom w:val="none" w:sz="0" w:space="0" w:color="auto"/>
        <w:right w:val="none" w:sz="0" w:space="0" w:color="auto"/>
      </w:divBdr>
    </w:div>
    <w:div w:id="758719588">
      <w:bodyDiv w:val="1"/>
      <w:marLeft w:val="0"/>
      <w:marRight w:val="0"/>
      <w:marTop w:val="0"/>
      <w:marBottom w:val="0"/>
      <w:divBdr>
        <w:top w:val="none" w:sz="0" w:space="0" w:color="auto"/>
        <w:left w:val="none" w:sz="0" w:space="0" w:color="auto"/>
        <w:bottom w:val="none" w:sz="0" w:space="0" w:color="auto"/>
        <w:right w:val="none" w:sz="0" w:space="0" w:color="auto"/>
      </w:divBdr>
    </w:div>
    <w:div w:id="767506840">
      <w:bodyDiv w:val="1"/>
      <w:marLeft w:val="0"/>
      <w:marRight w:val="0"/>
      <w:marTop w:val="0"/>
      <w:marBottom w:val="0"/>
      <w:divBdr>
        <w:top w:val="none" w:sz="0" w:space="0" w:color="auto"/>
        <w:left w:val="none" w:sz="0" w:space="0" w:color="auto"/>
        <w:bottom w:val="none" w:sz="0" w:space="0" w:color="auto"/>
        <w:right w:val="none" w:sz="0" w:space="0" w:color="auto"/>
      </w:divBdr>
    </w:div>
    <w:div w:id="770703579">
      <w:bodyDiv w:val="1"/>
      <w:marLeft w:val="0"/>
      <w:marRight w:val="0"/>
      <w:marTop w:val="0"/>
      <w:marBottom w:val="0"/>
      <w:divBdr>
        <w:top w:val="none" w:sz="0" w:space="0" w:color="auto"/>
        <w:left w:val="none" w:sz="0" w:space="0" w:color="auto"/>
        <w:bottom w:val="none" w:sz="0" w:space="0" w:color="auto"/>
        <w:right w:val="none" w:sz="0" w:space="0" w:color="auto"/>
      </w:divBdr>
    </w:div>
    <w:div w:id="773017753">
      <w:bodyDiv w:val="1"/>
      <w:marLeft w:val="0"/>
      <w:marRight w:val="0"/>
      <w:marTop w:val="0"/>
      <w:marBottom w:val="0"/>
      <w:divBdr>
        <w:top w:val="none" w:sz="0" w:space="0" w:color="auto"/>
        <w:left w:val="none" w:sz="0" w:space="0" w:color="auto"/>
        <w:bottom w:val="none" w:sz="0" w:space="0" w:color="auto"/>
        <w:right w:val="none" w:sz="0" w:space="0" w:color="auto"/>
      </w:divBdr>
    </w:div>
    <w:div w:id="780105768">
      <w:bodyDiv w:val="1"/>
      <w:marLeft w:val="0"/>
      <w:marRight w:val="0"/>
      <w:marTop w:val="0"/>
      <w:marBottom w:val="0"/>
      <w:divBdr>
        <w:top w:val="none" w:sz="0" w:space="0" w:color="auto"/>
        <w:left w:val="none" w:sz="0" w:space="0" w:color="auto"/>
        <w:bottom w:val="none" w:sz="0" w:space="0" w:color="auto"/>
        <w:right w:val="none" w:sz="0" w:space="0" w:color="auto"/>
      </w:divBdr>
    </w:div>
    <w:div w:id="783840764">
      <w:bodyDiv w:val="1"/>
      <w:marLeft w:val="0"/>
      <w:marRight w:val="0"/>
      <w:marTop w:val="0"/>
      <w:marBottom w:val="0"/>
      <w:divBdr>
        <w:top w:val="none" w:sz="0" w:space="0" w:color="auto"/>
        <w:left w:val="none" w:sz="0" w:space="0" w:color="auto"/>
        <w:bottom w:val="none" w:sz="0" w:space="0" w:color="auto"/>
        <w:right w:val="none" w:sz="0" w:space="0" w:color="auto"/>
      </w:divBdr>
    </w:div>
    <w:div w:id="788939849">
      <w:bodyDiv w:val="1"/>
      <w:marLeft w:val="0"/>
      <w:marRight w:val="0"/>
      <w:marTop w:val="0"/>
      <w:marBottom w:val="0"/>
      <w:divBdr>
        <w:top w:val="none" w:sz="0" w:space="0" w:color="auto"/>
        <w:left w:val="none" w:sz="0" w:space="0" w:color="auto"/>
        <w:bottom w:val="none" w:sz="0" w:space="0" w:color="auto"/>
        <w:right w:val="none" w:sz="0" w:space="0" w:color="auto"/>
      </w:divBdr>
    </w:div>
    <w:div w:id="796920092">
      <w:bodyDiv w:val="1"/>
      <w:marLeft w:val="0"/>
      <w:marRight w:val="0"/>
      <w:marTop w:val="0"/>
      <w:marBottom w:val="0"/>
      <w:divBdr>
        <w:top w:val="none" w:sz="0" w:space="0" w:color="auto"/>
        <w:left w:val="none" w:sz="0" w:space="0" w:color="auto"/>
        <w:bottom w:val="none" w:sz="0" w:space="0" w:color="auto"/>
        <w:right w:val="none" w:sz="0" w:space="0" w:color="auto"/>
      </w:divBdr>
      <w:divsChild>
        <w:div w:id="2129471425">
          <w:marLeft w:val="0"/>
          <w:marRight w:val="0"/>
          <w:marTop w:val="0"/>
          <w:marBottom w:val="0"/>
          <w:divBdr>
            <w:top w:val="none" w:sz="0" w:space="0" w:color="auto"/>
            <w:left w:val="none" w:sz="0" w:space="0" w:color="auto"/>
            <w:bottom w:val="none" w:sz="0" w:space="0" w:color="auto"/>
            <w:right w:val="none" w:sz="0" w:space="0" w:color="auto"/>
          </w:divBdr>
        </w:div>
      </w:divsChild>
    </w:div>
    <w:div w:id="801575634">
      <w:bodyDiv w:val="1"/>
      <w:marLeft w:val="0"/>
      <w:marRight w:val="0"/>
      <w:marTop w:val="0"/>
      <w:marBottom w:val="0"/>
      <w:divBdr>
        <w:top w:val="none" w:sz="0" w:space="0" w:color="auto"/>
        <w:left w:val="none" w:sz="0" w:space="0" w:color="auto"/>
        <w:bottom w:val="none" w:sz="0" w:space="0" w:color="auto"/>
        <w:right w:val="none" w:sz="0" w:space="0" w:color="auto"/>
      </w:divBdr>
    </w:div>
    <w:div w:id="815954728">
      <w:bodyDiv w:val="1"/>
      <w:marLeft w:val="0"/>
      <w:marRight w:val="0"/>
      <w:marTop w:val="0"/>
      <w:marBottom w:val="0"/>
      <w:divBdr>
        <w:top w:val="none" w:sz="0" w:space="0" w:color="auto"/>
        <w:left w:val="none" w:sz="0" w:space="0" w:color="auto"/>
        <w:bottom w:val="none" w:sz="0" w:space="0" w:color="auto"/>
        <w:right w:val="none" w:sz="0" w:space="0" w:color="auto"/>
      </w:divBdr>
      <w:divsChild>
        <w:div w:id="658078186">
          <w:marLeft w:val="0"/>
          <w:marRight w:val="0"/>
          <w:marTop w:val="0"/>
          <w:marBottom w:val="0"/>
          <w:divBdr>
            <w:top w:val="none" w:sz="0" w:space="0" w:color="auto"/>
            <w:left w:val="none" w:sz="0" w:space="0" w:color="auto"/>
            <w:bottom w:val="none" w:sz="0" w:space="0" w:color="auto"/>
            <w:right w:val="none" w:sz="0" w:space="0" w:color="auto"/>
          </w:divBdr>
          <w:divsChild>
            <w:div w:id="1586650476">
              <w:marLeft w:val="3225"/>
              <w:marRight w:val="0"/>
              <w:marTop w:val="0"/>
              <w:marBottom w:val="0"/>
              <w:divBdr>
                <w:top w:val="none" w:sz="0" w:space="0" w:color="auto"/>
                <w:left w:val="none" w:sz="0" w:space="0" w:color="auto"/>
                <w:bottom w:val="none" w:sz="0" w:space="0" w:color="auto"/>
                <w:right w:val="none" w:sz="0" w:space="0" w:color="auto"/>
              </w:divBdr>
              <w:divsChild>
                <w:div w:id="1151484795">
                  <w:marLeft w:val="90"/>
                  <w:marRight w:val="0"/>
                  <w:marTop w:val="0"/>
                  <w:marBottom w:val="0"/>
                  <w:divBdr>
                    <w:top w:val="single" w:sz="6" w:space="0" w:color="EEEEEE"/>
                    <w:left w:val="none" w:sz="0" w:space="0" w:color="auto"/>
                    <w:bottom w:val="none" w:sz="0" w:space="0" w:color="auto"/>
                    <w:right w:val="none" w:sz="0" w:space="0" w:color="auto"/>
                  </w:divBdr>
                  <w:divsChild>
                    <w:div w:id="1567956666">
                      <w:marLeft w:val="0"/>
                      <w:marRight w:val="0"/>
                      <w:marTop w:val="0"/>
                      <w:marBottom w:val="0"/>
                      <w:divBdr>
                        <w:top w:val="none" w:sz="0" w:space="0" w:color="auto"/>
                        <w:left w:val="none" w:sz="0" w:space="0" w:color="auto"/>
                        <w:bottom w:val="none" w:sz="0" w:space="0" w:color="auto"/>
                        <w:right w:val="none" w:sz="0" w:space="0" w:color="auto"/>
                      </w:divBdr>
                      <w:divsChild>
                        <w:div w:id="49291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8132994">
      <w:bodyDiv w:val="1"/>
      <w:marLeft w:val="0"/>
      <w:marRight w:val="0"/>
      <w:marTop w:val="0"/>
      <w:marBottom w:val="0"/>
      <w:divBdr>
        <w:top w:val="none" w:sz="0" w:space="0" w:color="auto"/>
        <w:left w:val="none" w:sz="0" w:space="0" w:color="auto"/>
        <w:bottom w:val="none" w:sz="0" w:space="0" w:color="auto"/>
        <w:right w:val="none" w:sz="0" w:space="0" w:color="auto"/>
      </w:divBdr>
    </w:div>
    <w:div w:id="831527577">
      <w:bodyDiv w:val="1"/>
      <w:marLeft w:val="0"/>
      <w:marRight w:val="0"/>
      <w:marTop w:val="0"/>
      <w:marBottom w:val="0"/>
      <w:divBdr>
        <w:top w:val="none" w:sz="0" w:space="0" w:color="auto"/>
        <w:left w:val="none" w:sz="0" w:space="0" w:color="auto"/>
        <w:bottom w:val="none" w:sz="0" w:space="0" w:color="auto"/>
        <w:right w:val="none" w:sz="0" w:space="0" w:color="auto"/>
      </w:divBdr>
    </w:div>
    <w:div w:id="835800094">
      <w:bodyDiv w:val="1"/>
      <w:marLeft w:val="0"/>
      <w:marRight w:val="0"/>
      <w:marTop w:val="0"/>
      <w:marBottom w:val="0"/>
      <w:divBdr>
        <w:top w:val="none" w:sz="0" w:space="0" w:color="auto"/>
        <w:left w:val="none" w:sz="0" w:space="0" w:color="auto"/>
        <w:bottom w:val="none" w:sz="0" w:space="0" w:color="auto"/>
        <w:right w:val="none" w:sz="0" w:space="0" w:color="auto"/>
      </w:divBdr>
    </w:div>
    <w:div w:id="836506791">
      <w:bodyDiv w:val="1"/>
      <w:marLeft w:val="0"/>
      <w:marRight w:val="0"/>
      <w:marTop w:val="0"/>
      <w:marBottom w:val="0"/>
      <w:divBdr>
        <w:top w:val="none" w:sz="0" w:space="0" w:color="auto"/>
        <w:left w:val="none" w:sz="0" w:space="0" w:color="auto"/>
        <w:bottom w:val="none" w:sz="0" w:space="0" w:color="auto"/>
        <w:right w:val="none" w:sz="0" w:space="0" w:color="auto"/>
      </w:divBdr>
    </w:div>
    <w:div w:id="836848220">
      <w:bodyDiv w:val="1"/>
      <w:marLeft w:val="0"/>
      <w:marRight w:val="0"/>
      <w:marTop w:val="0"/>
      <w:marBottom w:val="0"/>
      <w:divBdr>
        <w:top w:val="none" w:sz="0" w:space="0" w:color="auto"/>
        <w:left w:val="none" w:sz="0" w:space="0" w:color="auto"/>
        <w:bottom w:val="none" w:sz="0" w:space="0" w:color="auto"/>
        <w:right w:val="none" w:sz="0" w:space="0" w:color="auto"/>
      </w:divBdr>
      <w:divsChild>
        <w:div w:id="1367564700">
          <w:marLeft w:val="0"/>
          <w:marRight w:val="0"/>
          <w:marTop w:val="0"/>
          <w:marBottom w:val="0"/>
          <w:divBdr>
            <w:top w:val="none" w:sz="0" w:space="0" w:color="auto"/>
            <w:left w:val="none" w:sz="0" w:space="0" w:color="auto"/>
            <w:bottom w:val="none" w:sz="0" w:space="0" w:color="auto"/>
            <w:right w:val="none" w:sz="0" w:space="0" w:color="auto"/>
          </w:divBdr>
          <w:divsChild>
            <w:div w:id="1065027370">
              <w:marLeft w:val="0"/>
              <w:marRight w:val="0"/>
              <w:marTop w:val="0"/>
              <w:marBottom w:val="0"/>
              <w:divBdr>
                <w:top w:val="none" w:sz="0" w:space="0" w:color="auto"/>
                <w:left w:val="none" w:sz="0" w:space="0" w:color="auto"/>
                <w:bottom w:val="none" w:sz="0" w:space="0" w:color="auto"/>
                <w:right w:val="none" w:sz="0" w:space="0" w:color="auto"/>
              </w:divBdr>
              <w:divsChild>
                <w:div w:id="1882554051">
                  <w:marLeft w:val="0"/>
                  <w:marRight w:val="0"/>
                  <w:marTop w:val="0"/>
                  <w:marBottom w:val="0"/>
                  <w:divBdr>
                    <w:top w:val="none" w:sz="0" w:space="0" w:color="auto"/>
                    <w:left w:val="none" w:sz="0" w:space="0" w:color="auto"/>
                    <w:bottom w:val="none" w:sz="0" w:space="0" w:color="auto"/>
                    <w:right w:val="none" w:sz="0" w:space="0" w:color="auto"/>
                  </w:divBdr>
                  <w:divsChild>
                    <w:div w:id="144600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659223">
      <w:bodyDiv w:val="1"/>
      <w:marLeft w:val="0"/>
      <w:marRight w:val="0"/>
      <w:marTop w:val="0"/>
      <w:marBottom w:val="0"/>
      <w:divBdr>
        <w:top w:val="none" w:sz="0" w:space="0" w:color="auto"/>
        <w:left w:val="none" w:sz="0" w:space="0" w:color="auto"/>
        <w:bottom w:val="none" w:sz="0" w:space="0" w:color="auto"/>
        <w:right w:val="none" w:sz="0" w:space="0" w:color="auto"/>
      </w:divBdr>
    </w:div>
    <w:div w:id="846287671">
      <w:bodyDiv w:val="1"/>
      <w:marLeft w:val="0"/>
      <w:marRight w:val="0"/>
      <w:marTop w:val="0"/>
      <w:marBottom w:val="0"/>
      <w:divBdr>
        <w:top w:val="none" w:sz="0" w:space="0" w:color="auto"/>
        <w:left w:val="none" w:sz="0" w:space="0" w:color="auto"/>
        <w:bottom w:val="none" w:sz="0" w:space="0" w:color="auto"/>
        <w:right w:val="none" w:sz="0" w:space="0" w:color="auto"/>
      </w:divBdr>
    </w:div>
    <w:div w:id="847448944">
      <w:bodyDiv w:val="1"/>
      <w:marLeft w:val="0"/>
      <w:marRight w:val="0"/>
      <w:marTop w:val="0"/>
      <w:marBottom w:val="0"/>
      <w:divBdr>
        <w:top w:val="none" w:sz="0" w:space="0" w:color="auto"/>
        <w:left w:val="none" w:sz="0" w:space="0" w:color="auto"/>
        <w:bottom w:val="none" w:sz="0" w:space="0" w:color="auto"/>
        <w:right w:val="none" w:sz="0" w:space="0" w:color="auto"/>
      </w:divBdr>
    </w:div>
    <w:div w:id="855192919">
      <w:bodyDiv w:val="1"/>
      <w:marLeft w:val="0"/>
      <w:marRight w:val="0"/>
      <w:marTop w:val="0"/>
      <w:marBottom w:val="0"/>
      <w:divBdr>
        <w:top w:val="none" w:sz="0" w:space="0" w:color="auto"/>
        <w:left w:val="none" w:sz="0" w:space="0" w:color="auto"/>
        <w:bottom w:val="none" w:sz="0" w:space="0" w:color="auto"/>
        <w:right w:val="none" w:sz="0" w:space="0" w:color="auto"/>
      </w:divBdr>
      <w:divsChild>
        <w:div w:id="640620330">
          <w:marLeft w:val="0"/>
          <w:marRight w:val="0"/>
          <w:marTop w:val="0"/>
          <w:marBottom w:val="0"/>
          <w:divBdr>
            <w:top w:val="none" w:sz="0" w:space="0" w:color="auto"/>
            <w:left w:val="none" w:sz="0" w:space="0" w:color="auto"/>
            <w:bottom w:val="none" w:sz="0" w:space="0" w:color="auto"/>
            <w:right w:val="none" w:sz="0" w:space="0" w:color="auto"/>
          </w:divBdr>
          <w:divsChild>
            <w:div w:id="895894297">
              <w:marLeft w:val="0"/>
              <w:marRight w:val="0"/>
              <w:marTop w:val="0"/>
              <w:marBottom w:val="0"/>
              <w:divBdr>
                <w:top w:val="none" w:sz="0" w:space="0" w:color="auto"/>
                <w:left w:val="none" w:sz="0" w:space="0" w:color="auto"/>
                <w:bottom w:val="none" w:sz="0" w:space="0" w:color="auto"/>
                <w:right w:val="none" w:sz="0" w:space="0" w:color="auto"/>
              </w:divBdr>
              <w:divsChild>
                <w:div w:id="655184760">
                  <w:marLeft w:val="0"/>
                  <w:marRight w:val="0"/>
                  <w:marTop w:val="0"/>
                  <w:marBottom w:val="0"/>
                  <w:divBdr>
                    <w:top w:val="none" w:sz="0" w:space="0" w:color="auto"/>
                    <w:left w:val="none" w:sz="0" w:space="0" w:color="auto"/>
                    <w:bottom w:val="none" w:sz="0" w:space="0" w:color="auto"/>
                    <w:right w:val="none" w:sz="0" w:space="0" w:color="auto"/>
                  </w:divBdr>
                  <w:divsChild>
                    <w:div w:id="1709260615">
                      <w:marLeft w:val="0"/>
                      <w:marRight w:val="0"/>
                      <w:marTop w:val="75"/>
                      <w:marBottom w:val="75"/>
                      <w:divBdr>
                        <w:top w:val="none" w:sz="0" w:space="0" w:color="auto"/>
                        <w:left w:val="none" w:sz="0" w:space="0" w:color="auto"/>
                        <w:bottom w:val="none" w:sz="0" w:space="0" w:color="auto"/>
                        <w:right w:val="none" w:sz="0" w:space="0" w:color="auto"/>
                      </w:divBdr>
                      <w:divsChild>
                        <w:div w:id="1749695528">
                          <w:marLeft w:val="0"/>
                          <w:marRight w:val="0"/>
                          <w:marTop w:val="0"/>
                          <w:marBottom w:val="0"/>
                          <w:divBdr>
                            <w:top w:val="none" w:sz="0" w:space="0" w:color="auto"/>
                            <w:left w:val="none" w:sz="0" w:space="0" w:color="auto"/>
                            <w:bottom w:val="none" w:sz="0" w:space="0" w:color="auto"/>
                            <w:right w:val="none" w:sz="0" w:space="0" w:color="auto"/>
                          </w:divBdr>
                          <w:divsChild>
                            <w:div w:id="1247615991">
                              <w:marLeft w:val="0"/>
                              <w:marRight w:val="300"/>
                              <w:marTop w:val="0"/>
                              <w:marBottom w:val="0"/>
                              <w:divBdr>
                                <w:top w:val="none" w:sz="0" w:space="0" w:color="auto"/>
                                <w:left w:val="none" w:sz="0" w:space="0" w:color="auto"/>
                                <w:bottom w:val="none" w:sz="0" w:space="0" w:color="auto"/>
                                <w:right w:val="none" w:sz="0" w:space="0" w:color="auto"/>
                              </w:divBdr>
                              <w:divsChild>
                                <w:div w:id="1090543641">
                                  <w:marLeft w:val="0"/>
                                  <w:marRight w:val="0"/>
                                  <w:marTop w:val="0"/>
                                  <w:marBottom w:val="0"/>
                                  <w:divBdr>
                                    <w:top w:val="none" w:sz="0" w:space="0" w:color="auto"/>
                                    <w:left w:val="none" w:sz="0" w:space="0" w:color="auto"/>
                                    <w:bottom w:val="none" w:sz="0" w:space="0" w:color="auto"/>
                                    <w:right w:val="none" w:sz="0" w:space="0" w:color="auto"/>
                                  </w:divBdr>
                                  <w:divsChild>
                                    <w:div w:id="589050959">
                                      <w:marLeft w:val="0"/>
                                      <w:marRight w:val="0"/>
                                      <w:marTop w:val="0"/>
                                      <w:marBottom w:val="0"/>
                                      <w:divBdr>
                                        <w:top w:val="none" w:sz="0" w:space="0" w:color="auto"/>
                                        <w:left w:val="none" w:sz="0" w:space="0" w:color="auto"/>
                                        <w:bottom w:val="none" w:sz="0" w:space="0" w:color="auto"/>
                                        <w:right w:val="none" w:sz="0" w:space="0" w:color="auto"/>
                                      </w:divBdr>
                                      <w:divsChild>
                                        <w:div w:id="1663269404">
                                          <w:marLeft w:val="0"/>
                                          <w:marRight w:val="0"/>
                                          <w:marTop w:val="0"/>
                                          <w:marBottom w:val="0"/>
                                          <w:divBdr>
                                            <w:top w:val="none" w:sz="0" w:space="0" w:color="auto"/>
                                            <w:left w:val="none" w:sz="0" w:space="0" w:color="auto"/>
                                            <w:bottom w:val="none" w:sz="0" w:space="0" w:color="auto"/>
                                            <w:right w:val="none" w:sz="0" w:space="0" w:color="auto"/>
                                          </w:divBdr>
                                          <w:divsChild>
                                            <w:div w:id="303047648">
                                              <w:marLeft w:val="0"/>
                                              <w:marRight w:val="0"/>
                                              <w:marTop w:val="0"/>
                                              <w:marBottom w:val="0"/>
                                              <w:divBdr>
                                                <w:top w:val="none" w:sz="0" w:space="0" w:color="auto"/>
                                                <w:left w:val="none" w:sz="0" w:space="0" w:color="auto"/>
                                                <w:bottom w:val="none" w:sz="0" w:space="0" w:color="auto"/>
                                                <w:right w:val="none" w:sz="0" w:space="0" w:color="auto"/>
                                              </w:divBdr>
                                              <w:divsChild>
                                                <w:div w:id="1590844873">
                                                  <w:marLeft w:val="4"/>
                                                  <w:marRight w:val="0"/>
                                                  <w:marTop w:val="0"/>
                                                  <w:marBottom w:val="0"/>
                                                  <w:divBdr>
                                                    <w:top w:val="none" w:sz="0" w:space="0" w:color="auto"/>
                                                    <w:left w:val="none" w:sz="0" w:space="0" w:color="auto"/>
                                                    <w:bottom w:val="none" w:sz="0" w:space="0" w:color="auto"/>
                                                    <w:right w:val="none" w:sz="0" w:space="0" w:color="auto"/>
                                                  </w:divBdr>
                                                  <w:divsChild>
                                                    <w:div w:id="155583168">
                                                      <w:marLeft w:val="4"/>
                                                      <w:marRight w:val="0"/>
                                                      <w:marTop w:val="0"/>
                                                      <w:marBottom w:val="0"/>
                                                      <w:divBdr>
                                                        <w:top w:val="none" w:sz="0" w:space="0" w:color="auto"/>
                                                        <w:left w:val="none" w:sz="0" w:space="0" w:color="auto"/>
                                                        <w:bottom w:val="none" w:sz="0" w:space="0" w:color="auto"/>
                                                        <w:right w:val="none" w:sz="0" w:space="0" w:color="auto"/>
                                                      </w:divBdr>
                                                    </w:div>
                                                    <w:div w:id="278881329">
                                                      <w:marLeft w:val="4"/>
                                                      <w:marRight w:val="0"/>
                                                      <w:marTop w:val="0"/>
                                                      <w:marBottom w:val="0"/>
                                                      <w:divBdr>
                                                        <w:top w:val="none" w:sz="0" w:space="0" w:color="auto"/>
                                                        <w:left w:val="none" w:sz="0" w:space="0" w:color="auto"/>
                                                        <w:bottom w:val="none" w:sz="0" w:space="0" w:color="auto"/>
                                                        <w:right w:val="none" w:sz="0" w:space="0" w:color="auto"/>
                                                      </w:divBdr>
                                                    </w:div>
                                                    <w:div w:id="456605902">
                                                      <w:marLeft w:val="4"/>
                                                      <w:marRight w:val="0"/>
                                                      <w:marTop w:val="0"/>
                                                      <w:marBottom w:val="0"/>
                                                      <w:divBdr>
                                                        <w:top w:val="none" w:sz="0" w:space="0" w:color="auto"/>
                                                        <w:left w:val="none" w:sz="0" w:space="0" w:color="auto"/>
                                                        <w:bottom w:val="none" w:sz="0" w:space="0" w:color="auto"/>
                                                        <w:right w:val="none" w:sz="0" w:space="0" w:color="auto"/>
                                                      </w:divBdr>
                                                    </w:div>
                                                    <w:div w:id="525218163">
                                                      <w:marLeft w:val="4"/>
                                                      <w:marRight w:val="0"/>
                                                      <w:marTop w:val="0"/>
                                                      <w:marBottom w:val="0"/>
                                                      <w:divBdr>
                                                        <w:top w:val="none" w:sz="0" w:space="0" w:color="auto"/>
                                                        <w:left w:val="none" w:sz="0" w:space="0" w:color="auto"/>
                                                        <w:bottom w:val="none" w:sz="0" w:space="0" w:color="auto"/>
                                                        <w:right w:val="none" w:sz="0" w:space="0" w:color="auto"/>
                                                      </w:divBdr>
                                                      <w:divsChild>
                                                        <w:div w:id="31997916">
                                                          <w:marLeft w:val="4"/>
                                                          <w:marRight w:val="0"/>
                                                          <w:marTop w:val="0"/>
                                                          <w:marBottom w:val="0"/>
                                                          <w:divBdr>
                                                            <w:top w:val="none" w:sz="0" w:space="0" w:color="auto"/>
                                                            <w:left w:val="none" w:sz="0" w:space="0" w:color="auto"/>
                                                            <w:bottom w:val="none" w:sz="0" w:space="0" w:color="auto"/>
                                                            <w:right w:val="none" w:sz="0" w:space="0" w:color="auto"/>
                                                          </w:divBdr>
                                                        </w:div>
                                                        <w:div w:id="308677433">
                                                          <w:marLeft w:val="4"/>
                                                          <w:marRight w:val="0"/>
                                                          <w:marTop w:val="0"/>
                                                          <w:marBottom w:val="0"/>
                                                          <w:divBdr>
                                                            <w:top w:val="none" w:sz="0" w:space="0" w:color="auto"/>
                                                            <w:left w:val="none" w:sz="0" w:space="0" w:color="auto"/>
                                                            <w:bottom w:val="none" w:sz="0" w:space="0" w:color="auto"/>
                                                            <w:right w:val="none" w:sz="0" w:space="0" w:color="auto"/>
                                                          </w:divBdr>
                                                          <w:divsChild>
                                                            <w:div w:id="1883399562">
                                                              <w:marLeft w:val="-5"/>
                                                              <w:marRight w:val="0"/>
                                                              <w:marTop w:val="0"/>
                                                              <w:marBottom w:val="0"/>
                                                              <w:divBdr>
                                                                <w:top w:val="none" w:sz="0" w:space="0" w:color="auto"/>
                                                                <w:left w:val="none" w:sz="0" w:space="0" w:color="auto"/>
                                                                <w:bottom w:val="none" w:sz="0" w:space="0" w:color="auto"/>
                                                                <w:right w:val="none" w:sz="0" w:space="0" w:color="auto"/>
                                                              </w:divBdr>
                                                            </w:div>
                                                          </w:divsChild>
                                                        </w:div>
                                                      </w:divsChild>
                                                    </w:div>
                                                    <w:div w:id="683631948">
                                                      <w:marLeft w:val="0"/>
                                                      <w:marRight w:val="0"/>
                                                      <w:marTop w:val="0"/>
                                                      <w:marBottom w:val="0"/>
                                                      <w:divBdr>
                                                        <w:top w:val="none" w:sz="0" w:space="0" w:color="auto"/>
                                                        <w:left w:val="none" w:sz="0" w:space="0" w:color="auto"/>
                                                        <w:bottom w:val="none" w:sz="0" w:space="0" w:color="auto"/>
                                                        <w:right w:val="none" w:sz="0" w:space="0" w:color="auto"/>
                                                      </w:divBdr>
                                                    </w:div>
                                                    <w:div w:id="777915592">
                                                      <w:marLeft w:val="0"/>
                                                      <w:marRight w:val="0"/>
                                                      <w:marTop w:val="0"/>
                                                      <w:marBottom w:val="0"/>
                                                      <w:divBdr>
                                                        <w:top w:val="none" w:sz="0" w:space="0" w:color="auto"/>
                                                        <w:left w:val="none" w:sz="0" w:space="0" w:color="auto"/>
                                                        <w:bottom w:val="none" w:sz="0" w:space="0" w:color="auto"/>
                                                        <w:right w:val="none" w:sz="0" w:space="0" w:color="auto"/>
                                                      </w:divBdr>
                                                    </w:div>
                                                    <w:div w:id="942301255">
                                                      <w:marLeft w:val="4"/>
                                                      <w:marRight w:val="0"/>
                                                      <w:marTop w:val="0"/>
                                                      <w:marBottom w:val="0"/>
                                                      <w:divBdr>
                                                        <w:top w:val="none" w:sz="0" w:space="0" w:color="auto"/>
                                                        <w:left w:val="none" w:sz="0" w:space="0" w:color="auto"/>
                                                        <w:bottom w:val="none" w:sz="0" w:space="0" w:color="auto"/>
                                                        <w:right w:val="none" w:sz="0" w:space="0" w:color="auto"/>
                                                      </w:divBdr>
                                                    </w:div>
                                                    <w:div w:id="1098523209">
                                                      <w:marLeft w:val="4"/>
                                                      <w:marRight w:val="0"/>
                                                      <w:marTop w:val="0"/>
                                                      <w:marBottom w:val="0"/>
                                                      <w:divBdr>
                                                        <w:top w:val="none" w:sz="0" w:space="0" w:color="auto"/>
                                                        <w:left w:val="none" w:sz="0" w:space="0" w:color="auto"/>
                                                        <w:bottom w:val="none" w:sz="0" w:space="0" w:color="auto"/>
                                                        <w:right w:val="none" w:sz="0" w:space="0" w:color="auto"/>
                                                      </w:divBdr>
                                                    </w:div>
                                                    <w:div w:id="1368215921">
                                                      <w:marLeft w:val="4"/>
                                                      <w:marRight w:val="0"/>
                                                      <w:marTop w:val="0"/>
                                                      <w:marBottom w:val="0"/>
                                                      <w:divBdr>
                                                        <w:top w:val="none" w:sz="0" w:space="0" w:color="auto"/>
                                                        <w:left w:val="none" w:sz="0" w:space="0" w:color="auto"/>
                                                        <w:bottom w:val="none" w:sz="0" w:space="0" w:color="auto"/>
                                                        <w:right w:val="none" w:sz="0" w:space="0" w:color="auto"/>
                                                      </w:divBdr>
                                                    </w:div>
                                                    <w:div w:id="1672414288">
                                                      <w:marLeft w:val="4"/>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5460535">
      <w:bodyDiv w:val="1"/>
      <w:marLeft w:val="0"/>
      <w:marRight w:val="0"/>
      <w:marTop w:val="0"/>
      <w:marBottom w:val="0"/>
      <w:divBdr>
        <w:top w:val="none" w:sz="0" w:space="0" w:color="auto"/>
        <w:left w:val="none" w:sz="0" w:space="0" w:color="auto"/>
        <w:bottom w:val="none" w:sz="0" w:space="0" w:color="auto"/>
        <w:right w:val="none" w:sz="0" w:space="0" w:color="auto"/>
      </w:divBdr>
    </w:div>
    <w:div w:id="859317637">
      <w:bodyDiv w:val="1"/>
      <w:marLeft w:val="0"/>
      <w:marRight w:val="0"/>
      <w:marTop w:val="0"/>
      <w:marBottom w:val="0"/>
      <w:divBdr>
        <w:top w:val="none" w:sz="0" w:space="0" w:color="auto"/>
        <w:left w:val="none" w:sz="0" w:space="0" w:color="auto"/>
        <w:bottom w:val="none" w:sz="0" w:space="0" w:color="auto"/>
        <w:right w:val="none" w:sz="0" w:space="0" w:color="auto"/>
      </w:divBdr>
    </w:div>
    <w:div w:id="866410340">
      <w:bodyDiv w:val="1"/>
      <w:marLeft w:val="0"/>
      <w:marRight w:val="0"/>
      <w:marTop w:val="0"/>
      <w:marBottom w:val="0"/>
      <w:divBdr>
        <w:top w:val="none" w:sz="0" w:space="0" w:color="auto"/>
        <w:left w:val="none" w:sz="0" w:space="0" w:color="auto"/>
        <w:bottom w:val="none" w:sz="0" w:space="0" w:color="auto"/>
        <w:right w:val="none" w:sz="0" w:space="0" w:color="auto"/>
      </w:divBdr>
      <w:divsChild>
        <w:div w:id="159001521">
          <w:marLeft w:val="0"/>
          <w:marRight w:val="0"/>
          <w:marTop w:val="0"/>
          <w:marBottom w:val="0"/>
          <w:divBdr>
            <w:top w:val="none" w:sz="0" w:space="0" w:color="auto"/>
            <w:left w:val="none" w:sz="0" w:space="0" w:color="auto"/>
            <w:bottom w:val="none" w:sz="0" w:space="0" w:color="auto"/>
            <w:right w:val="none" w:sz="0" w:space="0" w:color="auto"/>
          </w:divBdr>
          <w:divsChild>
            <w:div w:id="1923905825">
              <w:marLeft w:val="0"/>
              <w:marRight w:val="0"/>
              <w:marTop w:val="0"/>
              <w:marBottom w:val="0"/>
              <w:divBdr>
                <w:top w:val="none" w:sz="0" w:space="0" w:color="auto"/>
                <w:left w:val="none" w:sz="0" w:space="0" w:color="auto"/>
                <w:bottom w:val="none" w:sz="0" w:space="0" w:color="auto"/>
                <w:right w:val="none" w:sz="0" w:space="0" w:color="auto"/>
              </w:divBdr>
              <w:divsChild>
                <w:div w:id="1058170446">
                  <w:marLeft w:val="0"/>
                  <w:marRight w:val="0"/>
                  <w:marTop w:val="0"/>
                  <w:marBottom w:val="0"/>
                  <w:divBdr>
                    <w:top w:val="none" w:sz="0" w:space="0" w:color="auto"/>
                    <w:left w:val="none" w:sz="0" w:space="0" w:color="auto"/>
                    <w:bottom w:val="none" w:sz="0" w:space="0" w:color="auto"/>
                    <w:right w:val="none" w:sz="0" w:space="0" w:color="auto"/>
                  </w:divBdr>
                  <w:divsChild>
                    <w:div w:id="4785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300514">
      <w:bodyDiv w:val="1"/>
      <w:marLeft w:val="0"/>
      <w:marRight w:val="0"/>
      <w:marTop w:val="0"/>
      <w:marBottom w:val="0"/>
      <w:divBdr>
        <w:top w:val="none" w:sz="0" w:space="0" w:color="auto"/>
        <w:left w:val="none" w:sz="0" w:space="0" w:color="auto"/>
        <w:bottom w:val="none" w:sz="0" w:space="0" w:color="auto"/>
        <w:right w:val="none" w:sz="0" w:space="0" w:color="auto"/>
      </w:divBdr>
    </w:div>
    <w:div w:id="869221307">
      <w:bodyDiv w:val="1"/>
      <w:marLeft w:val="0"/>
      <w:marRight w:val="0"/>
      <w:marTop w:val="0"/>
      <w:marBottom w:val="0"/>
      <w:divBdr>
        <w:top w:val="none" w:sz="0" w:space="0" w:color="auto"/>
        <w:left w:val="none" w:sz="0" w:space="0" w:color="auto"/>
        <w:bottom w:val="none" w:sz="0" w:space="0" w:color="auto"/>
        <w:right w:val="none" w:sz="0" w:space="0" w:color="auto"/>
      </w:divBdr>
    </w:div>
    <w:div w:id="893657789">
      <w:bodyDiv w:val="1"/>
      <w:marLeft w:val="0"/>
      <w:marRight w:val="0"/>
      <w:marTop w:val="0"/>
      <w:marBottom w:val="0"/>
      <w:divBdr>
        <w:top w:val="none" w:sz="0" w:space="0" w:color="auto"/>
        <w:left w:val="none" w:sz="0" w:space="0" w:color="auto"/>
        <w:bottom w:val="none" w:sz="0" w:space="0" w:color="auto"/>
        <w:right w:val="none" w:sz="0" w:space="0" w:color="auto"/>
      </w:divBdr>
    </w:div>
    <w:div w:id="897277477">
      <w:bodyDiv w:val="1"/>
      <w:marLeft w:val="0"/>
      <w:marRight w:val="0"/>
      <w:marTop w:val="0"/>
      <w:marBottom w:val="0"/>
      <w:divBdr>
        <w:top w:val="none" w:sz="0" w:space="0" w:color="auto"/>
        <w:left w:val="none" w:sz="0" w:space="0" w:color="auto"/>
        <w:bottom w:val="none" w:sz="0" w:space="0" w:color="auto"/>
        <w:right w:val="none" w:sz="0" w:space="0" w:color="auto"/>
      </w:divBdr>
    </w:div>
    <w:div w:id="898438139">
      <w:bodyDiv w:val="1"/>
      <w:marLeft w:val="0"/>
      <w:marRight w:val="0"/>
      <w:marTop w:val="0"/>
      <w:marBottom w:val="0"/>
      <w:divBdr>
        <w:top w:val="none" w:sz="0" w:space="0" w:color="auto"/>
        <w:left w:val="none" w:sz="0" w:space="0" w:color="auto"/>
        <w:bottom w:val="none" w:sz="0" w:space="0" w:color="auto"/>
        <w:right w:val="none" w:sz="0" w:space="0" w:color="auto"/>
      </w:divBdr>
    </w:div>
    <w:div w:id="898590331">
      <w:bodyDiv w:val="1"/>
      <w:marLeft w:val="0"/>
      <w:marRight w:val="0"/>
      <w:marTop w:val="0"/>
      <w:marBottom w:val="0"/>
      <w:divBdr>
        <w:top w:val="none" w:sz="0" w:space="0" w:color="auto"/>
        <w:left w:val="none" w:sz="0" w:space="0" w:color="auto"/>
        <w:bottom w:val="none" w:sz="0" w:space="0" w:color="auto"/>
        <w:right w:val="none" w:sz="0" w:space="0" w:color="auto"/>
      </w:divBdr>
      <w:divsChild>
        <w:div w:id="755591070">
          <w:marLeft w:val="0"/>
          <w:marRight w:val="0"/>
          <w:marTop w:val="0"/>
          <w:marBottom w:val="0"/>
          <w:divBdr>
            <w:top w:val="none" w:sz="0" w:space="0" w:color="auto"/>
            <w:left w:val="none" w:sz="0" w:space="0" w:color="auto"/>
            <w:bottom w:val="none" w:sz="0" w:space="0" w:color="auto"/>
            <w:right w:val="none" w:sz="0" w:space="0" w:color="auto"/>
          </w:divBdr>
          <w:divsChild>
            <w:div w:id="119997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868312">
      <w:bodyDiv w:val="1"/>
      <w:marLeft w:val="0"/>
      <w:marRight w:val="0"/>
      <w:marTop w:val="0"/>
      <w:marBottom w:val="0"/>
      <w:divBdr>
        <w:top w:val="none" w:sz="0" w:space="0" w:color="auto"/>
        <w:left w:val="none" w:sz="0" w:space="0" w:color="auto"/>
        <w:bottom w:val="none" w:sz="0" w:space="0" w:color="auto"/>
        <w:right w:val="none" w:sz="0" w:space="0" w:color="auto"/>
      </w:divBdr>
    </w:div>
    <w:div w:id="906771173">
      <w:bodyDiv w:val="1"/>
      <w:marLeft w:val="0"/>
      <w:marRight w:val="0"/>
      <w:marTop w:val="0"/>
      <w:marBottom w:val="0"/>
      <w:divBdr>
        <w:top w:val="none" w:sz="0" w:space="0" w:color="auto"/>
        <w:left w:val="none" w:sz="0" w:space="0" w:color="auto"/>
        <w:bottom w:val="none" w:sz="0" w:space="0" w:color="auto"/>
        <w:right w:val="none" w:sz="0" w:space="0" w:color="auto"/>
      </w:divBdr>
    </w:div>
    <w:div w:id="909074737">
      <w:bodyDiv w:val="1"/>
      <w:marLeft w:val="0"/>
      <w:marRight w:val="0"/>
      <w:marTop w:val="0"/>
      <w:marBottom w:val="0"/>
      <w:divBdr>
        <w:top w:val="none" w:sz="0" w:space="0" w:color="auto"/>
        <w:left w:val="none" w:sz="0" w:space="0" w:color="auto"/>
        <w:bottom w:val="none" w:sz="0" w:space="0" w:color="auto"/>
        <w:right w:val="none" w:sz="0" w:space="0" w:color="auto"/>
      </w:divBdr>
    </w:div>
    <w:div w:id="912007060">
      <w:bodyDiv w:val="1"/>
      <w:marLeft w:val="0"/>
      <w:marRight w:val="0"/>
      <w:marTop w:val="0"/>
      <w:marBottom w:val="0"/>
      <w:divBdr>
        <w:top w:val="none" w:sz="0" w:space="0" w:color="auto"/>
        <w:left w:val="none" w:sz="0" w:space="0" w:color="auto"/>
        <w:bottom w:val="none" w:sz="0" w:space="0" w:color="auto"/>
        <w:right w:val="none" w:sz="0" w:space="0" w:color="auto"/>
      </w:divBdr>
    </w:div>
    <w:div w:id="913973298">
      <w:bodyDiv w:val="1"/>
      <w:marLeft w:val="0"/>
      <w:marRight w:val="0"/>
      <w:marTop w:val="0"/>
      <w:marBottom w:val="0"/>
      <w:divBdr>
        <w:top w:val="none" w:sz="0" w:space="0" w:color="auto"/>
        <w:left w:val="none" w:sz="0" w:space="0" w:color="auto"/>
        <w:bottom w:val="none" w:sz="0" w:space="0" w:color="auto"/>
        <w:right w:val="none" w:sz="0" w:space="0" w:color="auto"/>
      </w:divBdr>
    </w:div>
    <w:div w:id="916210478">
      <w:bodyDiv w:val="1"/>
      <w:marLeft w:val="0"/>
      <w:marRight w:val="0"/>
      <w:marTop w:val="0"/>
      <w:marBottom w:val="0"/>
      <w:divBdr>
        <w:top w:val="none" w:sz="0" w:space="0" w:color="auto"/>
        <w:left w:val="none" w:sz="0" w:space="0" w:color="auto"/>
        <w:bottom w:val="none" w:sz="0" w:space="0" w:color="auto"/>
        <w:right w:val="none" w:sz="0" w:space="0" w:color="auto"/>
      </w:divBdr>
    </w:div>
    <w:div w:id="917401736">
      <w:bodyDiv w:val="1"/>
      <w:marLeft w:val="0"/>
      <w:marRight w:val="0"/>
      <w:marTop w:val="0"/>
      <w:marBottom w:val="0"/>
      <w:divBdr>
        <w:top w:val="none" w:sz="0" w:space="0" w:color="auto"/>
        <w:left w:val="none" w:sz="0" w:space="0" w:color="auto"/>
        <w:bottom w:val="none" w:sz="0" w:space="0" w:color="auto"/>
        <w:right w:val="none" w:sz="0" w:space="0" w:color="auto"/>
      </w:divBdr>
    </w:div>
    <w:div w:id="925000661">
      <w:bodyDiv w:val="1"/>
      <w:marLeft w:val="0"/>
      <w:marRight w:val="0"/>
      <w:marTop w:val="0"/>
      <w:marBottom w:val="0"/>
      <w:divBdr>
        <w:top w:val="none" w:sz="0" w:space="0" w:color="auto"/>
        <w:left w:val="none" w:sz="0" w:space="0" w:color="auto"/>
        <w:bottom w:val="none" w:sz="0" w:space="0" w:color="auto"/>
        <w:right w:val="none" w:sz="0" w:space="0" w:color="auto"/>
      </w:divBdr>
    </w:div>
    <w:div w:id="940458454">
      <w:bodyDiv w:val="1"/>
      <w:marLeft w:val="0"/>
      <w:marRight w:val="0"/>
      <w:marTop w:val="0"/>
      <w:marBottom w:val="0"/>
      <w:divBdr>
        <w:top w:val="none" w:sz="0" w:space="0" w:color="auto"/>
        <w:left w:val="none" w:sz="0" w:space="0" w:color="auto"/>
        <w:bottom w:val="none" w:sz="0" w:space="0" w:color="auto"/>
        <w:right w:val="none" w:sz="0" w:space="0" w:color="auto"/>
      </w:divBdr>
    </w:div>
    <w:div w:id="945621795">
      <w:bodyDiv w:val="1"/>
      <w:marLeft w:val="0"/>
      <w:marRight w:val="0"/>
      <w:marTop w:val="0"/>
      <w:marBottom w:val="0"/>
      <w:divBdr>
        <w:top w:val="none" w:sz="0" w:space="0" w:color="auto"/>
        <w:left w:val="none" w:sz="0" w:space="0" w:color="auto"/>
        <w:bottom w:val="none" w:sz="0" w:space="0" w:color="auto"/>
        <w:right w:val="none" w:sz="0" w:space="0" w:color="auto"/>
      </w:divBdr>
    </w:div>
    <w:div w:id="949626528">
      <w:bodyDiv w:val="1"/>
      <w:marLeft w:val="0"/>
      <w:marRight w:val="0"/>
      <w:marTop w:val="0"/>
      <w:marBottom w:val="0"/>
      <w:divBdr>
        <w:top w:val="none" w:sz="0" w:space="0" w:color="auto"/>
        <w:left w:val="none" w:sz="0" w:space="0" w:color="auto"/>
        <w:bottom w:val="none" w:sz="0" w:space="0" w:color="auto"/>
        <w:right w:val="none" w:sz="0" w:space="0" w:color="auto"/>
      </w:divBdr>
    </w:div>
    <w:div w:id="957834715">
      <w:bodyDiv w:val="1"/>
      <w:marLeft w:val="0"/>
      <w:marRight w:val="0"/>
      <w:marTop w:val="0"/>
      <w:marBottom w:val="0"/>
      <w:divBdr>
        <w:top w:val="none" w:sz="0" w:space="0" w:color="auto"/>
        <w:left w:val="none" w:sz="0" w:space="0" w:color="auto"/>
        <w:bottom w:val="none" w:sz="0" w:space="0" w:color="auto"/>
        <w:right w:val="none" w:sz="0" w:space="0" w:color="auto"/>
      </w:divBdr>
    </w:div>
    <w:div w:id="958875386">
      <w:bodyDiv w:val="1"/>
      <w:marLeft w:val="0"/>
      <w:marRight w:val="0"/>
      <w:marTop w:val="0"/>
      <w:marBottom w:val="0"/>
      <w:divBdr>
        <w:top w:val="none" w:sz="0" w:space="0" w:color="auto"/>
        <w:left w:val="none" w:sz="0" w:space="0" w:color="auto"/>
        <w:bottom w:val="none" w:sz="0" w:space="0" w:color="auto"/>
        <w:right w:val="none" w:sz="0" w:space="0" w:color="auto"/>
      </w:divBdr>
    </w:div>
    <w:div w:id="969943374">
      <w:bodyDiv w:val="1"/>
      <w:marLeft w:val="0"/>
      <w:marRight w:val="0"/>
      <w:marTop w:val="0"/>
      <w:marBottom w:val="0"/>
      <w:divBdr>
        <w:top w:val="none" w:sz="0" w:space="0" w:color="auto"/>
        <w:left w:val="none" w:sz="0" w:space="0" w:color="auto"/>
        <w:bottom w:val="none" w:sz="0" w:space="0" w:color="auto"/>
        <w:right w:val="none" w:sz="0" w:space="0" w:color="auto"/>
      </w:divBdr>
      <w:divsChild>
        <w:div w:id="1659992324">
          <w:marLeft w:val="0"/>
          <w:marRight w:val="0"/>
          <w:marTop w:val="0"/>
          <w:marBottom w:val="0"/>
          <w:divBdr>
            <w:top w:val="none" w:sz="0" w:space="0" w:color="auto"/>
            <w:left w:val="none" w:sz="0" w:space="0" w:color="auto"/>
            <w:bottom w:val="none" w:sz="0" w:space="0" w:color="auto"/>
            <w:right w:val="none" w:sz="0" w:space="0" w:color="auto"/>
          </w:divBdr>
          <w:divsChild>
            <w:div w:id="300767838">
              <w:marLeft w:val="0"/>
              <w:marRight w:val="0"/>
              <w:marTop w:val="0"/>
              <w:marBottom w:val="0"/>
              <w:divBdr>
                <w:top w:val="none" w:sz="0" w:space="0" w:color="auto"/>
                <w:left w:val="none" w:sz="0" w:space="0" w:color="auto"/>
                <w:bottom w:val="none" w:sz="0" w:space="0" w:color="auto"/>
                <w:right w:val="none" w:sz="0" w:space="0" w:color="auto"/>
              </w:divBdr>
              <w:divsChild>
                <w:div w:id="399402759">
                  <w:marLeft w:val="0"/>
                  <w:marRight w:val="0"/>
                  <w:marTop w:val="0"/>
                  <w:marBottom w:val="0"/>
                  <w:divBdr>
                    <w:top w:val="none" w:sz="0" w:space="0" w:color="auto"/>
                    <w:left w:val="none" w:sz="0" w:space="0" w:color="auto"/>
                    <w:bottom w:val="none" w:sz="0" w:space="0" w:color="auto"/>
                    <w:right w:val="none" w:sz="0" w:space="0" w:color="auto"/>
                  </w:divBdr>
                  <w:divsChild>
                    <w:div w:id="22965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668226">
      <w:bodyDiv w:val="1"/>
      <w:marLeft w:val="0"/>
      <w:marRight w:val="0"/>
      <w:marTop w:val="0"/>
      <w:marBottom w:val="0"/>
      <w:divBdr>
        <w:top w:val="none" w:sz="0" w:space="0" w:color="auto"/>
        <w:left w:val="none" w:sz="0" w:space="0" w:color="auto"/>
        <w:bottom w:val="none" w:sz="0" w:space="0" w:color="auto"/>
        <w:right w:val="none" w:sz="0" w:space="0" w:color="auto"/>
      </w:divBdr>
      <w:divsChild>
        <w:div w:id="569076902">
          <w:marLeft w:val="0"/>
          <w:marRight w:val="0"/>
          <w:marTop w:val="0"/>
          <w:marBottom w:val="0"/>
          <w:divBdr>
            <w:top w:val="none" w:sz="0" w:space="0" w:color="auto"/>
            <w:left w:val="none" w:sz="0" w:space="0" w:color="auto"/>
            <w:bottom w:val="none" w:sz="0" w:space="0" w:color="auto"/>
            <w:right w:val="none" w:sz="0" w:space="0" w:color="auto"/>
          </w:divBdr>
        </w:div>
      </w:divsChild>
    </w:div>
    <w:div w:id="974069239">
      <w:bodyDiv w:val="1"/>
      <w:marLeft w:val="0"/>
      <w:marRight w:val="0"/>
      <w:marTop w:val="0"/>
      <w:marBottom w:val="0"/>
      <w:divBdr>
        <w:top w:val="none" w:sz="0" w:space="0" w:color="auto"/>
        <w:left w:val="none" w:sz="0" w:space="0" w:color="auto"/>
        <w:bottom w:val="none" w:sz="0" w:space="0" w:color="auto"/>
        <w:right w:val="none" w:sz="0" w:space="0" w:color="auto"/>
      </w:divBdr>
    </w:div>
    <w:div w:id="980577681">
      <w:bodyDiv w:val="1"/>
      <w:marLeft w:val="0"/>
      <w:marRight w:val="0"/>
      <w:marTop w:val="0"/>
      <w:marBottom w:val="0"/>
      <w:divBdr>
        <w:top w:val="none" w:sz="0" w:space="0" w:color="auto"/>
        <w:left w:val="none" w:sz="0" w:space="0" w:color="auto"/>
        <w:bottom w:val="none" w:sz="0" w:space="0" w:color="auto"/>
        <w:right w:val="none" w:sz="0" w:space="0" w:color="auto"/>
      </w:divBdr>
    </w:div>
    <w:div w:id="983660092">
      <w:bodyDiv w:val="1"/>
      <w:marLeft w:val="0"/>
      <w:marRight w:val="0"/>
      <w:marTop w:val="0"/>
      <w:marBottom w:val="0"/>
      <w:divBdr>
        <w:top w:val="none" w:sz="0" w:space="0" w:color="auto"/>
        <w:left w:val="none" w:sz="0" w:space="0" w:color="auto"/>
        <w:bottom w:val="none" w:sz="0" w:space="0" w:color="auto"/>
        <w:right w:val="none" w:sz="0" w:space="0" w:color="auto"/>
      </w:divBdr>
    </w:div>
    <w:div w:id="986201420">
      <w:bodyDiv w:val="1"/>
      <w:marLeft w:val="0"/>
      <w:marRight w:val="0"/>
      <w:marTop w:val="0"/>
      <w:marBottom w:val="0"/>
      <w:divBdr>
        <w:top w:val="none" w:sz="0" w:space="0" w:color="auto"/>
        <w:left w:val="none" w:sz="0" w:space="0" w:color="auto"/>
        <w:bottom w:val="none" w:sz="0" w:space="0" w:color="auto"/>
        <w:right w:val="none" w:sz="0" w:space="0" w:color="auto"/>
      </w:divBdr>
      <w:divsChild>
        <w:div w:id="2031950281">
          <w:marLeft w:val="0"/>
          <w:marRight w:val="0"/>
          <w:marTop w:val="0"/>
          <w:marBottom w:val="0"/>
          <w:divBdr>
            <w:top w:val="none" w:sz="0" w:space="0" w:color="auto"/>
            <w:left w:val="none" w:sz="0" w:space="0" w:color="auto"/>
            <w:bottom w:val="none" w:sz="0" w:space="0" w:color="auto"/>
            <w:right w:val="none" w:sz="0" w:space="0" w:color="auto"/>
          </w:divBdr>
        </w:div>
      </w:divsChild>
    </w:div>
    <w:div w:id="988897765">
      <w:bodyDiv w:val="1"/>
      <w:marLeft w:val="0"/>
      <w:marRight w:val="0"/>
      <w:marTop w:val="0"/>
      <w:marBottom w:val="0"/>
      <w:divBdr>
        <w:top w:val="none" w:sz="0" w:space="0" w:color="auto"/>
        <w:left w:val="none" w:sz="0" w:space="0" w:color="auto"/>
        <w:bottom w:val="none" w:sz="0" w:space="0" w:color="auto"/>
        <w:right w:val="none" w:sz="0" w:space="0" w:color="auto"/>
      </w:divBdr>
    </w:div>
    <w:div w:id="989942095">
      <w:bodyDiv w:val="1"/>
      <w:marLeft w:val="0"/>
      <w:marRight w:val="0"/>
      <w:marTop w:val="0"/>
      <w:marBottom w:val="0"/>
      <w:divBdr>
        <w:top w:val="none" w:sz="0" w:space="0" w:color="auto"/>
        <w:left w:val="none" w:sz="0" w:space="0" w:color="auto"/>
        <w:bottom w:val="none" w:sz="0" w:space="0" w:color="auto"/>
        <w:right w:val="none" w:sz="0" w:space="0" w:color="auto"/>
      </w:divBdr>
    </w:div>
    <w:div w:id="990602030">
      <w:bodyDiv w:val="1"/>
      <w:marLeft w:val="0"/>
      <w:marRight w:val="0"/>
      <w:marTop w:val="0"/>
      <w:marBottom w:val="0"/>
      <w:divBdr>
        <w:top w:val="none" w:sz="0" w:space="0" w:color="auto"/>
        <w:left w:val="none" w:sz="0" w:space="0" w:color="auto"/>
        <w:bottom w:val="none" w:sz="0" w:space="0" w:color="auto"/>
        <w:right w:val="none" w:sz="0" w:space="0" w:color="auto"/>
      </w:divBdr>
      <w:divsChild>
        <w:div w:id="1892767387">
          <w:marLeft w:val="0"/>
          <w:marRight w:val="0"/>
          <w:marTop w:val="0"/>
          <w:marBottom w:val="0"/>
          <w:divBdr>
            <w:top w:val="single" w:sz="6" w:space="8" w:color="7A8093"/>
            <w:left w:val="single" w:sz="6" w:space="8" w:color="7A8093"/>
            <w:bottom w:val="single" w:sz="6" w:space="8" w:color="7A8093"/>
            <w:right w:val="single" w:sz="6" w:space="8" w:color="7A8093"/>
          </w:divBdr>
          <w:divsChild>
            <w:div w:id="1901861916">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351571328">
                  <w:marLeft w:val="0"/>
                  <w:marRight w:val="0"/>
                  <w:marTop w:val="0"/>
                  <w:marBottom w:val="0"/>
                  <w:divBdr>
                    <w:top w:val="none" w:sz="0" w:space="0" w:color="auto"/>
                    <w:left w:val="none" w:sz="0" w:space="0" w:color="auto"/>
                    <w:bottom w:val="none" w:sz="0" w:space="0" w:color="auto"/>
                    <w:right w:val="none" w:sz="0" w:space="0" w:color="auto"/>
                  </w:divBdr>
                </w:div>
                <w:div w:id="160997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39688">
          <w:marLeft w:val="0"/>
          <w:marRight w:val="0"/>
          <w:marTop w:val="0"/>
          <w:marBottom w:val="0"/>
          <w:divBdr>
            <w:top w:val="single" w:sz="6" w:space="8" w:color="7A8093"/>
            <w:left w:val="single" w:sz="6" w:space="8" w:color="7A8093"/>
            <w:bottom w:val="single" w:sz="6" w:space="8" w:color="7A8093"/>
            <w:right w:val="single" w:sz="6" w:space="8" w:color="7A8093"/>
          </w:divBdr>
          <w:divsChild>
            <w:div w:id="1099370624">
              <w:marLeft w:val="-150"/>
              <w:marRight w:val="-150"/>
              <w:marTop w:val="0"/>
              <w:marBottom w:val="240"/>
              <w:divBdr>
                <w:top w:val="single" w:sz="6" w:space="5" w:color="C2C2C2"/>
                <w:left w:val="single" w:sz="6" w:space="5" w:color="C2C2C2"/>
                <w:bottom w:val="single" w:sz="24" w:space="5" w:color="C2C2C2"/>
                <w:right w:val="single" w:sz="6" w:space="5" w:color="C2C2C2"/>
              </w:divBdr>
              <w:divsChild>
                <w:div w:id="718628862">
                  <w:marLeft w:val="0"/>
                  <w:marRight w:val="0"/>
                  <w:marTop w:val="0"/>
                  <w:marBottom w:val="0"/>
                  <w:divBdr>
                    <w:top w:val="none" w:sz="0" w:space="0" w:color="auto"/>
                    <w:left w:val="none" w:sz="0" w:space="0" w:color="auto"/>
                    <w:bottom w:val="none" w:sz="0" w:space="0" w:color="auto"/>
                    <w:right w:val="none" w:sz="0" w:space="0" w:color="auto"/>
                  </w:divBdr>
                </w:div>
                <w:div w:id="81660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030143">
      <w:bodyDiv w:val="1"/>
      <w:marLeft w:val="0"/>
      <w:marRight w:val="0"/>
      <w:marTop w:val="0"/>
      <w:marBottom w:val="0"/>
      <w:divBdr>
        <w:top w:val="none" w:sz="0" w:space="0" w:color="auto"/>
        <w:left w:val="none" w:sz="0" w:space="0" w:color="auto"/>
        <w:bottom w:val="none" w:sz="0" w:space="0" w:color="auto"/>
        <w:right w:val="none" w:sz="0" w:space="0" w:color="auto"/>
      </w:divBdr>
    </w:div>
    <w:div w:id="993415491">
      <w:bodyDiv w:val="1"/>
      <w:marLeft w:val="0"/>
      <w:marRight w:val="0"/>
      <w:marTop w:val="0"/>
      <w:marBottom w:val="0"/>
      <w:divBdr>
        <w:top w:val="none" w:sz="0" w:space="0" w:color="auto"/>
        <w:left w:val="none" w:sz="0" w:space="0" w:color="auto"/>
        <w:bottom w:val="none" w:sz="0" w:space="0" w:color="auto"/>
        <w:right w:val="none" w:sz="0" w:space="0" w:color="auto"/>
      </w:divBdr>
      <w:divsChild>
        <w:div w:id="1843087657">
          <w:marLeft w:val="0"/>
          <w:marRight w:val="0"/>
          <w:marTop w:val="0"/>
          <w:marBottom w:val="0"/>
          <w:divBdr>
            <w:top w:val="single" w:sz="6" w:space="8" w:color="7A8093"/>
            <w:left w:val="single" w:sz="6" w:space="8" w:color="7A8093"/>
            <w:bottom w:val="single" w:sz="6" w:space="8" w:color="7A8093"/>
            <w:right w:val="single" w:sz="6" w:space="8" w:color="7A8093"/>
          </w:divBdr>
          <w:divsChild>
            <w:div w:id="1876576347">
              <w:marLeft w:val="-150"/>
              <w:marRight w:val="-150"/>
              <w:marTop w:val="0"/>
              <w:marBottom w:val="240"/>
              <w:divBdr>
                <w:top w:val="single" w:sz="6" w:space="5" w:color="C2C2C2"/>
                <w:left w:val="single" w:sz="6" w:space="5" w:color="C2C2C2"/>
                <w:bottom w:val="single" w:sz="24" w:space="5" w:color="C2C2C2"/>
                <w:right w:val="single" w:sz="6" w:space="5" w:color="C2C2C2"/>
              </w:divBdr>
              <w:divsChild>
                <w:div w:id="28334706">
                  <w:marLeft w:val="0"/>
                  <w:marRight w:val="0"/>
                  <w:marTop w:val="0"/>
                  <w:marBottom w:val="0"/>
                  <w:divBdr>
                    <w:top w:val="none" w:sz="0" w:space="0" w:color="auto"/>
                    <w:left w:val="none" w:sz="0" w:space="0" w:color="auto"/>
                    <w:bottom w:val="none" w:sz="0" w:space="0" w:color="auto"/>
                    <w:right w:val="none" w:sz="0" w:space="0" w:color="auto"/>
                  </w:divBdr>
                </w:div>
                <w:div w:id="194599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44009">
          <w:marLeft w:val="0"/>
          <w:marRight w:val="0"/>
          <w:marTop w:val="0"/>
          <w:marBottom w:val="0"/>
          <w:divBdr>
            <w:top w:val="single" w:sz="6" w:space="8" w:color="7A8093"/>
            <w:left w:val="single" w:sz="6" w:space="8" w:color="7A8093"/>
            <w:bottom w:val="single" w:sz="6" w:space="8" w:color="7A8093"/>
            <w:right w:val="single" w:sz="6" w:space="8" w:color="7A8093"/>
          </w:divBdr>
          <w:divsChild>
            <w:div w:id="461768707">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430158094">
                  <w:marLeft w:val="0"/>
                  <w:marRight w:val="0"/>
                  <w:marTop w:val="0"/>
                  <w:marBottom w:val="0"/>
                  <w:divBdr>
                    <w:top w:val="none" w:sz="0" w:space="0" w:color="auto"/>
                    <w:left w:val="none" w:sz="0" w:space="0" w:color="auto"/>
                    <w:bottom w:val="none" w:sz="0" w:space="0" w:color="auto"/>
                    <w:right w:val="none" w:sz="0" w:space="0" w:color="auto"/>
                  </w:divBdr>
                </w:div>
                <w:div w:id="192009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345714">
      <w:bodyDiv w:val="1"/>
      <w:marLeft w:val="0"/>
      <w:marRight w:val="0"/>
      <w:marTop w:val="0"/>
      <w:marBottom w:val="0"/>
      <w:divBdr>
        <w:top w:val="none" w:sz="0" w:space="0" w:color="auto"/>
        <w:left w:val="none" w:sz="0" w:space="0" w:color="auto"/>
        <w:bottom w:val="none" w:sz="0" w:space="0" w:color="auto"/>
        <w:right w:val="none" w:sz="0" w:space="0" w:color="auto"/>
      </w:divBdr>
      <w:divsChild>
        <w:div w:id="1326471362">
          <w:marLeft w:val="0"/>
          <w:marRight w:val="0"/>
          <w:marTop w:val="0"/>
          <w:marBottom w:val="0"/>
          <w:divBdr>
            <w:top w:val="none" w:sz="0" w:space="0" w:color="auto"/>
            <w:left w:val="none" w:sz="0" w:space="0" w:color="auto"/>
            <w:bottom w:val="none" w:sz="0" w:space="0" w:color="auto"/>
            <w:right w:val="none" w:sz="0" w:space="0" w:color="auto"/>
          </w:divBdr>
        </w:div>
      </w:divsChild>
    </w:div>
    <w:div w:id="1000545165">
      <w:bodyDiv w:val="1"/>
      <w:marLeft w:val="0"/>
      <w:marRight w:val="0"/>
      <w:marTop w:val="0"/>
      <w:marBottom w:val="0"/>
      <w:divBdr>
        <w:top w:val="none" w:sz="0" w:space="0" w:color="auto"/>
        <w:left w:val="none" w:sz="0" w:space="0" w:color="auto"/>
        <w:bottom w:val="none" w:sz="0" w:space="0" w:color="auto"/>
        <w:right w:val="none" w:sz="0" w:space="0" w:color="auto"/>
      </w:divBdr>
    </w:div>
    <w:div w:id="1011444688">
      <w:bodyDiv w:val="1"/>
      <w:marLeft w:val="0"/>
      <w:marRight w:val="0"/>
      <w:marTop w:val="0"/>
      <w:marBottom w:val="0"/>
      <w:divBdr>
        <w:top w:val="none" w:sz="0" w:space="0" w:color="auto"/>
        <w:left w:val="none" w:sz="0" w:space="0" w:color="auto"/>
        <w:bottom w:val="none" w:sz="0" w:space="0" w:color="auto"/>
        <w:right w:val="none" w:sz="0" w:space="0" w:color="auto"/>
      </w:divBdr>
    </w:div>
    <w:div w:id="1021006238">
      <w:bodyDiv w:val="1"/>
      <w:marLeft w:val="0"/>
      <w:marRight w:val="0"/>
      <w:marTop w:val="0"/>
      <w:marBottom w:val="0"/>
      <w:divBdr>
        <w:top w:val="none" w:sz="0" w:space="0" w:color="auto"/>
        <w:left w:val="none" w:sz="0" w:space="0" w:color="auto"/>
        <w:bottom w:val="none" w:sz="0" w:space="0" w:color="auto"/>
        <w:right w:val="none" w:sz="0" w:space="0" w:color="auto"/>
      </w:divBdr>
      <w:divsChild>
        <w:div w:id="1812669994">
          <w:marLeft w:val="0"/>
          <w:marRight w:val="0"/>
          <w:marTop w:val="0"/>
          <w:marBottom w:val="0"/>
          <w:divBdr>
            <w:top w:val="none" w:sz="0" w:space="0" w:color="auto"/>
            <w:left w:val="none" w:sz="0" w:space="0" w:color="auto"/>
            <w:bottom w:val="none" w:sz="0" w:space="0" w:color="auto"/>
            <w:right w:val="none" w:sz="0" w:space="0" w:color="auto"/>
          </w:divBdr>
          <w:divsChild>
            <w:div w:id="1677920343">
              <w:marLeft w:val="0"/>
              <w:marRight w:val="0"/>
              <w:marTop w:val="0"/>
              <w:marBottom w:val="0"/>
              <w:divBdr>
                <w:top w:val="none" w:sz="0" w:space="0" w:color="auto"/>
                <w:left w:val="none" w:sz="0" w:space="0" w:color="auto"/>
                <w:bottom w:val="none" w:sz="0" w:space="0" w:color="auto"/>
                <w:right w:val="none" w:sz="0" w:space="0" w:color="auto"/>
              </w:divBdr>
              <w:divsChild>
                <w:div w:id="12414782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027365071">
      <w:bodyDiv w:val="1"/>
      <w:marLeft w:val="0"/>
      <w:marRight w:val="0"/>
      <w:marTop w:val="0"/>
      <w:marBottom w:val="0"/>
      <w:divBdr>
        <w:top w:val="none" w:sz="0" w:space="0" w:color="auto"/>
        <w:left w:val="none" w:sz="0" w:space="0" w:color="auto"/>
        <w:bottom w:val="none" w:sz="0" w:space="0" w:color="auto"/>
        <w:right w:val="none" w:sz="0" w:space="0" w:color="auto"/>
      </w:divBdr>
      <w:divsChild>
        <w:div w:id="117992664">
          <w:marLeft w:val="0"/>
          <w:marRight w:val="0"/>
          <w:marTop w:val="0"/>
          <w:marBottom w:val="0"/>
          <w:divBdr>
            <w:top w:val="none" w:sz="0" w:space="0" w:color="auto"/>
            <w:left w:val="none" w:sz="0" w:space="0" w:color="auto"/>
            <w:bottom w:val="none" w:sz="0" w:space="0" w:color="auto"/>
            <w:right w:val="none" w:sz="0" w:space="0" w:color="auto"/>
          </w:divBdr>
          <w:divsChild>
            <w:div w:id="1821925937">
              <w:marLeft w:val="0"/>
              <w:marRight w:val="0"/>
              <w:marTop w:val="0"/>
              <w:marBottom w:val="0"/>
              <w:divBdr>
                <w:top w:val="none" w:sz="0" w:space="0" w:color="auto"/>
                <w:left w:val="none" w:sz="0" w:space="0" w:color="auto"/>
                <w:bottom w:val="none" w:sz="0" w:space="0" w:color="auto"/>
                <w:right w:val="none" w:sz="0" w:space="0" w:color="auto"/>
              </w:divBdr>
              <w:divsChild>
                <w:div w:id="753016520">
                  <w:marLeft w:val="0"/>
                  <w:marRight w:val="0"/>
                  <w:marTop w:val="0"/>
                  <w:marBottom w:val="0"/>
                  <w:divBdr>
                    <w:top w:val="none" w:sz="0" w:space="0" w:color="auto"/>
                    <w:left w:val="none" w:sz="0" w:space="0" w:color="auto"/>
                    <w:bottom w:val="none" w:sz="0" w:space="0" w:color="auto"/>
                    <w:right w:val="none" w:sz="0" w:space="0" w:color="auto"/>
                  </w:divBdr>
                  <w:divsChild>
                    <w:div w:id="179269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443149">
      <w:bodyDiv w:val="1"/>
      <w:marLeft w:val="0"/>
      <w:marRight w:val="0"/>
      <w:marTop w:val="0"/>
      <w:marBottom w:val="0"/>
      <w:divBdr>
        <w:top w:val="none" w:sz="0" w:space="0" w:color="auto"/>
        <w:left w:val="none" w:sz="0" w:space="0" w:color="auto"/>
        <w:bottom w:val="none" w:sz="0" w:space="0" w:color="auto"/>
        <w:right w:val="none" w:sz="0" w:space="0" w:color="auto"/>
      </w:divBdr>
    </w:div>
    <w:div w:id="1047560135">
      <w:bodyDiv w:val="1"/>
      <w:marLeft w:val="0"/>
      <w:marRight w:val="0"/>
      <w:marTop w:val="0"/>
      <w:marBottom w:val="0"/>
      <w:divBdr>
        <w:top w:val="none" w:sz="0" w:space="0" w:color="auto"/>
        <w:left w:val="none" w:sz="0" w:space="0" w:color="auto"/>
        <w:bottom w:val="none" w:sz="0" w:space="0" w:color="auto"/>
        <w:right w:val="none" w:sz="0" w:space="0" w:color="auto"/>
      </w:divBdr>
    </w:div>
    <w:div w:id="1049840193">
      <w:bodyDiv w:val="1"/>
      <w:marLeft w:val="0"/>
      <w:marRight w:val="0"/>
      <w:marTop w:val="0"/>
      <w:marBottom w:val="0"/>
      <w:divBdr>
        <w:top w:val="none" w:sz="0" w:space="0" w:color="auto"/>
        <w:left w:val="none" w:sz="0" w:space="0" w:color="auto"/>
        <w:bottom w:val="none" w:sz="0" w:space="0" w:color="auto"/>
        <w:right w:val="none" w:sz="0" w:space="0" w:color="auto"/>
      </w:divBdr>
    </w:div>
    <w:div w:id="1052772856">
      <w:bodyDiv w:val="1"/>
      <w:marLeft w:val="0"/>
      <w:marRight w:val="0"/>
      <w:marTop w:val="0"/>
      <w:marBottom w:val="0"/>
      <w:divBdr>
        <w:top w:val="none" w:sz="0" w:space="0" w:color="auto"/>
        <w:left w:val="none" w:sz="0" w:space="0" w:color="auto"/>
        <w:bottom w:val="none" w:sz="0" w:space="0" w:color="auto"/>
        <w:right w:val="none" w:sz="0" w:space="0" w:color="auto"/>
      </w:divBdr>
    </w:div>
    <w:div w:id="1052923624">
      <w:bodyDiv w:val="1"/>
      <w:marLeft w:val="0"/>
      <w:marRight w:val="0"/>
      <w:marTop w:val="0"/>
      <w:marBottom w:val="0"/>
      <w:divBdr>
        <w:top w:val="none" w:sz="0" w:space="0" w:color="auto"/>
        <w:left w:val="none" w:sz="0" w:space="0" w:color="auto"/>
        <w:bottom w:val="none" w:sz="0" w:space="0" w:color="auto"/>
        <w:right w:val="none" w:sz="0" w:space="0" w:color="auto"/>
      </w:divBdr>
      <w:divsChild>
        <w:div w:id="839350008">
          <w:marLeft w:val="0"/>
          <w:marRight w:val="0"/>
          <w:marTop w:val="0"/>
          <w:marBottom w:val="0"/>
          <w:divBdr>
            <w:top w:val="single" w:sz="6" w:space="8" w:color="7A8093"/>
            <w:left w:val="single" w:sz="6" w:space="8" w:color="7A8093"/>
            <w:bottom w:val="single" w:sz="6" w:space="8" w:color="7A8093"/>
            <w:right w:val="single" w:sz="6" w:space="8" w:color="7A8093"/>
          </w:divBdr>
          <w:divsChild>
            <w:div w:id="554044598">
              <w:marLeft w:val="-150"/>
              <w:marRight w:val="-150"/>
              <w:marTop w:val="0"/>
              <w:marBottom w:val="240"/>
              <w:divBdr>
                <w:top w:val="single" w:sz="6" w:space="5" w:color="C2C2C2"/>
                <w:left w:val="single" w:sz="6" w:space="5" w:color="C2C2C2"/>
                <w:bottom w:val="single" w:sz="24" w:space="5" w:color="C2C2C2"/>
                <w:right w:val="single" w:sz="6" w:space="5" w:color="C2C2C2"/>
              </w:divBdr>
              <w:divsChild>
                <w:div w:id="813327474">
                  <w:marLeft w:val="0"/>
                  <w:marRight w:val="0"/>
                  <w:marTop w:val="0"/>
                  <w:marBottom w:val="0"/>
                  <w:divBdr>
                    <w:top w:val="none" w:sz="0" w:space="0" w:color="auto"/>
                    <w:left w:val="none" w:sz="0" w:space="0" w:color="auto"/>
                    <w:bottom w:val="none" w:sz="0" w:space="0" w:color="auto"/>
                    <w:right w:val="none" w:sz="0" w:space="0" w:color="auto"/>
                  </w:divBdr>
                </w:div>
                <w:div w:id="115664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784043">
          <w:marLeft w:val="0"/>
          <w:marRight w:val="0"/>
          <w:marTop w:val="0"/>
          <w:marBottom w:val="0"/>
          <w:divBdr>
            <w:top w:val="single" w:sz="6" w:space="8" w:color="7A8093"/>
            <w:left w:val="single" w:sz="6" w:space="8" w:color="7A8093"/>
            <w:bottom w:val="single" w:sz="6" w:space="8" w:color="7A8093"/>
            <w:right w:val="single" w:sz="6" w:space="8" w:color="7A8093"/>
          </w:divBdr>
          <w:divsChild>
            <w:div w:id="962349161">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852527043">
                  <w:marLeft w:val="0"/>
                  <w:marRight w:val="0"/>
                  <w:marTop w:val="0"/>
                  <w:marBottom w:val="0"/>
                  <w:divBdr>
                    <w:top w:val="none" w:sz="0" w:space="0" w:color="auto"/>
                    <w:left w:val="none" w:sz="0" w:space="0" w:color="auto"/>
                    <w:bottom w:val="none" w:sz="0" w:space="0" w:color="auto"/>
                    <w:right w:val="none" w:sz="0" w:space="0" w:color="auto"/>
                  </w:divBdr>
                </w:div>
                <w:div w:id="189773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694892">
      <w:bodyDiv w:val="1"/>
      <w:marLeft w:val="0"/>
      <w:marRight w:val="0"/>
      <w:marTop w:val="0"/>
      <w:marBottom w:val="0"/>
      <w:divBdr>
        <w:top w:val="none" w:sz="0" w:space="0" w:color="auto"/>
        <w:left w:val="none" w:sz="0" w:space="0" w:color="auto"/>
        <w:bottom w:val="none" w:sz="0" w:space="0" w:color="auto"/>
        <w:right w:val="none" w:sz="0" w:space="0" w:color="auto"/>
      </w:divBdr>
    </w:div>
    <w:div w:id="1059521085">
      <w:bodyDiv w:val="1"/>
      <w:marLeft w:val="0"/>
      <w:marRight w:val="0"/>
      <w:marTop w:val="0"/>
      <w:marBottom w:val="0"/>
      <w:divBdr>
        <w:top w:val="none" w:sz="0" w:space="0" w:color="auto"/>
        <w:left w:val="none" w:sz="0" w:space="0" w:color="auto"/>
        <w:bottom w:val="none" w:sz="0" w:space="0" w:color="auto"/>
        <w:right w:val="none" w:sz="0" w:space="0" w:color="auto"/>
      </w:divBdr>
    </w:div>
    <w:div w:id="1061758936">
      <w:bodyDiv w:val="1"/>
      <w:marLeft w:val="0"/>
      <w:marRight w:val="0"/>
      <w:marTop w:val="0"/>
      <w:marBottom w:val="0"/>
      <w:divBdr>
        <w:top w:val="none" w:sz="0" w:space="0" w:color="auto"/>
        <w:left w:val="none" w:sz="0" w:space="0" w:color="auto"/>
        <w:bottom w:val="none" w:sz="0" w:space="0" w:color="auto"/>
        <w:right w:val="none" w:sz="0" w:space="0" w:color="auto"/>
      </w:divBdr>
      <w:divsChild>
        <w:div w:id="501092724">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47552671">
              <w:marLeft w:val="0"/>
              <w:marRight w:val="0"/>
              <w:marTop w:val="0"/>
              <w:marBottom w:val="0"/>
              <w:divBdr>
                <w:top w:val="none" w:sz="0" w:space="0" w:color="auto"/>
                <w:left w:val="none" w:sz="0" w:space="0" w:color="auto"/>
                <w:bottom w:val="none" w:sz="0" w:space="0" w:color="auto"/>
                <w:right w:val="none" w:sz="0" w:space="0" w:color="auto"/>
              </w:divBdr>
            </w:div>
            <w:div w:id="1585535090">
              <w:marLeft w:val="0"/>
              <w:marRight w:val="0"/>
              <w:marTop w:val="0"/>
              <w:marBottom w:val="0"/>
              <w:divBdr>
                <w:top w:val="none" w:sz="0" w:space="0" w:color="auto"/>
                <w:left w:val="none" w:sz="0" w:space="0" w:color="auto"/>
                <w:bottom w:val="none" w:sz="0" w:space="0" w:color="auto"/>
                <w:right w:val="none" w:sz="0" w:space="0" w:color="auto"/>
              </w:divBdr>
            </w:div>
            <w:div w:id="2084445672">
              <w:marLeft w:val="0"/>
              <w:marRight w:val="0"/>
              <w:marTop w:val="0"/>
              <w:marBottom w:val="0"/>
              <w:divBdr>
                <w:top w:val="none" w:sz="0" w:space="0" w:color="auto"/>
                <w:left w:val="none" w:sz="0" w:space="0" w:color="auto"/>
                <w:bottom w:val="none" w:sz="0" w:space="0" w:color="auto"/>
                <w:right w:val="none" w:sz="0" w:space="0" w:color="auto"/>
              </w:divBdr>
            </w:div>
          </w:divsChild>
        </w:div>
        <w:div w:id="1739790119">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62164009">
              <w:marLeft w:val="0"/>
              <w:marRight w:val="0"/>
              <w:marTop w:val="0"/>
              <w:marBottom w:val="0"/>
              <w:divBdr>
                <w:top w:val="none" w:sz="0" w:space="0" w:color="auto"/>
                <w:left w:val="none" w:sz="0" w:space="0" w:color="auto"/>
                <w:bottom w:val="none" w:sz="0" w:space="0" w:color="auto"/>
                <w:right w:val="none" w:sz="0" w:space="0" w:color="auto"/>
              </w:divBdr>
            </w:div>
            <w:div w:id="485556819">
              <w:marLeft w:val="0"/>
              <w:marRight w:val="0"/>
              <w:marTop w:val="0"/>
              <w:marBottom w:val="0"/>
              <w:divBdr>
                <w:top w:val="none" w:sz="0" w:space="0" w:color="auto"/>
                <w:left w:val="none" w:sz="0" w:space="0" w:color="auto"/>
                <w:bottom w:val="none" w:sz="0" w:space="0" w:color="auto"/>
                <w:right w:val="none" w:sz="0" w:space="0" w:color="auto"/>
              </w:divBdr>
            </w:div>
            <w:div w:id="106557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023953">
      <w:bodyDiv w:val="1"/>
      <w:marLeft w:val="0"/>
      <w:marRight w:val="0"/>
      <w:marTop w:val="0"/>
      <w:marBottom w:val="0"/>
      <w:divBdr>
        <w:top w:val="none" w:sz="0" w:space="0" w:color="auto"/>
        <w:left w:val="none" w:sz="0" w:space="0" w:color="auto"/>
        <w:bottom w:val="none" w:sz="0" w:space="0" w:color="auto"/>
        <w:right w:val="none" w:sz="0" w:space="0" w:color="auto"/>
      </w:divBdr>
    </w:div>
    <w:div w:id="1070619730">
      <w:bodyDiv w:val="1"/>
      <w:marLeft w:val="0"/>
      <w:marRight w:val="0"/>
      <w:marTop w:val="0"/>
      <w:marBottom w:val="0"/>
      <w:divBdr>
        <w:top w:val="none" w:sz="0" w:space="0" w:color="auto"/>
        <w:left w:val="none" w:sz="0" w:space="0" w:color="auto"/>
        <w:bottom w:val="none" w:sz="0" w:space="0" w:color="auto"/>
        <w:right w:val="none" w:sz="0" w:space="0" w:color="auto"/>
      </w:divBdr>
    </w:div>
    <w:div w:id="1084107071">
      <w:bodyDiv w:val="1"/>
      <w:marLeft w:val="0"/>
      <w:marRight w:val="0"/>
      <w:marTop w:val="0"/>
      <w:marBottom w:val="0"/>
      <w:divBdr>
        <w:top w:val="none" w:sz="0" w:space="0" w:color="auto"/>
        <w:left w:val="none" w:sz="0" w:space="0" w:color="auto"/>
        <w:bottom w:val="none" w:sz="0" w:space="0" w:color="auto"/>
        <w:right w:val="none" w:sz="0" w:space="0" w:color="auto"/>
      </w:divBdr>
    </w:div>
    <w:div w:id="1084759102">
      <w:bodyDiv w:val="1"/>
      <w:marLeft w:val="0"/>
      <w:marRight w:val="0"/>
      <w:marTop w:val="0"/>
      <w:marBottom w:val="0"/>
      <w:divBdr>
        <w:top w:val="none" w:sz="0" w:space="0" w:color="auto"/>
        <w:left w:val="none" w:sz="0" w:space="0" w:color="auto"/>
        <w:bottom w:val="none" w:sz="0" w:space="0" w:color="auto"/>
        <w:right w:val="none" w:sz="0" w:space="0" w:color="auto"/>
      </w:divBdr>
      <w:divsChild>
        <w:div w:id="1581402909">
          <w:marLeft w:val="0"/>
          <w:marRight w:val="0"/>
          <w:marTop w:val="0"/>
          <w:marBottom w:val="0"/>
          <w:divBdr>
            <w:top w:val="none" w:sz="0" w:space="0" w:color="auto"/>
            <w:left w:val="none" w:sz="0" w:space="0" w:color="auto"/>
            <w:bottom w:val="none" w:sz="0" w:space="0" w:color="auto"/>
            <w:right w:val="none" w:sz="0" w:space="0" w:color="auto"/>
          </w:divBdr>
        </w:div>
      </w:divsChild>
    </w:div>
    <w:div w:id="1085296818">
      <w:bodyDiv w:val="1"/>
      <w:marLeft w:val="0"/>
      <w:marRight w:val="0"/>
      <w:marTop w:val="0"/>
      <w:marBottom w:val="0"/>
      <w:divBdr>
        <w:top w:val="none" w:sz="0" w:space="0" w:color="auto"/>
        <w:left w:val="none" w:sz="0" w:space="0" w:color="auto"/>
        <w:bottom w:val="none" w:sz="0" w:space="0" w:color="auto"/>
        <w:right w:val="none" w:sz="0" w:space="0" w:color="auto"/>
      </w:divBdr>
    </w:div>
    <w:div w:id="1087001960">
      <w:bodyDiv w:val="1"/>
      <w:marLeft w:val="0"/>
      <w:marRight w:val="0"/>
      <w:marTop w:val="0"/>
      <w:marBottom w:val="450"/>
      <w:divBdr>
        <w:top w:val="none" w:sz="0" w:space="0" w:color="auto"/>
        <w:left w:val="none" w:sz="0" w:space="0" w:color="auto"/>
        <w:bottom w:val="none" w:sz="0" w:space="0" w:color="auto"/>
        <w:right w:val="none" w:sz="0" w:space="0" w:color="auto"/>
      </w:divBdr>
      <w:divsChild>
        <w:div w:id="872380429">
          <w:marLeft w:val="0"/>
          <w:marRight w:val="0"/>
          <w:marTop w:val="100"/>
          <w:marBottom w:val="100"/>
          <w:divBdr>
            <w:top w:val="none" w:sz="0" w:space="0" w:color="auto"/>
            <w:left w:val="none" w:sz="0" w:space="0" w:color="auto"/>
            <w:bottom w:val="none" w:sz="0" w:space="0" w:color="auto"/>
            <w:right w:val="none" w:sz="0" w:space="0" w:color="auto"/>
          </w:divBdr>
          <w:divsChild>
            <w:div w:id="730234103">
              <w:marLeft w:val="0"/>
              <w:marRight w:val="0"/>
              <w:marTop w:val="0"/>
              <w:marBottom w:val="0"/>
              <w:divBdr>
                <w:top w:val="none" w:sz="0" w:space="0" w:color="auto"/>
                <w:left w:val="none" w:sz="0" w:space="0" w:color="auto"/>
                <w:bottom w:val="none" w:sz="0" w:space="0" w:color="auto"/>
                <w:right w:val="none" w:sz="0" w:space="0" w:color="auto"/>
              </w:divBdr>
              <w:divsChild>
                <w:div w:id="342979840">
                  <w:marLeft w:val="300"/>
                  <w:marRight w:val="300"/>
                  <w:marTop w:val="0"/>
                  <w:marBottom w:val="0"/>
                  <w:divBdr>
                    <w:top w:val="none" w:sz="0" w:space="0" w:color="auto"/>
                    <w:left w:val="none" w:sz="0" w:space="0" w:color="auto"/>
                    <w:bottom w:val="none" w:sz="0" w:space="0" w:color="auto"/>
                    <w:right w:val="none" w:sz="0" w:space="0" w:color="auto"/>
                  </w:divBdr>
                  <w:divsChild>
                    <w:div w:id="1771974333">
                      <w:marLeft w:val="0"/>
                      <w:marRight w:val="0"/>
                      <w:marTop w:val="0"/>
                      <w:marBottom w:val="0"/>
                      <w:divBdr>
                        <w:top w:val="none" w:sz="0" w:space="0" w:color="auto"/>
                        <w:left w:val="none" w:sz="0" w:space="0" w:color="auto"/>
                        <w:bottom w:val="none" w:sz="0" w:space="0" w:color="auto"/>
                        <w:right w:val="none" w:sz="0" w:space="0" w:color="auto"/>
                      </w:divBdr>
                      <w:divsChild>
                        <w:div w:id="659965906">
                          <w:marLeft w:val="0"/>
                          <w:marRight w:val="0"/>
                          <w:marTop w:val="0"/>
                          <w:marBottom w:val="0"/>
                          <w:divBdr>
                            <w:top w:val="none" w:sz="0" w:space="0" w:color="auto"/>
                            <w:left w:val="none" w:sz="0" w:space="0" w:color="auto"/>
                            <w:bottom w:val="none" w:sz="0" w:space="0" w:color="auto"/>
                            <w:right w:val="none" w:sz="0" w:space="0" w:color="auto"/>
                          </w:divBdr>
                          <w:divsChild>
                            <w:div w:id="111440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1969091">
      <w:bodyDiv w:val="1"/>
      <w:marLeft w:val="0"/>
      <w:marRight w:val="0"/>
      <w:marTop w:val="0"/>
      <w:marBottom w:val="0"/>
      <w:divBdr>
        <w:top w:val="none" w:sz="0" w:space="0" w:color="auto"/>
        <w:left w:val="none" w:sz="0" w:space="0" w:color="auto"/>
        <w:bottom w:val="none" w:sz="0" w:space="0" w:color="auto"/>
        <w:right w:val="none" w:sz="0" w:space="0" w:color="auto"/>
      </w:divBdr>
    </w:div>
    <w:div w:id="1094132295">
      <w:bodyDiv w:val="1"/>
      <w:marLeft w:val="0"/>
      <w:marRight w:val="0"/>
      <w:marTop w:val="0"/>
      <w:marBottom w:val="0"/>
      <w:divBdr>
        <w:top w:val="none" w:sz="0" w:space="0" w:color="auto"/>
        <w:left w:val="none" w:sz="0" w:space="0" w:color="auto"/>
        <w:bottom w:val="none" w:sz="0" w:space="0" w:color="auto"/>
        <w:right w:val="none" w:sz="0" w:space="0" w:color="auto"/>
      </w:divBdr>
    </w:div>
    <w:div w:id="1103570206">
      <w:bodyDiv w:val="1"/>
      <w:marLeft w:val="0"/>
      <w:marRight w:val="0"/>
      <w:marTop w:val="0"/>
      <w:marBottom w:val="0"/>
      <w:divBdr>
        <w:top w:val="none" w:sz="0" w:space="0" w:color="auto"/>
        <w:left w:val="none" w:sz="0" w:space="0" w:color="auto"/>
        <w:bottom w:val="none" w:sz="0" w:space="0" w:color="auto"/>
        <w:right w:val="none" w:sz="0" w:space="0" w:color="auto"/>
      </w:divBdr>
      <w:divsChild>
        <w:div w:id="905259149">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114665587">
      <w:bodyDiv w:val="1"/>
      <w:marLeft w:val="0"/>
      <w:marRight w:val="0"/>
      <w:marTop w:val="0"/>
      <w:marBottom w:val="0"/>
      <w:divBdr>
        <w:top w:val="none" w:sz="0" w:space="0" w:color="auto"/>
        <w:left w:val="none" w:sz="0" w:space="0" w:color="auto"/>
        <w:bottom w:val="none" w:sz="0" w:space="0" w:color="auto"/>
        <w:right w:val="none" w:sz="0" w:space="0" w:color="auto"/>
      </w:divBdr>
    </w:div>
    <w:div w:id="1123108588">
      <w:bodyDiv w:val="1"/>
      <w:marLeft w:val="300"/>
      <w:marRight w:val="150"/>
      <w:marTop w:val="150"/>
      <w:marBottom w:val="150"/>
      <w:divBdr>
        <w:top w:val="none" w:sz="0" w:space="0" w:color="auto"/>
        <w:left w:val="none" w:sz="0" w:space="0" w:color="auto"/>
        <w:bottom w:val="none" w:sz="0" w:space="0" w:color="auto"/>
        <w:right w:val="none" w:sz="0" w:space="0" w:color="auto"/>
      </w:divBdr>
      <w:divsChild>
        <w:div w:id="807432930">
          <w:marLeft w:val="0"/>
          <w:marRight w:val="0"/>
          <w:marTop w:val="0"/>
          <w:marBottom w:val="0"/>
          <w:divBdr>
            <w:top w:val="none" w:sz="0" w:space="0" w:color="auto"/>
            <w:left w:val="none" w:sz="0" w:space="0" w:color="auto"/>
            <w:bottom w:val="none" w:sz="0" w:space="0" w:color="auto"/>
            <w:right w:val="none" w:sz="0" w:space="0" w:color="auto"/>
          </w:divBdr>
          <w:divsChild>
            <w:div w:id="354308620">
              <w:marLeft w:val="0"/>
              <w:marRight w:val="0"/>
              <w:marTop w:val="0"/>
              <w:marBottom w:val="0"/>
              <w:divBdr>
                <w:top w:val="none" w:sz="0" w:space="0" w:color="auto"/>
                <w:left w:val="none" w:sz="0" w:space="0" w:color="auto"/>
                <w:bottom w:val="none" w:sz="0" w:space="0" w:color="auto"/>
                <w:right w:val="none" w:sz="0" w:space="0" w:color="auto"/>
              </w:divBdr>
              <w:divsChild>
                <w:div w:id="97870524">
                  <w:marLeft w:val="0"/>
                  <w:marRight w:val="0"/>
                  <w:marTop w:val="0"/>
                  <w:marBottom w:val="0"/>
                  <w:divBdr>
                    <w:top w:val="none" w:sz="0" w:space="0" w:color="auto"/>
                    <w:left w:val="none" w:sz="0" w:space="0" w:color="auto"/>
                    <w:bottom w:val="none" w:sz="0" w:space="0" w:color="auto"/>
                    <w:right w:val="none" w:sz="0" w:space="0" w:color="auto"/>
                  </w:divBdr>
                </w:div>
                <w:div w:id="191215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947092">
      <w:bodyDiv w:val="1"/>
      <w:marLeft w:val="0"/>
      <w:marRight w:val="0"/>
      <w:marTop w:val="0"/>
      <w:marBottom w:val="0"/>
      <w:divBdr>
        <w:top w:val="none" w:sz="0" w:space="0" w:color="auto"/>
        <w:left w:val="none" w:sz="0" w:space="0" w:color="auto"/>
        <w:bottom w:val="none" w:sz="0" w:space="0" w:color="auto"/>
        <w:right w:val="none" w:sz="0" w:space="0" w:color="auto"/>
      </w:divBdr>
      <w:divsChild>
        <w:div w:id="773675853">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134567390">
      <w:bodyDiv w:val="1"/>
      <w:marLeft w:val="0"/>
      <w:marRight w:val="0"/>
      <w:marTop w:val="0"/>
      <w:marBottom w:val="0"/>
      <w:divBdr>
        <w:top w:val="none" w:sz="0" w:space="0" w:color="auto"/>
        <w:left w:val="none" w:sz="0" w:space="0" w:color="auto"/>
        <w:bottom w:val="none" w:sz="0" w:space="0" w:color="auto"/>
        <w:right w:val="none" w:sz="0" w:space="0" w:color="auto"/>
      </w:divBdr>
    </w:div>
    <w:div w:id="1147356328">
      <w:bodyDiv w:val="1"/>
      <w:marLeft w:val="0"/>
      <w:marRight w:val="0"/>
      <w:marTop w:val="0"/>
      <w:marBottom w:val="0"/>
      <w:divBdr>
        <w:top w:val="none" w:sz="0" w:space="0" w:color="auto"/>
        <w:left w:val="none" w:sz="0" w:space="0" w:color="auto"/>
        <w:bottom w:val="none" w:sz="0" w:space="0" w:color="auto"/>
        <w:right w:val="none" w:sz="0" w:space="0" w:color="auto"/>
      </w:divBdr>
      <w:divsChild>
        <w:div w:id="483200656">
          <w:marLeft w:val="0"/>
          <w:marRight w:val="0"/>
          <w:marTop w:val="0"/>
          <w:marBottom w:val="0"/>
          <w:divBdr>
            <w:top w:val="none" w:sz="0" w:space="0" w:color="auto"/>
            <w:left w:val="none" w:sz="0" w:space="0" w:color="auto"/>
            <w:bottom w:val="none" w:sz="0" w:space="0" w:color="auto"/>
            <w:right w:val="none" w:sz="0" w:space="0" w:color="auto"/>
          </w:divBdr>
          <w:divsChild>
            <w:div w:id="1489787524">
              <w:marLeft w:val="0"/>
              <w:marRight w:val="0"/>
              <w:marTop w:val="0"/>
              <w:marBottom w:val="0"/>
              <w:divBdr>
                <w:top w:val="none" w:sz="0" w:space="0" w:color="auto"/>
                <w:left w:val="none" w:sz="0" w:space="0" w:color="auto"/>
                <w:bottom w:val="none" w:sz="0" w:space="0" w:color="auto"/>
                <w:right w:val="none" w:sz="0" w:space="0" w:color="auto"/>
              </w:divBdr>
              <w:divsChild>
                <w:div w:id="753892223">
                  <w:marLeft w:val="0"/>
                  <w:marRight w:val="0"/>
                  <w:marTop w:val="0"/>
                  <w:marBottom w:val="0"/>
                  <w:divBdr>
                    <w:top w:val="none" w:sz="0" w:space="0" w:color="auto"/>
                    <w:left w:val="none" w:sz="0" w:space="0" w:color="auto"/>
                    <w:bottom w:val="none" w:sz="0" w:space="0" w:color="auto"/>
                    <w:right w:val="none" w:sz="0" w:space="0" w:color="auto"/>
                  </w:divBdr>
                  <w:divsChild>
                    <w:div w:id="14153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133844">
      <w:bodyDiv w:val="1"/>
      <w:marLeft w:val="0"/>
      <w:marRight w:val="0"/>
      <w:marTop w:val="0"/>
      <w:marBottom w:val="0"/>
      <w:divBdr>
        <w:top w:val="none" w:sz="0" w:space="0" w:color="auto"/>
        <w:left w:val="none" w:sz="0" w:space="0" w:color="auto"/>
        <w:bottom w:val="none" w:sz="0" w:space="0" w:color="auto"/>
        <w:right w:val="none" w:sz="0" w:space="0" w:color="auto"/>
      </w:divBdr>
      <w:divsChild>
        <w:div w:id="1180588104">
          <w:marLeft w:val="0"/>
          <w:marRight w:val="0"/>
          <w:marTop w:val="0"/>
          <w:marBottom w:val="0"/>
          <w:divBdr>
            <w:top w:val="none" w:sz="0" w:space="0" w:color="auto"/>
            <w:left w:val="none" w:sz="0" w:space="0" w:color="auto"/>
            <w:bottom w:val="none" w:sz="0" w:space="0" w:color="auto"/>
            <w:right w:val="none" w:sz="0" w:space="0" w:color="auto"/>
          </w:divBdr>
          <w:divsChild>
            <w:div w:id="399182247">
              <w:marLeft w:val="2850"/>
              <w:marRight w:val="600"/>
              <w:marTop w:val="0"/>
              <w:marBottom w:val="0"/>
              <w:divBdr>
                <w:top w:val="none" w:sz="0" w:space="0" w:color="auto"/>
                <w:left w:val="none" w:sz="0" w:space="0" w:color="auto"/>
                <w:bottom w:val="none" w:sz="0" w:space="0" w:color="auto"/>
                <w:right w:val="none" w:sz="0" w:space="0" w:color="auto"/>
              </w:divBdr>
              <w:divsChild>
                <w:div w:id="126288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173240">
      <w:bodyDiv w:val="1"/>
      <w:marLeft w:val="0"/>
      <w:marRight w:val="0"/>
      <w:marTop w:val="0"/>
      <w:marBottom w:val="0"/>
      <w:divBdr>
        <w:top w:val="none" w:sz="0" w:space="0" w:color="auto"/>
        <w:left w:val="none" w:sz="0" w:space="0" w:color="auto"/>
        <w:bottom w:val="none" w:sz="0" w:space="0" w:color="auto"/>
        <w:right w:val="none" w:sz="0" w:space="0" w:color="auto"/>
      </w:divBdr>
    </w:div>
    <w:div w:id="1173834538">
      <w:bodyDiv w:val="1"/>
      <w:marLeft w:val="0"/>
      <w:marRight w:val="0"/>
      <w:marTop w:val="0"/>
      <w:marBottom w:val="0"/>
      <w:divBdr>
        <w:top w:val="none" w:sz="0" w:space="0" w:color="auto"/>
        <w:left w:val="none" w:sz="0" w:space="0" w:color="auto"/>
        <w:bottom w:val="none" w:sz="0" w:space="0" w:color="auto"/>
        <w:right w:val="none" w:sz="0" w:space="0" w:color="auto"/>
      </w:divBdr>
      <w:divsChild>
        <w:div w:id="1316880606">
          <w:marLeft w:val="0"/>
          <w:marRight w:val="0"/>
          <w:marTop w:val="0"/>
          <w:marBottom w:val="0"/>
          <w:divBdr>
            <w:top w:val="none" w:sz="0" w:space="0" w:color="auto"/>
            <w:left w:val="none" w:sz="0" w:space="0" w:color="auto"/>
            <w:bottom w:val="none" w:sz="0" w:space="0" w:color="auto"/>
            <w:right w:val="none" w:sz="0" w:space="0" w:color="auto"/>
          </w:divBdr>
          <w:divsChild>
            <w:div w:id="164372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52304">
      <w:bodyDiv w:val="1"/>
      <w:marLeft w:val="0"/>
      <w:marRight w:val="0"/>
      <w:marTop w:val="0"/>
      <w:marBottom w:val="0"/>
      <w:divBdr>
        <w:top w:val="none" w:sz="0" w:space="0" w:color="auto"/>
        <w:left w:val="none" w:sz="0" w:space="0" w:color="auto"/>
        <w:bottom w:val="none" w:sz="0" w:space="0" w:color="auto"/>
        <w:right w:val="none" w:sz="0" w:space="0" w:color="auto"/>
      </w:divBdr>
    </w:div>
    <w:div w:id="1177424839">
      <w:bodyDiv w:val="1"/>
      <w:marLeft w:val="0"/>
      <w:marRight w:val="0"/>
      <w:marTop w:val="0"/>
      <w:marBottom w:val="0"/>
      <w:divBdr>
        <w:top w:val="none" w:sz="0" w:space="0" w:color="auto"/>
        <w:left w:val="none" w:sz="0" w:space="0" w:color="auto"/>
        <w:bottom w:val="none" w:sz="0" w:space="0" w:color="auto"/>
        <w:right w:val="none" w:sz="0" w:space="0" w:color="auto"/>
      </w:divBdr>
      <w:divsChild>
        <w:div w:id="532963760">
          <w:marLeft w:val="0"/>
          <w:marRight w:val="0"/>
          <w:marTop w:val="0"/>
          <w:marBottom w:val="0"/>
          <w:divBdr>
            <w:top w:val="none" w:sz="0" w:space="0" w:color="auto"/>
            <w:left w:val="none" w:sz="0" w:space="0" w:color="auto"/>
            <w:bottom w:val="none" w:sz="0" w:space="0" w:color="auto"/>
            <w:right w:val="none" w:sz="0" w:space="0" w:color="auto"/>
          </w:divBdr>
          <w:divsChild>
            <w:div w:id="27028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852568">
      <w:bodyDiv w:val="1"/>
      <w:marLeft w:val="0"/>
      <w:marRight w:val="0"/>
      <w:marTop w:val="0"/>
      <w:marBottom w:val="0"/>
      <w:divBdr>
        <w:top w:val="none" w:sz="0" w:space="0" w:color="auto"/>
        <w:left w:val="none" w:sz="0" w:space="0" w:color="auto"/>
        <w:bottom w:val="none" w:sz="0" w:space="0" w:color="auto"/>
        <w:right w:val="none" w:sz="0" w:space="0" w:color="auto"/>
      </w:divBdr>
    </w:div>
    <w:div w:id="1192110011">
      <w:bodyDiv w:val="1"/>
      <w:marLeft w:val="0"/>
      <w:marRight w:val="0"/>
      <w:marTop w:val="0"/>
      <w:marBottom w:val="0"/>
      <w:divBdr>
        <w:top w:val="none" w:sz="0" w:space="0" w:color="auto"/>
        <w:left w:val="none" w:sz="0" w:space="0" w:color="auto"/>
        <w:bottom w:val="none" w:sz="0" w:space="0" w:color="auto"/>
        <w:right w:val="none" w:sz="0" w:space="0" w:color="auto"/>
      </w:divBdr>
    </w:div>
    <w:div w:id="1211764309">
      <w:bodyDiv w:val="1"/>
      <w:marLeft w:val="0"/>
      <w:marRight w:val="0"/>
      <w:marTop w:val="0"/>
      <w:marBottom w:val="0"/>
      <w:divBdr>
        <w:top w:val="none" w:sz="0" w:space="0" w:color="auto"/>
        <w:left w:val="none" w:sz="0" w:space="0" w:color="auto"/>
        <w:bottom w:val="none" w:sz="0" w:space="0" w:color="auto"/>
        <w:right w:val="none" w:sz="0" w:space="0" w:color="auto"/>
      </w:divBdr>
    </w:div>
    <w:div w:id="1214926827">
      <w:bodyDiv w:val="1"/>
      <w:marLeft w:val="0"/>
      <w:marRight w:val="0"/>
      <w:marTop w:val="0"/>
      <w:marBottom w:val="0"/>
      <w:divBdr>
        <w:top w:val="none" w:sz="0" w:space="0" w:color="auto"/>
        <w:left w:val="none" w:sz="0" w:space="0" w:color="auto"/>
        <w:bottom w:val="none" w:sz="0" w:space="0" w:color="auto"/>
        <w:right w:val="none" w:sz="0" w:space="0" w:color="auto"/>
      </w:divBdr>
    </w:div>
    <w:div w:id="1229076984">
      <w:bodyDiv w:val="1"/>
      <w:marLeft w:val="0"/>
      <w:marRight w:val="0"/>
      <w:marTop w:val="0"/>
      <w:marBottom w:val="0"/>
      <w:divBdr>
        <w:top w:val="none" w:sz="0" w:space="0" w:color="auto"/>
        <w:left w:val="none" w:sz="0" w:space="0" w:color="auto"/>
        <w:bottom w:val="none" w:sz="0" w:space="0" w:color="auto"/>
        <w:right w:val="none" w:sz="0" w:space="0" w:color="auto"/>
      </w:divBdr>
      <w:divsChild>
        <w:div w:id="417094596">
          <w:marLeft w:val="0"/>
          <w:marRight w:val="0"/>
          <w:marTop w:val="150"/>
          <w:marBottom w:val="0"/>
          <w:divBdr>
            <w:top w:val="none" w:sz="0" w:space="0" w:color="auto"/>
            <w:left w:val="none" w:sz="0" w:space="0" w:color="auto"/>
            <w:bottom w:val="none" w:sz="0" w:space="0" w:color="auto"/>
            <w:right w:val="none" w:sz="0" w:space="0" w:color="auto"/>
          </w:divBdr>
        </w:div>
        <w:div w:id="634874709">
          <w:marLeft w:val="0"/>
          <w:marRight w:val="0"/>
          <w:marTop w:val="0"/>
          <w:marBottom w:val="0"/>
          <w:divBdr>
            <w:top w:val="none" w:sz="0" w:space="0" w:color="auto"/>
            <w:left w:val="none" w:sz="0" w:space="0" w:color="auto"/>
            <w:bottom w:val="none" w:sz="0" w:space="0" w:color="auto"/>
            <w:right w:val="none" w:sz="0" w:space="0" w:color="auto"/>
          </w:divBdr>
        </w:div>
      </w:divsChild>
    </w:div>
    <w:div w:id="1247225915">
      <w:bodyDiv w:val="1"/>
      <w:marLeft w:val="0"/>
      <w:marRight w:val="0"/>
      <w:marTop w:val="0"/>
      <w:marBottom w:val="0"/>
      <w:divBdr>
        <w:top w:val="none" w:sz="0" w:space="0" w:color="auto"/>
        <w:left w:val="none" w:sz="0" w:space="0" w:color="auto"/>
        <w:bottom w:val="none" w:sz="0" w:space="0" w:color="auto"/>
        <w:right w:val="none" w:sz="0" w:space="0" w:color="auto"/>
      </w:divBdr>
    </w:div>
    <w:div w:id="1260604989">
      <w:bodyDiv w:val="1"/>
      <w:marLeft w:val="0"/>
      <w:marRight w:val="0"/>
      <w:marTop w:val="0"/>
      <w:marBottom w:val="0"/>
      <w:divBdr>
        <w:top w:val="none" w:sz="0" w:space="0" w:color="auto"/>
        <w:left w:val="none" w:sz="0" w:space="0" w:color="auto"/>
        <w:bottom w:val="none" w:sz="0" w:space="0" w:color="auto"/>
        <w:right w:val="none" w:sz="0" w:space="0" w:color="auto"/>
      </w:divBdr>
    </w:div>
    <w:div w:id="1278950571">
      <w:bodyDiv w:val="1"/>
      <w:marLeft w:val="0"/>
      <w:marRight w:val="0"/>
      <w:marTop w:val="0"/>
      <w:marBottom w:val="0"/>
      <w:divBdr>
        <w:top w:val="none" w:sz="0" w:space="0" w:color="auto"/>
        <w:left w:val="none" w:sz="0" w:space="0" w:color="auto"/>
        <w:bottom w:val="none" w:sz="0" w:space="0" w:color="auto"/>
        <w:right w:val="none" w:sz="0" w:space="0" w:color="auto"/>
      </w:divBdr>
    </w:div>
    <w:div w:id="1282033663">
      <w:bodyDiv w:val="1"/>
      <w:marLeft w:val="0"/>
      <w:marRight w:val="0"/>
      <w:marTop w:val="0"/>
      <w:marBottom w:val="0"/>
      <w:divBdr>
        <w:top w:val="none" w:sz="0" w:space="0" w:color="auto"/>
        <w:left w:val="none" w:sz="0" w:space="0" w:color="auto"/>
        <w:bottom w:val="none" w:sz="0" w:space="0" w:color="auto"/>
        <w:right w:val="none" w:sz="0" w:space="0" w:color="auto"/>
      </w:divBdr>
    </w:div>
    <w:div w:id="1295066958">
      <w:bodyDiv w:val="1"/>
      <w:marLeft w:val="0"/>
      <w:marRight w:val="0"/>
      <w:marTop w:val="0"/>
      <w:marBottom w:val="0"/>
      <w:divBdr>
        <w:top w:val="none" w:sz="0" w:space="0" w:color="auto"/>
        <w:left w:val="none" w:sz="0" w:space="0" w:color="auto"/>
        <w:bottom w:val="none" w:sz="0" w:space="0" w:color="auto"/>
        <w:right w:val="none" w:sz="0" w:space="0" w:color="auto"/>
      </w:divBdr>
    </w:div>
    <w:div w:id="1296521452">
      <w:bodyDiv w:val="1"/>
      <w:marLeft w:val="0"/>
      <w:marRight w:val="0"/>
      <w:marTop w:val="0"/>
      <w:marBottom w:val="0"/>
      <w:divBdr>
        <w:top w:val="none" w:sz="0" w:space="0" w:color="auto"/>
        <w:left w:val="none" w:sz="0" w:space="0" w:color="auto"/>
        <w:bottom w:val="none" w:sz="0" w:space="0" w:color="auto"/>
        <w:right w:val="none" w:sz="0" w:space="0" w:color="auto"/>
      </w:divBdr>
    </w:div>
    <w:div w:id="1308978698">
      <w:bodyDiv w:val="1"/>
      <w:marLeft w:val="0"/>
      <w:marRight w:val="0"/>
      <w:marTop w:val="0"/>
      <w:marBottom w:val="0"/>
      <w:divBdr>
        <w:top w:val="none" w:sz="0" w:space="0" w:color="auto"/>
        <w:left w:val="none" w:sz="0" w:space="0" w:color="auto"/>
        <w:bottom w:val="none" w:sz="0" w:space="0" w:color="auto"/>
        <w:right w:val="none" w:sz="0" w:space="0" w:color="auto"/>
      </w:divBdr>
      <w:divsChild>
        <w:div w:id="315689580">
          <w:marLeft w:val="0"/>
          <w:marRight w:val="0"/>
          <w:marTop w:val="0"/>
          <w:marBottom w:val="0"/>
          <w:divBdr>
            <w:top w:val="none" w:sz="0" w:space="0" w:color="auto"/>
            <w:left w:val="none" w:sz="0" w:space="0" w:color="auto"/>
            <w:bottom w:val="none" w:sz="0" w:space="0" w:color="auto"/>
            <w:right w:val="none" w:sz="0" w:space="0" w:color="auto"/>
          </w:divBdr>
        </w:div>
      </w:divsChild>
    </w:div>
    <w:div w:id="1313831997">
      <w:bodyDiv w:val="1"/>
      <w:marLeft w:val="0"/>
      <w:marRight w:val="0"/>
      <w:marTop w:val="0"/>
      <w:marBottom w:val="450"/>
      <w:divBdr>
        <w:top w:val="none" w:sz="0" w:space="0" w:color="auto"/>
        <w:left w:val="none" w:sz="0" w:space="0" w:color="auto"/>
        <w:bottom w:val="none" w:sz="0" w:space="0" w:color="auto"/>
        <w:right w:val="none" w:sz="0" w:space="0" w:color="auto"/>
      </w:divBdr>
      <w:divsChild>
        <w:div w:id="285042754">
          <w:marLeft w:val="0"/>
          <w:marRight w:val="0"/>
          <w:marTop w:val="100"/>
          <w:marBottom w:val="100"/>
          <w:divBdr>
            <w:top w:val="none" w:sz="0" w:space="0" w:color="auto"/>
            <w:left w:val="none" w:sz="0" w:space="0" w:color="auto"/>
            <w:bottom w:val="none" w:sz="0" w:space="0" w:color="auto"/>
            <w:right w:val="none" w:sz="0" w:space="0" w:color="auto"/>
          </w:divBdr>
          <w:divsChild>
            <w:div w:id="155541261">
              <w:marLeft w:val="0"/>
              <w:marRight w:val="0"/>
              <w:marTop w:val="0"/>
              <w:marBottom w:val="0"/>
              <w:divBdr>
                <w:top w:val="none" w:sz="0" w:space="0" w:color="auto"/>
                <w:left w:val="none" w:sz="0" w:space="0" w:color="auto"/>
                <w:bottom w:val="none" w:sz="0" w:space="0" w:color="auto"/>
                <w:right w:val="none" w:sz="0" w:space="0" w:color="auto"/>
              </w:divBdr>
              <w:divsChild>
                <w:div w:id="443697371">
                  <w:marLeft w:val="300"/>
                  <w:marRight w:val="300"/>
                  <w:marTop w:val="0"/>
                  <w:marBottom w:val="0"/>
                  <w:divBdr>
                    <w:top w:val="none" w:sz="0" w:space="0" w:color="auto"/>
                    <w:left w:val="none" w:sz="0" w:space="0" w:color="auto"/>
                    <w:bottom w:val="none" w:sz="0" w:space="0" w:color="auto"/>
                    <w:right w:val="none" w:sz="0" w:space="0" w:color="auto"/>
                  </w:divBdr>
                  <w:divsChild>
                    <w:div w:id="679431654">
                      <w:marLeft w:val="0"/>
                      <w:marRight w:val="0"/>
                      <w:marTop w:val="0"/>
                      <w:marBottom w:val="0"/>
                      <w:divBdr>
                        <w:top w:val="none" w:sz="0" w:space="0" w:color="auto"/>
                        <w:left w:val="none" w:sz="0" w:space="0" w:color="auto"/>
                        <w:bottom w:val="none" w:sz="0" w:space="0" w:color="auto"/>
                        <w:right w:val="none" w:sz="0" w:space="0" w:color="auto"/>
                      </w:divBdr>
                      <w:divsChild>
                        <w:div w:id="1779450962">
                          <w:marLeft w:val="0"/>
                          <w:marRight w:val="0"/>
                          <w:marTop w:val="0"/>
                          <w:marBottom w:val="0"/>
                          <w:divBdr>
                            <w:top w:val="none" w:sz="0" w:space="0" w:color="auto"/>
                            <w:left w:val="none" w:sz="0" w:space="0" w:color="auto"/>
                            <w:bottom w:val="none" w:sz="0" w:space="0" w:color="auto"/>
                            <w:right w:val="none" w:sz="0" w:space="0" w:color="auto"/>
                          </w:divBdr>
                          <w:divsChild>
                            <w:div w:id="80034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3871650">
      <w:bodyDiv w:val="1"/>
      <w:marLeft w:val="0"/>
      <w:marRight w:val="0"/>
      <w:marTop w:val="0"/>
      <w:marBottom w:val="0"/>
      <w:divBdr>
        <w:top w:val="none" w:sz="0" w:space="0" w:color="auto"/>
        <w:left w:val="none" w:sz="0" w:space="0" w:color="auto"/>
        <w:bottom w:val="none" w:sz="0" w:space="0" w:color="auto"/>
        <w:right w:val="none" w:sz="0" w:space="0" w:color="auto"/>
      </w:divBdr>
    </w:div>
    <w:div w:id="1326519403">
      <w:bodyDiv w:val="1"/>
      <w:marLeft w:val="0"/>
      <w:marRight w:val="0"/>
      <w:marTop w:val="0"/>
      <w:marBottom w:val="0"/>
      <w:divBdr>
        <w:top w:val="none" w:sz="0" w:space="0" w:color="auto"/>
        <w:left w:val="none" w:sz="0" w:space="0" w:color="auto"/>
        <w:bottom w:val="none" w:sz="0" w:space="0" w:color="auto"/>
        <w:right w:val="none" w:sz="0" w:space="0" w:color="auto"/>
      </w:divBdr>
      <w:divsChild>
        <w:div w:id="2099671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6594044">
      <w:bodyDiv w:val="1"/>
      <w:marLeft w:val="0"/>
      <w:marRight w:val="0"/>
      <w:marTop w:val="0"/>
      <w:marBottom w:val="0"/>
      <w:divBdr>
        <w:top w:val="none" w:sz="0" w:space="0" w:color="auto"/>
        <w:left w:val="none" w:sz="0" w:space="0" w:color="auto"/>
        <w:bottom w:val="none" w:sz="0" w:space="0" w:color="auto"/>
        <w:right w:val="none" w:sz="0" w:space="0" w:color="auto"/>
      </w:divBdr>
      <w:divsChild>
        <w:div w:id="159396729">
          <w:marLeft w:val="0"/>
          <w:marRight w:val="0"/>
          <w:marTop w:val="0"/>
          <w:marBottom w:val="0"/>
          <w:divBdr>
            <w:top w:val="none" w:sz="0" w:space="0" w:color="auto"/>
            <w:left w:val="none" w:sz="0" w:space="0" w:color="auto"/>
            <w:bottom w:val="none" w:sz="0" w:space="0" w:color="auto"/>
            <w:right w:val="none" w:sz="0" w:space="0" w:color="auto"/>
          </w:divBdr>
          <w:divsChild>
            <w:div w:id="1413166347">
              <w:marLeft w:val="0"/>
              <w:marRight w:val="0"/>
              <w:marTop w:val="144"/>
              <w:marBottom w:val="0"/>
              <w:divBdr>
                <w:top w:val="none" w:sz="0" w:space="0" w:color="auto"/>
                <w:left w:val="none" w:sz="0" w:space="0" w:color="auto"/>
                <w:bottom w:val="none" w:sz="0" w:space="0" w:color="auto"/>
                <w:right w:val="none" w:sz="0" w:space="0" w:color="auto"/>
              </w:divBdr>
              <w:divsChild>
                <w:div w:id="743913214">
                  <w:marLeft w:val="0"/>
                  <w:marRight w:val="0"/>
                  <w:marTop w:val="144"/>
                  <w:marBottom w:val="0"/>
                  <w:divBdr>
                    <w:top w:val="none" w:sz="0" w:space="0" w:color="auto"/>
                    <w:left w:val="none" w:sz="0" w:space="0" w:color="auto"/>
                    <w:bottom w:val="none" w:sz="0" w:space="0" w:color="auto"/>
                    <w:right w:val="none" w:sz="0" w:space="0" w:color="auto"/>
                  </w:divBdr>
                  <w:divsChild>
                    <w:div w:id="1049837400">
                      <w:marLeft w:val="0"/>
                      <w:marRight w:val="0"/>
                      <w:marTop w:val="144"/>
                      <w:marBottom w:val="0"/>
                      <w:divBdr>
                        <w:top w:val="none" w:sz="0" w:space="0" w:color="auto"/>
                        <w:left w:val="none" w:sz="0" w:space="0" w:color="auto"/>
                        <w:bottom w:val="none" w:sz="0" w:space="0" w:color="auto"/>
                        <w:right w:val="none" w:sz="0" w:space="0" w:color="auto"/>
                      </w:divBdr>
                      <w:divsChild>
                        <w:div w:id="526990626">
                          <w:marLeft w:val="-216"/>
                          <w:marRight w:val="0"/>
                          <w:marTop w:val="0"/>
                          <w:marBottom w:val="0"/>
                          <w:divBdr>
                            <w:top w:val="none" w:sz="0" w:space="0" w:color="auto"/>
                            <w:left w:val="none" w:sz="0" w:space="0" w:color="auto"/>
                            <w:bottom w:val="none" w:sz="0" w:space="0" w:color="auto"/>
                            <w:right w:val="none" w:sz="0" w:space="0" w:color="auto"/>
                          </w:divBdr>
                        </w:div>
                        <w:div w:id="1272934990">
                          <w:marLeft w:val="1080"/>
                          <w:marRight w:val="0"/>
                          <w:marTop w:val="0"/>
                          <w:marBottom w:val="0"/>
                          <w:divBdr>
                            <w:top w:val="none" w:sz="0" w:space="0" w:color="auto"/>
                            <w:left w:val="none" w:sz="0" w:space="0" w:color="auto"/>
                            <w:bottom w:val="none" w:sz="0" w:space="0" w:color="auto"/>
                            <w:right w:val="none" w:sz="0" w:space="0" w:color="auto"/>
                          </w:divBdr>
                        </w:div>
                      </w:divsChild>
                    </w:div>
                    <w:div w:id="1291281152">
                      <w:marLeft w:val="0"/>
                      <w:marRight w:val="0"/>
                      <w:marTop w:val="144"/>
                      <w:marBottom w:val="0"/>
                      <w:divBdr>
                        <w:top w:val="none" w:sz="0" w:space="0" w:color="auto"/>
                        <w:left w:val="none" w:sz="0" w:space="0" w:color="auto"/>
                        <w:bottom w:val="none" w:sz="0" w:space="0" w:color="auto"/>
                        <w:right w:val="none" w:sz="0" w:space="0" w:color="auto"/>
                      </w:divBdr>
                    </w:div>
                    <w:div w:id="1423797110">
                      <w:marLeft w:val="0"/>
                      <w:marRight w:val="0"/>
                      <w:marTop w:val="144"/>
                      <w:marBottom w:val="0"/>
                      <w:divBdr>
                        <w:top w:val="none" w:sz="0" w:space="0" w:color="auto"/>
                        <w:left w:val="none" w:sz="0" w:space="0" w:color="auto"/>
                        <w:bottom w:val="none" w:sz="0" w:space="0" w:color="auto"/>
                        <w:right w:val="none" w:sz="0" w:space="0" w:color="auto"/>
                      </w:divBdr>
                      <w:divsChild>
                        <w:div w:id="799300803">
                          <w:marLeft w:val="-216"/>
                          <w:marRight w:val="0"/>
                          <w:marTop w:val="0"/>
                          <w:marBottom w:val="0"/>
                          <w:divBdr>
                            <w:top w:val="none" w:sz="0" w:space="0" w:color="auto"/>
                            <w:left w:val="none" w:sz="0" w:space="0" w:color="auto"/>
                            <w:bottom w:val="none" w:sz="0" w:space="0" w:color="auto"/>
                            <w:right w:val="none" w:sz="0" w:space="0" w:color="auto"/>
                          </w:divBdr>
                        </w:div>
                        <w:div w:id="1219316456">
                          <w:marLeft w:val="1080"/>
                          <w:marRight w:val="0"/>
                          <w:marTop w:val="0"/>
                          <w:marBottom w:val="0"/>
                          <w:divBdr>
                            <w:top w:val="none" w:sz="0" w:space="0" w:color="auto"/>
                            <w:left w:val="none" w:sz="0" w:space="0" w:color="auto"/>
                            <w:bottom w:val="none" w:sz="0" w:space="0" w:color="auto"/>
                            <w:right w:val="none" w:sz="0" w:space="0" w:color="auto"/>
                          </w:divBdr>
                        </w:div>
                      </w:divsChild>
                    </w:div>
                    <w:div w:id="1605454756">
                      <w:marLeft w:val="0"/>
                      <w:marRight w:val="0"/>
                      <w:marTop w:val="144"/>
                      <w:marBottom w:val="0"/>
                      <w:divBdr>
                        <w:top w:val="none" w:sz="0" w:space="0" w:color="auto"/>
                        <w:left w:val="none" w:sz="0" w:space="0" w:color="auto"/>
                        <w:bottom w:val="none" w:sz="0" w:space="0" w:color="auto"/>
                        <w:right w:val="none" w:sz="0" w:space="0" w:color="auto"/>
                      </w:divBdr>
                      <w:divsChild>
                        <w:div w:id="654797097">
                          <w:marLeft w:val="1080"/>
                          <w:marRight w:val="0"/>
                          <w:marTop w:val="0"/>
                          <w:marBottom w:val="0"/>
                          <w:divBdr>
                            <w:top w:val="none" w:sz="0" w:space="0" w:color="auto"/>
                            <w:left w:val="none" w:sz="0" w:space="0" w:color="auto"/>
                            <w:bottom w:val="none" w:sz="0" w:space="0" w:color="auto"/>
                            <w:right w:val="none" w:sz="0" w:space="0" w:color="auto"/>
                          </w:divBdr>
                        </w:div>
                        <w:div w:id="806237926">
                          <w:marLeft w:val="-216"/>
                          <w:marRight w:val="0"/>
                          <w:marTop w:val="0"/>
                          <w:marBottom w:val="0"/>
                          <w:divBdr>
                            <w:top w:val="none" w:sz="0" w:space="0" w:color="auto"/>
                            <w:left w:val="none" w:sz="0" w:space="0" w:color="auto"/>
                            <w:bottom w:val="none" w:sz="0" w:space="0" w:color="auto"/>
                            <w:right w:val="none" w:sz="0" w:space="0" w:color="auto"/>
                          </w:divBdr>
                        </w:div>
                      </w:divsChild>
                    </w:div>
                    <w:div w:id="1806267719">
                      <w:marLeft w:val="0"/>
                      <w:marRight w:val="0"/>
                      <w:marTop w:val="144"/>
                      <w:marBottom w:val="0"/>
                      <w:divBdr>
                        <w:top w:val="none" w:sz="0" w:space="0" w:color="auto"/>
                        <w:left w:val="none" w:sz="0" w:space="0" w:color="auto"/>
                        <w:bottom w:val="none" w:sz="0" w:space="0" w:color="auto"/>
                        <w:right w:val="none" w:sz="0" w:space="0" w:color="auto"/>
                      </w:divBdr>
                      <w:divsChild>
                        <w:div w:id="1713070947">
                          <w:marLeft w:val="1080"/>
                          <w:marRight w:val="0"/>
                          <w:marTop w:val="0"/>
                          <w:marBottom w:val="0"/>
                          <w:divBdr>
                            <w:top w:val="none" w:sz="0" w:space="0" w:color="auto"/>
                            <w:left w:val="none" w:sz="0" w:space="0" w:color="auto"/>
                            <w:bottom w:val="none" w:sz="0" w:space="0" w:color="auto"/>
                            <w:right w:val="none" w:sz="0" w:space="0" w:color="auto"/>
                          </w:divBdr>
                        </w:div>
                        <w:div w:id="1957560736">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 w:id="1966814996">
                  <w:marLeft w:val="0"/>
                  <w:marRight w:val="0"/>
                  <w:marTop w:val="0"/>
                  <w:marBottom w:val="0"/>
                  <w:divBdr>
                    <w:top w:val="none" w:sz="0" w:space="0" w:color="auto"/>
                    <w:left w:val="none" w:sz="0" w:space="0" w:color="auto"/>
                    <w:bottom w:val="none" w:sz="0" w:space="0" w:color="auto"/>
                    <w:right w:val="none" w:sz="0" w:space="0" w:color="auto"/>
                  </w:divBdr>
                </w:div>
              </w:divsChild>
            </w:div>
            <w:div w:id="1602493428">
              <w:marLeft w:val="0"/>
              <w:marRight w:val="0"/>
              <w:marTop w:val="288"/>
              <w:marBottom w:val="144"/>
              <w:divBdr>
                <w:top w:val="none" w:sz="0" w:space="0" w:color="auto"/>
                <w:left w:val="none" w:sz="0" w:space="0" w:color="auto"/>
                <w:bottom w:val="none" w:sz="0" w:space="0" w:color="auto"/>
                <w:right w:val="none" w:sz="0" w:space="0" w:color="auto"/>
              </w:divBdr>
            </w:div>
          </w:divsChild>
        </w:div>
        <w:div w:id="1511682838">
          <w:marLeft w:val="0"/>
          <w:marRight w:val="0"/>
          <w:marTop w:val="0"/>
          <w:marBottom w:val="0"/>
          <w:divBdr>
            <w:top w:val="none" w:sz="0" w:space="0" w:color="auto"/>
            <w:left w:val="none" w:sz="0" w:space="0" w:color="auto"/>
            <w:bottom w:val="none" w:sz="0" w:space="0" w:color="auto"/>
            <w:right w:val="none" w:sz="0" w:space="0" w:color="auto"/>
          </w:divBdr>
          <w:divsChild>
            <w:div w:id="833107260">
              <w:marLeft w:val="0"/>
              <w:marRight w:val="0"/>
              <w:marTop w:val="144"/>
              <w:marBottom w:val="0"/>
              <w:divBdr>
                <w:top w:val="none" w:sz="0" w:space="0" w:color="auto"/>
                <w:left w:val="none" w:sz="0" w:space="0" w:color="auto"/>
                <w:bottom w:val="none" w:sz="0" w:space="0" w:color="auto"/>
                <w:right w:val="none" w:sz="0" w:space="0" w:color="auto"/>
              </w:divBdr>
            </w:div>
            <w:div w:id="1062215727">
              <w:marLeft w:val="0"/>
              <w:marRight w:val="0"/>
              <w:marTop w:val="288"/>
              <w:marBottom w:val="144"/>
              <w:divBdr>
                <w:top w:val="none" w:sz="0" w:space="0" w:color="auto"/>
                <w:left w:val="none" w:sz="0" w:space="0" w:color="auto"/>
                <w:bottom w:val="none" w:sz="0" w:space="0" w:color="auto"/>
                <w:right w:val="none" w:sz="0" w:space="0" w:color="auto"/>
              </w:divBdr>
            </w:div>
          </w:divsChild>
        </w:div>
      </w:divsChild>
    </w:div>
    <w:div w:id="1353070420">
      <w:bodyDiv w:val="1"/>
      <w:marLeft w:val="0"/>
      <w:marRight w:val="0"/>
      <w:marTop w:val="0"/>
      <w:marBottom w:val="0"/>
      <w:divBdr>
        <w:top w:val="none" w:sz="0" w:space="0" w:color="auto"/>
        <w:left w:val="none" w:sz="0" w:space="0" w:color="auto"/>
        <w:bottom w:val="none" w:sz="0" w:space="0" w:color="auto"/>
        <w:right w:val="none" w:sz="0" w:space="0" w:color="auto"/>
      </w:divBdr>
    </w:div>
    <w:div w:id="1354265780">
      <w:bodyDiv w:val="1"/>
      <w:marLeft w:val="0"/>
      <w:marRight w:val="0"/>
      <w:marTop w:val="0"/>
      <w:marBottom w:val="0"/>
      <w:divBdr>
        <w:top w:val="none" w:sz="0" w:space="0" w:color="auto"/>
        <w:left w:val="none" w:sz="0" w:space="0" w:color="auto"/>
        <w:bottom w:val="none" w:sz="0" w:space="0" w:color="auto"/>
        <w:right w:val="none" w:sz="0" w:space="0" w:color="auto"/>
      </w:divBdr>
    </w:div>
    <w:div w:id="1368219431">
      <w:bodyDiv w:val="1"/>
      <w:marLeft w:val="0"/>
      <w:marRight w:val="0"/>
      <w:marTop w:val="0"/>
      <w:marBottom w:val="0"/>
      <w:divBdr>
        <w:top w:val="none" w:sz="0" w:space="0" w:color="auto"/>
        <w:left w:val="none" w:sz="0" w:space="0" w:color="auto"/>
        <w:bottom w:val="none" w:sz="0" w:space="0" w:color="auto"/>
        <w:right w:val="none" w:sz="0" w:space="0" w:color="auto"/>
      </w:divBdr>
    </w:div>
    <w:div w:id="1384793354">
      <w:bodyDiv w:val="1"/>
      <w:marLeft w:val="0"/>
      <w:marRight w:val="0"/>
      <w:marTop w:val="0"/>
      <w:marBottom w:val="0"/>
      <w:divBdr>
        <w:top w:val="none" w:sz="0" w:space="0" w:color="auto"/>
        <w:left w:val="none" w:sz="0" w:space="0" w:color="auto"/>
        <w:bottom w:val="none" w:sz="0" w:space="0" w:color="auto"/>
        <w:right w:val="none" w:sz="0" w:space="0" w:color="auto"/>
      </w:divBdr>
      <w:divsChild>
        <w:div w:id="1543443863">
          <w:marLeft w:val="0"/>
          <w:marRight w:val="0"/>
          <w:marTop w:val="0"/>
          <w:marBottom w:val="0"/>
          <w:divBdr>
            <w:top w:val="none" w:sz="0" w:space="0" w:color="auto"/>
            <w:left w:val="none" w:sz="0" w:space="0" w:color="auto"/>
            <w:bottom w:val="none" w:sz="0" w:space="0" w:color="auto"/>
            <w:right w:val="none" w:sz="0" w:space="0" w:color="auto"/>
          </w:divBdr>
          <w:divsChild>
            <w:div w:id="218833221">
              <w:marLeft w:val="0"/>
              <w:marRight w:val="0"/>
              <w:marTop w:val="0"/>
              <w:marBottom w:val="0"/>
              <w:divBdr>
                <w:top w:val="single" w:sz="4" w:space="0" w:color="333333"/>
                <w:left w:val="single" w:sz="4" w:space="0" w:color="333333"/>
                <w:bottom w:val="single" w:sz="4" w:space="0" w:color="333333"/>
                <w:right w:val="single" w:sz="4" w:space="0" w:color="333333"/>
              </w:divBdr>
              <w:divsChild>
                <w:div w:id="290668972">
                  <w:marLeft w:val="0"/>
                  <w:marRight w:val="0"/>
                  <w:marTop w:val="0"/>
                  <w:marBottom w:val="0"/>
                  <w:divBdr>
                    <w:top w:val="none" w:sz="0" w:space="0" w:color="auto"/>
                    <w:left w:val="none" w:sz="0" w:space="0" w:color="auto"/>
                    <w:bottom w:val="none" w:sz="0" w:space="0" w:color="auto"/>
                    <w:right w:val="none" w:sz="0" w:space="0" w:color="auto"/>
                  </w:divBdr>
                  <w:divsChild>
                    <w:div w:id="641885041">
                      <w:marLeft w:val="0"/>
                      <w:marRight w:val="0"/>
                      <w:marTop w:val="0"/>
                      <w:marBottom w:val="0"/>
                      <w:divBdr>
                        <w:top w:val="none" w:sz="0" w:space="0" w:color="auto"/>
                        <w:left w:val="none" w:sz="0" w:space="0" w:color="auto"/>
                        <w:bottom w:val="none" w:sz="0" w:space="0" w:color="auto"/>
                        <w:right w:val="none" w:sz="0" w:space="0" w:color="auto"/>
                      </w:divBdr>
                      <w:divsChild>
                        <w:div w:id="230582120">
                          <w:marLeft w:val="0"/>
                          <w:marRight w:val="0"/>
                          <w:marTop w:val="0"/>
                          <w:marBottom w:val="0"/>
                          <w:divBdr>
                            <w:top w:val="none" w:sz="0" w:space="0" w:color="auto"/>
                            <w:left w:val="none" w:sz="0" w:space="0" w:color="auto"/>
                            <w:bottom w:val="none" w:sz="0" w:space="0" w:color="auto"/>
                            <w:right w:val="none" w:sz="0" w:space="0" w:color="auto"/>
                          </w:divBdr>
                          <w:divsChild>
                            <w:div w:id="1590843468">
                              <w:marLeft w:val="0"/>
                              <w:marRight w:val="0"/>
                              <w:marTop w:val="0"/>
                              <w:marBottom w:val="0"/>
                              <w:divBdr>
                                <w:top w:val="none" w:sz="0" w:space="0" w:color="auto"/>
                                <w:left w:val="none" w:sz="0" w:space="0" w:color="auto"/>
                                <w:bottom w:val="none" w:sz="0" w:space="0" w:color="auto"/>
                                <w:right w:val="none" w:sz="0" w:space="0" w:color="auto"/>
                              </w:divBdr>
                              <w:divsChild>
                                <w:div w:id="2015956925">
                                  <w:marLeft w:val="2356"/>
                                  <w:marRight w:val="-10211"/>
                                  <w:marTop w:val="0"/>
                                  <w:marBottom w:val="0"/>
                                  <w:divBdr>
                                    <w:top w:val="none" w:sz="0" w:space="0" w:color="auto"/>
                                    <w:left w:val="none" w:sz="0" w:space="0" w:color="auto"/>
                                    <w:bottom w:val="none" w:sz="0" w:space="0" w:color="auto"/>
                                    <w:right w:val="none" w:sz="0" w:space="0" w:color="auto"/>
                                  </w:divBdr>
                                  <w:divsChild>
                                    <w:div w:id="985163649">
                                      <w:marLeft w:val="0"/>
                                      <w:marRight w:val="0"/>
                                      <w:marTop w:val="0"/>
                                      <w:marBottom w:val="0"/>
                                      <w:divBdr>
                                        <w:top w:val="none" w:sz="0" w:space="0" w:color="auto"/>
                                        <w:left w:val="none" w:sz="0" w:space="0" w:color="auto"/>
                                        <w:bottom w:val="none" w:sz="0" w:space="0" w:color="auto"/>
                                        <w:right w:val="none" w:sz="0" w:space="0" w:color="auto"/>
                                      </w:divBdr>
                                      <w:divsChild>
                                        <w:div w:id="196548842">
                                          <w:marLeft w:val="4"/>
                                          <w:marRight w:val="0"/>
                                          <w:marTop w:val="0"/>
                                          <w:marBottom w:val="0"/>
                                          <w:divBdr>
                                            <w:top w:val="none" w:sz="0" w:space="0" w:color="auto"/>
                                            <w:left w:val="none" w:sz="0" w:space="0" w:color="auto"/>
                                            <w:bottom w:val="none" w:sz="0" w:space="0" w:color="auto"/>
                                            <w:right w:val="none" w:sz="0" w:space="0" w:color="auto"/>
                                          </w:divBdr>
                                          <w:divsChild>
                                            <w:div w:id="58094961">
                                              <w:marLeft w:val="4"/>
                                              <w:marRight w:val="0"/>
                                              <w:marTop w:val="0"/>
                                              <w:marBottom w:val="0"/>
                                              <w:divBdr>
                                                <w:top w:val="none" w:sz="0" w:space="0" w:color="auto"/>
                                                <w:left w:val="none" w:sz="0" w:space="0" w:color="auto"/>
                                                <w:bottom w:val="none" w:sz="0" w:space="0" w:color="auto"/>
                                                <w:right w:val="none" w:sz="0" w:space="0" w:color="auto"/>
                                              </w:divBdr>
                                            </w:div>
                                            <w:div w:id="379209847">
                                              <w:marLeft w:val="4"/>
                                              <w:marRight w:val="0"/>
                                              <w:marTop w:val="0"/>
                                              <w:marBottom w:val="0"/>
                                              <w:divBdr>
                                                <w:top w:val="none" w:sz="0" w:space="0" w:color="auto"/>
                                                <w:left w:val="none" w:sz="0" w:space="0" w:color="auto"/>
                                                <w:bottom w:val="none" w:sz="0" w:space="0" w:color="auto"/>
                                                <w:right w:val="none" w:sz="0" w:space="0" w:color="auto"/>
                                              </w:divBdr>
                                            </w:div>
                                            <w:div w:id="1256594697">
                                              <w:marLeft w:val="0"/>
                                              <w:marRight w:val="0"/>
                                              <w:marTop w:val="0"/>
                                              <w:marBottom w:val="0"/>
                                              <w:divBdr>
                                                <w:top w:val="none" w:sz="0" w:space="0" w:color="auto"/>
                                                <w:left w:val="none" w:sz="0" w:space="0" w:color="auto"/>
                                                <w:bottom w:val="none" w:sz="0" w:space="0" w:color="auto"/>
                                                <w:right w:val="none" w:sz="0" w:space="0" w:color="auto"/>
                                              </w:divBdr>
                                            </w:div>
                                          </w:divsChild>
                                        </w:div>
                                        <w:div w:id="644165443">
                                          <w:marLeft w:val="4"/>
                                          <w:marRight w:val="0"/>
                                          <w:marTop w:val="0"/>
                                          <w:marBottom w:val="0"/>
                                          <w:divBdr>
                                            <w:top w:val="none" w:sz="0" w:space="0" w:color="auto"/>
                                            <w:left w:val="none" w:sz="0" w:space="0" w:color="auto"/>
                                            <w:bottom w:val="none" w:sz="0" w:space="0" w:color="auto"/>
                                            <w:right w:val="none" w:sz="0" w:space="0" w:color="auto"/>
                                          </w:divBdr>
                                          <w:divsChild>
                                            <w:div w:id="110515007">
                                              <w:marLeft w:val="4"/>
                                              <w:marRight w:val="0"/>
                                              <w:marTop w:val="0"/>
                                              <w:marBottom w:val="0"/>
                                              <w:divBdr>
                                                <w:top w:val="none" w:sz="0" w:space="0" w:color="auto"/>
                                                <w:left w:val="none" w:sz="0" w:space="0" w:color="auto"/>
                                                <w:bottom w:val="none" w:sz="0" w:space="0" w:color="auto"/>
                                                <w:right w:val="none" w:sz="0" w:space="0" w:color="auto"/>
                                              </w:divBdr>
                                              <w:divsChild>
                                                <w:div w:id="1213888140">
                                                  <w:marLeft w:val="0"/>
                                                  <w:marRight w:val="0"/>
                                                  <w:marTop w:val="0"/>
                                                  <w:marBottom w:val="0"/>
                                                  <w:divBdr>
                                                    <w:top w:val="none" w:sz="0" w:space="0" w:color="auto"/>
                                                    <w:left w:val="none" w:sz="0" w:space="0" w:color="auto"/>
                                                    <w:bottom w:val="none" w:sz="0" w:space="0" w:color="auto"/>
                                                    <w:right w:val="none" w:sz="0" w:space="0" w:color="auto"/>
                                                  </w:divBdr>
                                                </w:div>
                                              </w:divsChild>
                                            </w:div>
                                            <w:div w:id="449785416">
                                              <w:marLeft w:val="4"/>
                                              <w:marRight w:val="0"/>
                                              <w:marTop w:val="0"/>
                                              <w:marBottom w:val="0"/>
                                              <w:divBdr>
                                                <w:top w:val="none" w:sz="0" w:space="0" w:color="auto"/>
                                                <w:left w:val="none" w:sz="0" w:space="0" w:color="auto"/>
                                                <w:bottom w:val="none" w:sz="0" w:space="0" w:color="auto"/>
                                                <w:right w:val="none" w:sz="0" w:space="0" w:color="auto"/>
                                              </w:divBdr>
                                              <w:divsChild>
                                                <w:div w:id="1372070934">
                                                  <w:marLeft w:val="4"/>
                                                  <w:marRight w:val="0"/>
                                                  <w:marTop w:val="0"/>
                                                  <w:marBottom w:val="0"/>
                                                  <w:divBdr>
                                                    <w:top w:val="none" w:sz="0" w:space="0" w:color="auto"/>
                                                    <w:left w:val="none" w:sz="0" w:space="0" w:color="auto"/>
                                                    <w:bottom w:val="none" w:sz="0" w:space="0" w:color="auto"/>
                                                    <w:right w:val="none" w:sz="0" w:space="0" w:color="auto"/>
                                                  </w:divBdr>
                                                </w:div>
                                                <w:div w:id="1595358364">
                                                  <w:marLeft w:val="4"/>
                                                  <w:marRight w:val="0"/>
                                                  <w:marTop w:val="0"/>
                                                  <w:marBottom w:val="0"/>
                                                  <w:divBdr>
                                                    <w:top w:val="none" w:sz="0" w:space="0" w:color="auto"/>
                                                    <w:left w:val="none" w:sz="0" w:space="0" w:color="auto"/>
                                                    <w:bottom w:val="none" w:sz="0" w:space="0" w:color="auto"/>
                                                    <w:right w:val="none" w:sz="0" w:space="0" w:color="auto"/>
                                                  </w:divBdr>
                                                </w:div>
                                                <w:div w:id="1929077456">
                                                  <w:marLeft w:val="4"/>
                                                  <w:marRight w:val="0"/>
                                                  <w:marTop w:val="0"/>
                                                  <w:marBottom w:val="0"/>
                                                  <w:divBdr>
                                                    <w:top w:val="none" w:sz="0" w:space="0" w:color="auto"/>
                                                    <w:left w:val="none" w:sz="0" w:space="0" w:color="auto"/>
                                                    <w:bottom w:val="none" w:sz="0" w:space="0" w:color="auto"/>
                                                    <w:right w:val="none" w:sz="0" w:space="0" w:color="auto"/>
                                                  </w:divBdr>
                                                </w:div>
                                                <w:div w:id="1956907449">
                                                  <w:marLeft w:val="0"/>
                                                  <w:marRight w:val="0"/>
                                                  <w:marTop w:val="0"/>
                                                  <w:marBottom w:val="0"/>
                                                  <w:divBdr>
                                                    <w:top w:val="none" w:sz="0" w:space="0" w:color="auto"/>
                                                    <w:left w:val="none" w:sz="0" w:space="0" w:color="auto"/>
                                                    <w:bottom w:val="none" w:sz="0" w:space="0" w:color="auto"/>
                                                    <w:right w:val="none" w:sz="0" w:space="0" w:color="auto"/>
                                                  </w:divBdr>
                                                </w:div>
                                                <w:div w:id="2098011598">
                                                  <w:marLeft w:val="0"/>
                                                  <w:marRight w:val="0"/>
                                                  <w:marTop w:val="0"/>
                                                  <w:marBottom w:val="0"/>
                                                  <w:divBdr>
                                                    <w:top w:val="none" w:sz="0" w:space="0" w:color="auto"/>
                                                    <w:left w:val="none" w:sz="0" w:space="0" w:color="auto"/>
                                                    <w:bottom w:val="none" w:sz="0" w:space="0" w:color="auto"/>
                                                    <w:right w:val="none" w:sz="0" w:space="0" w:color="auto"/>
                                                  </w:divBdr>
                                                </w:div>
                                              </w:divsChild>
                                            </w:div>
                                            <w:div w:id="1381979068">
                                              <w:marLeft w:val="4"/>
                                              <w:marRight w:val="0"/>
                                              <w:marTop w:val="0"/>
                                              <w:marBottom w:val="0"/>
                                              <w:divBdr>
                                                <w:top w:val="none" w:sz="0" w:space="0" w:color="auto"/>
                                                <w:left w:val="none" w:sz="0" w:space="0" w:color="auto"/>
                                                <w:bottom w:val="none" w:sz="0" w:space="0" w:color="auto"/>
                                                <w:right w:val="none" w:sz="0" w:space="0" w:color="auto"/>
                                              </w:divBdr>
                                              <w:divsChild>
                                                <w:div w:id="1316838989">
                                                  <w:marLeft w:val="0"/>
                                                  <w:marRight w:val="0"/>
                                                  <w:marTop w:val="0"/>
                                                  <w:marBottom w:val="0"/>
                                                  <w:divBdr>
                                                    <w:top w:val="none" w:sz="0" w:space="0" w:color="auto"/>
                                                    <w:left w:val="none" w:sz="0" w:space="0" w:color="auto"/>
                                                    <w:bottom w:val="none" w:sz="0" w:space="0" w:color="auto"/>
                                                    <w:right w:val="none" w:sz="0" w:space="0" w:color="auto"/>
                                                  </w:divBdr>
                                                </w:div>
                                              </w:divsChild>
                                            </w:div>
                                            <w:div w:id="1973902291">
                                              <w:marLeft w:val="4"/>
                                              <w:marRight w:val="0"/>
                                              <w:marTop w:val="0"/>
                                              <w:marBottom w:val="0"/>
                                              <w:divBdr>
                                                <w:top w:val="none" w:sz="0" w:space="0" w:color="auto"/>
                                                <w:left w:val="none" w:sz="0" w:space="0" w:color="auto"/>
                                                <w:bottom w:val="none" w:sz="0" w:space="0" w:color="auto"/>
                                                <w:right w:val="none" w:sz="0" w:space="0" w:color="auto"/>
                                              </w:divBdr>
                                              <w:divsChild>
                                                <w:div w:id="119497411">
                                                  <w:marLeft w:val="4"/>
                                                  <w:marRight w:val="0"/>
                                                  <w:marTop w:val="0"/>
                                                  <w:marBottom w:val="0"/>
                                                  <w:divBdr>
                                                    <w:top w:val="none" w:sz="0" w:space="0" w:color="auto"/>
                                                    <w:left w:val="none" w:sz="0" w:space="0" w:color="auto"/>
                                                    <w:bottom w:val="none" w:sz="0" w:space="0" w:color="auto"/>
                                                    <w:right w:val="none" w:sz="0" w:space="0" w:color="auto"/>
                                                  </w:divBdr>
                                                  <w:divsChild>
                                                    <w:div w:id="1450928235">
                                                      <w:marLeft w:val="0"/>
                                                      <w:marRight w:val="0"/>
                                                      <w:marTop w:val="0"/>
                                                      <w:marBottom w:val="0"/>
                                                      <w:divBdr>
                                                        <w:top w:val="none" w:sz="0" w:space="0" w:color="auto"/>
                                                        <w:left w:val="none" w:sz="0" w:space="0" w:color="auto"/>
                                                        <w:bottom w:val="none" w:sz="0" w:space="0" w:color="auto"/>
                                                        <w:right w:val="none" w:sz="0" w:space="0" w:color="auto"/>
                                                      </w:divBdr>
                                                    </w:div>
                                                  </w:divsChild>
                                                </w:div>
                                                <w:div w:id="770904217">
                                                  <w:marLeft w:val="4"/>
                                                  <w:marRight w:val="0"/>
                                                  <w:marTop w:val="0"/>
                                                  <w:marBottom w:val="0"/>
                                                  <w:divBdr>
                                                    <w:top w:val="none" w:sz="0" w:space="0" w:color="auto"/>
                                                    <w:left w:val="none" w:sz="0" w:space="0" w:color="auto"/>
                                                    <w:bottom w:val="none" w:sz="0" w:space="0" w:color="auto"/>
                                                    <w:right w:val="none" w:sz="0" w:space="0" w:color="auto"/>
                                                  </w:divBdr>
                                                  <w:divsChild>
                                                    <w:div w:id="219366699">
                                                      <w:marLeft w:val="0"/>
                                                      <w:marRight w:val="0"/>
                                                      <w:marTop w:val="0"/>
                                                      <w:marBottom w:val="0"/>
                                                      <w:divBdr>
                                                        <w:top w:val="none" w:sz="0" w:space="0" w:color="auto"/>
                                                        <w:left w:val="none" w:sz="0" w:space="0" w:color="auto"/>
                                                        <w:bottom w:val="none" w:sz="0" w:space="0" w:color="auto"/>
                                                        <w:right w:val="none" w:sz="0" w:space="0" w:color="auto"/>
                                                      </w:divBdr>
                                                    </w:div>
                                                  </w:divsChild>
                                                </w:div>
                                                <w:div w:id="2022924103">
                                                  <w:marLeft w:val="4"/>
                                                  <w:marRight w:val="0"/>
                                                  <w:marTop w:val="0"/>
                                                  <w:marBottom w:val="0"/>
                                                  <w:divBdr>
                                                    <w:top w:val="none" w:sz="0" w:space="0" w:color="auto"/>
                                                    <w:left w:val="none" w:sz="0" w:space="0" w:color="auto"/>
                                                    <w:bottom w:val="none" w:sz="0" w:space="0" w:color="auto"/>
                                                    <w:right w:val="none" w:sz="0" w:space="0" w:color="auto"/>
                                                  </w:divBdr>
                                                  <w:divsChild>
                                                    <w:div w:id="156980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568107">
                                          <w:marLeft w:val="4"/>
                                          <w:marRight w:val="0"/>
                                          <w:marTop w:val="0"/>
                                          <w:marBottom w:val="0"/>
                                          <w:divBdr>
                                            <w:top w:val="none" w:sz="0" w:space="0" w:color="auto"/>
                                            <w:left w:val="none" w:sz="0" w:space="0" w:color="auto"/>
                                            <w:bottom w:val="none" w:sz="0" w:space="0" w:color="auto"/>
                                            <w:right w:val="none" w:sz="0" w:space="0" w:color="auto"/>
                                          </w:divBdr>
                                          <w:divsChild>
                                            <w:div w:id="148400809">
                                              <w:marLeft w:val="4"/>
                                              <w:marRight w:val="0"/>
                                              <w:marTop w:val="0"/>
                                              <w:marBottom w:val="0"/>
                                              <w:divBdr>
                                                <w:top w:val="none" w:sz="0" w:space="0" w:color="auto"/>
                                                <w:left w:val="none" w:sz="0" w:space="0" w:color="auto"/>
                                                <w:bottom w:val="none" w:sz="0" w:space="0" w:color="auto"/>
                                                <w:right w:val="none" w:sz="0" w:space="0" w:color="auto"/>
                                              </w:divBdr>
                                              <w:divsChild>
                                                <w:div w:id="360015859">
                                                  <w:marLeft w:val="0"/>
                                                  <w:marRight w:val="0"/>
                                                  <w:marTop w:val="0"/>
                                                  <w:marBottom w:val="0"/>
                                                  <w:divBdr>
                                                    <w:top w:val="none" w:sz="0" w:space="0" w:color="auto"/>
                                                    <w:left w:val="none" w:sz="0" w:space="0" w:color="auto"/>
                                                    <w:bottom w:val="none" w:sz="0" w:space="0" w:color="auto"/>
                                                    <w:right w:val="none" w:sz="0" w:space="0" w:color="auto"/>
                                                  </w:divBdr>
                                                </w:div>
                                                <w:div w:id="1841921433">
                                                  <w:marLeft w:val="4"/>
                                                  <w:marRight w:val="0"/>
                                                  <w:marTop w:val="0"/>
                                                  <w:marBottom w:val="0"/>
                                                  <w:divBdr>
                                                    <w:top w:val="none" w:sz="0" w:space="0" w:color="auto"/>
                                                    <w:left w:val="none" w:sz="0" w:space="0" w:color="auto"/>
                                                    <w:bottom w:val="none" w:sz="0" w:space="0" w:color="auto"/>
                                                    <w:right w:val="none" w:sz="0" w:space="0" w:color="auto"/>
                                                  </w:divBdr>
                                                </w:div>
                                                <w:div w:id="1953046454">
                                                  <w:marLeft w:val="4"/>
                                                  <w:marRight w:val="0"/>
                                                  <w:marTop w:val="0"/>
                                                  <w:marBottom w:val="0"/>
                                                  <w:divBdr>
                                                    <w:top w:val="none" w:sz="0" w:space="0" w:color="auto"/>
                                                    <w:left w:val="none" w:sz="0" w:space="0" w:color="auto"/>
                                                    <w:bottom w:val="none" w:sz="0" w:space="0" w:color="auto"/>
                                                    <w:right w:val="none" w:sz="0" w:space="0" w:color="auto"/>
                                                  </w:divBdr>
                                                </w:div>
                                              </w:divsChild>
                                            </w:div>
                                            <w:div w:id="1530071162">
                                              <w:marLeft w:val="4"/>
                                              <w:marRight w:val="0"/>
                                              <w:marTop w:val="0"/>
                                              <w:marBottom w:val="0"/>
                                              <w:divBdr>
                                                <w:top w:val="none" w:sz="0" w:space="0" w:color="auto"/>
                                                <w:left w:val="none" w:sz="0" w:space="0" w:color="auto"/>
                                                <w:bottom w:val="none" w:sz="0" w:space="0" w:color="auto"/>
                                                <w:right w:val="none" w:sz="0" w:space="0" w:color="auto"/>
                                              </w:divBdr>
                                              <w:divsChild>
                                                <w:div w:id="174224995">
                                                  <w:marLeft w:val="0"/>
                                                  <w:marRight w:val="0"/>
                                                  <w:marTop w:val="0"/>
                                                  <w:marBottom w:val="0"/>
                                                  <w:divBdr>
                                                    <w:top w:val="none" w:sz="0" w:space="0" w:color="auto"/>
                                                    <w:left w:val="none" w:sz="0" w:space="0" w:color="auto"/>
                                                    <w:bottom w:val="none" w:sz="0" w:space="0" w:color="auto"/>
                                                    <w:right w:val="none" w:sz="0" w:space="0" w:color="auto"/>
                                                  </w:divBdr>
                                                </w:div>
                                              </w:divsChild>
                                            </w:div>
                                            <w:div w:id="1533229061">
                                              <w:marLeft w:val="4"/>
                                              <w:marRight w:val="0"/>
                                              <w:marTop w:val="0"/>
                                              <w:marBottom w:val="0"/>
                                              <w:divBdr>
                                                <w:top w:val="none" w:sz="0" w:space="0" w:color="auto"/>
                                                <w:left w:val="none" w:sz="0" w:space="0" w:color="auto"/>
                                                <w:bottom w:val="none" w:sz="0" w:space="0" w:color="auto"/>
                                                <w:right w:val="none" w:sz="0" w:space="0" w:color="auto"/>
                                              </w:divBdr>
                                              <w:divsChild>
                                                <w:div w:id="864757201">
                                                  <w:marLeft w:val="0"/>
                                                  <w:marRight w:val="0"/>
                                                  <w:marTop w:val="0"/>
                                                  <w:marBottom w:val="0"/>
                                                  <w:divBdr>
                                                    <w:top w:val="none" w:sz="0" w:space="0" w:color="auto"/>
                                                    <w:left w:val="none" w:sz="0" w:space="0" w:color="auto"/>
                                                    <w:bottom w:val="none" w:sz="0" w:space="0" w:color="auto"/>
                                                    <w:right w:val="none" w:sz="0" w:space="0" w:color="auto"/>
                                                  </w:divBdr>
                                                </w:div>
                                              </w:divsChild>
                                            </w:div>
                                            <w:div w:id="1690058617">
                                              <w:marLeft w:val="4"/>
                                              <w:marRight w:val="0"/>
                                              <w:marTop w:val="0"/>
                                              <w:marBottom w:val="0"/>
                                              <w:divBdr>
                                                <w:top w:val="none" w:sz="0" w:space="0" w:color="auto"/>
                                                <w:left w:val="none" w:sz="0" w:space="0" w:color="auto"/>
                                                <w:bottom w:val="none" w:sz="0" w:space="0" w:color="auto"/>
                                                <w:right w:val="none" w:sz="0" w:space="0" w:color="auto"/>
                                              </w:divBdr>
                                              <w:divsChild>
                                                <w:div w:id="135490880">
                                                  <w:marLeft w:val="4"/>
                                                  <w:marRight w:val="0"/>
                                                  <w:marTop w:val="0"/>
                                                  <w:marBottom w:val="0"/>
                                                  <w:divBdr>
                                                    <w:top w:val="none" w:sz="0" w:space="0" w:color="auto"/>
                                                    <w:left w:val="none" w:sz="0" w:space="0" w:color="auto"/>
                                                    <w:bottom w:val="none" w:sz="0" w:space="0" w:color="auto"/>
                                                    <w:right w:val="none" w:sz="0" w:space="0" w:color="auto"/>
                                                  </w:divBdr>
                                                </w:div>
                                                <w:div w:id="676923311">
                                                  <w:marLeft w:val="4"/>
                                                  <w:marRight w:val="0"/>
                                                  <w:marTop w:val="0"/>
                                                  <w:marBottom w:val="0"/>
                                                  <w:divBdr>
                                                    <w:top w:val="none" w:sz="0" w:space="0" w:color="auto"/>
                                                    <w:left w:val="none" w:sz="0" w:space="0" w:color="auto"/>
                                                    <w:bottom w:val="none" w:sz="0" w:space="0" w:color="auto"/>
                                                    <w:right w:val="none" w:sz="0" w:space="0" w:color="auto"/>
                                                  </w:divBdr>
                                                </w:div>
                                                <w:div w:id="1123815063">
                                                  <w:marLeft w:val="4"/>
                                                  <w:marRight w:val="0"/>
                                                  <w:marTop w:val="0"/>
                                                  <w:marBottom w:val="0"/>
                                                  <w:divBdr>
                                                    <w:top w:val="none" w:sz="0" w:space="0" w:color="auto"/>
                                                    <w:left w:val="none" w:sz="0" w:space="0" w:color="auto"/>
                                                    <w:bottom w:val="none" w:sz="0" w:space="0" w:color="auto"/>
                                                    <w:right w:val="none" w:sz="0" w:space="0" w:color="auto"/>
                                                  </w:divBdr>
                                                </w:div>
                                                <w:div w:id="1169128420">
                                                  <w:marLeft w:val="4"/>
                                                  <w:marRight w:val="0"/>
                                                  <w:marTop w:val="0"/>
                                                  <w:marBottom w:val="0"/>
                                                  <w:divBdr>
                                                    <w:top w:val="none" w:sz="0" w:space="0" w:color="auto"/>
                                                    <w:left w:val="none" w:sz="0" w:space="0" w:color="auto"/>
                                                    <w:bottom w:val="none" w:sz="0" w:space="0" w:color="auto"/>
                                                    <w:right w:val="none" w:sz="0" w:space="0" w:color="auto"/>
                                                  </w:divBdr>
                                                </w:div>
                                                <w:div w:id="1452475114">
                                                  <w:marLeft w:val="0"/>
                                                  <w:marRight w:val="0"/>
                                                  <w:marTop w:val="0"/>
                                                  <w:marBottom w:val="0"/>
                                                  <w:divBdr>
                                                    <w:top w:val="none" w:sz="0" w:space="0" w:color="auto"/>
                                                    <w:left w:val="none" w:sz="0" w:space="0" w:color="auto"/>
                                                    <w:bottom w:val="none" w:sz="0" w:space="0" w:color="auto"/>
                                                    <w:right w:val="none" w:sz="0" w:space="0" w:color="auto"/>
                                                  </w:divBdr>
                                                </w:div>
                                                <w:div w:id="1540243453">
                                                  <w:marLeft w:val="4"/>
                                                  <w:marRight w:val="0"/>
                                                  <w:marTop w:val="0"/>
                                                  <w:marBottom w:val="0"/>
                                                  <w:divBdr>
                                                    <w:top w:val="none" w:sz="0" w:space="0" w:color="auto"/>
                                                    <w:left w:val="none" w:sz="0" w:space="0" w:color="auto"/>
                                                    <w:bottom w:val="none" w:sz="0" w:space="0" w:color="auto"/>
                                                    <w:right w:val="none" w:sz="0" w:space="0" w:color="auto"/>
                                                  </w:divBdr>
                                                </w:div>
                                                <w:div w:id="1562254887">
                                                  <w:marLeft w:val="4"/>
                                                  <w:marRight w:val="0"/>
                                                  <w:marTop w:val="0"/>
                                                  <w:marBottom w:val="0"/>
                                                  <w:divBdr>
                                                    <w:top w:val="none" w:sz="0" w:space="0" w:color="auto"/>
                                                    <w:left w:val="none" w:sz="0" w:space="0" w:color="auto"/>
                                                    <w:bottom w:val="none" w:sz="0" w:space="0" w:color="auto"/>
                                                    <w:right w:val="none" w:sz="0" w:space="0" w:color="auto"/>
                                                  </w:divBdr>
                                                </w:div>
                                                <w:div w:id="1599288331">
                                                  <w:marLeft w:val="4"/>
                                                  <w:marRight w:val="0"/>
                                                  <w:marTop w:val="0"/>
                                                  <w:marBottom w:val="0"/>
                                                  <w:divBdr>
                                                    <w:top w:val="none" w:sz="0" w:space="0" w:color="auto"/>
                                                    <w:left w:val="none" w:sz="0" w:space="0" w:color="auto"/>
                                                    <w:bottom w:val="none" w:sz="0" w:space="0" w:color="auto"/>
                                                    <w:right w:val="none" w:sz="0" w:space="0" w:color="auto"/>
                                                  </w:divBdr>
                                                </w:div>
                                                <w:div w:id="1806702476">
                                                  <w:marLeft w:val="0"/>
                                                  <w:marRight w:val="0"/>
                                                  <w:marTop w:val="0"/>
                                                  <w:marBottom w:val="0"/>
                                                  <w:divBdr>
                                                    <w:top w:val="none" w:sz="0" w:space="0" w:color="auto"/>
                                                    <w:left w:val="none" w:sz="0" w:space="0" w:color="auto"/>
                                                    <w:bottom w:val="none" w:sz="0" w:space="0" w:color="auto"/>
                                                    <w:right w:val="none" w:sz="0" w:space="0" w:color="auto"/>
                                                  </w:divBdr>
                                                </w:div>
                                              </w:divsChild>
                                            </w:div>
                                            <w:div w:id="1738744146">
                                              <w:marLeft w:val="0"/>
                                              <w:marRight w:val="0"/>
                                              <w:marTop w:val="0"/>
                                              <w:marBottom w:val="0"/>
                                              <w:divBdr>
                                                <w:top w:val="none" w:sz="0" w:space="0" w:color="auto"/>
                                                <w:left w:val="none" w:sz="0" w:space="0" w:color="auto"/>
                                                <w:bottom w:val="none" w:sz="0" w:space="0" w:color="auto"/>
                                                <w:right w:val="none" w:sz="0" w:space="0" w:color="auto"/>
                                              </w:divBdr>
                                            </w:div>
                                            <w:div w:id="1996303603">
                                              <w:marLeft w:val="4"/>
                                              <w:marRight w:val="0"/>
                                              <w:marTop w:val="0"/>
                                              <w:marBottom w:val="0"/>
                                              <w:divBdr>
                                                <w:top w:val="none" w:sz="0" w:space="0" w:color="auto"/>
                                                <w:left w:val="none" w:sz="0" w:space="0" w:color="auto"/>
                                                <w:bottom w:val="none" w:sz="0" w:space="0" w:color="auto"/>
                                                <w:right w:val="none" w:sz="0" w:space="0" w:color="auto"/>
                                              </w:divBdr>
                                              <w:divsChild>
                                                <w:div w:id="439883908">
                                                  <w:marLeft w:val="4"/>
                                                  <w:marRight w:val="0"/>
                                                  <w:marTop w:val="0"/>
                                                  <w:marBottom w:val="0"/>
                                                  <w:divBdr>
                                                    <w:top w:val="none" w:sz="0" w:space="0" w:color="auto"/>
                                                    <w:left w:val="none" w:sz="0" w:space="0" w:color="auto"/>
                                                    <w:bottom w:val="none" w:sz="0" w:space="0" w:color="auto"/>
                                                    <w:right w:val="none" w:sz="0" w:space="0" w:color="auto"/>
                                                  </w:divBdr>
                                                </w:div>
                                                <w:div w:id="486433545">
                                                  <w:marLeft w:val="4"/>
                                                  <w:marRight w:val="0"/>
                                                  <w:marTop w:val="0"/>
                                                  <w:marBottom w:val="0"/>
                                                  <w:divBdr>
                                                    <w:top w:val="none" w:sz="0" w:space="0" w:color="auto"/>
                                                    <w:left w:val="none" w:sz="0" w:space="0" w:color="auto"/>
                                                    <w:bottom w:val="none" w:sz="0" w:space="0" w:color="auto"/>
                                                    <w:right w:val="none" w:sz="0" w:space="0" w:color="auto"/>
                                                  </w:divBdr>
                                                </w:div>
                                                <w:div w:id="191142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640803">
                                          <w:marLeft w:val="4"/>
                                          <w:marRight w:val="0"/>
                                          <w:marTop w:val="0"/>
                                          <w:marBottom w:val="0"/>
                                          <w:divBdr>
                                            <w:top w:val="none" w:sz="0" w:space="0" w:color="auto"/>
                                            <w:left w:val="none" w:sz="0" w:space="0" w:color="auto"/>
                                            <w:bottom w:val="none" w:sz="0" w:space="0" w:color="auto"/>
                                            <w:right w:val="none" w:sz="0" w:space="0" w:color="auto"/>
                                          </w:divBdr>
                                          <w:divsChild>
                                            <w:div w:id="431168162">
                                              <w:marLeft w:val="0"/>
                                              <w:marRight w:val="0"/>
                                              <w:marTop w:val="0"/>
                                              <w:marBottom w:val="0"/>
                                              <w:divBdr>
                                                <w:top w:val="none" w:sz="0" w:space="0" w:color="auto"/>
                                                <w:left w:val="none" w:sz="0" w:space="0" w:color="auto"/>
                                                <w:bottom w:val="none" w:sz="0" w:space="0" w:color="auto"/>
                                                <w:right w:val="none" w:sz="0" w:space="0" w:color="auto"/>
                                              </w:divBdr>
                                            </w:div>
                                          </w:divsChild>
                                        </w:div>
                                        <w:div w:id="1240284964">
                                          <w:marLeft w:val="4"/>
                                          <w:marRight w:val="0"/>
                                          <w:marTop w:val="0"/>
                                          <w:marBottom w:val="0"/>
                                          <w:divBdr>
                                            <w:top w:val="none" w:sz="0" w:space="0" w:color="auto"/>
                                            <w:left w:val="none" w:sz="0" w:space="0" w:color="auto"/>
                                            <w:bottom w:val="none" w:sz="0" w:space="0" w:color="auto"/>
                                            <w:right w:val="none" w:sz="0" w:space="0" w:color="auto"/>
                                          </w:divBdr>
                                          <w:divsChild>
                                            <w:div w:id="392192285">
                                              <w:marLeft w:val="0"/>
                                              <w:marRight w:val="0"/>
                                              <w:marTop w:val="0"/>
                                              <w:marBottom w:val="0"/>
                                              <w:divBdr>
                                                <w:top w:val="none" w:sz="0" w:space="0" w:color="auto"/>
                                                <w:left w:val="none" w:sz="0" w:space="0" w:color="auto"/>
                                                <w:bottom w:val="none" w:sz="0" w:space="0" w:color="auto"/>
                                                <w:right w:val="none" w:sz="0" w:space="0" w:color="auto"/>
                                              </w:divBdr>
                                            </w:div>
                                            <w:div w:id="924193368">
                                              <w:marLeft w:val="4"/>
                                              <w:marRight w:val="0"/>
                                              <w:marTop w:val="0"/>
                                              <w:marBottom w:val="0"/>
                                              <w:divBdr>
                                                <w:top w:val="none" w:sz="0" w:space="0" w:color="auto"/>
                                                <w:left w:val="none" w:sz="0" w:space="0" w:color="auto"/>
                                                <w:bottom w:val="none" w:sz="0" w:space="0" w:color="auto"/>
                                                <w:right w:val="none" w:sz="0" w:space="0" w:color="auto"/>
                                              </w:divBdr>
                                            </w:div>
                                            <w:div w:id="1512329674">
                                              <w:marLeft w:val="4"/>
                                              <w:marRight w:val="0"/>
                                              <w:marTop w:val="0"/>
                                              <w:marBottom w:val="0"/>
                                              <w:divBdr>
                                                <w:top w:val="none" w:sz="0" w:space="0" w:color="auto"/>
                                                <w:left w:val="none" w:sz="0" w:space="0" w:color="auto"/>
                                                <w:bottom w:val="none" w:sz="0" w:space="0" w:color="auto"/>
                                                <w:right w:val="none" w:sz="0" w:space="0" w:color="auto"/>
                                              </w:divBdr>
                                            </w:div>
                                          </w:divsChild>
                                        </w:div>
                                        <w:div w:id="1255014786">
                                          <w:marLeft w:val="4"/>
                                          <w:marRight w:val="0"/>
                                          <w:marTop w:val="0"/>
                                          <w:marBottom w:val="0"/>
                                          <w:divBdr>
                                            <w:top w:val="none" w:sz="0" w:space="0" w:color="auto"/>
                                            <w:left w:val="none" w:sz="0" w:space="0" w:color="auto"/>
                                            <w:bottom w:val="none" w:sz="0" w:space="0" w:color="auto"/>
                                            <w:right w:val="none" w:sz="0" w:space="0" w:color="auto"/>
                                          </w:divBdr>
                                          <w:divsChild>
                                            <w:div w:id="64570294">
                                              <w:marLeft w:val="4"/>
                                              <w:marRight w:val="0"/>
                                              <w:marTop w:val="0"/>
                                              <w:marBottom w:val="0"/>
                                              <w:divBdr>
                                                <w:top w:val="none" w:sz="0" w:space="0" w:color="auto"/>
                                                <w:left w:val="none" w:sz="0" w:space="0" w:color="auto"/>
                                                <w:bottom w:val="none" w:sz="0" w:space="0" w:color="auto"/>
                                                <w:right w:val="none" w:sz="0" w:space="0" w:color="auto"/>
                                              </w:divBdr>
                                              <w:divsChild>
                                                <w:div w:id="595594594">
                                                  <w:marLeft w:val="0"/>
                                                  <w:marRight w:val="0"/>
                                                  <w:marTop w:val="0"/>
                                                  <w:marBottom w:val="0"/>
                                                  <w:divBdr>
                                                    <w:top w:val="none" w:sz="0" w:space="0" w:color="auto"/>
                                                    <w:left w:val="none" w:sz="0" w:space="0" w:color="auto"/>
                                                    <w:bottom w:val="none" w:sz="0" w:space="0" w:color="auto"/>
                                                    <w:right w:val="none" w:sz="0" w:space="0" w:color="auto"/>
                                                  </w:divBdr>
                                                </w:div>
                                              </w:divsChild>
                                            </w:div>
                                            <w:div w:id="143354513">
                                              <w:marLeft w:val="4"/>
                                              <w:marRight w:val="0"/>
                                              <w:marTop w:val="0"/>
                                              <w:marBottom w:val="0"/>
                                              <w:divBdr>
                                                <w:top w:val="none" w:sz="0" w:space="0" w:color="auto"/>
                                                <w:left w:val="none" w:sz="0" w:space="0" w:color="auto"/>
                                                <w:bottom w:val="none" w:sz="0" w:space="0" w:color="auto"/>
                                                <w:right w:val="none" w:sz="0" w:space="0" w:color="auto"/>
                                              </w:divBdr>
                                              <w:divsChild>
                                                <w:div w:id="1400640280">
                                                  <w:marLeft w:val="0"/>
                                                  <w:marRight w:val="0"/>
                                                  <w:marTop w:val="0"/>
                                                  <w:marBottom w:val="0"/>
                                                  <w:divBdr>
                                                    <w:top w:val="none" w:sz="0" w:space="0" w:color="auto"/>
                                                    <w:left w:val="none" w:sz="0" w:space="0" w:color="auto"/>
                                                    <w:bottom w:val="none" w:sz="0" w:space="0" w:color="auto"/>
                                                    <w:right w:val="none" w:sz="0" w:space="0" w:color="auto"/>
                                                  </w:divBdr>
                                                </w:div>
                                              </w:divsChild>
                                            </w:div>
                                            <w:div w:id="256716761">
                                              <w:marLeft w:val="4"/>
                                              <w:marRight w:val="0"/>
                                              <w:marTop w:val="0"/>
                                              <w:marBottom w:val="0"/>
                                              <w:divBdr>
                                                <w:top w:val="none" w:sz="0" w:space="0" w:color="auto"/>
                                                <w:left w:val="none" w:sz="0" w:space="0" w:color="auto"/>
                                                <w:bottom w:val="none" w:sz="0" w:space="0" w:color="auto"/>
                                                <w:right w:val="none" w:sz="0" w:space="0" w:color="auto"/>
                                              </w:divBdr>
                                              <w:divsChild>
                                                <w:div w:id="147259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207096">
                                          <w:marLeft w:val="4"/>
                                          <w:marRight w:val="0"/>
                                          <w:marTop w:val="0"/>
                                          <w:marBottom w:val="0"/>
                                          <w:divBdr>
                                            <w:top w:val="none" w:sz="0" w:space="0" w:color="auto"/>
                                            <w:left w:val="none" w:sz="0" w:space="0" w:color="auto"/>
                                            <w:bottom w:val="none" w:sz="0" w:space="0" w:color="auto"/>
                                            <w:right w:val="none" w:sz="0" w:space="0" w:color="auto"/>
                                          </w:divBdr>
                                          <w:divsChild>
                                            <w:div w:id="304969888">
                                              <w:marLeft w:val="4"/>
                                              <w:marRight w:val="0"/>
                                              <w:marTop w:val="0"/>
                                              <w:marBottom w:val="0"/>
                                              <w:divBdr>
                                                <w:top w:val="none" w:sz="0" w:space="0" w:color="auto"/>
                                                <w:left w:val="none" w:sz="0" w:space="0" w:color="auto"/>
                                                <w:bottom w:val="none" w:sz="0" w:space="0" w:color="auto"/>
                                                <w:right w:val="none" w:sz="0" w:space="0" w:color="auto"/>
                                              </w:divBdr>
                                            </w:div>
                                            <w:div w:id="760954686">
                                              <w:marLeft w:val="4"/>
                                              <w:marRight w:val="0"/>
                                              <w:marTop w:val="0"/>
                                              <w:marBottom w:val="0"/>
                                              <w:divBdr>
                                                <w:top w:val="none" w:sz="0" w:space="0" w:color="auto"/>
                                                <w:left w:val="none" w:sz="0" w:space="0" w:color="auto"/>
                                                <w:bottom w:val="none" w:sz="0" w:space="0" w:color="auto"/>
                                                <w:right w:val="none" w:sz="0" w:space="0" w:color="auto"/>
                                              </w:divBdr>
                                            </w:div>
                                            <w:div w:id="919674761">
                                              <w:marLeft w:val="0"/>
                                              <w:marRight w:val="0"/>
                                              <w:marTop w:val="0"/>
                                              <w:marBottom w:val="0"/>
                                              <w:divBdr>
                                                <w:top w:val="none" w:sz="0" w:space="0" w:color="auto"/>
                                                <w:left w:val="none" w:sz="0" w:space="0" w:color="auto"/>
                                                <w:bottom w:val="none" w:sz="0" w:space="0" w:color="auto"/>
                                                <w:right w:val="none" w:sz="0" w:space="0" w:color="auto"/>
                                              </w:divBdr>
                                            </w:div>
                                            <w:div w:id="1044721437">
                                              <w:marLeft w:val="4"/>
                                              <w:marRight w:val="0"/>
                                              <w:marTop w:val="0"/>
                                              <w:marBottom w:val="0"/>
                                              <w:divBdr>
                                                <w:top w:val="none" w:sz="0" w:space="0" w:color="auto"/>
                                                <w:left w:val="none" w:sz="0" w:space="0" w:color="auto"/>
                                                <w:bottom w:val="none" w:sz="0" w:space="0" w:color="auto"/>
                                                <w:right w:val="none" w:sz="0" w:space="0" w:color="auto"/>
                                              </w:divBdr>
                                            </w:div>
                                            <w:div w:id="1318413791">
                                              <w:marLeft w:val="4"/>
                                              <w:marRight w:val="0"/>
                                              <w:marTop w:val="0"/>
                                              <w:marBottom w:val="0"/>
                                              <w:divBdr>
                                                <w:top w:val="none" w:sz="0" w:space="0" w:color="auto"/>
                                                <w:left w:val="none" w:sz="0" w:space="0" w:color="auto"/>
                                                <w:bottom w:val="none" w:sz="0" w:space="0" w:color="auto"/>
                                                <w:right w:val="none" w:sz="0" w:space="0" w:color="auto"/>
                                              </w:divBdr>
                                            </w:div>
                                            <w:div w:id="161378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9278598">
      <w:bodyDiv w:val="1"/>
      <w:marLeft w:val="0"/>
      <w:marRight w:val="0"/>
      <w:marTop w:val="0"/>
      <w:marBottom w:val="0"/>
      <w:divBdr>
        <w:top w:val="none" w:sz="0" w:space="0" w:color="auto"/>
        <w:left w:val="none" w:sz="0" w:space="0" w:color="auto"/>
        <w:bottom w:val="none" w:sz="0" w:space="0" w:color="auto"/>
        <w:right w:val="none" w:sz="0" w:space="0" w:color="auto"/>
      </w:divBdr>
    </w:div>
    <w:div w:id="1402171972">
      <w:bodyDiv w:val="1"/>
      <w:marLeft w:val="0"/>
      <w:marRight w:val="0"/>
      <w:marTop w:val="0"/>
      <w:marBottom w:val="0"/>
      <w:divBdr>
        <w:top w:val="none" w:sz="0" w:space="0" w:color="auto"/>
        <w:left w:val="none" w:sz="0" w:space="0" w:color="auto"/>
        <w:bottom w:val="none" w:sz="0" w:space="0" w:color="auto"/>
        <w:right w:val="none" w:sz="0" w:space="0" w:color="auto"/>
      </w:divBdr>
    </w:div>
    <w:div w:id="1402630873">
      <w:bodyDiv w:val="1"/>
      <w:marLeft w:val="0"/>
      <w:marRight w:val="0"/>
      <w:marTop w:val="0"/>
      <w:marBottom w:val="0"/>
      <w:divBdr>
        <w:top w:val="none" w:sz="0" w:space="0" w:color="auto"/>
        <w:left w:val="none" w:sz="0" w:space="0" w:color="auto"/>
        <w:bottom w:val="none" w:sz="0" w:space="0" w:color="auto"/>
        <w:right w:val="none" w:sz="0" w:space="0" w:color="auto"/>
      </w:divBdr>
    </w:div>
    <w:div w:id="1405034301">
      <w:bodyDiv w:val="1"/>
      <w:marLeft w:val="0"/>
      <w:marRight w:val="0"/>
      <w:marTop w:val="0"/>
      <w:marBottom w:val="0"/>
      <w:divBdr>
        <w:top w:val="none" w:sz="0" w:space="0" w:color="auto"/>
        <w:left w:val="none" w:sz="0" w:space="0" w:color="auto"/>
        <w:bottom w:val="none" w:sz="0" w:space="0" w:color="auto"/>
        <w:right w:val="none" w:sz="0" w:space="0" w:color="auto"/>
      </w:divBdr>
    </w:div>
    <w:div w:id="1411391724">
      <w:bodyDiv w:val="1"/>
      <w:marLeft w:val="0"/>
      <w:marRight w:val="0"/>
      <w:marTop w:val="0"/>
      <w:marBottom w:val="0"/>
      <w:divBdr>
        <w:top w:val="none" w:sz="0" w:space="0" w:color="auto"/>
        <w:left w:val="none" w:sz="0" w:space="0" w:color="auto"/>
        <w:bottom w:val="none" w:sz="0" w:space="0" w:color="auto"/>
        <w:right w:val="none" w:sz="0" w:space="0" w:color="auto"/>
      </w:divBdr>
    </w:div>
    <w:div w:id="1416395124">
      <w:bodyDiv w:val="1"/>
      <w:marLeft w:val="0"/>
      <w:marRight w:val="0"/>
      <w:marTop w:val="0"/>
      <w:marBottom w:val="0"/>
      <w:divBdr>
        <w:top w:val="none" w:sz="0" w:space="0" w:color="auto"/>
        <w:left w:val="none" w:sz="0" w:space="0" w:color="auto"/>
        <w:bottom w:val="none" w:sz="0" w:space="0" w:color="auto"/>
        <w:right w:val="none" w:sz="0" w:space="0" w:color="auto"/>
      </w:divBdr>
    </w:div>
    <w:div w:id="1419791266">
      <w:bodyDiv w:val="1"/>
      <w:marLeft w:val="0"/>
      <w:marRight w:val="0"/>
      <w:marTop w:val="0"/>
      <w:marBottom w:val="0"/>
      <w:divBdr>
        <w:top w:val="none" w:sz="0" w:space="0" w:color="auto"/>
        <w:left w:val="none" w:sz="0" w:space="0" w:color="auto"/>
        <w:bottom w:val="none" w:sz="0" w:space="0" w:color="auto"/>
        <w:right w:val="none" w:sz="0" w:space="0" w:color="auto"/>
      </w:divBdr>
    </w:div>
    <w:div w:id="1424182675">
      <w:bodyDiv w:val="1"/>
      <w:marLeft w:val="0"/>
      <w:marRight w:val="0"/>
      <w:marTop w:val="0"/>
      <w:marBottom w:val="0"/>
      <w:divBdr>
        <w:top w:val="none" w:sz="0" w:space="0" w:color="auto"/>
        <w:left w:val="none" w:sz="0" w:space="0" w:color="auto"/>
        <w:bottom w:val="none" w:sz="0" w:space="0" w:color="auto"/>
        <w:right w:val="none" w:sz="0" w:space="0" w:color="auto"/>
      </w:divBdr>
    </w:div>
    <w:div w:id="1445225305">
      <w:bodyDiv w:val="1"/>
      <w:marLeft w:val="0"/>
      <w:marRight w:val="0"/>
      <w:marTop w:val="0"/>
      <w:marBottom w:val="0"/>
      <w:divBdr>
        <w:top w:val="none" w:sz="0" w:space="0" w:color="auto"/>
        <w:left w:val="none" w:sz="0" w:space="0" w:color="auto"/>
        <w:bottom w:val="none" w:sz="0" w:space="0" w:color="auto"/>
        <w:right w:val="none" w:sz="0" w:space="0" w:color="auto"/>
      </w:divBdr>
      <w:divsChild>
        <w:div w:id="658193428">
          <w:marLeft w:val="0"/>
          <w:marRight w:val="0"/>
          <w:marTop w:val="0"/>
          <w:marBottom w:val="0"/>
          <w:divBdr>
            <w:top w:val="none" w:sz="0" w:space="0" w:color="auto"/>
            <w:left w:val="none" w:sz="0" w:space="0" w:color="auto"/>
            <w:bottom w:val="none" w:sz="0" w:space="0" w:color="auto"/>
            <w:right w:val="none" w:sz="0" w:space="0" w:color="auto"/>
          </w:divBdr>
          <w:divsChild>
            <w:div w:id="1711563684">
              <w:marLeft w:val="0"/>
              <w:marRight w:val="75"/>
              <w:marTop w:val="0"/>
              <w:marBottom w:val="0"/>
              <w:divBdr>
                <w:top w:val="none" w:sz="0" w:space="0" w:color="auto"/>
                <w:left w:val="none" w:sz="0" w:space="0" w:color="auto"/>
                <w:bottom w:val="none" w:sz="0" w:space="0" w:color="auto"/>
                <w:right w:val="none" w:sz="0" w:space="0" w:color="auto"/>
              </w:divBdr>
              <w:divsChild>
                <w:div w:id="1177692666">
                  <w:marLeft w:val="0"/>
                  <w:marRight w:val="0"/>
                  <w:marTop w:val="0"/>
                  <w:marBottom w:val="0"/>
                  <w:divBdr>
                    <w:top w:val="none" w:sz="0" w:space="0" w:color="auto"/>
                    <w:left w:val="none" w:sz="0" w:space="0" w:color="auto"/>
                    <w:bottom w:val="none" w:sz="0" w:space="0" w:color="auto"/>
                    <w:right w:val="none" w:sz="0" w:space="0" w:color="auto"/>
                  </w:divBdr>
                  <w:divsChild>
                    <w:div w:id="2118017259">
                      <w:marLeft w:val="0"/>
                      <w:marRight w:val="0"/>
                      <w:marTop w:val="225"/>
                      <w:marBottom w:val="225"/>
                      <w:divBdr>
                        <w:top w:val="none" w:sz="0" w:space="0" w:color="auto"/>
                        <w:left w:val="none" w:sz="0" w:space="0" w:color="auto"/>
                        <w:bottom w:val="none" w:sz="0" w:space="0" w:color="auto"/>
                        <w:right w:val="none" w:sz="0" w:space="0" w:color="auto"/>
                      </w:divBdr>
                      <w:divsChild>
                        <w:div w:id="482434591">
                          <w:marLeft w:val="0"/>
                          <w:marRight w:val="150"/>
                          <w:marTop w:val="0"/>
                          <w:marBottom w:val="0"/>
                          <w:divBdr>
                            <w:top w:val="none" w:sz="0" w:space="0" w:color="auto"/>
                            <w:left w:val="none" w:sz="0" w:space="0" w:color="auto"/>
                            <w:bottom w:val="none" w:sz="0" w:space="0" w:color="auto"/>
                            <w:right w:val="none" w:sz="0" w:space="0" w:color="auto"/>
                          </w:divBdr>
                          <w:divsChild>
                            <w:div w:id="207219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7579297">
      <w:bodyDiv w:val="1"/>
      <w:marLeft w:val="300"/>
      <w:marRight w:val="150"/>
      <w:marTop w:val="150"/>
      <w:marBottom w:val="150"/>
      <w:divBdr>
        <w:top w:val="none" w:sz="0" w:space="0" w:color="auto"/>
        <w:left w:val="none" w:sz="0" w:space="0" w:color="auto"/>
        <w:bottom w:val="none" w:sz="0" w:space="0" w:color="auto"/>
        <w:right w:val="none" w:sz="0" w:space="0" w:color="auto"/>
      </w:divBdr>
      <w:divsChild>
        <w:div w:id="338700637">
          <w:marLeft w:val="0"/>
          <w:marRight w:val="0"/>
          <w:marTop w:val="0"/>
          <w:marBottom w:val="0"/>
          <w:divBdr>
            <w:top w:val="none" w:sz="0" w:space="0" w:color="auto"/>
            <w:left w:val="none" w:sz="0" w:space="0" w:color="auto"/>
            <w:bottom w:val="none" w:sz="0" w:space="0" w:color="auto"/>
            <w:right w:val="none" w:sz="0" w:space="0" w:color="auto"/>
          </w:divBdr>
          <w:divsChild>
            <w:div w:id="72168889">
              <w:marLeft w:val="0"/>
              <w:marRight w:val="0"/>
              <w:marTop w:val="0"/>
              <w:marBottom w:val="0"/>
              <w:divBdr>
                <w:top w:val="none" w:sz="0" w:space="0" w:color="auto"/>
                <w:left w:val="none" w:sz="0" w:space="0" w:color="auto"/>
                <w:bottom w:val="none" w:sz="0" w:space="0" w:color="auto"/>
                <w:right w:val="none" w:sz="0" w:space="0" w:color="auto"/>
              </w:divBdr>
              <w:divsChild>
                <w:div w:id="1202280254">
                  <w:marLeft w:val="0"/>
                  <w:marRight w:val="0"/>
                  <w:marTop w:val="0"/>
                  <w:marBottom w:val="0"/>
                  <w:divBdr>
                    <w:top w:val="none" w:sz="0" w:space="0" w:color="auto"/>
                    <w:left w:val="none" w:sz="0" w:space="0" w:color="auto"/>
                    <w:bottom w:val="none" w:sz="0" w:space="0" w:color="auto"/>
                    <w:right w:val="none" w:sz="0" w:space="0" w:color="auto"/>
                  </w:divBdr>
                  <w:divsChild>
                    <w:div w:id="28377830">
                      <w:marLeft w:val="0"/>
                      <w:marRight w:val="0"/>
                      <w:marTop w:val="0"/>
                      <w:marBottom w:val="0"/>
                      <w:divBdr>
                        <w:top w:val="none" w:sz="0" w:space="0" w:color="auto"/>
                        <w:left w:val="none" w:sz="0" w:space="0" w:color="auto"/>
                        <w:bottom w:val="none" w:sz="0" w:space="0" w:color="auto"/>
                        <w:right w:val="none" w:sz="0" w:space="0" w:color="auto"/>
                      </w:divBdr>
                      <w:divsChild>
                        <w:div w:id="212890143">
                          <w:marLeft w:val="0"/>
                          <w:marRight w:val="0"/>
                          <w:marTop w:val="0"/>
                          <w:marBottom w:val="0"/>
                          <w:divBdr>
                            <w:top w:val="none" w:sz="0" w:space="0" w:color="auto"/>
                            <w:left w:val="none" w:sz="0" w:space="0" w:color="auto"/>
                            <w:bottom w:val="none" w:sz="0" w:space="0" w:color="auto"/>
                            <w:right w:val="none" w:sz="0" w:space="0" w:color="auto"/>
                          </w:divBdr>
                        </w:div>
                        <w:div w:id="213272291">
                          <w:marLeft w:val="0"/>
                          <w:marRight w:val="0"/>
                          <w:marTop w:val="0"/>
                          <w:marBottom w:val="0"/>
                          <w:divBdr>
                            <w:top w:val="none" w:sz="0" w:space="0" w:color="auto"/>
                            <w:left w:val="none" w:sz="0" w:space="0" w:color="auto"/>
                            <w:bottom w:val="none" w:sz="0" w:space="0" w:color="auto"/>
                            <w:right w:val="none" w:sz="0" w:space="0" w:color="auto"/>
                          </w:divBdr>
                        </w:div>
                        <w:div w:id="215119607">
                          <w:marLeft w:val="0"/>
                          <w:marRight w:val="0"/>
                          <w:marTop w:val="0"/>
                          <w:marBottom w:val="0"/>
                          <w:divBdr>
                            <w:top w:val="none" w:sz="0" w:space="0" w:color="auto"/>
                            <w:left w:val="none" w:sz="0" w:space="0" w:color="auto"/>
                            <w:bottom w:val="none" w:sz="0" w:space="0" w:color="auto"/>
                            <w:right w:val="none" w:sz="0" w:space="0" w:color="auto"/>
                          </w:divBdr>
                        </w:div>
                        <w:div w:id="799953915">
                          <w:marLeft w:val="0"/>
                          <w:marRight w:val="0"/>
                          <w:marTop w:val="0"/>
                          <w:marBottom w:val="0"/>
                          <w:divBdr>
                            <w:top w:val="none" w:sz="0" w:space="0" w:color="auto"/>
                            <w:left w:val="none" w:sz="0" w:space="0" w:color="auto"/>
                            <w:bottom w:val="none" w:sz="0" w:space="0" w:color="auto"/>
                            <w:right w:val="none" w:sz="0" w:space="0" w:color="auto"/>
                          </w:divBdr>
                        </w:div>
                        <w:div w:id="913049605">
                          <w:marLeft w:val="0"/>
                          <w:marRight w:val="0"/>
                          <w:marTop w:val="0"/>
                          <w:marBottom w:val="0"/>
                          <w:divBdr>
                            <w:top w:val="none" w:sz="0" w:space="0" w:color="auto"/>
                            <w:left w:val="none" w:sz="0" w:space="0" w:color="auto"/>
                            <w:bottom w:val="none" w:sz="0" w:space="0" w:color="auto"/>
                            <w:right w:val="none" w:sz="0" w:space="0" w:color="auto"/>
                          </w:divBdr>
                        </w:div>
                        <w:div w:id="931668682">
                          <w:marLeft w:val="0"/>
                          <w:marRight w:val="0"/>
                          <w:marTop w:val="0"/>
                          <w:marBottom w:val="0"/>
                          <w:divBdr>
                            <w:top w:val="none" w:sz="0" w:space="0" w:color="auto"/>
                            <w:left w:val="none" w:sz="0" w:space="0" w:color="auto"/>
                            <w:bottom w:val="none" w:sz="0" w:space="0" w:color="auto"/>
                            <w:right w:val="none" w:sz="0" w:space="0" w:color="auto"/>
                          </w:divBdr>
                        </w:div>
                        <w:div w:id="1062173831">
                          <w:marLeft w:val="0"/>
                          <w:marRight w:val="0"/>
                          <w:marTop w:val="0"/>
                          <w:marBottom w:val="0"/>
                          <w:divBdr>
                            <w:top w:val="none" w:sz="0" w:space="0" w:color="auto"/>
                            <w:left w:val="none" w:sz="0" w:space="0" w:color="auto"/>
                            <w:bottom w:val="none" w:sz="0" w:space="0" w:color="auto"/>
                            <w:right w:val="none" w:sz="0" w:space="0" w:color="auto"/>
                          </w:divBdr>
                        </w:div>
                        <w:div w:id="1593856566">
                          <w:marLeft w:val="0"/>
                          <w:marRight w:val="0"/>
                          <w:marTop w:val="0"/>
                          <w:marBottom w:val="0"/>
                          <w:divBdr>
                            <w:top w:val="none" w:sz="0" w:space="0" w:color="auto"/>
                            <w:left w:val="none" w:sz="0" w:space="0" w:color="auto"/>
                            <w:bottom w:val="none" w:sz="0" w:space="0" w:color="auto"/>
                            <w:right w:val="none" w:sz="0" w:space="0" w:color="auto"/>
                          </w:divBdr>
                        </w:div>
                        <w:div w:id="1697122929">
                          <w:marLeft w:val="0"/>
                          <w:marRight w:val="0"/>
                          <w:marTop w:val="0"/>
                          <w:marBottom w:val="0"/>
                          <w:divBdr>
                            <w:top w:val="none" w:sz="0" w:space="0" w:color="auto"/>
                            <w:left w:val="none" w:sz="0" w:space="0" w:color="auto"/>
                            <w:bottom w:val="none" w:sz="0" w:space="0" w:color="auto"/>
                            <w:right w:val="none" w:sz="0" w:space="0" w:color="auto"/>
                          </w:divBdr>
                        </w:div>
                        <w:div w:id="1698970964">
                          <w:marLeft w:val="0"/>
                          <w:marRight w:val="0"/>
                          <w:marTop w:val="0"/>
                          <w:marBottom w:val="0"/>
                          <w:divBdr>
                            <w:top w:val="none" w:sz="0" w:space="0" w:color="auto"/>
                            <w:left w:val="none" w:sz="0" w:space="0" w:color="auto"/>
                            <w:bottom w:val="none" w:sz="0" w:space="0" w:color="auto"/>
                            <w:right w:val="none" w:sz="0" w:space="0" w:color="auto"/>
                          </w:divBdr>
                        </w:div>
                        <w:div w:id="1775638145">
                          <w:marLeft w:val="0"/>
                          <w:marRight w:val="0"/>
                          <w:marTop w:val="0"/>
                          <w:marBottom w:val="0"/>
                          <w:divBdr>
                            <w:top w:val="none" w:sz="0" w:space="0" w:color="auto"/>
                            <w:left w:val="none" w:sz="0" w:space="0" w:color="auto"/>
                            <w:bottom w:val="none" w:sz="0" w:space="0" w:color="auto"/>
                            <w:right w:val="none" w:sz="0" w:space="0" w:color="auto"/>
                          </w:divBdr>
                        </w:div>
                        <w:div w:id="1792698762">
                          <w:marLeft w:val="0"/>
                          <w:marRight w:val="0"/>
                          <w:marTop w:val="0"/>
                          <w:marBottom w:val="0"/>
                          <w:divBdr>
                            <w:top w:val="none" w:sz="0" w:space="0" w:color="auto"/>
                            <w:left w:val="none" w:sz="0" w:space="0" w:color="auto"/>
                            <w:bottom w:val="none" w:sz="0" w:space="0" w:color="auto"/>
                            <w:right w:val="none" w:sz="0" w:space="0" w:color="auto"/>
                          </w:divBdr>
                        </w:div>
                        <w:div w:id="193805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8088640">
      <w:bodyDiv w:val="1"/>
      <w:marLeft w:val="0"/>
      <w:marRight w:val="0"/>
      <w:marTop w:val="0"/>
      <w:marBottom w:val="0"/>
      <w:divBdr>
        <w:top w:val="none" w:sz="0" w:space="0" w:color="auto"/>
        <w:left w:val="none" w:sz="0" w:space="0" w:color="auto"/>
        <w:bottom w:val="none" w:sz="0" w:space="0" w:color="auto"/>
        <w:right w:val="none" w:sz="0" w:space="0" w:color="auto"/>
      </w:divBdr>
    </w:div>
    <w:div w:id="1451702904">
      <w:bodyDiv w:val="1"/>
      <w:marLeft w:val="0"/>
      <w:marRight w:val="0"/>
      <w:marTop w:val="0"/>
      <w:marBottom w:val="0"/>
      <w:divBdr>
        <w:top w:val="none" w:sz="0" w:space="0" w:color="auto"/>
        <w:left w:val="none" w:sz="0" w:space="0" w:color="auto"/>
        <w:bottom w:val="none" w:sz="0" w:space="0" w:color="auto"/>
        <w:right w:val="none" w:sz="0" w:space="0" w:color="auto"/>
      </w:divBdr>
      <w:divsChild>
        <w:div w:id="1625768473">
          <w:marLeft w:val="0"/>
          <w:marRight w:val="0"/>
          <w:marTop w:val="0"/>
          <w:marBottom w:val="0"/>
          <w:divBdr>
            <w:top w:val="none" w:sz="0" w:space="0" w:color="auto"/>
            <w:left w:val="none" w:sz="0" w:space="0" w:color="auto"/>
            <w:bottom w:val="none" w:sz="0" w:space="0" w:color="auto"/>
            <w:right w:val="none" w:sz="0" w:space="0" w:color="auto"/>
          </w:divBdr>
          <w:divsChild>
            <w:div w:id="102147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193601">
      <w:bodyDiv w:val="1"/>
      <w:marLeft w:val="0"/>
      <w:marRight w:val="0"/>
      <w:marTop w:val="0"/>
      <w:marBottom w:val="0"/>
      <w:divBdr>
        <w:top w:val="none" w:sz="0" w:space="0" w:color="auto"/>
        <w:left w:val="none" w:sz="0" w:space="0" w:color="auto"/>
        <w:bottom w:val="none" w:sz="0" w:space="0" w:color="auto"/>
        <w:right w:val="none" w:sz="0" w:space="0" w:color="auto"/>
      </w:divBdr>
    </w:div>
    <w:div w:id="1462502056">
      <w:bodyDiv w:val="1"/>
      <w:marLeft w:val="0"/>
      <w:marRight w:val="0"/>
      <w:marTop w:val="0"/>
      <w:marBottom w:val="0"/>
      <w:divBdr>
        <w:top w:val="none" w:sz="0" w:space="0" w:color="auto"/>
        <w:left w:val="none" w:sz="0" w:space="0" w:color="auto"/>
        <w:bottom w:val="none" w:sz="0" w:space="0" w:color="auto"/>
        <w:right w:val="none" w:sz="0" w:space="0" w:color="auto"/>
      </w:divBdr>
    </w:div>
    <w:div w:id="1469974140">
      <w:bodyDiv w:val="1"/>
      <w:marLeft w:val="0"/>
      <w:marRight w:val="0"/>
      <w:marTop w:val="0"/>
      <w:marBottom w:val="0"/>
      <w:divBdr>
        <w:top w:val="none" w:sz="0" w:space="0" w:color="auto"/>
        <w:left w:val="none" w:sz="0" w:space="0" w:color="auto"/>
        <w:bottom w:val="none" w:sz="0" w:space="0" w:color="auto"/>
        <w:right w:val="none" w:sz="0" w:space="0" w:color="auto"/>
      </w:divBdr>
    </w:div>
    <w:div w:id="1476677361">
      <w:bodyDiv w:val="1"/>
      <w:marLeft w:val="0"/>
      <w:marRight w:val="0"/>
      <w:marTop w:val="0"/>
      <w:marBottom w:val="0"/>
      <w:divBdr>
        <w:top w:val="none" w:sz="0" w:space="0" w:color="auto"/>
        <w:left w:val="none" w:sz="0" w:space="0" w:color="auto"/>
        <w:bottom w:val="none" w:sz="0" w:space="0" w:color="auto"/>
        <w:right w:val="none" w:sz="0" w:space="0" w:color="auto"/>
      </w:divBdr>
      <w:divsChild>
        <w:div w:id="733551927">
          <w:marLeft w:val="0"/>
          <w:marRight w:val="0"/>
          <w:marTop w:val="0"/>
          <w:marBottom w:val="0"/>
          <w:divBdr>
            <w:top w:val="none" w:sz="0" w:space="0" w:color="auto"/>
            <w:left w:val="none" w:sz="0" w:space="0" w:color="auto"/>
            <w:bottom w:val="none" w:sz="0" w:space="0" w:color="auto"/>
            <w:right w:val="none" w:sz="0" w:space="0" w:color="auto"/>
          </w:divBdr>
          <w:divsChild>
            <w:div w:id="463738726">
              <w:marLeft w:val="0"/>
              <w:marRight w:val="0"/>
              <w:marTop w:val="0"/>
              <w:marBottom w:val="0"/>
              <w:divBdr>
                <w:top w:val="none" w:sz="0" w:space="0" w:color="auto"/>
                <w:left w:val="none" w:sz="0" w:space="0" w:color="auto"/>
                <w:bottom w:val="none" w:sz="0" w:space="0" w:color="auto"/>
                <w:right w:val="none" w:sz="0" w:space="0" w:color="auto"/>
              </w:divBdr>
              <w:divsChild>
                <w:div w:id="475227504">
                  <w:marLeft w:val="0"/>
                  <w:marRight w:val="0"/>
                  <w:marTop w:val="0"/>
                  <w:marBottom w:val="0"/>
                  <w:divBdr>
                    <w:top w:val="none" w:sz="0" w:space="0" w:color="auto"/>
                    <w:left w:val="none" w:sz="0" w:space="0" w:color="auto"/>
                    <w:bottom w:val="none" w:sz="0" w:space="0" w:color="auto"/>
                    <w:right w:val="none" w:sz="0" w:space="0" w:color="auto"/>
                  </w:divBdr>
                  <w:divsChild>
                    <w:div w:id="685208391">
                      <w:marLeft w:val="0"/>
                      <w:marRight w:val="0"/>
                      <w:marTop w:val="0"/>
                      <w:marBottom w:val="0"/>
                      <w:divBdr>
                        <w:top w:val="none" w:sz="0" w:space="0" w:color="auto"/>
                        <w:left w:val="none" w:sz="0" w:space="0" w:color="auto"/>
                        <w:bottom w:val="none" w:sz="0" w:space="0" w:color="auto"/>
                        <w:right w:val="none" w:sz="0" w:space="0" w:color="auto"/>
                      </w:divBdr>
                      <w:divsChild>
                        <w:div w:id="2127045465">
                          <w:marLeft w:val="0"/>
                          <w:marRight w:val="0"/>
                          <w:marTop w:val="0"/>
                          <w:marBottom w:val="0"/>
                          <w:divBdr>
                            <w:top w:val="none" w:sz="0" w:space="0" w:color="auto"/>
                            <w:left w:val="none" w:sz="0" w:space="0" w:color="auto"/>
                            <w:bottom w:val="none" w:sz="0" w:space="0" w:color="auto"/>
                            <w:right w:val="none" w:sz="0" w:space="0" w:color="auto"/>
                          </w:divBdr>
                          <w:divsChild>
                            <w:div w:id="61482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9152457">
      <w:bodyDiv w:val="1"/>
      <w:marLeft w:val="0"/>
      <w:marRight w:val="0"/>
      <w:marTop w:val="0"/>
      <w:marBottom w:val="0"/>
      <w:divBdr>
        <w:top w:val="none" w:sz="0" w:space="0" w:color="auto"/>
        <w:left w:val="none" w:sz="0" w:space="0" w:color="auto"/>
        <w:bottom w:val="none" w:sz="0" w:space="0" w:color="auto"/>
        <w:right w:val="none" w:sz="0" w:space="0" w:color="auto"/>
      </w:divBdr>
      <w:divsChild>
        <w:div w:id="885336359">
          <w:marLeft w:val="0"/>
          <w:marRight w:val="0"/>
          <w:marTop w:val="0"/>
          <w:marBottom w:val="0"/>
          <w:divBdr>
            <w:top w:val="none" w:sz="0" w:space="0" w:color="auto"/>
            <w:left w:val="none" w:sz="0" w:space="0" w:color="auto"/>
            <w:bottom w:val="none" w:sz="0" w:space="0" w:color="auto"/>
            <w:right w:val="none" w:sz="0" w:space="0" w:color="auto"/>
          </w:divBdr>
          <w:divsChild>
            <w:div w:id="628050307">
              <w:marLeft w:val="0"/>
              <w:marRight w:val="0"/>
              <w:marTop w:val="0"/>
              <w:marBottom w:val="0"/>
              <w:divBdr>
                <w:top w:val="none" w:sz="0" w:space="0" w:color="auto"/>
                <w:left w:val="none" w:sz="0" w:space="0" w:color="auto"/>
                <w:bottom w:val="none" w:sz="0" w:space="0" w:color="auto"/>
                <w:right w:val="none" w:sz="0" w:space="0" w:color="auto"/>
              </w:divBdr>
              <w:divsChild>
                <w:div w:id="1378622824">
                  <w:marLeft w:val="0"/>
                  <w:marRight w:val="0"/>
                  <w:marTop w:val="0"/>
                  <w:marBottom w:val="0"/>
                  <w:divBdr>
                    <w:top w:val="none" w:sz="0" w:space="0" w:color="auto"/>
                    <w:left w:val="none" w:sz="0" w:space="0" w:color="auto"/>
                    <w:bottom w:val="none" w:sz="0" w:space="0" w:color="auto"/>
                    <w:right w:val="none" w:sz="0" w:space="0" w:color="auto"/>
                  </w:divBdr>
                  <w:divsChild>
                    <w:div w:id="1443843366">
                      <w:marLeft w:val="0"/>
                      <w:marRight w:val="0"/>
                      <w:marTop w:val="75"/>
                      <w:marBottom w:val="75"/>
                      <w:divBdr>
                        <w:top w:val="none" w:sz="0" w:space="0" w:color="auto"/>
                        <w:left w:val="none" w:sz="0" w:space="0" w:color="auto"/>
                        <w:bottom w:val="none" w:sz="0" w:space="0" w:color="auto"/>
                        <w:right w:val="none" w:sz="0" w:space="0" w:color="auto"/>
                      </w:divBdr>
                      <w:divsChild>
                        <w:div w:id="782843070">
                          <w:marLeft w:val="0"/>
                          <w:marRight w:val="0"/>
                          <w:marTop w:val="0"/>
                          <w:marBottom w:val="0"/>
                          <w:divBdr>
                            <w:top w:val="none" w:sz="0" w:space="0" w:color="auto"/>
                            <w:left w:val="none" w:sz="0" w:space="0" w:color="auto"/>
                            <w:bottom w:val="none" w:sz="0" w:space="0" w:color="auto"/>
                            <w:right w:val="none" w:sz="0" w:space="0" w:color="auto"/>
                          </w:divBdr>
                          <w:divsChild>
                            <w:div w:id="428046582">
                              <w:marLeft w:val="0"/>
                              <w:marRight w:val="300"/>
                              <w:marTop w:val="0"/>
                              <w:marBottom w:val="0"/>
                              <w:divBdr>
                                <w:top w:val="none" w:sz="0" w:space="0" w:color="auto"/>
                                <w:left w:val="none" w:sz="0" w:space="0" w:color="auto"/>
                                <w:bottom w:val="none" w:sz="0" w:space="0" w:color="auto"/>
                                <w:right w:val="none" w:sz="0" w:space="0" w:color="auto"/>
                              </w:divBdr>
                              <w:divsChild>
                                <w:div w:id="857503826">
                                  <w:marLeft w:val="0"/>
                                  <w:marRight w:val="0"/>
                                  <w:marTop w:val="0"/>
                                  <w:marBottom w:val="0"/>
                                  <w:divBdr>
                                    <w:top w:val="none" w:sz="0" w:space="0" w:color="auto"/>
                                    <w:left w:val="none" w:sz="0" w:space="0" w:color="auto"/>
                                    <w:bottom w:val="none" w:sz="0" w:space="0" w:color="auto"/>
                                    <w:right w:val="none" w:sz="0" w:space="0" w:color="auto"/>
                                  </w:divBdr>
                                  <w:divsChild>
                                    <w:div w:id="1838423510">
                                      <w:marLeft w:val="0"/>
                                      <w:marRight w:val="0"/>
                                      <w:marTop w:val="0"/>
                                      <w:marBottom w:val="0"/>
                                      <w:divBdr>
                                        <w:top w:val="none" w:sz="0" w:space="0" w:color="auto"/>
                                        <w:left w:val="none" w:sz="0" w:space="0" w:color="auto"/>
                                        <w:bottom w:val="none" w:sz="0" w:space="0" w:color="auto"/>
                                        <w:right w:val="none" w:sz="0" w:space="0" w:color="auto"/>
                                      </w:divBdr>
                                      <w:divsChild>
                                        <w:div w:id="2051761515">
                                          <w:marLeft w:val="0"/>
                                          <w:marRight w:val="0"/>
                                          <w:marTop w:val="0"/>
                                          <w:marBottom w:val="0"/>
                                          <w:divBdr>
                                            <w:top w:val="none" w:sz="0" w:space="0" w:color="auto"/>
                                            <w:left w:val="none" w:sz="0" w:space="0" w:color="auto"/>
                                            <w:bottom w:val="none" w:sz="0" w:space="0" w:color="auto"/>
                                            <w:right w:val="none" w:sz="0" w:space="0" w:color="auto"/>
                                          </w:divBdr>
                                          <w:divsChild>
                                            <w:div w:id="1751804855">
                                              <w:marLeft w:val="0"/>
                                              <w:marRight w:val="0"/>
                                              <w:marTop w:val="0"/>
                                              <w:marBottom w:val="0"/>
                                              <w:divBdr>
                                                <w:top w:val="none" w:sz="0" w:space="0" w:color="auto"/>
                                                <w:left w:val="none" w:sz="0" w:space="0" w:color="auto"/>
                                                <w:bottom w:val="none" w:sz="0" w:space="0" w:color="auto"/>
                                                <w:right w:val="none" w:sz="0" w:space="0" w:color="auto"/>
                                              </w:divBdr>
                                              <w:divsChild>
                                                <w:div w:id="7828188">
                                                  <w:marLeft w:val="4"/>
                                                  <w:marRight w:val="0"/>
                                                  <w:marTop w:val="0"/>
                                                  <w:marBottom w:val="0"/>
                                                  <w:divBdr>
                                                    <w:top w:val="none" w:sz="0" w:space="0" w:color="auto"/>
                                                    <w:left w:val="none" w:sz="0" w:space="0" w:color="auto"/>
                                                    <w:bottom w:val="none" w:sz="0" w:space="0" w:color="auto"/>
                                                    <w:right w:val="none" w:sz="0" w:space="0" w:color="auto"/>
                                                  </w:divBdr>
                                                  <w:divsChild>
                                                    <w:div w:id="773207771">
                                                      <w:marLeft w:val="4"/>
                                                      <w:marRight w:val="0"/>
                                                      <w:marTop w:val="0"/>
                                                      <w:marBottom w:val="0"/>
                                                      <w:divBdr>
                                                        <w:top w:val="none" w:sz="0" w:space="0" w:color="auto"/>
                                                        <w:left w:val="none" w:sz="0" w:space="0" w:color="auto"/>
                                                        <w:bottom w:val="none" w:sz="0" w:space="0" w:color="auto"/>
                                                        <w:right w:val="none" w:sz="0" w:space="0" w:color="auto"/>
                                                      </w:divBdr>
                                                    </w:div>
                                                    <w:div w:id="990525832">
                                                      <w:marLeft w:val="4"/>
                                                      <w:marRight w:val="0"/>
                                                      <w:marTop w:val="0"/>
                                                      <w:marBottom w:val="0"/>
                                                      <w:divBdr>
                                                        <w:top w:val="none" w:sz="0" w:space="0" w:color="auto"/>
                                                        <w:left w:val="none" w:sz="0" w:space="0" w:color="auto"/>
                                                        <w:bottom w:val="none" w:sz="0" w:space="0" w:color="auto"/>
                                                        <w:right w:val="none" w:sz="0" w:space="0" w:color="auto"/>
                                                      </w:divBdr>
                                                    </w:div>
                                                  </w:divsChild>
                                                </w:div>
                                                <w:div w:id="291592786">
                                                  <w:marLeft w:val="4"/>
                                                  <w:marRight w:val="0"/>
                                                  <w:marTop w:val="0"/>
                                                  <w:marBottom w:val="0"/>
                                                  <w:divBdr>
                                                    <w:top w:val="none" w:sz="0" w:space="0" w:color="auto"/>
                                                    <w:left w:val="none" w:sz="0" w:space="0" w:color="auto"/>
                                                    <w:bottom w:val="none" w:sz="0" w:space="0" w:color="auto"/>
                                                    <w:right w:val="none" w:sz="0" w:space="0" w:color="auto"/>
                                                  </w:divBdr>
                                                  <w:divsChild>
                                                    <w:div w:id="765735690">
                                                      <w:marLeft w:val="0"/>
                                                      <w:marRight w:val="0"/>
                                                      <w:marTop w:val="0"/>
                                                      <w:marBottom w:val="0"/>
                                                      <w:divBdr>
                                                        <w:top w:val="none" w:sz="0" w:space="0" w:color="auto"/>
                                                        <w:left w:val="none" w:sz="0" w:space="0" w:color="auto"/>
                                                        <w:bottom w:val="none" w:sz="0" w:space="0" w:color="auto"/>
                                                        <w:right w:val="none" w:sz="0" w:space="0" w:color="auto"/>
                                                      </w:divBdr>
                                                    </w:div>
                                                  </w:divsChild>
                                                </w:div>
                                                <w:div w:id="542641758">
                                                  <w:marLeft w:val="4"/>
                                                  <w:marRight w:val="0"/>
                                                  <w:marTop w:val="0"/>
                                                  <w:marBottom w:val="0"/>
                                                  <w:divBdr>
                                                    <w:top w:val="none" w:sz="0" w:space="0" w:color="auto"/>
                                                    <w:left w:val="none" w:sz="0" w:space="0" w:color="auto"/>
                                                    <w:bottom w:val="none" w:sz="0" w:space="0" w:color="auto"/>
                                                    <w:right w:val="none" w:sz="0" w:space="0" w:color="auto"/>
                                                  </w:divBdr>
                                                  <w:divsChild>
                                                    <w:div w:id="4747204">
                                                      <w:marLeft w:val="4"/>
                                                      <w:marRight w:val="0"/>
                                                      <w:marTop w:val="0"/>
                                                      <w:marBottom w:val="0"/>
                                                      <w:divBdr>
                                                        <w:top w:val="none" w:sz="0" w:space="0" w:color="auto"/>
                                                        <w:left w:val="none" w:sz="0" w:space="0" w:color="auto"/>
                                                        <w:bottom w:val="none" w:sz="0" w:space="0" w:color="auto"/>
                                                        <w:right w:val="none" w:sz="0" w:space="0" w:color="auto"/>
                                                      </w:divBdr>
                                                    </w:div>
                                                    <w:div w:id="608969013">
                                                      <w:marLeft w:val="4"/>
                                                      <w:marRight w:val="0"/>
                                                      <w:marTop w:val="0"/>
                                                      <w:marBottom w:val="0"/>
                                                      <w:divBdr>
                                                        <w:top w:val="none" w:sz="0" w:space="0" w:color="auto"/>
                                                        <w:left w:val="none" w:sz="0" w:space="0" w:color="auto"/>
                                                        <w:bottom w:val="none" w:sz="0" w:space="0" w:color="auto"/>
                                                        <w:right w:val="none" w:sz="0" w:space="0" w:color="auto"/>
                                                      </w:divBdr>
                                                    </w:div>
                                                    <w:div w:id="712001161">
                                                      <w:marLeft w:val="0"/>
                                                      <w:marRight w:val="0"/>
                                                      <w:marTop w:val="0"/>
                                                      <w:marBottom w:val="0"/>
                                                      <w:divBdr>
                                                        <w:top w:val="none" w:sz="0" w:space="0" w:color="auto"/>
                                                        <w:left w:val="none" w:sz="0" w:space="0" w:color="auto"/>
                                                        <w:bottom w:val="none" w:sz="0" w:space="0" w:color="auto"/>
                                                        <w:right w:val="none" w:sz="0" w:space="0" w:color="auto"/>
                                                      </w:divBdr>
                                                    </w:div>
                                                    <w:div w:id="1619069363">
                                                      <w:marLeft w:val="4"/>
                                                      <w:marRight w:val="0"/>
                                                      <w:marTop w:val="0"/>
                                                      <w:marBottom w:val="0"/>
                                                      <w:divBdr>
                                                        <w:top w:val="none" w:sz="0" w:space="0" w:color="auto"/>
                                                        <w:left w:val="none" w:sz="0" w:space="0" w:color="auto"/>
                                                        <w:bottom w:val="none" w:sz="0" w:space="0" w:color="auto"/>
                                                        <w:right w:val="none" w:sz="0" w:space="0" w:color="auto"/>
                                                      </w:divBdr>
                                                    </w:div>
                                                    <w:div w:id="1981571013">
                                                      <w:marLeft w:val="0"/>
                                                      <w:marRight w:val="0"/>
                                                      <w:marTop w:val="0"/>
                                                      <w:marBottom w:val="0"/>
                                                      <w:divBdr>
                                                        <w:top w:val="none" w:sz="0" w:space="0" w:color="auto"/>
                                                        <w:left w:val="none" w:sz="0" w:space="0" w:color="auto"/>
                                                        <w:bottom w:val="none" w:sz="0" w:space="0" w:color="auto"/>
                                                        <w:right w:val="none" w:sz="0" w:space="0" w:color="auto"/>
                                                      </w:divBdr>
                                                    </w:div>
                                                  </w:divsChild>
                                                </w:div>
                                                <w:div w:id="1100874505">
                                                  <w:marLeft w:val="4"/>
                                                  <w:marRight w:val="0"/>
                                                  <w:marTop w:val="0"/>
                                                  <w:marBottom w:val="0"/>
                                                  <w:divBdr>
                                                    <w:top w:val="none" w:sz="0" w:space="0" w:color="auto"/>
                                                    <w:left w:val="none" w:sz="0" w:space="0" w:color="auto"/>
                                                    <w:bottom w:val="none" w:sz="0" w:space="0" w:color="auto"/>
                                                    <w:right w:val="none" w:sz="0" w:space="0" w:color="auto"/>
                                                  </w:divBdr>
                                                  <w:divsChild>
                                                    <w:div w:id="26179130">
                                                      <w:marLeft w:val="0"/>
                                                      <w:marRight w:val="0"/>
                                                      <w:marTop w:val="0"/>
                                                      <w:marBottom w:val="0"/>
                                                      <w:divBdr>
                                                        <w:top w:val="none" w:sz="0" w:space="0" w:color="auto"/>
                                                        <w:left w:val="none" w:sz="0" w:space="0" w:color="auto"/>
                                                        <w:bottom w:val="none" w:sz="0" w:space="0" w:color="auto"/>
                                                        <w:right w:val="none" w:sz="0" w:space="0" w:color="auto"/>
                                                      </w:divBdr>
                                                    </w:div>
                                                  </w:divsChild>
                                                </w:div>
                                                <w:div w:id="1166483623">
                                                  <w:marLeft w:val="4"/>
                                                  <w:marRight w:val="0"/>
                                                  <w:marTop w:val="0"/>
                                                  <w:marBottom w:val="0"/>
                                                  <w:divBdr>
                                                    <w:top w:val="none" w:sz="0" w:space="0" w:color="auto"/>
                                                    <w:left w:val="none" w:sz="0" w:space="0" w:color="auto"/>
                                                    <w:bottom w:val="none" w:sz="0" w:space="0" w:color="auto"/>
                                                    <w:right w:val="none" w:sz="0" w:space="0" w:color="auto"/>
                                                  </w:divBdr>
                                                  <w:divsChild>
                                                    <w:div w:id="651759836">
                                                      <w:marLeft w:val="0"/>
                                                      <w:marRight w:val="0"/>
                                                      <w:marTop w:val="0"/>
                                                      <w:marBottom w:val="0"/>
                                                      <w:divBdr>
                                                        <w:top w:val="none" w:sz="0" w:space="0" w:color="auto"/>
                                                        <w:left w:val="none" w:sz="0" w:space="0" w:color="auto"/>
                                                        <w:bottom w:val="none" w:sz="0" w:space="0" w:color="auto"/>
                                                        <w:right w:val="none" w:sz="0" w:space="0" w:color="auto"/>
                                                      </w:divBdr>
                                                    </w:div>
                                                  </w:divsChild>
                                                </w:div>
                                                <w:div w:id="1377126762">
                                                  <w:marLeft w:val="4"/>
                                                  <w:marRight w:val="0"/>
                                                  <w:marTop w:val="0"/>
                                                  <w:marBottom w:val="0"/>
                                                  <w:divBdr>
                                                    <w:top w:val="none" w:sz="0" w:space="0" w:color="auto"/>
                                                    <w:left w:val="none" w:sz="0" w:space="0" w:color="auto"/>
                                                    <w:bottom w:val="none" w:sz="0" w:space="0" w:color="auto"/>
                                                    <w:right w:val="none" w:sz="0" w:space="0" w:color="auto"/>
                                                  </w:divBdr>
                                                  <w:divsChild>
                                                    <w:div w:id="210926032">
                                                      <w:marLeft w:val="4"/>
                                                      <w:marRight w:val="0"/>
                                                      <w:marTop w:val="0"/>
                                                      <w:marBottom w:val="0"/>
                                                      <w:divBdr>
                                                        <w:top w:val="none" w:sz="0" w:space="0" w:color="auto"/>
                                                        <w:left w:val="none" w:sz="0" w:space="0" w:color="auto"/>
                                                        <w:bottom w:val="none" w:sz="0" w:space="0" w:color="auto"/>
                                                        <w:right w:val="none" w:sz="0" w:space="0" w:color="auto"/>
                                                      </w:divBdr>
                                                    </w:div>
                                                    <w:div w:id="944073224">
                                                      <w:marLeft w:val="4"/>
                                                      <w:marRight w:val="0"/>
                                                      <w:marTop w:val="0"/>
                                                      <w:marBottom w:val="0"/>
                                                      <w:divBdr>
                                                        <w:top w:val="none" w:sz="0" w:space="0" w:color="auto"/>
                                                        <w:left w:val="none" w:sz="0" w:space="0" w:color="auto"/>
                                                        <w:bottom w:val="none" w:sz="0" w:space="0" w:color="auto"/>
                                                        <w:right w:val="none" w:sz="0" w:space="0" w:color="auto"/>
                                                      </w:divBdr>
                                                      <w:divsChild>
                                                        <w:div w:id="895555060">
                                                          <w:marLeft w:val="4"/>
                                                          <w:marRight w:val="0"/>
                                                          <w:marTop w:val="0"/>
                                                          <w:marBottom w:val="0"/>
                                                          <w:divBdr>
                                                            <w:top w:val="none" w:sz="0" w:space="0" w:color="auto"/>
                                                            <w:left w:val="none" w:sz="0" w:space="0" w:color="auto"/>
                                                            <w:bottom w:val="none" w:sz="0" w:space="0" w:color="auto"/>
                                                            <w:right w:val="none" w:sz="0" w:space="0" w:color="auto"/>
                                                          </w:divBdr>
                                                        </w:div>
                                                        <w:div w:id="1535994111">
                                                          <w:marLeft w:val="4"/>
                                                          <w:marRight w:val="0"/>
                                                          <w:marTop w:val="0"/>
                                                          <w:marBottom w:val="0"/>
                                                          <w:divBdr>
                                                            <w:top w:val="none" w:sz="0" w:space="0" w:color="auto"/>
                                                            <w:left w:val="none" w:sz="0" w:space="0" w:color="auto"/>
                                                            <w:bottom w:val="none" w:sz="0" w:space="0" w:color="auto"/>
                                                            <w:right w:val="none" w:sz="0" w:space="0" w:color="auto"/>
                                                          </w:divBdr>
                                                        </w:div>
                                                      </w:divsChild>
                                                    </w:div>
                                                    <w:div w:id="1083721058">
                                                      <w:marLeft w:val="4"/>
                                                      <w:marRight w:val="0"/>
                                                      <w:marTop w:val="0"/>
                                                      <w:marBottom w:val="0"/>
                                                      <w:divBdr>
                                                        <w:top w:val="none" w:sz="0" w:space="0" w:color="auto"/>
                                                        <w:left w:val="none" w:sz="0" w:space="0" w:color="auto"/>
                                                        <w:bottom w:val="none" w:sz="0" w:space="0" w:color="auto"/>
                                                        <w:right w:val="none" w:sz="0" w:space="0" w:color="auto"/>
                                                      </w:divBdr>
                                                    </w:div>
                                                    <w:div w:id="1102841555">
                                                      <w:marLeft w:val="4"/>
                                                      <w:marRight w:val="0"/>
                                                      <w:marTop w:val="0"/>
                                                      <w:marBottom w:val="0"/>
                                                      <w:divBdr>
                                                        <w:top w:val="none" w:sz="0" w:space="0" w:color="auto"/>
                                                        <w:left w:val="none" w:sz="0" w:space="0" w:color="auto"/>
                                                        <w:bottom w:val="none" w:sz="0" w:space="0" w:color="auto"/>
                                                        <w:right w:val="none" w:sz="0" w:space="0" w:color="auto"/>
                                                      </w:divBdr>
                                                    </w:div>
                                                    <w:div w:id="1106003831">
                                                      <w:marLeft w:val="4"/>
                                                      <w:marRight w:val="0"/>
                                                      <w:marTop w:val="0"/>
                                                      <w:marBottom w:val="0"/>
                                                      <w:divBdr>
                                                        <w:top w:val="none" w:sz="0" w:space="0" w:color="auto"/>
                                                        <w:left w:val="none" w:sz="0" w:space="0" w:color="auto"/>
                                                        <w:bottom w:val="none" w:sz="0" w:space="0" w:color="auto"/>
                                                        <w:right w:val="none" w:sz="0" w:space="0" w:color="auto"/>
                                                      </w:divBdr>
                                                    </w:div>
                                                    <w:div w:id="1124932612">
                                                      <w:marLeft w:val="4"/>
                                                      <w:marRight w:val="0"/>
                                                      <w:marTop w:val="0"/>
                                                      <w:marBottom w:val="0"/>
                                                      <w:divBdr>
                                                        <w:top w:val="none" w:sz="0" w:space="0" w:color="auto"/>
                                                        <w:left w:val="none" w:sz="0" w:space="0" w:color="auto"/>
                                                        <w:bottom w:val="none" w:sz="0" w:space="0" w:color="auto"/>
                                                        <w:right w:val="none" w:sz="0" w:space="0" w:color="auto"/>
                                                      </w:divBdr>
                                                    </w:div>
                                                    <w:div w:id="1186947537">
                                                      <w:marLeft w:val="4"/>
                                                      <w:marRight w:val="0"/>
                                                      <w:marTop w:val="0"/>
                                                      <w:marBottom w:val="0"/>
                                                      <w:divBdr>
                                                        <w:top w:val="none" w:sz="0" w:space="0" w:color="auto"/>
                                                        <w:left w:val="none" w:sz="0" w:space="0" w:color="auto"/>
                                                        <w:bottom w:val="none" w:sz="0" w:space="0" w:color="auto"/>
                                                        <w:right w:val="none" w:sz="0" w:space="0" w:color="auto"/>
                                                      </w:divBdr>
                                                    </w:div>
                                                    <w:div w:id="1316564903">
                                                      <w:marLeft w:val="4"/>
                                                      <w:marRight w:val="0"/>
                                                      <w:marTop w:val="0"/>
                                                      <w:marBottom w:val="0"/>
                                                      <w:divBdr>
                                                        <w:top w:val="none" w:sz="0" w:space="0" w:color="auto"/>
                                                        <w:left w:val="none" w:sz="0" w:space="0" w:color="auto"/>
                                                        <w:bottom w:val="none" w:sz="0" w:space="0" w:color="auto"/>
                                                        <w:right w:val="none" w:sz="0" w:space="0" w:color="auto"/>
                                                      </w:divBdr>
                                                    </w:div>
                                                    <w:div w:id="1543319727">
                                                      <w:marLeft w:val="4"/>
                                                      <w:marRight w:val="0"/>
                                                      <w:marTop w:val="0"/>
                                                      <w:marBottom w:val="0"/>
                                                      <w:divBdr>
                                                        <w:top w:val="none" w:sz="0" w:space="0" w:color="auto"/>
                                                        <w:left w:val="none" w:sz="0" w:space="0" w:color="auto"/>
                                                        <w:bottom w:val="none" w:sz="0" w:space="0" w:color="auto"/>
                                                        <w:right w:val="none" w:sz="0" w:space="0" w:color="auto"/>
                                                      </w:divBdr>
                                                    </w:div>
                                                    <w:div w:id="1572691680">
                                                      <w:marLeft w:val="4"/>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79960463">
      <w:bodyDiv w:val="1"/>
      <w:marLeft w:val="0"/>
      <w:marRight w:val="0"/>
      <w:marTop w:val="0"/>
      <w:marBottom w:val="0"/>
      <w:divBdr>
        <w:top w:val="none" w:sz="0" w:space="0" w:color="auto"/>
        <w:left w:val="none" w:sz="0" w:space="0" w:color="auto"/>
        <w:bottom w:val="none" w:sz="0" w:space="0" w:color="auto"/>
        <w:right w:val="none" w:sz="0" w:space="0" w:color="auto"/>
      </w:divBdr>
      <w:divsChild>
        <w:div w:id="1465350181">
          <w:marLeft w:val="0"/>
          <w:marRight w:val="0"/>
          <w:marTop w:val="0"/>
          <w:marBottom w:val="0"/>
          <w:divBdr>
            <w:top w:val="none" w:sz="0" w:space="0" w:color="auto"/>
            <w:left w:val="none" w:sz="0" w:space="0" w:color="auto"/>
            <w:bottom w:val="none" w:sz="0" w:space="0" w:color="auto"/>
            <w:right w:val="none" w:sz="0" w:space="0" w:color="auto"/>
          </w:divBdr>
          <w:divsChild>
            <w:div w:id="1029725443">
              <w:marLeft w:val="0"/>
              <w:marRight w:val="75"/>
              <w:marTop w:val="0"/>
              <w:marBottom w:val="0"/>
              <w:divBdr>
                <w:top w:val="none" w:sz="0" w:space="0" w:color="auto"/>
                <w:left w:val="none" w:sz="0" w:space="0" w:color="auto"/>
                <w:bottom w:val="none" w:sz="0" w:space="0" w:color="auto"/>
                <w:right w:val="none" w:sz="0" w:space="0" w:color="auto"/>
              </w:divBdr>
              <w:divsChild>
                <w:div w:id="121778097">
                  <w:marLeft w:val="0"/>
                  <w:marRight w:val="0"/>
                  <w:marTop w:val="0"/>
                  <w:marBottom w:val="0"/>
                  <w:divBdr>
                    <w:top w:val="none" w:sz="0" w:space="0" w:color="auto"/>
                    <w:left w:val="none" w:sz="0" w:space="0" w:color="auto"/>
                    <w:bottom w:val="none" w:sz="0" w:space="0" w:color="auto"/>
                    <w:right w:val="none" w:sz="0" w:space="0" w:color="auto"/>
                  </w:divBdr>
                  <w:divsChild>
                    <w:div w:id="1365400192">
                      <w:marLeft w:val="0"/>
                      <w:marRight w:val="0"/>
                      <w:marTop w:val="225"/>
                      <w:marBottom w:val="225"/>
                      <w:divBdr>
                        <w:top w:val="none" w:sz="0" w:space="0" w:color="auto"/>
                        <w:left w:val="none" w:sz="0" w:space="0" w:color="auto"/>
                        <w:bottom w:val="none" w:sz="0" w:space="0" w:color="auto"/>
                        <w:right w:val="none" w:sz="0" w:space="0" w:color="auto"/>
                      </w:divBdr>
                      <w:divsChild>
                        <w:div w:id="1261570081">
                          <w:marLeft w:val="0"/>
                          <w:marRight w:val="150"/>
                          <w:marTop w:val="0"/>
                          <w:marBottom w:val="0"/>
                          <w:divBdr>
                            <w:top w:val="none" w:sz="0" w:space="0" w:color="auto"/>
                            <w:left w:val="none" w:sz="0" w:space="0" w:color="auto"/>
                            <w:bottom w:val="none" w:sz="0" w:space="0" w:color="auto"/>
                            <w:right w:val="none" w:sz="0" w:space="0" w:color="auto"/>
                          </w:divBdr>
                          <w:divsChild>
                            <w:div w:id="129494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0651904">
      <w:bodyDiv w:val="1"/>
      <w:marLeft w:val="0"/>
      <w:marRight w:val="0"/>
      <w:marTop w:val="0"/>
      <w:marBottom w:val="0"/>
      <w:divBdr>
        <w:top w:val="none" w:sz="0" w:space="0" w:color="auto"/>
        <w:left w:val="none" w:sz="0" w:space="0" w:color="auto"/>
        <w:bottom w:val="none" w:sz="0" w:space="0" w:color="auto"/>
        <w:right w:val="none" w:sz="0" w:space="0" w:color="auto"/>
      </w:divBdr>
    </w:div>
    <w:div w:id="1500929617">
      <w:bodyDiv w:val="1"/>
      <w:marLeft w:val="0"/>
      <w:marRight w:val="0"/>
      <w:marTop w:val="0"/>
      <w:marBottom w:val="0"/>
      <w:divBdr>
        <w:top w:val="none" w:sz="0" w:space="0" w:color="auto"/>
        <w:left w:val="none" w:sz="0" w:space="0" w:color="auto"/>
        <w:bottom w:val="none" w:sz="0" w:space="0" w:color="auto"/>
        <w:right w:val="none" w:sz="0" w:space="0" w:color="auto"/>
      </w:divBdr>
    </w:div>
    <w:div w:id="1508713348">
      <w:bodyDiv w:val="1"/>
      <w:marLeft w:val="0"/>
      <w:marRight w:val="0"/>
      <w:marTop w:val="0"/>
      <w:marBottom w:val="0"/>
      <w:divBdr>
        <w:top w:val="none" w:sz="0" w:space="0" w:color="auto"/>
        <w:left w:val="none" w:sz="0" w:space="0" w:color="auto"/>
        <w:bottom w:val="none" w:sz="0" w:space="0" w:color="auto"/>
        <w:right w:val="none" w:sz="0" w:space="0" w:color="auto"/>
      </w:divBdr>
    </w:div>
    <w:div w:id="1514955300">
      <w:bodyDiv w:val="1"/>
      <w:marLeft w:val="0"/>
      <w:marRight w:val="0"/>
      <w:marTop w:val="0"/>
      <w:marBottom w:val="0"/>
      <w:divBdr>
        <w:top w:val="none" w:sz="0" w:space="0" w:color="auto"/>
        <w:left w:val="none" w:sz="0" w:space="0" w:color="auto"/>
        <w:bottom w:val="none" w:sz="0" w:space="0" w:color="auto"/>
        <w:right w:val="none" w:sz="0" w:space="0" w:color="auto"/>
      </w:divBdr>
      <w:divsChild>
        <w:div w:id="1820610481">
          <w:marLeft w:val="0"/>
          <w:marRight w:val="0"/>
          <w:marTop w:val="0"/>
          <w:marBottom w:val="0"/>
          <w:divBdr>
            <w:top w:val="none" w:sz="0" w:space="0" w:color="auto"/>
            <w:left w:val="none" w:sz="0" w:space="0" w:color="auto"/>
            <w:bottom w:val="none" w:sz="0" w:space="0" w:color="auto"/>
            <w:right w:val="none" w:sz="0" w:space="0" w:color="auto"/>
          </w:divBdr>
          <w:divsChild>
            <w:div w:id="1680425918">
              <w:marLeft w:val="0"/>
              <w:marRight w:val="0"/>
              <w:marTop w:val="0"/>
              <w:marBottom w:val="0"/>
              <w:divBdr>
                <w:top w:val="none" w:sz="0" w:space="0" w:color="auto"/>
                <w:left w:val="none" w:sz="0" w:space="0" w:color="auto"/>
                <w:bottom w:val="none" w:sz="0" w:space="0" w:color="auto"/>
                <w:right w:val="none" w:sz="0" w:space="0" w:color="auto"/>
              </w:divBdr>
              <w:divsChild>
                <w:div w:id="799227601">
                  <w:marLeft w:val="0"/>
                  <w:marRight w:val="0"/>
                  <w:marTop w:val="0"/>
                  <w:marBottom w:val="0"/>
                  <w:divBdr>
                    <w:top w:val="none" w:sz="0" w:space="0" w:color="auto"/>
                    <w:left w:val="none" w:sz="0" w:space="0" w:color="auto"/>
                    <w:bottom w:val="none" w:sz="0" w:space="0" w:color="auto"/>
                    <w:right w:val="none" w:sz="0" w:space="0" w:color="auto"/>
                  </w:divBdr>
                  <w:divsChild>
                    <w:div w:id="272785266">
                      <w:marLeft w:val="0"/>
                      <w:marRight w:val="0"/>
                      <w:marTop w:val="75"/>
                      <w:marBottom w:val="75"/>
                      <w:divBdr>
                        <w:top w:val="none" w:sz="0" w:space="0" w:color="auto"/>
                        <w:left w:val="none" w:sz="0" w:space="0" w:color="auto"/>
                        <w:bottom w:val="none" w:sz="0" w:space="0" w:color="auto"/>
                        <w:right w:val="none" w:sz="0" w:space="0" w:color="auto"/>
                      </w:divBdr>
                      <w:divsChild>
                        <w:div w:id="1168790227">
                          <w:marLeft w:val="0"/>
                          <w:marRight w:val="0"/>
                          <w:marTop w:val="0"/>
                          <w:marBottom w:val="0"/>
                          <w:divBdr>
                            <w:top w:val="none" w:sz="0" w:space="0" w:color="auto"/>
                            <w:left w:val="none" w:sz="0" w:space="0" w:color="auto"/>
                            <w:bottom w:val="none" w:sz="0" w:space="0" w:color="auto"/>
                            <w:right w:val="none" w:sz="0" w:space="0" w:color="auto"/>
                          </w:divBdr>
                          <w:divsChild>
                            <w:div w:id="468669951">
                              <w:marLeft w:val="0"/>
                              <w:marRight w:val="300"/>
                              <w:marTop w:val="0"/>
                              <w:marBottom w:val="0"/>
                              <w:divBdr>
                                <w:top w:val="none" w:sz="0" w:space="0" w:color="auto"/>
                                <w:left w:val="none" w:sz="0" w:space="0" w:color="auto"/>
                                <w:bottom w:val="none" w:sz="0" w:space="0" w:color="auto"/>
                                <w:right w:val="none" w:sz="0" w:space="0" w:color="auto"/>
                              </w:divBdr>
                              <w:divsChild>
                                <w:div w:id="287468952">
                                  <w:marLeft w:val="0"/>
                                  <w:marRight w:val="0"/>
                                  <w:marTop w:val="0"/>
                                  <w:marBottom w:val="0"/>
                                  <w:divBdr>
                                    <w:top w:val="none" w:sz="0" w:space="0" w:color="auto"/>
                                    <w:left w:val="none" w:sz="0" w:space="0" w:color="auto"/>
                                    <w:bottom w:val="none" w:sz="0" w:space="0" w:color="auto"/>
                                    <w:right w:val="none" w:sz="0" w:space="0" w:color="auto"/>
                                  </w:divBdr>
                                  <w:divsChild>
                                    <w:div w:id="1612857779">
                                      <w:marLeft w:val="0"/>
                                      <w:marRight w:val="0"/>
                                      <w:marTop w:val="0"/>
                                      <w:marBottom w:val="0"/>
                                      <w:divBdr>
                                        <w:top w:val="none" w:sz="0" w:space="0" w:color="auto"/>
                                        <w:left w:val="none" w:sz="0" w:space="0" w:color="auto"/>
                                        <w:bottom w:val="none" w:sz="0" w:space="0" w:color="auto"/>
                                        <w:right w:val="none" w:sz="0" w:space="0" w:color="auto"/>
                                      </w:divBdr>
                                      <w:divsChild>
                                        <w:div w:id="1591810092">
                                          <w:marLeft w:val="0"/>
                                          <w:marRight w:val="0"/>
                                          <w:marTop w:val="0"/>
                                          <w:marBottom w:val="0"/>
                                          <w:divBdr>
                                            <w:top w:val="none" w:sz="0" w:space="0" w:color="auto"/>
                                            <w:left w:val="none" w:sz="0" w:space="0" w:color="auto"/>
                                            <w:bottom w:val="none" w:sz="0" w:space="0" w:color="auto"/>
                                            <w:right w:val="none" w:sz="0" w:space="0" w:color="auto"/>
                                          </w:divBdr>
                                          <w:divsChild>
                                            <w:div w:id="991103763">
                                              <w:marLeft w:val="0"/>
                                              <w:marRight w:val="0"/>
                                              <w:marTop w:val="0"/>
                                              <w:marBottom w:val="0"/>
                                              <w:divBdr>
                                                <w:top w:val="none" w:sz="0" w:space="0" w:color="auto"/>
                                                <w:left w:val="none" w:sz="0" w:space="0" w:color="auto"/>
                                                <w:bottom w:val="none" w:sz="0" w:space="0" w:color="auto"/>
                                                <w:right w:val="none" w:sz="0" w:space="0" w:color="auto"/>
                                              </w:divBdr>
                                              <w:divsChild>
                                                <w:div w:id="1020428035">
                                                  <w:marLeft w:val="4"/>
                                                  <w:marRight w:val="0"/>
                                                  <w:marTop w:val="0"/>
                                                  <w:marBottom w:val="0"/>
                                                  <w:divBdr>
                                                    <w:top w:val="none" w:sz="0" w:space="0" w:color="auto"/>
                                                    <w:left w:val="none" w:sz="0" w:space="0" w:color="auto"/>
                                                    <w:bottom w:val="none" w:sz="0" w:space="0" w:color="auto"/>
                                                    <w:right w:val="none" w:sz="0" w:space="0" w:color="auto"/>
                                                  </w:divBdr>
                                                  <w:divsChild>
                                                    <w:div w:id="13221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5342112">
      <w:bodyDiv w:val="1"/>
      <w:marLeft w:val="0"/>
      <w:marRight w:val="0"/>
      <w:marTop w:val="0"/>
      <w:marBottom w:val="0"/>
      <w:divBdr>
        <w:top w:val="none" w:sz="0" w:space="0" w:color="auto"/>
        <w:left w:val="none" w:sz="0" w:space="0" w:color="auto"/>
        <w:bottom w:val="none" w:sz="0" w:space="0" w:color="auto"/>
        <w:right w:val="none" w:sz="0" w:space="0" w:color="auto"/>
      </w:divBdr>
      <w:divsChild>
        <w:div w:id="439423545">
          <w:marLeft w:val="0"/>
          <w:marRight w:val="0"/>
          <w:marTop w:val="0"/>
          <w:marBottom w:val="0"/>
          <w:divBdr>
            <w:top w:val="none" w:sz="0" w:space="0" w:color="auto"/>
            <w:left w:val="none" w:sz="0" w:space="0" w:color="auto"/>
            <w:bottom w:val="none" w:sz="0" w:space="0" w:color="auto"/>
            <w:right w:val="none" w:sz="0" w:space="0" w:color="auto"/>
          </w:divBdr>
        </w:div>
        <w:div w:id="659768350">
          <w:marLeft w:val="0"/>
          <w:marRight w:val="0"/>
          <w:marTop w:val="0"/>
          <w:marBottom w:val="0"/>
          <w:divBdr>
            <w:top w:val="none" w:sz="0" w:space="0" w:color="auto"/>
            <w:left w:val="none" w:sz="0" w:space="0" w:color="auto"/>
            <w:bottom w:val="none" w:sz="0" w:space="0" w:color="auto"/>
            <w:right w:val="none" w:sz="0" w:space="0" w:color="auto"/>
          </w:divBdr>
        </w:div>
        <w:div w:id="816188771">
          <w:marLeft w:val="0"/>
          <w:marRight w:val="0"/>
          <w:marTop w:val="0"/>
          <w:marBottom w:val="0"/>
          <w:divBdr>
            <w:top w:val="none" w:sz="0" w:space="0" w:color="auto"/>
            <w:left w:val="none" w:sz="0" w:space="0" w:color="auto"/>
            <w:bottom w:val="none" w:sz="0" w:space="0" w:color="auto"/>
            <w:right w:val="none" w:sz="0" w:space="0" w:color="auto"/>
          </w:divBdr>
        </w:div>
        <w:div w:id="971793749">
          <w:marLeft w:val="0"/>
          <w:marRight w:val="0"/>
          <w:marTop w:val="0"/>
          <w:marBottom w:val="0"/>
          <w:divBdr>
            <w:top w:val="none" w:sz="0" w:space="0" w:color="auto"/>
            <w:left w:val="none" w:sz="0" w:space="0" w:color="auto"/>
            <w:bottom w:val="none" w:sz="0" w:space="0" w:color="auto"/>
            <w:right w:val="none" w:sz="0" w:space="0" w:color="auto"/>
          </w:divBdr>
          <w:divsChild>
            <w:div w:id="983856678">
              <w:marLeft w:val="0"/>
              <w:marRight w:val="0"/>
              <w:marTop w:val="0"/>
              <w:marBottom w:val="0"/>
              <w:divBdr>
                <w:top w:val="none" w:sz="0" w:space="0" w:color="auto"/>
                <w:left w:val="none" w:sz="0" w:space="0" w:color="auto"/>
                <w:bottom w:val="none" w:sz="0" w:space="0" w:color="auto"/>
                <w:right w:val="none" w:sz="0" w:space="0" w:color="auto"/>
              </w:divBdr>
            </w:div>
            <w:div w:id="200619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455882">
      <w:bodyDiv w:val="1"/>
      <w:marLeft w:val="0"/>
      <w:marRight w:val="0"/>
      <w:marTop w:val="0"/>
      <w:marBottom w:val="0"/>
      <w:divBdr>
        <w:top w:val="none" w:sz="0" w:space="0" w:color="auto"/>
        <w:left w:val="none" w:sz="0" w:space="0" w:color="auto"/>
        <w:bottom w:val="none" w:sz="0" w:space="0" w:color="auto"/>
        <w:right w:val="none" w:sz="0" w:space="0" w:color="auto"/>
      </w:divBdr>
    </w:div>
    <w:div w:id="1522471881">
      <w:bodyDiv w:val="1"/>
      <w:marLeft w:val="0"/>
      <w:marRight w:val="0"/>
      <w:marTop w:val="0"/>
      <w:marBottom w:val="0"/>
      <w:divBdr>
        <w:top w:val="none" w:sz="0" w:space="0" w:color="auto"/>
        <w:left w:val="none" w:sz="0" w:space="0" w:color="auto"/>
        <w:bottom w:val="none" w:sz="0" w:space="0" w:color="auto"/>
        <w:right w:val="none" w:sz="0" w:space="0" w:color="auto"/>
      </w:divBdr>
    </w:div>
    <w:div w:id="1527258597">
      <w:bodyDiv w:val="1"/>
      <w:marLeft w:val="0"/>
      <w:marRight w:val="0"/>
      <w:marTop w:val="0"/>
      <w:marBottom w:val="0"/>
      <w:divBdr>
        <w:top w:val="none" w:sz="0" w:space="0" w:color="auto"/>
        <w:left w:val="none" w:sz="0" w:space="0" w:color="auto"/>
        <w:bottom w:val="none" w:sz="0" w:space="0" w:color="auto"/>
        <w:right w:val="none" w:sz="0" w:space="0" w:color="auto"/>
      </w:divBdr>
    </w:div>
    <w:div w:id="1527409317">
      <w:bodyDiv w:val="1"/>
      <w:marLeft w:val="0"/>
      <w:marRight w:val="0"/>
      <w:marTop w:val="0"/>
      <w:marBottom w:val="0"/>
      <w:divBdr>
        <w:top w:val="none" w:sz="0" w:space="0" w:color="auto"/>
        <w:left w:val="none" w:sz="0" w:space="0" w:color="auto"/>
        <w:bottom w:val="none" w:sz="0" w:space="0" w:color="auto"/>
        <w:right w:val="none" w:sz="0" w:space="0" w:color="auto"/>
      </w:divBdr>
      <w:divsChild>
        <w:div w:id="1189946319">
          <w:marLeft w:val="0"/>
          <w:marRight w:val="0"/>
          <w:marTop w:val="0"/>
          <w:marBottom w:val="0"/>
          <w:divBdr>
            <w:top w:val="none" w:sz="0" w:space="0" w:color="auto"/>
            <w:left w:val="none" w:sz="0" w:space="0" w:color="auto"/>
            <w:bottom w:val="none" w:sz="0" w:space="0" w:color="auto"/>
            <w:right w:val="none" w:sz="0" w:space="0" w:color="auto"/>
          </w:divBdr>
          <w:divsChild>
            <w:div w:id="264728899">
              <w:marLeft w:val="0"/>
              <w:marRight w:val="0"/>
              <w:marTop w:val="0"/>
              <w:marBottom w:val="0"/>
              <w:divBdr>
                <w:top w:val="none" w:sz="0" w:space="0" w:color="auto"/>
                <w:left w:val="none" w:sz="0" w:space="0" w:color="auto"/>
                <w:bottom w:val="none" w:sz="0" w:space="0" w:color="auto"/>
                <w:right w:val="none" w:sz="0" w:space="0" w:color="auto"/>
              </w:divBdr>
              <w:divsChild>
                <w:div w:id="189732132">
                  <w:marLeft w:val="0"/>
                  <w:marRight w:val="0"/>
                  <w:marTop w:val="0"/>
                  <w:marBottom w:val="0"/>
                  <w:divBdr>
                    <w:top w:val="none" w:sz="0" w:space="0" w:color="auto"/>
                    <w:left w:val="none" w:sz="0" w:space="0" w:color="auto"/>
                    <w:bottom w:val="none" w:sz="0" w:space="0" w:color="auto"/>
                    <w:right w:val="none" w:sz="0" w:space="0" w:color="auto"/>
                  </w:divBdr>
                  <w:divsChild>
                    <w:div w:id="50108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756259">
      <w:bodyDiv w:val="1"/>
      <w:marLeft w:val="0"/>
      <w:marRight w:val="0"/>
      <w:marTop w:val="0"/>
      <w:marBottom w:val="0"/>
      <w:divBdr>
        <w:top w:val="none" w:sz="0" w:space="0" w:color="auto"/>
        <w:left w:val="none" w:sz="0" w:space="0" w:color="auto"/>
        <w:bottom w:val="none" w:sz="0" w:space="0" w:color="auto"/>
        <w:right w:val="none" w:sz="0" w:space="0" w:color="auto"/>
      </w:divBdr>
      <w:divsChild>
        <w:div w:id="1923758997">
          <w:marLeft w:val="0"/>
          <w:marRight w:val="0"/>
          <w:marTop w:val="0"/>
          <w:marBottom w:val="0"/>
          <w:divBdr>
            <w:top w:val="none" w:sz="0" w:space="0" w:color="auto"/>
            <w:left w:val="none" w:sz="0" w:space="0" w:color="auto"/>
            <w:bottom w:val="none" w:sz="0" w:space="0" w:color="auto"/>
            <w:right w:val="none" w:sz="0" w:space="0" w:color="auto"/>
          </w:divBdr>
          <w:divsChild>
            <w:div w:id="1730575508">
              <w:marLeft w:val="0"/>
              <w:marRight w:val="0"/>
              <w:marTop w:val="0"/>
              <w:marBottom w:val="0"/>
              <w:divBdr>
                <w:top w:val="none" w:sz="0" w:space="0" w:color="auto"/>
                <w:left w:val="none" w:sz="0" w:space="0" w:color="auto"/>
                <w:bottom w:val="none" w:sz="0" w:space="0" w:color="auto"/>
                <w:right w:val="none" w:sz="0" w:space="0" w:color="auto"/>
              </w:divBdr>
              <w:divsChild>
                <w:div w:id="1749571589">
                  <w:marLeft w:val="0"/>
                  <w:marRight w:val="0"/>
                  <w:marTop w:val="0"/>
                  <w:marBottom w:val="0"/>
                  <w:divBdr>
                    <w:top w:val="none" w:sz="0" w:space="0" w:color="auto"/>
                    <w:left w:val="none" w:sz="0" w:space="0" w:color="auto"/>
                    <w:bottom w:val="none" w:sz="0" w:space="0" w:color="auto"/>
                    <w:right w:val="none" w:sz="0" w:space="0" w:color="auto"/>
                  </w:divBdr>
                  <w:divsChild>
                    <w:div w:id="1416123577">
                      <w:marLeft w:val="0"/>
                      <w:marRight w:val="0"/>
                      <w:marTop w:val="0"/>
                      <w:marBottom w:val="0"/>
                      <w:divBdr>
                        <w:top w:val="none" w:sz="0" w:space="0" w:color="auto"/>
                        <w:left w:val="none" w:sz="0" w:space="0" w:color="auto"/>
                        <w:bottom w:val="none" w:sz="0" w:space="0" w:color="auto"/>
                        <w:right w:val="none" w:sz="0" w:space="0" w:color="auto"/>
                      </w:divBdr>
                      <w:divsChild>
                        <w:div w:id="861826228">
                          <w:marLeft w:val="0"/>
                          <w:marRight w:val="0"/>
                          <w:marTop w:val="0"/>
                          <w:marBottom w:val="0"/>
                          <w:divBdr>
                            <w:top w:val="none" w:sz="0" w:space="0" w:color="auto"/>
                            <w:left w:val="none" w:sz="0" w:space="0" w:color="auto"/>
                            <w:bottom w:val="none" w:sz="0" w:space="0" w:color="auto"/>
                            <w:right w:val="none" w:sz="0" w:space="0" w:color="auto"/>
                          </w:divBdr>
                          <w:divsChild>
                            <w:div w:id="1680112056">
                              <w:marLeft w:val="0"/>
                              <w:marRight w:val="0"/>
                              <w:marTop w:val="0"/>
                              <w:marBottom w:val="0"/>
                              <w:divBdr>
                                <w:top w:val="none" w:sz="0" w:space="0" w:color="auto"/>
                                <w:left w:val="none" w:sz="0" w:space="0" w:color="auto"/>
                                <w:bottom w:val="none" w:sz="0" w:space="0" w:color="auto"/>
                                <w:right w:val="none" w:sz="0" w:space="0" w:color="auto"/>
                              </w:divBdr>
                              <w:divsChild>
                                <w:div w:id="1443841592">
                                  <w:marLeft w:val="0"/>
                                  <w:marRight w:val="0"/>
                                  <w:marTop w:val="0"/>
                                  <w:marBottom w:val="0"/>
                                  <w:divBdr>
                                    <w:top w:val="none" w:sz="0" w:space="0" w:color="auto"/>
                                    <w:left w:val="none" w:sz="0" w:space="0" w:color="auto"/>
                                    <w:bottom w:val="none" w:sz="0" w:space="0" w:color="auto"/>
                                    <w:right w:val="none" w:sz="0" w:space="0" w:color="auto"/>
                                  </w:divBdr>
                                  <w:divsChild>
                                    <w:div w:id="1196846740">
                                      <w:marLeft w:val="0"/>
                                      <w:marRight w:val="0"/>
                                      <w:marTop w:val="0"/>
                                      <w:marBottom w:val="0"/>
                                      <w:divBdr>
                                        <w:top w:val="none" w:sz="0" w:space="0" w:color="auto"/>
                                        <w:left w:val="none" w:sz="0" w:space="0" w:color="auto"/>
                                        <w:bottom w:val="none" w:sz="0" w:space="0" w:color="auto"/>
                                        <w:right w:val="none" w:sz="0" w:space="0" w:color="auto"/>
                                      </w:divBdr>
                                      <w:divsChild>
                                        <w:div w:id="156649802">
                                          <w:marLeft w:val="0"/>
                                          <w:marRight w:val="0"/>
                                          <w:marTop w:val="0"/>
                                          <w:marBottom w:val="0"/>
                                          <w:divBdr>
                                            <w:top w:val="none" w:sz="0" w:space="0" w:color="auto"/>
                                            <w:left w:val="none" w:sz="0" w:space="0" w:color="auto"/>
                                            <w:bottom w:val="none" w:sz="0" w:space="0" w:color="auto"/>
                                            <w:right w:val="none" w:sz="0" w:space="0" w:color="auto"/>
                                          </w:divBdr>
                                          <w:divsChild>
                                            <w:div w:id="98332603">
                                              <w:marLeft w:val="0"/>
                                              <w:marRight w:val="0"/>
                                              <w:marTop w:val="0"/>
                                              <w:marBottom w:val="0"/>
                                              <w:divBdr>
                                                <w:top w:val="none" w:sz="0" w:space="0" w:color="auto"/>
                                                <w:left w:val="none" w:sz="0" w:space="0" w:color="auto"/>
                                                <w:bottom w:val="none" w:sz="0" w:space="0" w:color="auto"/>
                                                <w:right w:val="none" w:sz="0" w:space="0" w:color="auto"/>
                                              </w:divBdr>
                                              <w:divsChild>
                                                <w:div w:id="1234006274">
                                                  <w:marLeft w:val="0"/>
                                                  <w:marRight w:val="0"/>
                                                  <w:marTop w:val="0"/>
                                                  <w:marBottom w:val="0"/>
                                                  <w:divBdr>
                                                    <w:top w:val="none" w:sz="0" w:space="0" w:color="auto"/>
                                                    <w:left w:val="none" w:sz="0" w:space="0" w:color="auto"/>
                                                    <w:bottom w:val="none" w:sz="0" w:space="0" w:color="auto"/>
                                                    <w:right w:val="none" w:sz="0" w:space="0" w:color="auto"/>
                                                  </w:divBdr>
                                                  <w:divsChild>
                                                    <w:div w:id="121510058">
                                                      <w:marLeft w:val="0"/>
                                                      <w:marRight w:val="0"/>
                                                      <w:marTop w:val="0"/>
                                                      <w:marBottom w:val="0"/>
                                                      <w:divBdr>
                                                        <w:top w:val="none" w:sz="0" w:space="0" w:color="auto"/>
                                                        <w:left w:val="none" w:sz="0" w:space="0" w:color="auto"/>
                                                        <w:bottom w:val="none" w:sz="0" w:space="0" w:color="auto"/>
                                                        <w:right w:val="none" w:sz="0" w:space="0" w:color="auto"/>
                                                      </w:divBdr>
                                                      <w:divsChild>
                                                        <w:div w:id="2002082189">
                                                          <w:marLeft w:val="0"/>
                                                          <w:marRight w:val="0"/>
                                                          <w:marTop w:val="0"/>
                                                          <w:marBottom w:val="0"/>
                                                          <w:divBdr>
                                                            <w:top w:val="none" w:sz="0" w:space="0" w:color="auto"/>
                                                            <w:left w:val="none" w:sz="0" w:space="0" w:color="auto"/>
                                                            <w:bottom w:val="none" w:sz="0" w:space="0" w:color="auto"/>
                                                            <w:right w:val="none" w:sz="0" w:space="0" w:color="auto"/>
                                                          </w:divBdr>
                                                          <w:divsChild>
                                                            <w:div w:id="863978717">
                                                              <w:marLeft w:val="0"/>
                                                              <w:marRight w:val="0"/>
                                                              <w:marTop w:val="0"/>
                                                              <w:marBottom w:val="0"/>
                                                              <w:divBdr>
                                                                <w:top w:val="none" w:sz="0" w:space="0" w:color="auto"/>
                                                                <w:left w:val="none" w:sz="0" w:space="0" w:color="auto"/>
                                                                <w:bottom w:val="none" w:sz="0" w:space="0" w:color="auto"/>
                                                                <w:right w:val="none" w:sz="0" w:space="0" w:color="auto"/>
                                                              </w:divBdr>
                                                              <w:divsChild>
                                                                <w:div w:id="93673522">
                                                                  <w:marLeft w:val="0"/>
                                                                  <w:marRight w:val="0"/>
                                                                  <w:marTop w:val="0"/>
                                                                  <w:marBottom w:val="0"/>
                                                                  <w:divBdr>
                                                                    <w:top w:val="none" w:sz="0" w:space="0" w:color="auto"/>
                                                                    <w:left w:val="none" w:sz="0" w:space="0" w:color="auto"/>
                                                                    <w:bottom w:val="none" w:sz="0" w:space="0" w:color="auto"/>
                                                                    <w:right w:val="none" w:sz="0" w:space="0" w:color="auto"/>
                                                                  </w:divBdr>
                                                                </w:div>
                                                                <w:div w:id="97137687">
                                                                  <w:marLeft w:val="0"/>
                                                                  <w:marRight w:val="0"/>
                                                                  <w:marTop w:val="0"/>
                                                                  <w:marBottom w:val="0"/>
                                                                  <w:divBdr>
                                                                    <w:top w:val="none" w:sz="0" w:space="0" w:color="auto"/>
                                                                    <w:left w:val="none" w:sz="0" w:space="0" w:color="auto"/>
                                                                    <w:bottom w:val="none" w:sz="0" w:space="0" w:color="auto"/>
                                                                    <w:right w:val="none" w:sz="0" w:space="0" w:color="auto"/>
                                                                  </w:divBdr>
                                                                </w:div>
                                                                <w:div w:id="270939428">
                                                                  <w:marLeft w:val="0"/>
                                                                  <w:marRight w:val="0"/>
                                                                  <w:marTop w:val="0"/>
                                                                  <w:marBottom w:val="0"/>
                                                                  <w:divBdr>
                                                                    <w:top w:val="none" w:sz="0" w:space="0" w:color="auto"/>
                                                                    <w:left w:val="none" w:sz="0" w:space="0" w:color="auto"/>
                                                                    <w:bottom w:val="none" w:sz="0" w:space="0" w:color="auto"/>
                                                                    <w:right w:val="none" w:sz="0" w:space="0" w:color="auto"/>
                                                                  </w:divBdr>
                                                                </w:div>
                                                                <w:div w:id="285963622">
                                                                  <w:marLeft w:val="0"/>
                                                                  <w:marRight w:val="0"/>
                                                                  <w:marTop w:val="0"/>
                                                                  <w:marBottom w:val="0"/>
                                                                  <w:divBdr>
                                                                    <w:top w:val="none" w:sz="0" w:space="0" w:color="auto"/>
                                                                    <w:left w:val="none" w:sz="0" w:space="0" w:color="auto"/>
                                                                    <w:bottom w:val="none" w:sz="0" w:space="0" w:color="auto"/>
                                                                    <w:right w:val="none" w:sz="0" w:space="0" w:color="auto"/>
                                                                  </w:divBdr>
                                                                </w:div>
                                                                <w:div w:id="318578716">
                                                                  <w:marLeft w:val="0"/>
                                                                  <w:marRight w:val="0"/>
                                                                  <w:marTop w:val="0"/>
                                                                  <w:marBottom w:val="0"/>
                                                                  <w:divBdr>
                                                                    <w:top w:val="none" w:sz="0" w:space="0" w:color="auto"/>
                                                                    <w:left w:val="none" w:sz="0" w:space="0" w:color="auto"/>
                                                                    <w:bottom w:val="none" w:sz="0" w:space="0" w:color="auto"/>
                                                                    <w:right w:val="none" w:sz="0" w:space="0" w:color="auto"/>
                                                                  </w:divBdr>
                                                                </w:div>
                                                                <w:div w:id="379323182">
                                                                  <w:marLeft w:val="0"/>
                                                                  <w:marRight w:val="0"/>
                                                                  <w:marTop w:val="120"/>
                                                                  <w:marBottom w:val="120"/>
                                                                  <w:divBdr>
                                                                    <w:top w:val="none" w:sz="0" w:space="0" w:color="auto"/>
                                                                    <w:left w:val="none" w:sz="0" w:space="0" w:color="auto"/>
                                                                    <w:bottom w:val="none" w:sz="0" w:space="0" w:color="auto"/>
                                                                    <w:right w:val="none" w:sz="0" w:space="0" w:color="auto"/>
                                                                  </w:divBdr>
                                                                  <w:divsChild>
                                                                    <w:div w:id="375155119">
                                                                      <w:marLeft w:val="0"/>
                                                                      <w:marRight w:val="0"/>
                                                                      <w:marTop w:val="0"/>
                                                                      <w:marBottom w:val="0"/>
                                                                      <w:divBdr>
                                                                        <w:top w:val="none" w:sz="0" w:space="0" w:color="auto"/>
                                                                        <w:left w:val="none" w:sz="0" w:space="0" w:color="auto"/>
                                                                        <w:bottom w:val="none" w:sz="0" w:space="0" w:color="auto"/>
                                                                        <w:right w:val="none" w:sz="0" w:space="0" w:color="auto"/>
                                                                      </w:divBdr>
                                                                    </w:div>
                                                                    <w:div w:id="1141113728">
                                                                      <w:marLeft w:val="0"/>
                                                                      <w:marRight w:val="0"/>
                                                                      <w:marTop w:val="0"/>
                                                                      <w:marBottom w:val="0"/>
                                                                      <w:divBdr>
                                                                        <w:top w:val="none" w:sz="0" w:space="0" w:color="auto"/>
                                                                        <w:left w:val="none" w:sz="0" w:space="0" w:color="auto"/>
                                                                        <w:bottom w:val="none" w:sz="0" w:space="0" w:color="auto"/>
                                                                        <w:right w:val="none" w:sz="0" w:space="0" w:color="auto"/>
                                                                      </w:divBdr>
                                                                    </w:div>
                                                                    <w:div w:id="1205483374">
                                                                      <w:marLeft w:val="0"/>
                                                                      <w:marRight w:val="0"/>
                                                                      <w:marTop w:val="0"/>
                                                                      <w:marBottom w:val="0"/>
                                                                      <w:divBdr>
                                                                        <w:top w:val="none" w:sz="0" w:space="0" w:color="auto"/>
                                                                        <w:left w:val="none" w:sz="0" w:space="0" w:color="auto"/>
                                                                        <w:bottom w:val="none" w:sz="0" w:space="0" w:color="auto"/>
                                                                        <w:right w:val="none" w:sz="0" w:space="0" w:color="auto"/>
                                                                      </w:divBdr>
                                                                    </w:div>
                                                                  </w:divsChild>
                                                                </w:div>
                                                                <w:div w:id="391000053">
                                                                  <w:marLeft w:val="0"/>
                                                                  <w:marRight w:val="0"/>
                                                                  <w:marTop w:val="0"/>
                                                                  <w:marBottom w:val="0"/>
                                                                  <w:divBdr>
                                                                    <w:top w:val="none" w:sz="0" w:space="0" w:color="auto"/>
                                                                    <w:left w:val="none" w:sz="0" w:space="0" w:color="auto"/>
                                                                    <w:bottom w:val="none" w:sz="0" w:space="0" w:color="auto"/>
                                                                    <w:right w:val="none" w:sz="0" w:space="0" w:color="auto"/>
                                                                  </w:divBdr>
                                                                </w:div>
                                                                <w:div w:id="400833271">
                                                                  <w:marLeft w:val="0"/>
                                                                  <w:marRight w:val="0"/>
                                                                  <w:marTop w:val="0"/>
                                                                  <w:marBottom w:val="0"/>
                                                                  <w:divBdr>
                                                                    <w:top w:val="none" w:sz="0" w:space="0" w:color="auto"/>
                                                                    <w:left w:val="none" w:sz="0" w:space="0" w:color="auto"/>
                                                                    <w:bottom w:val="none" w:sz="0" w:space="0" w:color="auto"/>
                                                                    <w:right w:val="none" w:sz="0" w:space="0" w:color="auto"/>
                                                                  </w:divBdr>
                                                                </w:div>
                                                                <w:div w:id="544490566">
                                                                  <w:marLeft w:val="0"/>
                                                                  <w:marRight w:val="0"/>
                                                                  <w:marTop w:val="0"/>
                                                                  <w:marBottom w:val="0"/>
                                                                  <w:divBdr>
                                                                    <w:top w:val="none" w:sz="0" w:space="0" w:color="auto"/>
                                                                    <w:left w:val="none" w:sz="0" w:space="0" w:color="auto"/>
                                                                    <w:bottom w:val="none" w:sz="0" w:space="0" w:color="auto"/>
                                                                    <w:right w:val="none" w:sz="0" w:space="0" w:color="auto"/>
                                                                  </w:divBdr>
                                                                </w:div>
                                                                <w:div w:id="561987873">
                                                                  <w:marLeft w:val="0"/>
                                                                  <w:marRight w:val="0"/>
                                                                  <w:marTop w:val="0"/>
                                                                  <w:marBottom w:val="0"/>
                                                                  <w:divBdr>
                                                                    <w:top w:val="none" w:sz="0" w:space="0" w:color="auto"/>
                                                                    <w:left w:val="none" w:sz="0" w:space="0" w:color="auto"/>
                                                                    <w:bottom w:val="none" w:sz="0" w:space="0" w:color="auto"/>
                                                                    <w:right w:val="none" w:sz="0" w:space="0" w:color="auto"/>
                                                                  </w:divBdr>
                                                                </w:div>
                                                                <w:div w:id="584656041">
                                                                  <w:marLeft w:val="0"/>
                                                                  <w:marRight w:val="0"/>
                                                                  <w:marTop w:val="0"/>
                                                                  <w:marBottom w:val="0"/>
                                                                  <w:divBdr>
                                                                    <w:top w:val="none" w:sz="0" w:space="0" w:color="auto"/>
                                                                    <w:left w:val="none" w:sz="0" w:space="0" w:color="auto"/>
                                                                    <w:bottom w:val="none" w:sz="0" w:space="0" w:color="auto"/>
                                                                    <w:right w:val="none" w:sz="0" w:space="0" w:color="auto"/>
                                                                  </w:divBdr>
                                                                </w:div>
                                                                <w:div w:id="625966279">
                                                                  <w:marLeft w:val="0"/>
                                                                  <w:marRight w:val="0"/>
                                                                  <w:marTop w:val="0"/>
                                                                  <w:marBottom w:val="0"/>
                                                                  <w:divBdr>
                                                                    <w:top w:val="none" w:sz="0" w:space="0" w:color="auto"/>
                                                                    <w:left w:val="none" w:sz="0" w:space="0" w:color="auto"/>
                                                                    <w:bottom w:val="none" w:sz="0" w:space="0" w:color="auto"/>
                                                                    <w:right w:val="none" w:sz="0" w:space="0" w:color="auto"/>
                                                                  </w:divBdr>
                                                                </w:div>
                                                                <w:div w:id="667441753">
                                                                  <w:marLeft w:val="0"/>
                                                                  <w:marRight w:val="0"/>
                                                                  <w:marTop w:val="0"/>
                                                                  <w:marBottom w:val="0"/>
                                                                  <w:divBdr>
                                                                    <w:top w:val="none" w:sz="0" w:space="0" w:color="auto"/>
                                                                    <w:left w:val="none" w:sz="0" w:space="0" w:color="auto"/>
                                                                    <w:bottom w:val="none" w:sz="0" w:space="0" w:color="auto"/>
                                                                    <w:right w:val="none" w:sz="0" w:space="0" w:color="auto"/>
                                                                  </w:divBdr>
                                                                </w:div>
                                                                <w:div w:id="746922185">
                                                                  <w:marLeft w:val="0"/>
                                                                  <w:marRight w:val="0"/>
                                                                  <w:marTop w:val="0"/>
                                                                  <w:marBottom w:val="0"/>
                                                                  <w:divBdr>
                                                                    <w:top w:val="none" w:sz="0" w:space="0" w:color="auto"/>
                                                                    <w:left w:val="none" w:sz="0" w:space="0" w:color="auto"/>
                                                                    <w:bottom w:val="none" w:sz="0" w:space="0" w:color="auto"/>
                                                                    <w:right w:val="none" w:sz="0" w:space="0" w:color="auto"/>
                                                                  </w:divBdr>
                                                                </w:div>
                                                                <w:div w:id="789325884">
                                                                  <w:marLeft w:val="0"/>
                                                                  <w:marRight w:val="0"/>
                                                                  <w:marTop w:val="120"/>
                                                                  <w:marBottom w:val="120"/>
                                                                  <w:divBdr>
                                                                    <w:top w:val="none" w:sz="0" w:space="0" w:color="auto"/>
                                                                    <w:left w:val="none" w:sz="0" w:space="0" w:color="auto"/>
                                                                    <w:bottom w:val="none" w:sz="0" w:space="0" w:color="auto"/>
                                                                    <w:right w:val="none" w:sz="0" w:space="0" w:color="auto"/>
                                                                  </w:divBdr>
                                                                  <w:divsChild>
                                                                    <w:div w:id="1245577554">
                                                                      <w:marLeft w:val="0"/>
                                                                      <w:marRight w:val="0"/>
                                                                      <w:marTop w:val="0"/>
                                                                      <w:marBottom w:val="0"/>
                                                                      <w:divBdr>
                                                                        <w:top w:val="none" w:sz="0" w:space="0" w:color="auto"/>
                                                                        <w:left w:val="none" w:sz="0" w:space="0" w:color="auto"/>
                                                                        <w:bottom w:val="none" w:sz="0" w:space="0" w:color="auto"/>
                                                                        <w:right w:val="none" w:sz="0" w:space="0" w:color="auto"/>
                                                                      </w:divBdr>
                                                                    </w:div>
                                                                  </w:divsChild>
                                                                </w:div>
                                                                <w:div w:id="850142860">
                                                                  <w:marLeft w:val="0"/>
                                                                  <w:marRight w:val="0"/>
                                                                  <w:marTop w:val="120"/>
                                                                  <w:marBottom w:val="120"/>
                                                                  <w:divBdr>
                                                                    <w:top w:val="none" w:sz="0" w:space="0" w:color="auto"/>
                                                                    <w:left w:val="none" w:sz="0" w:space="0" w:color="auto"/>
                                                                    <w:bottom w:val="none" w:sz="0" w:space="0" w:color="auto"/>
                                                                    <w:right w:val="none" w:sz="0" w:space="0" w:color="auto"/>
                                                                  </w:divBdr>
                                                                  <w:divsChild>
                                                                    <w:div w:id="181936945">
                                                                      <w:marLeft w:val="0"/>
                                                                      <w:marRight w:val="0"/>
                                                                      <w:marTop w:val="0"/>
                                                                      <w:marBottom w:val="0"/>
                                                                      <w:divBdr>
                                                                        <w:top w:val="none" w:sz="0" w:space="0" w:color="auto"/>
                                                                        <w:left w:val="none" w:sz="0" w:space="0" w:color="auto"/>
                                                                        <w:bottom w:val="none" w:sz="0" w:space="0" w:color="auto"/>
                                                                        <w:right w:val="none" w:sz="0" w:space="0" w:color="auto"/>
                                                                      </w:divBdr>
                                                                    </w:div>
                                                                    <w:div w:id="431164438">
                                                                      <w:marLeft w:val="0"/>
                                                                      <w:marRight w:val="0"/>
                                                                      <w:marTop w:val="0"/>
                                                                      <w:marBottom w:val="0"/>
                                                                      <w:divBdr>
                                                                        <w:top w:val="none" w:sz="0" w:space="0" w:color="auto"/>
                                                                        <w:left w:val="none" w:sz="0" w:space="0" w:color="auto"/>
                                                                        <w:bottom w:val="none" w:sz="0" w:space="0" w:color="auto"/>
                                                                        <w:right w:val="none" w:sz="0" w:space="0" w:color="auto"/>
                                                                      </w:divBdr>
                                                                    </w:div>
                                                                    <w:div w:id="567764665">
                                                                      <w:marLeft w:val="0"/>
                                                                      <w:marRight w:val="0"/>
                                                                      <w:marTop w:val="0"/>
                                                                      <w:marBottom w:val="0"/>
                                                                      <w:divBdr>
                                                                        <w:top w:val="none" w:sz="0" w:space="0" w:color="auto"/>
                                                                        <w:left w:val="none" w:sz="0" w:space="0" w:color="auto"/>
                                                                        <w:bottom w:val="none" w:sz="0" w:space="0" w:color="auto"/>
                                                                        <w:right w:val="none" w:sz="0" w:space="0" w:color="auto"/>
                                                                      </w:divBdr>
                                                                    </w:div>
                                                                    <w:div w:id="1049458453">
                                                                      <w:marLeft w:val="0"/>
                                                                      <w:marRight w:val="0"/>
                                                                      <w:marTop w:val="0"/>
                                                                      <w:marBottom w:val="0"/>
                                                                      <w:divBdr>
                                                                        <w:top w:val="none" w:sz="0" w:space="0" w:color="auto"/>
                                                                        <w:left w:val="none" w:sz="0" w:space="0" w:color="auto"/>
                                                                        <w:bottom w:val="none" w:sz="0" w:space="0" w:color="auto"/>
                                                                        <w:right w:val="none" w:sz="0" w:space="0" w:color="auto"/>
                                                                      </w:divBdr>
                                                                    </w:div>
                                                                    <w:div w:id="2069723506">
                                                                      <w:marLeft w:val="0"/>
                                                                      <w:marRight w:val="0"/>
                                                                      <w:marTop w:val="0"/>
                                                                      <w:marBottom w:val="0"/>
                                                                      <w:divBdr>
                                                                        <w:top w:val="none" w:sz="0" w:space="0" w:color="auto"/>
                                                                        <w:left w:val="none" w:sz="0" w:space="0" w:color="auto"/>
                                                                        <w:bottom w:val="none" w:sz="0" w:space="0" w:color="auto"/>
                                                                        <w:right w:val="none" w:sz="0" w:space="0" w:color="auto"/>
                                                                      </w:divBdr>
                                                                    </w:div>
                                                                  </w:divsChild>
                                                                </w:div>
                                                                <w:div w:id="872884034">
                                                                  <w:marLeft w:val="0"/>
                                                                  <w:marRight w:val="0"/>
                                                                  <w:marTop w:val="0"/>
                                                                  <w:marBottom w:val="0"/>
                                                                  <w:divBdr>
                                                                    <w:top w:val="none" w:sz="0" w:space="0" w:color="auto"/>
                                                                    <w:left w:val="none" w:sz="0" w:space="0" w:color="auto"/>
                                                                    <w:bottom w:val="none" w:sz="0" w:space="0" w:color="auto"/>
                                                                    <w:right w:val="none" w:sz="0" w:space="0" w:color="auto"/>
                                                                  </w:divBdr>
                                                                </w:div>
                                                                <w:div w:id="880822235">
                                                                  <w:marLeft w:val="0"/>
                                                                  <w:marRight w:val="0"/>
                                                                  <w:marTop w:val="120"/>
                                                                  <w:marBottom w:val="120"/>
                                                                  <w:divBdr>
                                                                    <w:top w:val="none" w:sz="0" w:space="0" w:color="auto"/>
                                                                    <w:left w:val="none" w:sz="0" w:space="0" w:color="auto"/>
                                                                    <w:bottom w:val="none" w:sz="0" w:space="0" w:color="auto"/>
                                                                    <w:right w:val="none" w:sz="0" w:space="0" w:color="auto"/>
                                                                  </w:divBdr>
                                                                  <w:divsChild>
                                                                    <w:div w:id="353728278">
                                                                      <w:marLeft w:val="0"/>
                                                                      <w:marRight w:val="0"/>
                                                                      <w:marTop w:val="0"/>
                                                                      <w:marBottom w:val="0"/>
                                                                      <w:divBdr>
                                                                        <w:top w:val="none" w:sz="0" w:space="0" w:color="auto"/>
                                                                        <w:left w:val="none" w:sz="0" w:space="0" w:color="auto"/>
                                                                        <w:bottom w:val="none" w:sz="0" w:space="0" w:color="auto"/>
                                                                        <w:right w:val="none" w:sz="0" w:space="0" w:color="auto"/>
                                                                      </w:divBdr>
                                                                    </w:div>
                                                                    <w:div w:id="881358484">
                                                                      <w:marLeft w:val="0"/>
                                                                      <w:marRight w:val="0"/>
                                                                      <w:marTop w:val="0"/>
                                                                      <w:marBottom w:val="0"/>
                                                                      <w:divBdr>
                                                                        <w:top w:val="none" w:sz="0" w:space="0" w:color="auto"/>
                                                                        <w:left w:val="none" w:sz="0" w:space="0" w:color="auto"/>
                                                                        <w:bottom w:val="none" w:sz="0" w:space="0" w:color="auto"/>
                                                                        <w:right w:val="none" w:sz="0" w:space="0" w:color="auto"/>
                                                                      </w:divBdr>
                                                                    </w:div>
                                                                  </w:divsChild>
                                                                </w:div>
                                                                <w:div w:id="1056200807">
                                                                  <w:marLeft w:val="0"/>
                                                                  <w:marRight w:val="0"/>
                                                                  <w:marTop w:val="0"/>
                                                                  <w:marBottom w:val="0"/>
                                                                  <w:divBdr>
                                                                    <w:top w:val="none" w:sz="0" w:space="0" w:color="auto"/>
                                                                    <w:left w:val="none" w:sz="0" w:space="0" w:color="auto"/>
                                                                    <w:bottom w:val="none" w:sz="0" w:space="0" w:color="auto"/>
                                                                    <w:right w:val="none" w:sz="0" w:space="0" w:color="auto"/>
                                                                  </w:divBdr>
                                                                </w:div>
                                                                <w:div w:id="1124470959">
                                                                  <w:marLeft w:val="0"/>
                                                                  <w:marRight w:val="0"/>
                                                                  <w:marTop w:val="120"/>
                                                                  <w:marBottom w:val="120"/>
                                                                  <w:divBdr>
                                                                    <w:top w:val="none" w:sz="0" w:space="0" w:color="auto"/>
                                                                    <w:left w:val="none" w:sz="0" w:space="0" w:color="auto"/>
                                                                    <w:bottom w:val="none" w:sz="0" w:space="0" w:color="auto"/>
                                                                    <w:right w:val="none" w:sz="0" w:space="0" w:color="auto"/>
                                                                  </w:divBdr>
                                                                  <w:divsChild>
                                                                    <w:div w:id="2021547797">
                                                                      <w:marLeft w:val="0"/>
                                                                      <w:marRight w:val="0"/>
                                                                      <w:marTop w:val="0"/>
                                                                      <w:marBottom w:val="0"/>
                                                                      <w:divBdr>
                                                                        <w:top w:val="none" w:sz="0" w:space="0" w:color="auto"/>
                                                                        <w:left w:val="none" w:sz="0" w:space="0" w:color="auto"/>
                                                                        <w:bottom w:val="none" w:sz="0" w:space="0" w:color="auto"/>
                                                                        <w:right w:val="none" w:sz="0" w:space="0" w:color="auto"/>
                                                                      </w:divBdr>
                                                                    </w:div>
                                                                  </w:divsChild>
                                                                </w:div>
                                                                <w:div w:id="1470316005">
                                                                  <w:marLeft w:val="0"/>
                                                                  <w:marRight w:val="0"/>
                                                                  <w:marTop w:val="0"/>
                                                                  <w:marBottom w:val="0"/>
                                                                  <w:divBdr>
                                                                    <w:top w:val="none" w:sz="0" w:space="0" w:color="auto"/>
                                                                    <w:left w:val="none" w:sz="0" w:space="0" w:color="auto"/>
                                                                    <w:bottom w:val="none" w:sz="0" w:space="0" w:color="auto"/>
                                                                    <w:right w:val="none" w:sz="0" w:space="0" w:color="auto"/>
                                                                  </w:divBdr>
                                                                </w:div>
                                                                <w:div w:id="1546024993">
                                                                  <w:marLeft w:val="0"/>
                                                                  <w:marRight w:val="0"/>
                                                                  <w:marTop w:val="0"/>
                                                                  <w:marBottom w:val="0"/>
                                                                  <w:divBdr>
                                                                    <w:top w:val="none" w:sz="0" w:space="0" w:color="auto"/>
                                                                    <w:left w:val="none" w:sz="0" w:space="0" w:color="auto"/>
                                                                    <w:bottom w:val="none" w:sz="0" w:space="0" w:color="auto"/>
                                                                    <w:right w:val="none" w:sz="0" w:space="0" w:color="auto"/>
                                                                  </w:divBdr>
                                                                </w:div>
                                                                <w:div w:id="1778058856">
                                                                  <w:marLeft w:val="0"/>
                                                                  <w:marRight w:val="0"/>
                                                                  <w:marTop w:val="0"/>
                                                                  <w:marBottom w:val="0"/>
                                                                  <w:divBdr>
                                                                    <w:top w:val="none" w:sz="0" w:space="0" w:color="auto"/>
                                                                    <w:left w:val="none" w:sz="0" w:space="0" w:color="auto"/>
                                                                    <w:bottom w:val="none" w:sz="0" w:space="0" w:color="auto"/>
                                                                    <w:right w:val="none" w:sz="0" w:space="0" w:color="auto"/>
                                                                  </w:divBdr>
                                                                </w:div>
                                                                <w:div w:id="1784882538">
                                                                  <w:marLeft w:val="0"/>
                                                                  <w:marRight w:val="0"/>
                                                                  <w:marTop w:val="0"/>
                                                                  <w:marBottom w:val="0"/>
                                                                  <w:divBdr>
                                                                    <w:top w:val="none" w:sz="0" w:space="0" w:color="auto"/>
                                                                    <w:left w:val="none" w:sz="0" w:space="0" w:color="auto"/>
                                                                    <w:bottom w:val="none" w:sz="0" w:space="0" w:color="auto"/>
                                                                    <w:right w:val="none" w:sz="0" w:space="0" w:color="auto"/>
                                                                  </w:divBdr>
                                                                </w:div>
                                                                <w:div w:id="1791127050">
                                                                  <w:marLeft w:val="0"/>
                                                                  <w:marRight w:val="0"/>
                                                                  <w:marTop w:val="0"/>
                                                                  <w:marBottom w:val="0"/>
                                                                  <w:divBdr>
                                                                    <w:top w:val="none" w:sz="0" w:space="0" w:color="auto"/>
                                                                    <w:left w:val="none" w:sz="0" w:space="0" w:color="auto"/>
                                                                    <w:bottom w:val="none" w:sz="0" w:space="0" w:color="auto"/>
                                                                    <w:right w:val="none" w:sz="0" w:space="0" w:color="auto"/>
                                                                  </w:divBdr>
                                                                </w:div>
                                                                <w:div w:id="1806776188">
                                                                  <w:marLeft w:val="0"/>
                                                                  <w:marRight w:val="0"/>
                                                                  <w:marTop w:val="0"/>
                                                                  <w:marBottom w:val="0"/>
                                                                  <w:divBdr>
                                                                    <w:top w:val="none" w:sz="0" w:space="0" w:color="auto"/>
                                                                    <w:left w:val="none" w:sz="0" w:space="0" w:color="auto"/>
                                                                    <w:bottom w:val="none" w:sz="0" w:space="0" w:color="auto"/>
                                                                    <w:right w:val="none" w:sz="0" w:space="0" w:color="auto"/>
                                                                  </w:divBdr>
                                                                </w:div>
                                                                <w:div w:id="1839037164">
                                                                  <w:marLeft w:val="0"/>
                                                                  <w:marRight w:val="0"/>
                                                                  <w:marTop w:val="0"/>
                                                                  <w:marBottom w:val="0"/>
                                                                  <w:divBdr>
                                                                    <w:top w:val="none" w:sz="0" w:space="0" w:color="auto"/>
                                                                    <w:left w:val="none" w:sz="0" w:space="0" w:color="auto"/>
                                                                    <w:bottom w:val="none" w:sz="0" w:space="0" w:color="auto"/>
                                                                    <w:right w:val="none" w:sz="0" w:space="0" w:color="auto"/>
                                                                  </w:divBdr>
                                                                </w:div>
                                                                <w:div w:id="1870485646">
                                                                  <w:marLeft w:val="0"/>
                                                                  <w:marRight w:val="0"/>
                                                                  <w:marTop w:val="120"/>
                                                                  <w:marBottom w:val="120"/>
                                                                  <w:divBdr>
                                                                    <w:top w:val="none" w:sz="0" w:space="0" w:color="auto"/>
                                                                    <w:left w:val="none" w:sz="0" w:space="0" w:color="auto"/>
                                                                    <w:bottom w:val="none" w:sz="0" w:space="0" w:color="auto"/>
                                                                    <w:right w:val="none" w:sz="0" w:space="0" w:color="auto"/>
                                                                  </w:divBdr>
                                                                  <w:divsChild>
                                                                    <w:div w:id="236063755">
                                                                      <w:marLeft w:val="0"/>
                                                                      <w:marRight w:val="0"/>
                                                                      <w:marTop w:val="0"/>
                                                                      <w:marBottom w:val="0"/>
                                                                      <w:divBdr>
                                                                        <w:top w:val="none" w:sz="0" w:space="0" w:color="auto"/>
                                                                        <w:left w:val="none" w:sz="0" w:space="0" w:color="auto"/>
                                                                        <w:bottom w:val="none" w:sz="0" w:space="0" w:color="auto"/>
                                                                        <w:right w:val="none" w:sz="0" w:space="0" w:color="auto"/>
                                                                      </w:divBdr>
                                                                    </w:div>
                                                                    <w:div w:id="417869810">
                                                                      <w:marLeft w:val="0"/>
                                                                      <w:marRight w:val="0"/>
                                                                      <w:marTop w:val="0"/>
                                                                      <w:marBottom w:val="0"/>
                                                                      <w:divBdr>
                                                                        <w:top w:val="none" w:sz="0" w:space="0" w:color="auto"/>
                                                                        <w:left w:val="none" w:sz="0" w:space="0" w:color="auto"/>
                                                                        <w:bottom w:val="none" w:sz="0" w:space="0" w:color="auto"/>
                                                                        <w:right w:val="none" w:sz="0" w:space="0" w:color="auto"/>
                                                                      </w:divBdr>
                                                                    </w:div>
                                                                    <w:div w:id="539828045">
                                                                      <w:marLeft w:val="0"/>
                                                                      <w:marRight w:val="0"/>
                                                                      <w:marTop w:val="0"/>
                                                                      <w:marBottom w:val="0"/>
                                                                      <w:divBdr>
                                                                        <w:top w:val="none" w:sz="0" w:space="0" w:color="auto"/>
                                                                        <w:left w:val="none" w:sz="0" w:space="0" w:color="auto"/>
                                                                        <w:bottom w:val="none" w:sz="0" w:space="0" w:color="auto"/>
                                                                        <w:right w:val="none" w:sz="0" w:space="0" w:color="auto"/>
                                                                      </w:divBdr>
                                                                    </w:div>
                                                                    <w:div w:id="1694188184">
                                                                      <w:marLeft w:val="0"/>
                                                                      <w:marRight w:val="0"/>
                                                                      <w:marTop w:val="0"/>
                                                                      <w:marBottom w:val="0"/>
                                                                      <w:divBdr>
                                                                        <w:top w:val="none" w:sz="0" w:space="0" w:color="auto"/>
                                                                        <w:left w:val="none" w:sz="0" w:space="0" w:color="auto"/>
                                                                        <w:bottom w:val="none" w:sz="0" w:space="0" w:color="auto"/>
                                                                        <w:right w:val="none" w:sz="0" w:space="0" w:color="auto"/>
                                                                      </w:divBdr>
                                                                    </w:div>
                                                                    <w:div w:id="1768387923">
                                                                      <w:marLeft w:val="0"/>
                                                                      <w:marRight w:val="0"/>
                                                                      <w:marTop w:val="0"/>
                                                                      <w:marBottom w:val="0"/>
                                                                      <w:divBdr>
                                                                        <w:top w:val="none" w:sz="0" w:space="0" w:color="auto"/>
                                                                        <w:left w:val="none" w:sz="0" w:space="0" w:color="auto"/>
                                                                        <w:bottom w:val="none" w:sz="0" w:space="0" w:color="auto"/>
                                                                        <w:right w:val="none" w:sz="0" w:space="0" w:color="auto"/>
                                                                      </w:divBdr>
                                                                    </w:div>
                                                                  </w:divsChild>
                                                                </w:div>
                                                                <w:div w:id="1880430303">
                                                                  <w:marLeft w:val="0"/>
                                                                  <w:marRight w:val="0"/>
                                                                  <w:marTop w:val="0"/>
                                                                  <w:marBottom w:val="0"/>
                                                                  <w:divBdr>
                                                                    <w:top w:val="none" w:sz="0" w:space="0" w:color="auto"/>
                                                                    <w:left w:val="none" w:sz="0" w:space="0" w:color="auto"/>
                                                                    <w:bottom w:val="none" w:sz="0" w:space="0" w:color="auto"/>
                                                                    <w:right w:val="none" w:sz="0" w:space="0" w:color="auto"/>
                                                                  </w:divBdr>
                                                                </w:div>
                                                                <w:div w:id="1944220486">
                                                                  <w:marLeft w:val="0"/>
                                                                  <w:marRight w:val="0"/>
                                                                  <w:marTop w:val="0"/>
                                                                  <w:marBottom w:val="0"/>
                                                                  <w:divBdr>
                                                                    <w:top w:val="none" w:sz="0" w:space="0" w:color="auto"/>
                                                                    <w:left w:val="none" w:sz="0" w:space="0" w:color="auto"/>
                                                                    <w:bottom w:val="none" w:sz="0" w:space="0" w:color="auto"/>
                                                                    <w:right w:val="none" w:sz="0" w:space="0" w:color="auto"/>
                                                                  </w:divBdr>
                                                                </w:div>
                                                                <w:div w:id="197879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37310396">
      <w:bodyDiv w:val="1"/>
      <w:marLeft w:val="0"/>
      <w:marRight w:val="0"/>
      <w:marTop w:val="0"/>
      <w:marBottom w:val="0"/>
      <w:divBdr>
        <w:top w:val="none" w:sz="0" w:space="0" w:color="auto"/>
        <w:left w:val="none" w:sz="0" w:space="0" w:color="auto"/>
        <w:bottom w:val="none" w:sz="0" w:space="0" w:color="auto"/>
        <w:right w:val="none" w:sz="0" w:space="0" w:color="auto"/>
      </w:divBdr>
    </w:div>
    <w:div w:id="1549411940">
      <w:bodyDiv w:val="1"/>
      <w:marLeft w:val="0"/>
      <w:marRight w:val="0"/>
      <w:marTop w:val="0"/>
      <w:marBottom w:val="0"/>
      <w:divBdr>
        <w:top w:val="none" w:sz="0" w:space="0" w:color="auto"/>
        <w:left w:val="none" w:sz="0" w:space="0" w:color="auto"/>
        <w:bottom w:val="none" w:sz="0" w:space="0" w:color="auto"/>
        <w:right w:val="none" w:sz="0" w:space="0" w:color="auto"/>
      </w:divBdr>
    </w:div>
    <w:div w:id="1555434326">
      <w:bodyDiv w:val="1"/>
      <w:marLeft w:val="0"/>
      <w:marRight w:val="0"/>
      <w:marTop w:val="0"/>
      <w:marBottom w:val="0"/>
      <w:divBdr>
        <w:top w:val="none" w:sz="0" w:space="0" w:color="auto"/>
        <w:left w:val="none" w:sz="0" w:space="0" w:color="auto"/>
        <w:bottom w:val="none" w:sz="0" w:space="0" w:color="auto"/>
        <w:right w:val="none" w:sz="0" w:space="0" w:color="auto"/>
      </w:divBdr>
    </w:div>
    <w:div w:id="1561475234">
      <w:bodyDiv w:val="1"/>
      <w:marLeft w:val="0"/>
      <w:marRight w:val="0"/>
      <w:marTop w:val="0"/>
      <w:marBottom w:val="0"/>
      <w:divBdr>
        <w:top w:val="none" w:sz="0" w:space="0" w:color="auto"/>
        <w:left w:val="none" w:sz="0" w:space="0" w:color="auto"/>
        <w:bottom w:val="none" w:sz="0" w:space="0" w:color="auto"/>
        <w:right w:val="none" w:sz="0" w:space="0" w:color="auto"/>
      </w:divBdr>
    </w:div>
    <w:div w:id="1566641341">
      <w:bodyDiv w:val="1"/>
      <w:marLeft w:val="0"/>
      <w:marRight w:val="0"/>
      <w:marTop w:val="0"/>
      <w:marBottom w:val="0"/>
      <w:divBdr>
        <w:top w:val="none" w:sz="0" w:space="0" w:color="auto"/>
        <w:left w:val="none" w:sz="0" w:space="0" w:color="auto"/>
        <w:bottom w:val="none" w:sz="0" w:space="0" w:color="auto"/>
        <w:right w:val="none" w:sz="0" w:space="0" w:color="auto"/>
      </w:divBdr>
    </w:div>
    <w:div w:id="1568147455">
      <w:bodyDiv w:val="1"/>
      <w:marLeft w:val="0"/>
      <w:marRight w:val="0"/>
      <w:marTop w:val="0"/>
      <w:marBottom w:val="0"/>
      <w:divBdr>
        <w:top w:val="none" w:sz="0" w:space="0" w:color="auto"/>
        <w:left w:val="none" w:sz="0" w:space="0" w:color="auto"/>
        <w:bottom w:val="none" w:sz="0" w:space="0" w:color="auto"/>
        <w:right w:val="none" w:sz="0" w:space="0" w:color="auto"/>
      </w:divBdr>
      <w:divsChild>
        <w:div w:id="273830153">
          <w:marLeft w:val="0"/>
          <w:marRight w:val="0"/>
          <w:marTop w:val="0"/>
          <w:marBottom w:val="0"/>
          <w:divBdr>
            <w:top w:val="none" w:sz="0" w:space="0" w:color="auto"/>
            <w:left w:val="none" w:sz="0" w:space="0" w:color="auto"/>
            <w:bottom w:val="none" w:sz="0" w:space="0" w:color="auto"/>
            <w:right w:val="none" w:sz="0" w:space="0" w:color="auto"/>
          </w:divBdr>
        </w:div>
      </w:divsChild>
    </w:div>
    <w:div w:id="1568877305">
      <w:bodyDiv w:val="1"/>
      <w:marLeft w:val="0"/>
      <w:marRight w:val="0"/>
      <w:marTop w:val="0"/>
      <w:marBottom w:val="0"/>
      <w:divBdr>
        <w:top w:val="none" w:sz="0" w:space="0" w:color="auto"/>
        <w:left w:val="none" w:sz="0" w:space="0" w:color="auto"/>
        <w:bottom w:val="none" w:sz="0" w:space="0" w:color="auto"/>
        <w:right w:val="none" w:sz="0" w:space="0" w:color="auto"/>
      </w:divBdr>
    </w:div>
    <w:div w:id="1576091989">
      <w:bodyDiv w:val="1"/>
      <w:marLeft w:val="0"/>
      <w:marRight w:val="0"/>
      <w:marTop w:val="0"/>
      <w:marBottom w:val="0"/>
      <w:divBdr>
        <w:top w:val="none" w:sz="0" w:space="0" w:color="auto"/>
        <w:left w:val="none" w:sz="0" w:space="0" w:color="auto"/>
        <w:bottom w:val="none" w:sz="0" w:space="0" w:color="auto"/>
        <w:right w:val="none" w:sz="0" w:space="0" w:color="auto"/>
      </w:divBdr>
    </w:div>
    <w:div w:id="1588541140">
      <w:bodyDiv w:val="1"/>
      <w:marLeft w:val="0"/>
      <w:marRight w:val="0"/>
      <w:marTop w:val="0"/>
      <w:marBottom w:val="0"/>
      <w:divBdr>
        <w:top w:val="none" w:sz="0" w:space="0" w:color="auto"/>
        <w:left w:val="none" w:sz="0" w:space="0" w:color="auto"/>
        <w:bottom w:val="none" w:sz="0" w:space="0" w:color="auto"/>
        <w:right w:val="none" w:sz="0" w:space="0" w:color="auto"/>
      </w:divBdr>
    </w:div>
    <w:div w:id="1593316488">
      <w:bodyDiv w:val="1"/>
      <w:marLeft w:val="0"/>
      <w:marRight w:val="0"/>
      <w:marTop w:val="0"/>
      <w:marBottom w:val="0"/>
      <w:divBdr>
        <w:top w:val="none" w:sz="0" w:space="0" w:color="auto"/>
        <w:left w:val="none" w:sz="0" w:space="0" w:color="auto"/>
        <w:bottom w:val="none" w:sz="0" w:space="0" w:color="auto"/>
        <w:right w:val="none" w:sz="0" w:space="0" w:color="auto"/>
      </w:divBdr>
      <w:divsChild>
        <w:div w:id="719981658">
          <w:marLeft w:val="0"/>
          <w:marRight w:val="0"/>
          <w:marTop w:val="0"/>
          <w:marBottom w:val="0"/>
          <w:divBdr>
            <w:top w:val="none" w:sz="0" w:space="0" w:color="auto"/>
            <w:left w:val="none" w:sz="0" w:space="0" w:color="auto"/>
            <w:bottom w:val="none" w:sz="0" w:space="0" w:color="auto"/>
            <w:right w:val="none" w:sz="0" w:space="0" w:color="auto"/>
          </w:divBdr>
          <w:divsChild>
            <w:div w:id="1894194482">
              <w:marLeft w:val="0"/>
              <w:marRight w:val="0"/>
              <w:marTop w:val="72"/>
              <w:marBottom w:val="0"/>
              <w:divBdr>
                <w:top w:val="none" w:sz="0" w:space="0" w:color="auto"/>
                <w:left w:val="none" w:sz="0" w:space="0" w:color="auto"/>
                <w:bottom w:val="none" w:sz="0" w:space="0" w:color="auto"/>
                <w:right w:val="none" w:sz="0" w:space="0" w:color="auto"/>
              </w:divBdr>
              <w:divsChild>
                <w:div w:id="88147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148476">
      <w:bodyDiv w:val="1"/>
      <w:marLeft w:val="0"/>
      <w:marRight w:val="0"/>
      <w:marTop w:val="0"/>
      <w:marBottom w:val="0"/>
      <w:divBdr>
        <w:top w:val="none" w:sz="0" w:space="0" w:color="auto"/>
        <w:left w:val="none" w:sz="0" w:space="0" w:color="auto"/>
        <w:bottom w:val="none" w:sz="0" w:space="0" w:color="auto"/>
        <w:right w:val="none" w:sz="0" w:space="0" w:color="auto"/>
      </w:divBdr>
      <w:divsChild>
        <w:div w:id="2268438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30980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04219709">
      <w:bodyDiv w:val="1"/>
      <w:marLeft w:val="0"/>
      <w:marRight w:val="0"/>
      <w:marTop w:val="0"/>
      <w:marBottom w:val="0"/>
      <w:divBdr>
        <w:top w:val="none" w:sz="0" w:space="0" w:color="auto"/>
        <w:left w:val="none" w:sz="0" w:space="0" w:color="auto"/>
        <w:bottom w:val="none" w:sz="0" w:space="0" w:color="auto"/>
        <w:right w:val="none" w:sz="0" w:space="0" w:color="auto"/>
      </w:divBdr>
      <w:divsChild>
        <w:div w:id="1594971942">
          <w:marLeft w:val="0"/>
          <w:marRight w:val="0"/>
          <w:marTop w:val="0"/>
          <w:marBottom w:val="0"/>
          <w:divBdr>
            <w:top w:val="none" w:sz="0" w:space="0" w:color="auto"/>
            <w:left w:val="none" w:sz="0" w:space="0" w:color="auto"/>
            <w:bottom w:val="none" w:sz="0" w:space="0" w:color="auto"/>
            <w:right w:val="none" w:sz="0" w:space="0" w:color="auto"/>
          </w:divBdr>
          <w:divsChild>
            <w:div w:id="1111558454">
              <w:marLeft w:val="0"/>
              <w:marRight w:val="0"/>
              <w:marTop w:val="0"/>
              <w:marBottom w:val="0"/>
              <w:divBdr>
                <w:top w:val="none" w:sz="0" w:space="0" w:color="auto"/>
                <w:left w:val="none" w:sz="0" w:space="0" w:color="auto"/>
                <w:bottom w:val="none" w:sz="0" w:space="0" w:color="auto"/>
                <w:right w:val="none" w:sz="0" w:space="0" w:color="auto"/>
              </w:divBdr>
              <w:divsChild>
                <w:div w:id="1234202507">
                  <w:marLeft w:val="0"/>
                  <w:marRight w:val="0"/>
                  <w:marTop w:val="0"/>
                  <w:marBottom w:val="0"/>
                  <w:divBdr>
                    <w:top w:val="none" w:sz="0" w:space="0" w:color="auto"/>
                    <w:left w:val="none" w:sz="0" w:space="0" w:color="auto"/>
                    <w:bottom w:val="none" w:sz="0" w:space="0" w:color="auto"/>
                    <w:right w:val="none" w:sz="0" w:space="0" w:color="auto"/>
                  </w:divBdr>
                  <w:divsChild>
                    <w:div w:id="2031175203">
                      <w:marLeft w:val="0"/>
                      <w:marRight w:val="0"/>
                      <w:marTop w:val="0"/>
                      <w:marBottom w:val="0"/>
                      <w:divBdr>
                        <w:top w:val="none" w:sz="0" w:space="0" w:color="auto"/>
                        <w:left w:val="none" w:sz="0" w:space="0" w:color="auto"/>
                        <w:bottom w:val="none" w:sz="0" w:space="0" w:color="auto"/>
                        <w:right w:val="none" w:sz="0" w:space="0" w:color="auto"/>
                      </w:divBdr>
                      <w:divsChild>
                        <w:div w:id="331416319">
                          <w:marLeft w:val="0"/>
                          <w:marRight w:val="0"/>
                          <w:marTop w:val="0"/>
                          <w:marBottom w:val="0"/>
                          <w:divBdr>
                            <w:top w:val="none" w:sz="0" w:space="0" w:color="auto"/>
                            <w:left w:val="none" w:sz="0" w:space="0" w:color="auto"/>
                            <w:bottom w:val="none" w:sz="0" w:space="0" w:color="auto"/>
                            <w:right w:val="none" w:sz="0" w:space="0" w:color="auto"/>
                          </w:divBdr>
                          <w:divsChild>
                            <w:div w:id="1235431331">
                              <w:marLeft w:val="0"/>
                              <w:marRight w:val="0"/>
                              <w:marTop w:val="0"/>
                              <w:marBottom w:val="0"/>
                              <w:divBdr>
                                <w:top w:val="none" w:sz="0" w:space="0" w:color="auto"/>
                                <w:left w:val="none" w:sz="0" w:space="0" w:color="auto"/>
                                <w:bottom w:val="none" w:sz="0" w:space="0" w:color="auto"/>
                                <w:right w:val="none" w:sz="0" w:space="0" w:color="auto"/>
                              </w:divBdr>
                              <w:divsChild>
                                <w:div w:id="1851917908">
                                  <w:marLeft w:val="0"/>
                                  <w:marRight w:val="0"/>
                                  <w:marTop w:val="0"/>
                                  <w:marBottom w:val="0"/>
                                  <w:divBdr>
                                    <w:top w:val="none" w:sz="0" w:space="0" w:color="auto"/>
                                    <w:left w:val="none" w:sz="0" w:space="0" w:color="auto"/>
                                    <w:bottom w:val="none" w:sz="0" w:space="0" w:color="auto"/>
                                    <w:right w:val="none" w:sz="0" w:space="0" w:color="auto"/>
                                  </w:divBdr>
                                  <w:divsChild>
                                    <w:div w:id="1712606480">
                                      <w:marLeft w:val="0"/>
                                      <w:marRight w:val="0"/>
                                      <w:marTop w:val="0"/>
                                      <w:marBottom w:val="0"/>
                                      <w:divBdr>
                                        <w:top w:val="none" w:sz="0" w:space="0" w:color="auto"/>
                                        <w:left w:val="none" w:sz="0" w:space="0" w:color="auto"/>
                                        <w:bottom w:val="none" w:sz="0" w:space="0" w:color="auto"/>
                                        <w:right w:val="none" w:sz="0" w:space="0" w:color="auto"/>
                                      </w:divBdr>
                                      <w:divsChild>
                                        <w:div w:id="647437814">
                                          <w:marLeft w:val="0"/>
                                          <w:marRight w:val="0"/>
                                          <w:marTop w:val="0"/>
                                          <w:marBottom w:val="0"/>
                                          <w:divBdr>
                                            <w:top w:val="none" w:sz="0" w:space="0" w:color="auto"/>
                                            <w:left w:val="none" w:sz="0" w:space="0" w:color="auto"/>
                                            <w:bottom w:val="none" w:sz="0" w:space="0" w:color="auto"/>
                                            <w:right w:val="none" w:sz="0" w:space="0" w:color="auto"/>
                                          </w:divBdr>
                                          <w:divsChild>
                                            <w:div w:id="1003167453">
                                              <w:marLeft w:val="0"/>
                                              <w:marRight w:val="0"/>
                                              <w:marTop w:val="0"/>
                                              <w:marBottom w:val="0"/>
                                              <w:divBdr>
                                                <w:top w:val="none" w:sz="0" w:space="0" w:color="auto"/>
                                                <w:left w:val="none" w:sz="0" w:space="0" w:color="auto"/>
                                                <w:bottom w:val="none" w:sz="0" w:space="0" w:color="auto"/>
                                                <w:right w:val="none" w:sz="0" w:space="0" w:color="auto"/>
                                              </w:divBdr>
                                              <w:divsChild>
                                                <w:div w:id="682320501">
                                                  <w:marLeft w:val="0"/>
                                                  <w:marRight w:val="0"/>
                                                  <w:marTop w:val="0"/>
                                                  <w:marBottom w:val="0"/>
                                                  <w:divBdr>
                                                    <w:top w:val="none" w:sz="0" w:space="0" w:color="auto"/>
                                                    <w:left w:val="none" w:sz="0" w:space="0" w:color="auto"/>
                                                    <w:bottom w:val="none" w:sz="0" w:space="0" w:color="auto"/>
                                                    <w:right w:val="none" w:sz="0" w:space="0" w:color="auto"/>
                                                  </w:divBdr>
                                                  <w:divsChild>
                                                    <w:div w:id="2015648765">
                                                      <w:marLeft w:val="0"/>
                                                      <w:marRight w:val="0"/>
                                                      <w:marTop w:val="0"/>
                                                      <w:marBottom w:val="0"/>
                                                      <w:divBdr>
                                                        <w:top w:val="none" w:sz="0" w:space="0" w:color="auto"/>
                                                        <w:left w:val="none" w:sz="0" w:space="0" w:color="auto"/>
                                                        <w:bottom w:val="none" w:sz="0" w:space="0" w:color="auto"/>
                                                        <w:right w:val="none" w:sz="0" w:space="0" w:color="auto"/>
                                                      </w:divBdr>
                                                      <w:divsChild>
                                                        <w:div w:id="1453015508">
                                                          <w:marLeft w:val="0"/>
                                                          <w:marRight w:val="0"/>
                                                          <w:marTop w:val="0"/>
                                                          <w:marBottom w:val="0"/>
                                                          <w:divBdr>
                                                            <w:top w:val="none" w:sz="0" w:space="0" w:color="auto"/>
                                                            <w:left w:val="none" w:sz="0" w:space="0" w:color="auto"/>
                                                            <w:bottom w:val="none" w:sz="0" w:space="0" w:color="auto"/>
                                                            <w:right w:val="none" w:sz="0" w:space="0" w:color="auto"/>
                                                          </w:divBdr>
                                                          <w:divsChild>
                                                            <w:div w:id="2128961245">
                                                              <w:marLeft w:val="0"/>
                                                              <w:marRight w:val="0"/>
                                                              <w:marTop w:val="0"/>
                                                              <w:marBottom w:val="0"/>
                                                              <w:divBdr>
                                                                <w:top w:val="none" w:sz="0" w:space="0" w:color="auto"/>
                                                                <w:left w:val="none" w:sz="0" w:space="0" w:color="auto"/>
                                                                <w:bottom w:val="none" w:sz="0" w:space="0" w:color="auto"/>
                                                                <w:right w:val="none" w:sz="0" w:space="0" w:color="auto"/>
                                                              </w:divBdr>
                                                              <w:divsChild>
                                                                <w:div w:id="66536502">
                                                                  <w:marLeft w:val="0"/>
                                                                  <w:marRight w:val="0"/>
                                                                  <w:marTop w:val="0"/>
                                                                  <w:marBottom w:val="0"/>
                                                                  <w:divBdr>
                                                                    <w:top w:val="none" w:sz="0" w:space="0" w:color="auto"/>
                                                                    <w:left w:val="none" w:sz="0" w:space="0" w:color="auto"/>
                                                                    <w:bottom w:val="none" w:sz="0" w:space="0" w:color="auto"/>
                                                                    <w:right w:val="none" w:sz="0" w:space="0" w:color="auto"/>
                                                                  </w:divBdr>
                                                                </w:div>
                                                                <w:div w:id="417289060">
                                                                  <w:marLeft w:val="0"/>
                                                                  <w:marRight w:val="0"/>
                                                                  <w:marTop w:val="0"/>
                                                                  <w:marBottom w:val="0"/>
                                                                  <w:divBdr>
                                                                    <w:top w:val="none" w:sz="0" w:space="0" w:color="auto"/>
                                                                    <w:left w:val="none" w:sz="0" w:space="0" w:color="auto"/>
                                                                    <w:bottom w:val="none" w:sz="0" w:space="0" w:color="auto"/>
                                                                    <w:right w:val="none" w:sz="0" w:space="0" w:color="auto"/>
                                                                  </w:divBdr>
                                                                </w:div>
                                                                <w:div w:id="625701150">
                                                                  <w:marLeft w:val="0"/>
                                                                  <w:marRight w:val="0"/>
                                                                  <w:marTop w:val="0"/>
                                                                  <w:marBottom w:val="0"/>
                                                                  <w:divBdr>
                                                                    <w:top w:val="none" w:sz="0" w:space="0" w:color="auto"/>
                                                                    <w:left w:val="none" w:sz="0" w:space="0" w:color="auto"/>
                                                                    <w:bottom w:val="none" w:sz="0" w:space="0" w:color="auto"/>
                                                                    <w:right w:val="none" w:sz="0" w:space="0" w:color="auto"/>
                                                                  </w:divBdr>
                                                                </w:div>
                                                                <w:div w:id="650018529">
                                                                  <w:marLeft w:val="0"/>
                                                                  <w:marRight w:val="0"/>
                                                                  <w:marTop w:val="0"/>
                                                                  <w:marBottom w:val="0"/>
                                                                  <w:divBdr>
                                                                    <w:top w:val="none" w:sz="0" w:space="0" w:color="auto"/>
                                                                    <w:left w:val="none" w:sz="0" w:space="0" w:color="auto"/>
                                                                    <w:bottom w:val="none" w:sz="0" w:space="0" w:color="auto"/>
                                                                    <w:right w:val="none" w:sz="0" w:space="0" w:color="auto"/>
                                                                  </w:divBdr>
                                                                </w:div>
                                                                <w:div w:id="668488413">
                                                                  <w:marLeft w:val="0"/>
                                                                  <w:marRight w:val="0"/>
                                                                  <w:marTop w:val="0"/>
                                                                  <w:marBottom w:val="0"/>
                                                                  <w:divBdr>
                                                                    <w:top w:val="none" w:sz="0" w:space="0" w:color="auto"/>
                                                                    <w:left w:val="none" w:sz="0" w:space="0" w:color="auto"/>
                                                                    <w:bottom w:val="none" w:sz="0" w:space="0" w:color="auto"/>
                                                                    <w:right w:val="none" w:sz="0" w:space="0" w:color="auto"/>
                                                                  </w:divBdr>
                                                                </w:div>
                                                                <w:div w:id="767312912">
                                                                  <w:marLeft w:val="0"/>
                                                                  <w:marRight w:val="0"/>
                                                                  <w:marTop w:val="0"/>
                                                                  <w:marBottom w:val="0"/>
                                                                  <w:divBdr>
                                                                    <w:top w:val="none" w:sz="0" w:space="0" w:color="auto"/>
                                                                    <w:left w:val="none" w:sz="0" w:space="0" w:color="auto"/>
                                                                    <w:bottom w:val="none" w:sz="0" w:space="0" w:color="auto"/>
                                                                    <w:right w:val="none" w:sz="0" w:space="0" w:color="auto"/>
                                                                  </w:divBdr>
                                                                </w:div>
                                                                <w:div w:id="861823902">
                                                                  <w:marLeft w:val="0"/>
                                                                  <w:marRight w:val="0"/>
                                                                  <w:marTop w:val="0"/>
                                                                  <w:marBottom w:val="0"/>
                                                                  <w:divBdr>
                                                                    <w:top w:val="none" w:sz="0" w:space="0" w:color="auto"/>
                                                                    <w:left w:val="none" w:sz="0" w:space="0" w:color="auto"/>
                                                                    <w:bottom w:val="none" w:sz="0" w:space="0" w:color="auto"/>
                                                                    <w:right w:val="none" w:sz="0" w:space="0" w:color="auto"/>
                                                                  </w:divBdr>
                                                                </w:div>
                                                                <w:div w:id="1083260271">
                                                                  <w:marLeft w:val="0"/>
                                                                  <w:marRight w:val="0"/>
                                                                  <w:marTop w:val="0"/>
                                                                  <w:marBottom w:val="0"/>
                                                                  <w:divBdr>
                                                                    <w:top w:val="none" w:sz="0" w:space="0" w:color="auto"/>
                                                                    <w:left w:val="none" w:sz="0" w:space="0" w:color="auto"/>
                                                                    <w:bottom w:val="none" w:sz="0" w:space="0" w:color="auto"/>
                                                                    <w:right w:val="none" w:sz="0" w:space="0" w:color="auto"/>
                                                                  </w:divBdr>
                                                                </w:div>
                                                                <w:div w:id="1143766417">
                                                                  <w:marLeft w:val="0"/>
                                                                  <w:marRight w:val="0"/>
                                                                  <w:marTop w:val="0"/>
                                                                  <w:marBottom w:val="0"/>
                                                                  <w:divBdr>
                                                                    <w:top w:val="none" w:sz="0" w:space="0" w:color="auto"/>
                                                                    <w:left w:val="none" w:sz="0" w:space="0" w:color="auto"/>
                                                                    <w:bottom w:val="none" w:sz="0" w:space="0" w:color="auto"/>
                                                                    <w:right w:val="none" w:sz="0" w:space="0" w:color="auto"/>
                                                                  </w:divBdr>
                                                                </w:div>
                                                                <w:div w:id="1144852464">
                                                                  <w:marLeft w:val="0"/>
                                                                  <w:marRight w:val="0"/>
                                                                  <w:marTop w:val="0"/>
                                                                  <w:marBottom w:val="0"/>
                                                                  <w:divBdr>
                                                                    <w:top w:val="none" w:sz="0" w:space="0" w:color="auto"/>
                                                                    <w:left w:val="none" w:sz="0" w:space="0" w:color="auto"/>
                                                                    <w:bottom w:val="none" w:sz="0" w:space="0" w:color="auto"/>
                                                                    <w:right w:val="none" w:sz="0" w:space="0" w:color="auto"/>
                                                                  </w:divBdr>
                                                                </w:div>
                                                                <w:div w:id="1220677506">
                                                                  <w:marLeft w:val="0"/>
                                                                  <w:marRight w:val="0"/>
                                                                  <w:marTop w:val="120"/>
                                                                  <w:marBottom w:val="120"/>
                                                                  <w:divBdr>
                                                                    <w:top w:val="none" w:sz="0" w:space="0" w:color="auto"/>
                                                                    <w:left w:val="none" w:sz="0" w:space="0" w:color="auto"/>
                                                                    <w:bottom w:val="none" w:sz="0" w:space="0" w:color="auto"/>
                                                                    <w:right w:val="none" w:sz="0" w:space="0" w:color="auto"/>
                                                                  </w:divBdr>
                                                                  <w:divsChild>
                                                                    <w:div w:id="36393203">
                                                                      <w:marLeft w:val="0"/>
                                                                      <w:marRight w:val="0"/>
                                                                      <w:marTop w:val="0"/>
                                                                      <w:marBottom w:val="0"/>
                                                                      <w:divBdr>
                                                                        <w:top w:val="none" w:sz="0" w:space="0" w:color="auto"/>
                                                                        <w:left w:val="none" w:sz="0" w:space="0" w:color="auto"/>
                                                                        <w:bottom w:val="none" w:sz="0" w:space="0" w:color="auto"/>
                                                                        <w:right w:val="none" w:sz="0" w:space="0" w:color="auto"/>
                                                                      </w:divBdr>
                                                                    </w:div>
                                                                    <w:div w:id="160583471">
                                                                      <w:marLeft w:val="0"/>
                                                                      <w:marRight w:val="0"/>
                                                                      <w:marTop w:val="0"/>
                                                                      <w:marBottom w:val="0"/>
                                                                      <w:divBdr>
                                                                        <w:top w:val="none" w:sz="0" w:space="0" w:color="auto"/>
                                                                        <w:left w:val="none" w:sz="0" w:space="0" w:color="auto"/>
                                                                        <w:bottom w:val="none" w:sz="0" w:space="0" w:color="auto"/>
                                                                        <w:right w:val="none" w:sz="0" w:space="0" w:color="auto"/>
                                                                      </w:divBdr>
                                                                    </w:div>
                                                                    <w:div w:id="197863979">
                                                                      <w:marLeft w:val="0"/>
                                                                      <w:marRight w:val="0"/>
                                                                      <w:marTop w:val="0"/>
                                                                      <w:marBottom w:val="0"/>
                                                                      <w:divBdr>
                                                                        <w:top w:val="none" w:sz="0" w:space="0" w:color="auto"/>
                                                                        <w:left w:val="none" w:sz="0" w:space="0" w:color="auto"/>
                                                                        <w:bottom w:val="none" w:sz="0" w:space="0" w:color="auto"/>
                                                                        <w:right w:val="none" w:sz="0" w:space="0" w:color="auto"/>
                                                                      </w:divBdr>
                                                                    </w:div>
                                                                    <w:div w:id="649753872">
                                                                      <w:marLeft w:val="0"/>
                                                                      <w:marRight w:val="0"/>
                                                                      <w:marTop w:val="0"/>
                                                                      <w:marBottom w:val="0"/>
                                                                      <w:divBdr>
                                                                        <w:top w:val="none" w:sz="0" w:space="0" w:color="auto"/>
                                                                        <w:left w:val="none" w:sz="0" w:space="0" w:color="auto"/>
                                                                        <w:bottom w:val="none" w:sz="0" w:space="0" w:color="auto"/>
                                                                        <w:right w:val="none" w:sz="0" w:space="0" w:color="auto"/>
                                                                      </w:divBdr>
                                                                    </w:div>
                                                                    <w:div w:id="650520640">
                                                                      <w:marLeft w:val="0"/>
                                                                      <w:marRight w:val="0"/>
                                                                      <w:marTop w:val="0"/>
                                                                      <w:marBottom w:val="0"/>
                                                                      <w:divBdr>
                                                                        <w:top w:val="none" w:sz="0" w:space="0" w:color="auto"/>
                                                                        <w:left w:val="none" w:sz="0" w:space="0" w:color="auto"/>
                                                                        <w:bottom w:val="none" w:sz="0" w:space="0" w:color="auto"/>
                                                                        <w:right w:val="none" w:sz="0" w:space="0" w:color="auto"/>
                                                                      </w:divBdr>
                                                                    </w:div>
                                                                    <w:div w:id="1253120847">
                                                                      <w:marLeft w:val="0"/>
                                                                      <w:marRight w:val="0"/>
                                                                      <w:marTop w:val="0"/>
                                                                      <w:marBottom w:val="0"/>
                                                                      <w:divBdr>
                                                                        <w:top w:val="none" w:sz="0" w:space="0" w:color="auto"/>
                                                                        <w:left w:val="none" w:sz="0" w:space="0" w:color="auto"/>
                                                                        <w:bottom w:val="none" w:sz="0" w:space="0" w:color="auto"/>
                                                                        <w:right w:val="none" w:sz="0" w:space="0" w:color="auto"/>
                                                                      </w:divBdr>
                                                                    </w:div>
                                                                    <w:div w:id="1472744630">
                                                                      <w:marLeft w:val="0"/>
                                                                      <w:marRight w:val="0"/>
                                                                      <w:marTop w:val="0"/>
                                                                      <w:marBottom w:val="0"/>
                                                                      <w:divBdr>
                                                                        <w:top w:val="none" w:sz="0" w:space="0" w:color="auto"/>
                                                                        <w:left w:val="none" w:sz="0" w:space="0" w:color="auto"/>
                                                                        <w:bottom w:val="none" w:sz="0" w:space="0" w:color="auto"/>
                                                                        <w:right w:val="none" w:sz="0" w:space="0" w:color="auto"/>
                                                                      </w:divBdr>
                                                                    </w:div>
                                                                  </w:divsChild>
                                                                </w:div>
                                                                <w:div w:id="1428386811">
                                                                  <w:marLeft w:val="0"/>
                                                                  <w:marRight w:val="0"/>
                                                                  <w:marTop w:val="0"/>
                                                                  <w:marBottom w:val="0"/>
                                                                  <w:divBdr>
                                                                    <w:top w:val="none" w:sz="0" w:space="0" w:color="auto"/>
                                                                    <w:left w:val="none" w:sz="0" w:space="0" w:color="auto"/>
                                                                    <w:bottom w:val="none" w:sz="0" w:space="0" w:color="auto"/>
                                                                    <w:right w:val="none" w:sz="0" w:space="0" w:color="auto"/>
                                                                  </w:divBdr>
                                                                </w:div>
                                                                <w:div w:id="1451824535">
                                                                  <w:marLeft w:val="0"/>
                                                                  <w:marRight w:val="0"/>
                                                                  <w:marTop w:val="0"/>
                                                                  <w:marBottom w:val="0"/>
                                                                  <w:divBdr>
                                                                    <w:top w:val="none" w:sz="0" w:space="0" w:color="auto"/>
                                                                    <w:left w:val="none" w:sz="0" w:space="0" w:color="auto"/>
                                                                    <w:bottom w:val="none" w:sz="0" w:space="0" w:color="auto"/>
                                                                    <w:right w:val="none" w:sz="0" w:space="0" w:color="auto"/>
                                                                  </w:divBdr>
                                                                </w:div>
                                                                <w:div w:id="1531603235">
                                                                  <w:marLeft w:val="0"/>
                                                                  <w:marRight w:val="0"/>
                                                                  <w:marTop w:val="0"/>
                                                                  <w:marBottom w:val="0"/>
                                                                  <w:divBdr>
                                                                    <w:top w:val="none" w:sz="0" w:space="0" w:color="auto"/>
                                                                    <w:left w:val="none" w:sz="0" w:space="0" w:color="auto"/>
                                                                    <w:bottom w:val="none" w:sz="0" w:space="0" w:color="auto"/>
                                                                    <w:right w:val="none" w:sz="0" w:space="0" w:color="auto"/>
                                                                  </w:divBdr>
                                                                </w:div>
                                                                <w:div w:id="1563638574">
                                                                  <w:marLeft w:val="0"/>
                                                                  <w:marRight w:val="0"/>
                                                                  <w:marTop w:val="0"/>
                                                                  <w:marBottom w:val="0"/>
                                                                  <w:divBdr>
                                                                    <w:top w:val="none" w:sz="0" w:space="0" w:color="auto"/>
                                                                    <w:left w:val="none" w:sz="0" w:space="0" w:color="auto"/>
                                                                    <w:bottom w:val="none" w:sz="0" w:space="0" w:color="auto"/>
                                                                    <w:right w:val="none" w:sz="0" w:space="0" w:color="auto"/>
                                                                  </w:divBdr>
                                                                </w:div>
                                                                <w:div w:id="1598320135">
                                                                  <w:marLeft w:val="0"/>
                                                                  <w:marRight w:val="0"/>
                                                                  <w:marTop w:val="0"/>
                                                                  <w:marBottom w:val="0"/>
                                                                  <w:divBdr>
                                                                    <w:top w:val="none" w:sz="0" w:space="0" w:color="auto"/>
                                                                    <w:left w:val="none" w:sz="0" w:space="0" w:color="auto"/>
                                                                    <w:bottom w:val="none" w:sz="0" w:space="0" w:color="auto"/>
                                                                    <w:right w:val="none" w:sz="0" w:space="0" w:color="auto"/>
                                                                  </w:divBdr>
                                                                </w:div>
                                                                <w:div w:id="1656379189">
                                                                  <w:marLeft w:val="0"/>
                                                                  <w:marRight w:val="0"/>
                                                                  <w:marTop w:val="0"/>
                                                                  <w:marBottom w:val="0"/>
                                                                  <w:divBdr>
                                                                    <w:top w:val="none" w:sz="0" w:space="0" w:color="auto"/>
                                                                    <w:left w:val="none" w:sz="0" w:space="0" w:color="auto"/>
                                                                    <w:bottom w:val="none" w:sz="0" w:space="0" w:color="auto"/>
                                                                    <w:right w:val="none" w:sz="0" w:space="0" w:color="auto"/>
                                                                  </w:divBdr>
                                                                </w:div>
                                                                <w:div w:id="2031058225">
                                                                  <w:marLeft w:val="0"/>
                                                                  <w:marRight w:val="0"/>
                                                                  <w:marTop w:val="0"/>
                                                                  <w:marBottom w:val="0"/>
                                                                  <w:divBdr>
                                                                    <w:top w:val="none" w:sz="0" w:space="0" w:color="auto"/>
                                                                    <w:left w:val="none" w:sz="0" w:space="0" w:color="auto"/>
                                                                    <w:bottom w:val="none" w:sz="0" w:space="0" w:color="auto"/>
                                                                    <w:right w:val="none" w:sz="0" w:space="0" w:color="auto"/>
                                                                  </w:divBdr>
                                                                </w:div>
                                                                <w:div w:id="2042316296">
                                                                  <w:marLeft w:val="0"/>
                                                                  <w:marRight w:val="0"/>
                                                                  <w:marTop w:val="0"/>
                                                                  <w:marBottom w:val="0"/>
                                                                  <w:divBdr>
                                                                    <w:top w:val="none" w:sz="0" w:space="0" w:color="auto"/>
                                                                    <w:left w:val="none" w:sz="0" w:space="0" w:color="auto"/>
                                                                    <w:bottom w:val="none" w:sz="0" w:space="0" w:color="auto"/>
                                                                    <w:right w:val="none" w:sz="0" w:space="0" w:color="auto"/>
                                                                  </w:divBdr>
                                                                </w:div>
                                                                <w:div w:id="2043554985">
                                                                  <w:marLeft w:val="0"/>
                                                                  <w:marRight w:val="0"/>
                                                                  <w:marTop w:val="120"/>
                                                                  <w:marBottom w:val="120"/>
                                                                  <w:divBdr>
                                                                    <w:top w:val="none" w:sz="0" w:space="0" w:color="auto"/>
                                                                    <w:left w:val="none" w:sz="0" w:space="0" w:color="auto"/>
                                                                    <w:bottom w:val="none" w:sz="0" w:space="0" w:color="auto"/>
                                                                    <w:right w:val="none" w:sz="0" w:space="0" w:color="auto"/>
                                                                  </w:divBdr>
                                                                  <w:divsChild>
                                                                    <w:div w:id="364059603">
                                                                      <w:marLeft w:val="0"/>
                                                                      <w:marRight w:val="0"/>
                                                                      <w:marTop w:val="0"/>
                                                                      <w:marBottom w:val="0"/>
                                                                      <w:divBdr>
                                                                        <w:top w:val="none" w:sz="0" w:space="0" w:color="auto"/>
                                                                        <w:left w:val="none" w:sz="0" w:space="0" w:color="auto"/>
                                                                        <w:bottom w:val="none" w:sz="0" w:space="0" w:color="auto"/>
                                                                        <w:right w:val="none" w:sz="0" w:space="0" w:color="auto"/>
                                                                      </w:divBdr>
                                                                    </w:div>
                                                                    <w:div w:id="483087356">
                                                                      <w:marLeft w:val="0"/>
                                                                      <w:marRight w:val="0"/>
                                                                      <w:marTop w:val="0"/>
                                                                      <w:marBottom w:val="0"/>
                                                                      <w:divBdr>
                                                                        <w:top w:val="none" w:sz="0" w:space="0" w:color="auto"/>
                                                                        <w:left w:val="none" w:sz="0" w:space="0" w:color="auto"/>
                                                                        <w:bottom w:val="none" w:sz="0" w:space="0" w:color="auto"/>
                                                                        <w:right w:val="none" w:sz="0" w:space="0" w:color="auto"/>
                                                                      </w:divBdr>
                                                                    </w:div>
                                                                  </w:divsChild>
                                                                </w:div>
                                                                <w:div w:id="2078631476">
                                                                  <w:marLeft w:val="0"/>
                                                                  <w:marRight w:val="0"/>
                                                                  <w:marTop w:val="0"/>
                                                                  <w:marBottom w:val="0"/>
                                                                  <w:divBdr>
                                                                    <w:top w:val="none" w:sz="0" w:space="0" w:color="auto"/>
                                                                    <w:left w:val="none" w:sz="0" w:space="0" w:color="auto"/>
                                                                    <w:bottom w:val="none" w:sz="0" w:space="0" w:color="auto"/>
                                                                    <w:right w:val="none" w:sz="0" w:space="0" w:color="auto"/>
                                                                  </w:divBdr>
                                                                </w:div>
                                                                <w:div w:id="208506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04796917">
      <w:bodyDiv w:val="1"/>
      <w:marLeft w:val="0"/>
      <w:marRight w:val="0"/>
      <w:marTop w:val="0"/>
      <w:marBottom w:val="0"/>
      <w:divBdr>
        <w:top w:val="none" w:sz="0" w:space="0" w:color="auto"/>
        <w:left w:val="none" w:sz="0" w:space="0" w:color="auto"/>
        <w:bottom w:val="none" w:sz="0" w:space="0" w:color="auto"/>
        <w:right w:val="none" w:sz="0" w:space="0" w:color="auto"/>
      </w:divBdr>
    </w:div>
    <w:div w:id="1605266921">
      <w:bodyDiv w:val="1"/>
      <w:marLeft w:val="0"/>
      <w:marRight w:val="0"/>
      <w:marTop w:val="0"/>
      <w:marBottom w:val="0"/>
      <w:divBdr>
        <w:top w:val="none" w:sz="0" w:space="0" w:color="auto"/>
        <w:left w:val="none" w:sz="0" w:space="0" w:color="auto"/>
        <w:bottom w:val="none" w:sz="0" w:space="0" w:color="auto"/>
        <w:right w:val="none" w:sz="0" w:space="0" w:color="auto"/>
      </w:divBdr>
      <w:divsChild>
        <w:div w:id="804351066">
          <w:marLeft w:val="0"/>
          <w:marRight w:val="0"/>
          <w:marTop w:val="0"/>
          <w:marBottom w:val="0"/>
          <w:divBdr>
            <w:top w:val="none" w:sz="0" w:space="0" w:color="auto"/>
            <w:left w:val="none" w:sz="0" w:space="0" w:color="auto"/>
            <w:bottom w:val="none" w:sz="0" w:space="0" w:color="auto"/>
            <w:right w:val="none" w:sz="0" w:space="0" w:color="auto"/>
          </w:divBdr>
          <w:divsChild>
            <w:div w:id="43259390">
              <w:marLeft w:val="0"/>
              <w:marRight w:val="0"/>
              <w:marTop w:val="0"/>
              <w:marBottom w:val="0"/>
              <w:divBdr>
                <w:top w:val="none" w:sz="0" w:space="0" w:color="auto"/>
                <w:left w:val="none" w:sz="0" w:space="0" w:color="auto"/>
                <w:bottom w:val="none" w:sz="0" w:space="0" w:color="auto"/>
                <w:right w:val="none" w:sz="0" w:space="0" w:color="auto"/>
              </w:divBdr>
              <w:divsChild>
                <w:div w:id="1856067046">
                  <w:marLeft w:val="0"/>
                  <w:marRight w:val="0"/>
                  <w:marTop w:val="0"/>
                  <w:marBottom w:val="0"/>
                  <w:divBdr>
                    <w:top w:val="none" w:sz="0" w:space="0" w:color="auto"/>
                    <w:left w:val="none" w:sz="0" w:space="0" w:color="auto"/>
                    <w:bottom w:val="none" w:sz="0" w:space="0" w:color="auto"/>
                    <w:right w:val="none" w:sz="0" w:space="0" w:color="auto"/>
                  </w:divBdr>
                  <w:divsChild>
                    <w:div w:id="1912889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606422422">
      <w:bodyDiv w:val="1"/>
      <w:marLeft w:val="0"/>
      <w:marRight w:val="0"/>
      <w:marTop w:val="0"/>
      <w:marBottom w:val="0"/>
      <w:divBdr>
        <w:top w:val="none" w:sz="0" w:space="0" w:color="auto"/>
        <w:left w:val="none" w:sz="0" w:space="0" w:color="auto"/>
        <w:bottom w:val="none" w:sz="0" w:space="0" w:color="auto"/>
        <w:right w:val="none" w:sz="0" w:space="0" w:color="auto"/>
      </w:divBdr>
      <w:divsChild>
        <w:div w:id="124203288">
          <w:marLeft w:val="0"/>
          <w:marRight w:val="0"/>
          <w:marTop w:val="43"/>
          <w:marBottom w:val="43"/>
          <w:divBdr>
            <w:top w:val="single" w:sz="4" w:space="0" w:color="auto"/>
            <w:left w:val="none" w:sz="0" w:space="0" w:color="auto"/>
            <w:bottom w:val="single" w:sz="4" w:space="0" w:color="auto"/>
            <w:right w:val="none" w:sz="0" w:space="0" w:color="auto"/>
          </w:divBdr>
        </w:div>
        <w:div w:id="207911823">
          <w:marLeft w:val="0"/>
          <w:marRight w:val="0"/>
          <w:marTop w:val="43"/>
          <w:marBottom w:val="43"/>
          <w:divBdr>
            <w:top w:val="single" w:sz="4" w:space="0" w:color="auto"/>
            <w:left w:val="none" w:sz="0" w:space="0" w:color="auto"/>
            <w:bottom w:val="single" w:sz="4" w:space="0" w:color="auto"/>
            <w:right w:val="none" w:sz="0" w:space="0" w:color="auto"/>
          </w:divBdr>
        </w:div>
        <w:div w:id="349642782">
          <w:marLeft w:val="0"/>
          <w:marRight w:val="0"/>
          <w:marTop w:val="43"/>
          <w:marBottom w:val="43"/>
          <w:divBdr>
            <w:top w:val="single" w:sz="4" w:space="0" w:color="auto"/>
            <w:left w:val="none" w:sz="0" w:space="0" w:color="auto"/>
            <w:bottom w:val="single" w:sz="4" w:space="0" w:color="auto"/>
            <w:right w:val="none" w:sz="0" w:space="0" w:color="auto"/>
          </w:divBdr>
        </w:div>
        <w:div w:id="734401491">
          <w:marLeft w:val="0"/>
          <w:marRight w:val="0"/>
          <w:marTop w:val="43"/>
          <w:marBottom w:val="43"/>
          <w:divBdr>
            <w:top w:val="single" w:sz="4" w:space="0" w:color="auto"/>
            <w:left w:val="none" w:sz="0" w:space="0" w:color="auto"/>
            <w:bottom w:val="single" w:sz="4" w:space="0" w:color="auto"/>
            <w:right w:val="none" w:sz="0" w:space="0" w:color="auto"/>
          </w:divBdr>
        </w:div>
        <w:div w:id="832768503">
          <w:marLeft w:val="0"/>
          <w:marRight w:val="0"/>
          <w:marTop w:val="43"/>
          <w:marBottom w:val="43"/>
          <w:divBdr>
            <w:top w:val="single" w:sz="4" w:space="0" w:color="auto"/>
            <w:left w:val="none" w:sz="0" w:space="0" w:color="auto"/>
            <w:bottom w:val="single" w:sz="4" w:space="0" w:color="auto"/>
            <w:right w:val="none" w:sz="0" w:space="0" w:color="auto"/>
          </w:divBdr>
        </w:div>
        <w:div w:id="841895371">
          <w:marLeft w:val="0"/>
          <w:marRight w:val="0"/>
          <w:marTop w:val="245"/>
          <w:marBottom w:val="43"/>
          <w:divBdr>
            <w:top w:val="single" w:sz="4" w:space="0" w:color="auto"/>
            <w:left w:val="none" w:sz="0" w:space="0" w:color="auto"/>
            <w:bottom w:val="single" w:sz="4" w:space="0" w:color="auto"/>
            <w:right w:val="none" w:sz="0" w:space="0" w:color="auto"/>
          </w:divBdr>
        </w:div>
        <w:div w:id="930625941">
          <w:marLeft w:val="0"/>
          <w:marRight w:val="0"/>
          <w:marTop w:val="43"/>
          <w:marBottom w:val="43"/>
          <w:divBdr>
            <w:top w:val="single" w:sz="4" w:space="0" w:color="auto"/>
            <w:left w:val="none" w:sz="0" w:space="0" w:color="auto"/>
            <w:bottom w:val="single" w:sz="4" w:space="0" w:color="auto"/>
            <w:right w:val="none" w:sz="0" w:space="0" w:color="auto"/>
          </w:divBdr>
        </w:div>
        <w:div w:id="1400324581">
          <w:marLeft w:val="0"/>
          <w:marRight w:val="0"/>
          <w:marTop w:val="43"/>
          <w:marBottom w:val="43"/>
          <w:divBdr>
            <w:top w:val="single" w:sz="4" w:space="0" w:color="DDDDDD"/>
            <w:left w:val="none" w:sz="0" w:space="0" w:color="auto"/>
            <w:bottom w:val="single" w:sz="4" w:space="0" w:color="EEEEEE"/>
            <w:right w:val="none" w:sz="0" w:space="0" w:color="auto"/>
          </w:divBdr>
        </w:div>
        <w:div w:id="1481730132">
          <w:marLeft w:val="0"/>
          <w:marRight w:val="0"/>
          <w:marTop w:val="43"/>
          <w:marBottom w:val="43"/>
          <w:divBdr>
            <w:top w:val="single" w:sz="4" w:space="0" w:color="auto"/>
            <w:left w:val="none" w:sz="0" w:space="0" w:color="auto"/>
            <w:bottom w:val="single" w:sz="4" w:space="0" w:color="auto"/>
            <w:right w:val="none" w:sz="0" w:space="0" w:color="auto"/>
          </w:divBdr>
        </w:div>
        <w:div w:id="1849323639">
          <w:marLeft w:val="0"/>
          <w:marRight w:val="0"/>
          <w:marTop w:val="43"/>
          <w:marBottom w:val="43"/>
          <w:divBdr>
            <w:top w:val="single" w:sz="4" w:space="0" w:color="auto"/>
            <w:left w:val="none" w:sz="0" w:space="0" w:color="auto"/>
            <w:bottom w:val="single" w:sz="4" w:space="0" w:color="auto"/>
            <w:right w:val="none" w:sz="0" w:space="0" w:color="auto"/>
          </w:divBdr>
        </w:div>
        <w:div w:id="1951663964">
          <w:marLeft w:val="0"/>
          <w:marRight w:val="0"/>
          <w:marTop w:val="43"/>
          <w:marBottom w:val="43"/>
          <w:divBdr>
            <w:top w:val="single" w:sz="4" w:space="0" w:color="auto"/>
            <w:left w:val="none" w:sz="0" w:space="0" w:color="auto"/>
            <w:bottom w:val="single" w:sz="4" w:space="0" w:color="auto"/>
            <w:right w:val="none" w:sz="0" w:space="0" w:color="auto"/>
          </w:divBdr>
        </w:div>
      </w:divsChild>
    </w:div>
    <w:div w:id="1617908765">
      <w:bodyDiv w:val="1"/>
      <w:marLeft w:val="0"/>
      <w:marRight w:val="0"/>
      <w:marTop w:val="0"/>
      <w:marBottom w:val="0"/>
      <w:divBdr>
        <w:top w:val="none" w:sz="0" w:space="0" w:color="auto"/>
        <w:left w:val="none" w:sz="0" w:space="0" w:color="auto"/>
        <w:bottom w:val="none" w:sz="0" w:space="0" w:color="auto"/>
        <w:right w:val="none" w:sz="0" w:space="0" w:color="auto"/>
      </w:divBdr>
      <w:divsChild>
        <w:div w:id="1301886832">
          <w:marLeft w:val="0"/>
          <w:marRight w:val="0"/>
          <w:marTop w:val="0"/>
          <w:marBottom w:val="0"/>
          <w:divBdr>
            <w:top w:val="none" w:sz="0" w:space="0" w:color="auto"/>
            <w:left w:val="none" w:sz="0" w:space="0" w:color="auto"/>
            <w:bottom w:val="none" w:sz="0" w:space="0" w:color="auto"/>
            <w:right w:val="none" w:sz="0" w:space="0" w:color="auto"/>
          </w:divBdr>
          <w:divsChild>
            <w:div w:id="873275656">
              <w:marLeft w:val="0"/>
              <w:marRight w:val="0"/>
              <w:marTop w:val="0"/>
              <w:marBottom w:val="0"/>
              <w:divBdr>
                <w:top w:val="none" w:sz="0" w:space="0" w:color="auto"/>
                <w:left w:val="none" w:sz="0" w:space="0" w:color="auto"/>
                <w:bottom w:val="none" w:sz="0" w:space="0" w:color="auto"/>
                <w:right w:val="none" w:sz="0" w:space="0" w:color="auto"/>
              </w:divBdr>
              <w:divsChild>
                <w:div w:id="14071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560238">
      <w:bodyDiv w:val="1"/>
      <w:marLeft w:val="0"/>
      <w:marRight w:val="0"/>
      <w:marTop w:val="0"/>
      <w:marBottom w:val="0"/>
      <w:divBdr>
        <w:top w:val="none" w:sz="0" w:space="0" w:color="auto"/>
        <w:left w:val="none" w:sz="0" w:space="0" w:color="auto"/>
        <w:bottom w:val="none" w:sz="0" w:space="0" w:color="auto"/>
        <w:right w:val="none" w:sz="0" w:space="0" w:color="auto"/>
      </w:divBdr>
    </w:div>
    <w:div w:id="1641302920">
      <w:bodyDiv w:val="1"/>
      <w:marLeft w:val="0"/>
      <w:marRight w:val="0"/>
      <w:marTop w:val="0"/>
      <w:marBottom w:val="0"/>
      <w:divBdr>
        <w:top w:val="none" w:sz="0" w:space="0" w:color="auto"/>
        <w:left w:val="none" w:sz="0" w:space="0" w:color="auto"/>
        <w:bottom w:val="none" w:sz="0" w:space="0" w:color="auto"/>
        <w:right w:val="none" w:sz="0" w:space="0" w:color="auto"/>
      </w:divBdr>
    </w:div>
    <w:div w:id="1653173116">
      <w:bodyDiv w:val="1"/>
      <w:marLeft w:val="0"/>
      <w:marRight w:val="0"/>
      <w:marTop w:val="0"/>
      <w:marBottom w:val="0"/>
      <w:divBdr>
        <w:top w:val="none" w:sz="0" w:space="0" w:color="auto"/>
        <w:left w:val="none" w:sz="0" w:space="0" w:color="auto"/>
        <w:bottom w:val="none" w:sz="0" w:space="0" w:color="auto"/>
        <w:right w:val="none" w:sz="0" w:space="0" w:color="auto"/>
      </w:divBdr>
      <w:divsChild>
        <w:div w:id="2105610759">
          <w:marLeft w:val="0"/>
          <w:marRight w:val="0"/>
          <w:marTop w:val="0"/>
          <w:marBottom w:val="0"/>
          <w:divBdr>
            <w:top w:val="none" w:sz="0" w:space="0" w:color="auto"/>
            <w:left w:val="none" w:sz="0" w:space="0" w:color="auto"/>
            <w:bottom w:val="none" w:sz="0" w:space="0" w:color="auto"/>
            <w:right w:val="none" w:sz="0" w:space="0" w:color="auto"/>
          </w:divBdr>
          <w:divsChild>
            <w:div w:id="183250510">
              <w:marLeft w:val="0"/>
              <w:marRight w:val="0"/>
              <w:marTop w:val="0"/>
              <w:marBottom w:val="0"/>
              <w:divBdr>
                <w:top w:val="none" w:sz="0" w:space="0" w:color="auto"/>
                <w:left w:val="none" w:sz="0" w:space="0" w:color="auto"/>
                <w:bottom w:val="none" w:sz="0" w:space="0" w:color="auto"/>
                <w:right w:val="none" w:sz="0" w:space="0" w:color="auto"/>
              </w:divBdr>
              <w:divsChild>
                <w:div w:id="285043373">
                  <w:marLeft w:val="0"/>
                  <w:marRight w:val="0"/>
                  <w:marTop w:val="0"/>
                  <w:marBottom w:val="0"/>
                  <w:divBdr>
                    <w:top w:val="none" w:sz="0" w:space="0" w:color="auto"/>
                    <w:left w:val="none" w:sz="0" w:space="0" w:color="auto"/>
                    <w:bottom w:val="none" w:sz="0" w:space="0" w:color="auto"/>
                    <w:right w:val="none" w:sz="0" w:space="0" w:color="auto"/>
                  </w:divBdr>
                  <w:divsChild>
                    <w:div w:id="461726534">
                      <w:marLeft w:val="0"/>
                      <w:marRight w:val="0"/>
                      <w:marTop w:val="0"/>
                      <w:marBottom w:val="0"/>
                      <w:divBdr>
                        <w:top w:val="none" w:sz="0" w:space="0" w:color="auto"/>
                        <w:left w:val="none" w:sz="0" w:space="0" w:color="auto"/>
                        <w:bottom w:val="none" w:sz="0" w:space="0" w:color="auto"/>
                        <w:right w:val="none" w:sz="0" w:space="0" w:color="auto"/>
                      </w:divBdr>
                      <w:divsChild>
                        <w:div w:id="1122378506">
                          <w:marLeft w:val="0"/>
                          <w:marRight w:val="0"/>
                          <w:marTop w:val="0"/>
                          <w:marBottom w:val="0"/>
                          <w:divBdr>
                            <w:top w:val="none" w:sz="0" w:space="0" w:color="auto"/>
                            <w:left w:val="none" w:sz="0" w:space="0" w:color="auto"/>
                            <w:bottom w:val="none" w:sz="0" w:space="0" w:color="auto"/>
                            <w:right w:val="none" w:sz="0" w:space="0" w:color="auto"/>
                          </w:divBdr>
                          <w:divsChild>
                            <w:div w:id="182480031">
                              <w:marLeft w:val="0"/>
                              <w:marRight w:val="0"/>
                              <w:marTop w:val="0"/>
                              <w:marBottom w:val="0"/>
                              <w:divBdr>
                                <w:top w:val="none" w:sz="0" w:space="0" w:color="auto"/>
                                <w:left w:val="none" w:sz="0" w:space="0" w:color="auto"/>
                                <w:bottom w:val="none" w:sz="0" w:space="0" w:color="auto"/>
                                <w:right w:val="none" w:sz="0" w:space="0" w:color="auto"/>
                              </w:divBdr>
                              <w:divsChild>
                                <w:div w:id="103889505">
                                  <w:marLeft w:val="0"/>
                                  <w:marRight w:val="0"/>
                                  <w:marTop w:val="0"/>
                                  <w:marBottom w:val="0"/>
                                  <w:divBdr>
                                    <w:top w:val="none" w:sz="0" w:space="0" w:color="auto"/>
                                    <w:left w:val="none" w:sz="0" w:space="0" w:color="auto"/>
                                    <w:bottom w:val="none" w:sz="0" w:space="0" w:color="auto"/>
                                    <w:right w:val="none" w:sz="0" w:space="0" w:color="auto"/>
                                  </w:divBdr>
                                  <w:divsChild>
                                    <w:div w:id="447546292">
                                      <w:marLeft w:val="0"/>
                                      <w:marRight w:val="0"/>
                                      <w:marTop w:val="0"/>
                                      <w:marBottom w:val="0"/>
                                      <w:divBdr>
                                        <w:top w:val="none" w:sz="0" w:space="0" w:color="auto"/>
                                        <w:left w:val="none" w:sz="0" w:space="0" w:color="auto"/>
                                        <w:bottom w:val="none" w:sz="0" w:space="0" w:color="auto"/>
                                        <w:right w:val="none" w:sz="0" w:space="0" w:color="auto"/>
                                      </w:divBdr>
                                    </w:div>
                                    <w:div w:id="1827743210">
                                      <w:marLeft w:val="0"/>
                                      <w:marRight w:val="0"/>
                                      <w:marTop w:val="0"/>
                                      <w:marBottom w:val="0"/>
                                      <w:divBdr>
                                        <w:top w:val="none" w:sz="0" w:space="0" w:color="auto"/>
                                        <w:left w:val="none" w:sz="0" w:space="0" w:color="auto"/>
                                        <w:bottom w:val="none" w:sz="0" w:space="0" w:color="auto"/>
                                        <w:right w:val="none" w:sz="0" w:space="0" w:color="auto"/>
                                      </w:divBdr>
                                    </w:div>
                                  </w:divsChild>
                                </w:div>
                                <w:div w:id="502476672">
                                  <w:marLeft w:val="0"/>
                                  <w:marRight w:val="0"/>
                                  <w:marTop w:val="0"/>
                                  <w:marBottom w:val="0"/>
                                  <w:divBdr>
                                    <w:top w:val="none" w:sz="0" w:space="0" w:color="auto"/>
                                    <w:left w:val="none" w:sz="0" w:space="0" w:color="auto"/>
                                    <w:bottom w:val="none" w:sz="0" w:space="0" w:color="auto"/>
                                    <w:right w:val="none" w:sz="0" w:space="0" w:color="auto"/>
                                  </w:divBdr>
                                  <w:divsChild>
                                    <w:div w:id="111100738">
                                      <w:marLeft w:val="0"/>
                                      <w:marRight w:val="0"/>
                                      <w:marTop w:val="0"/>
                                      <w:marBottom w:val="0"/>
                                      <w:divBdr>
                                        <w:top w:val="none" w:sz="0" w:space="0" w:color="auto"/>
                                        <w:left w:val="none" w:sz="0" w:space="0" w:color="auto"/>
                                        <w:bottom w:val="none" w:sz="0" w:space="0" w:color="auto"/>
                                        <w:right w:val="none" w:sz="0" w:space="0" w:color="auto"/>
                                      </w:divBdr>
                                    </w:div>
                                    <w:div w:id="1409695007">
                                      <w:marLeft w:val="0"/>
                                      <w:marRight w:val="0"/>
                                      <w:marTop w:val="0"/>
                                      <w:marBottom w:val="0"/>
                                      <w:divBdr>
                                        <w:top w:val="none" w:sz="0" w:space="0" w:color="auto"/>
                                        <w:left w:val="none" w:sz="0" w:space="0" w:color="auto"/>
                                        <w:bottom w:val="none" w:sz="0" w:space="0" w:color="auto"/>
                                        <w:right w:val="none" w:sz="0" w:space="0" w:color="auto"/>
                                      </w:divBdr>
                                    </w:div>
                                    <w:div w:id="1869027544">
                                      <w:marLeft w:val="0"/>
                                      <w:marRight w:val="0"/>
                                      <w:marTop w:val="0"/>
                                      <w:marBottom w:val="0"/>
                                      <w:divBdr>
                                        <w:top w:val="none" w:sz="0" w:space="0" w:color="auto"/>
                                        <w:left w:val="none" w:sz="0" w:space="0" w:color="auto"/>
                                        <w:bottom w:val="none" w:sz="0" w:space="0" w:color="auto"/>
                                        <w:right w:val="none" w:sz="0" w:space="0" w:color="auto"/>
                                      </w:divBdr>
                                    </w:div>
                                  </w:divsChild>
                                </w:div>
                                <w:div w:id="566384546">
                                  <w:marLeft w:val="0"/>
                                  <w:marRight w:val="0"/>
                                  <w:marTop w:val="0"/>
                                  <w:marBottom w:val="0"/>
                                  <w:divBdr>
                                    <w:top w:val="none" w:sz="0" w:space="0" w:color="auto"/>
                                    <w:left w:val="none" w:sz="0" w:space="0" w:color="auto"/>
                                    <w:bottom w:val="none" w:sz="0" w:space="0" w:color="auto"/>
                                    <w:right w:val="none" w:sz="0" w:space="0" w:color="auto"/>
                                  </w:divBdr>
                                  <w:divsChild>
                                    <w:div w:id="574244865">
                                      <w:marLeft w:val="0"/>
                                      <w:marRight w:val="0"/>
                                      <w:marTop w:val="0"/>
                                      <w:marBottom w:val="0"/>
                                      <w:divBdr>
                                        <w:top w:val="none" w:sz="0" w:space="0" w:color="auto"/>
                                        <w:left w:val="none" w:sz="0" w:space="0" w:color="auto"/>
                                        <w:bottom w:val="none" w:sz="0" w:space="0" w:color="auto"/>
                                        <w:right w:val="none" w:sz="0" w:space="0" w:color="auto"/>
                                      </w:divBdr>
                                    </w:div>
                                    <w:div w:id="1696224246">
                                      <w:marLeft w:val="0"/>
                                      <w:marRight w:val="0"/>
                                      <w:marTop w:val="0"/>
                                      <w:marBottom w:val="0"/>
                                      <w:divBdr>
                                        <w:top w:val="none" w:sz="0" w:space="0" w:color="auto"/>
                                        <w:left w:val="none" w:sz="0" w:space="0" w:color="auto"/>
                                        <w:bottom w:val="none" w:sz="0" w:space="0" w:color="auto"/>
                                        <w:right w:val="none" w:sz="0" w:space="0" w:color="auto"/>
                                      </w:divBdr>
                                    </w:div>
                                  </w:divsChild>
                                </w:div>
                                <w:div w:id="781072243">
                                  <w:marLeft w:val="0"/>
                                  <w:marRight w:val="0"/>
                                  <w:marTop w:val="0"/>
                                  <w:marBottom w:val="0"/>
                                  <w:divBdr>
                                    <w:top w:val="none" w:sz="0" w:space="0" w:color="auto"/>
                                    <w:left w:val="none" w:sz="0" w:space="0" w:color="auto"/>
                                    <w:bottom w:val="none" w:sz="0" w:space="0" w:color="auto"/>
                                    <w:right w:val="none" w:sz="0" w:space="0" w:color="auto"/>
                                  </w:divBdr>
                                </w:div>
                                <w:div w:id="920918164">
                                  <w:marLeft w:val="0"/>
                                  <w:marRight w:val="0"/>
                                  <w:marTop w:val="0"/>
                                  <w:marBottom w:val="0"/>
                                  <w:divBdr>
                                    <w:top w:val="none" w:sz="0" w:space="0" w:color="auto"/>
                                    <w:left w:val="none" w:sz="0" w:space="0" w:color="auto"/>
                                    <w:bottom w:val="none" w:sz="0" w:space="0" w:color="auto"/>
                                    <w:right w:val="none" w:sz="0" w:space="0" w:color="auto"/>
                                  </w:divBdr>
                                </w:div>
                                <w:div w:id="979727897">
                                  <w:marLeft w:val="0"/>
                                  <w:marRight w:val="0"/>
                                  <w:marTop w:val="0"/>
                                  <w:marBottom w:val="0"/>
                                  <w:divBdr>
                                    <w:top w:val="none" w:sz="0" w:space="0" w:color="auto"/>
                                    <w:left w:val="none" w:sz="0" w:space="0" w:color="auto"/>
                                    <w:bottom w:val="none" w:sz="0" w:space="0" w:color="auto"/>
                                    <w:right w:val="none" w:sz="0" w:space="0" w:color="auto"/>
                                  </w:divBdr>
                                </w:div>
                                <w:div w:id="1017999388">
                                  <w:marLeft w:val="0"/>
                                  <w:marRight w:val="0"/>
                                  <w:marTop w:val="0"/>
                                  <w:marBottom w:val="0"/>
                                  <w:divBdr>
                                    <w:top w:val="none" w:sz="0" w:space="0" w:color="auto"/>
                                    <w:left w:val="none" w:sz="0" w:space="0" w:color="auto"/>
                                    <w:bottom w:val="none" w:sz="0" w:space="0" w:color="auto"/>
                                    <w:right w:val="none" w:sz="0" w:space="0" w:color="auto"/>
                                  </w:divBdr>
                                </w:div>
                                <w:div w:id="1107505564">
                                  <w:marLeft w:val="0"/>
                                  <w:marRight w:val="0"/>
                                  <w:marTop w:val="0"/>
                                  <w:marBottom w:val="0"/>
                                  <w:divBdr>
                                    <w:top w:val="none" w:sz="0" w:space="0" w:color="auto"/>
                                    <w:left w:val="none" w:sz="0" w:space="0" w:color="auto"/>
                                    <w:bottom w:val="none" w:sz="0" w:space="0" w:color="auto"/>
                                    <w:right w:val="none" w:sz="0" w:space="0" w:color="auto"/>
                                  </w:divBdr>
                                </w:div>
                                <w:div w:id="1228689810">
                                  <w:marLeft w:val="0"/>
                                  <w:marRight w:val="0"/>
                                  <w:marTop w:val="0"/>
                                  <w:marBottom w:val="0"/>
                                  <w:divBdr>
                                    <w:top w:val="none" w:sz="0" w:space="0" w:color="auto"/>
                                    <w:left w:val="none" w:sz="0" w:space="0" w:color="auto"/>
                                    <w:bottom w:val="none" w:sz="0" w:space="0" w:color="auto"/>
                                    <w:right w:val="none" w:sz="0" w:space="0" w:color="auto"/>
                                  </w:divBdr>
                                </w:div>
                                <w:div w:id="1504933773">
                                  <w:marLeft w:val="0"/>
                                  <w:marRight w:val="0"/>
                                  <w:marTop w:val="0"/>
                                  <w:marBottom w:val="0"/>
                                  <w:divBdr>
                                    <w:top w:val="none" w:sz="0" w:space="0" w:color="auto"/>
                                    <w:left w:val="none" w:sz="0" w:space="0" w:color="auto"/>
                                    <w:bottom w:val="none" w:sz="0" w:space="0" w:color="auto"/>
                                    <w:right w:val="none" w:sz="0" w:space="0" w:color="auto"/>
                                  </w:divBdr>
                                </w:div>
                                <w:div w:id="1782413718">
                                  <w:marLeft w:val="0"/>
                                  <w:marRight w:val="0"/>
                                  <w:marTop w:val="0"/>
                                  <w:marBottom w:val="0"/>
                                  <w:divBdr>
                                    <w:top w:val="none" w:sz="0" w:space="0" w:color="auto"/>
                                    <w:left w:val="none" w:sz="0" w:space="0" w:color="auto"/>
                                    <w:bottom w:val="none" w:sz="0" w:space="0" w:color="auto"/>
                                    <w:right w:val="none" w:sz="0" w:space="0" w:color="auto"/>
                                  </w:divBdr>
                                </w:div>
                                <w:div w:id="1942644617">
                                  <w:marLeft w:val="0"/>
                                  <w:marRight w:val="0"/>
                                  <w:marTop w:val="0"/>
                                  <w:marBottom w:val="0"/>
                                  <w:divBdr>
                                    <w:top w:val="none" w:sz="0" w:space="0" w:color="auto"/>
                                    <w:left w:val="none" w:sz="0" w:space="0" w:color="auto"/>
                                    <w:bottom w:val="none" w:sz="0" w:space="0" w:color="auto"/>
                                    <w:right w:val="none" w:sz="0" w:space="0" w:color="auto"/>
                                  </w:divBdr>
                                </w:div>
                                <w:div w:id="2071225640">
                                  <w:marLeft w:val="0"/>
                                  <w:marRight w:val="0"/>
                                  <w:marTop w:val="0"/>
                                  <w:marBottom w:val="0"/>
                                  <w:divBdr>
                                    <w:top w:val="none" w:sz="0" w:space="0" w:color="auto"/>
                                    <w:left w:val="none" w:sz="0" w:space="0" w:color="auto"/>
                                    <w:bottom w:val="none" w:sz="0" w:space="0" w:color="auto"/>
                                    <w:right w:val="none" w:sz="0" w:space="0" w:color="auto"/>
                                  </w:divBdr>
                                </w:div>
                                <w:div w:id="2108118456">
                                  <w:marLeft w:val="0"/>
                                  <w:marRight w:val="0"/>
                                  <w:marTop w:val="0"/>
                                  <w:marBottom w:val="0"/>
                                  <w:divBdr>
                                    <w:top w:val="none" w:sz="0" w:space="0" w:color="auto"/>
                                    <w:left w:val="none" w:sz="0" w:space="0" w:color="auto"/>
                                    <w:bottom w:val="none" w:sz="0" w:space="0" w:color="auto"/>
                                    <w:right w:val="none" w:sz="0" w:space="0" w:color="auto"/>
                                  </w:divBdr>
                                </w:div>
                              </w:divsChild>
                            </w:div>
                            <w:div w:id="197740013">
                              <w:marLeft w:val="0"/>
                              <w:marRight w:val="0"/>
                              <w:marTop w:val="0"/>
                              <w:marBottom w:val="0"/>
                              <w:divBdr>
                                <w:top w:val="none" w:sz="0" w:space="0" w:color="auto"/>
                                <w:left w:val="none" w:sz="0" w:space="0" w:color="auto"/>
                                <w:bottom w:val="none" w:sz="0" w:space="0" w:color="auto"/>
                                <w:right w:val="none" w:sz="0" w:space="0" w:color="auto"/>
                              </w:divBdr>
                            </w:div>
                            <w:div w:id="791552947">
                              <w:marLeft w:val="0"/>
                              <w:marRight w:val="0"/>
                              <w:marTop w:val="0"/>
                              <w:marBottom w:val="0"/>
                              <w:divBdr>
                                <w:top w:val="none" w:sz="0" w:space="0" w:color="auto"/>
                                <w:left w:val="none" w:sz="0" w:space="0" w:color="auto"/>
                                <w:bottom w:val="none" w:sz="0" w:space="0" w:color="auto"/>
                                <w:right w:val="none" w:sz="0" w:space="0" w:color="auto"/>
                              </w:divBdr>
                              <w:divsChild>
                                <w:div w:id="978732009">
                                  <w:marLeft w:val="0"/>
                                  <w:marRight w:val="0"/>
                                  <w:marTop w:val="0"/>
                                  <w:marBottom w:val="0"/>
                                  <w:divBdr>
                                    <w:top w:val="none" w:sz="0" w:space="0" w:color="auto"/>
                                    <w:left w:val="none" w:sz="0" w:space="0" w:color="auto"/>
                                    <w:bottom w:val="none" w:sz="0" w:space="0" w:color="auto"/>
                                    <w:right w:val="none" w:sz="0" w:space="0" w:color="auto"/>
                                  </w:divBdr>
                                </w:div>
                                <w:div w:id="1352756296">
                                  <w:marLeft w:val="0"/>
                                  <w:marRight w:val="0"/>
                                  <w:marTop w:val="0"/>
                                  <w:marBottom w:val="0"/>
                                  <w:divBdr>
                                    <w:top w:val="none" w:sz="0" w:space="0" w:color="auto"/>
                                    <w:left w:val="none" w:sz="0" w:space="0" w:color="auto"/>
                                    <w:bottom w:val="none" w:sz="0" w:space="0" w:color="auto"/>
                                    <w:right w:val="none" w:sz="0" w:space="0" w:color="auto"/>
                                  </w:divBdr>
                                </w:div>
                              </w:divsChild>
                            </w:div>
                            <w:div w:id="794369344">
                              <w:marLeft w:val="0"/>
                              <w:marRight w:val="0"/>
                              <w:marTop w:val="0"/>
                              <w:marBottom w:val="0"/>
                              <w:divBdr>
                                <w:top w:val="none" w:sz="0" w:space="0" w:color="auto"/>
                                <w:left w:val="none" w:sz="0" w:space="0" w:color="auto"/>
                                <w:bottom w:val="none" w:sz="0" w:space="0" w:color="auto"/>
                                <w:right w:val="none" w:sz="0" w:space="0" w:color="auto"/>
                              </w:divBdr>
                            </w:div>
                          </w:divsChild>
                        </w:div>
                        <w:div w:id="1618680521">
                          <w:marLeft w:val="0"/>
                          <w:marRight w:val="0"/>
                          <w:marTop w:val="0"/>
                          <w:marBottom w:val="0"/>
                          <w:divBdr>
                            <w:top w:val="none" w:sz="0" w:space="0" w:color="auto"/>
                            <w:left w:val="none" w:sz="0" w:space="0" w:color="auto"/>
                            <w:bottom w:val="none" w:sz="0" w:space="0" w:color="auto"/>
                            <w:right w:val="none" w:sz="0" w:space="0" w:color="auto"/>
                          </w:divBdr>
                          <w:divsChild>
                            <w:div w:id="185952163">
                              <w:marLeft w:val="0"/>
                              <w:marRight w:val="0"/>
                              <w:marTop w:val="0"/>
                              <w:marBottom w:val="0"/>
                              <w:divBdr>
                                <w:top w:val="none" w:sz="0" w:space="0" w:color="auto"/>
                                <w:left w:val="none" w:sz="0" w:space="0" w:color="auto"/>
                                <w:bottom w:val="none" w:sz="0" w:space="0" w:color="auto"/>
                                <w:right w:val="none" w:sz="0" w:space="0" w:color="auto"/>
                              </w:divBdr>
                            </w:div>
                            <w:div w:id="262306680">
                              <w:marLeft w:val="0"/>
                              <w:marRight w:val="0"/>
                              <w:marTop w:val="0"/>
                              <w:marBottom w:val="0"/>
                              <w:divBdr>
                                <w:top w:val="none" w:sz="0" w:space="0" w:color="auto"/>
                                <w:left w:val="none" w:sz="0" w:space="0" w:color="auto"/>
                                <w:bottom w:val="none" w:sz="0" w:space="0" w:color="auto"/>
                                <w:right w:val="none" w:sz="0" w:space="0" w:color="auto"/>
                              </w:divBdr>
                            </w:div>
                            <w:div w:id="1478231492">
                              <w:marLeft w:val="0"/>
                              <w:marRight w:val="0"/>
                              <w:marTop w:val="0"/>
                              <w:marBottom w:val="0"/>
                              <w:divBdr>
                                <w:top w:val="none" w:sz="0" w:space="0" w:color="auto"/>
                                <w:left w:val="none" w:sz="0" w:space="0" w:color="auto"/>
                                <w:bottom w:val="none" w:sz="0" w:space="0" w:color="auto"/>
                                <w:right w:val="none" w:sz="0" w:space="0" w:color="auto"/>
                              </w:divBdr>
                            </w:div>
                            <w:div w:id="1836993335">
                              <w:marLeft w:val="0"/>
                              <w:marRight w:val="0"/>
                              <w:marTop w:val="0"/>
                              <w:marBottom w:val="0"/>
                              <w:divBdr>
                                <w:top w:val="none" w:sz="0" w:space="0" w:color="auto"/>
                                <w:left w:val="none" w:sz="0" w:space="0" w:color="auto"/>
                                <w:bottom w:val="none" w:sz="0" w:space="0" w:color="auto"/>
                                <w:right w:val="none" w:sz="0" w:space="0" w:color="auto"/>
                              </w:divBdr>
                              <w:divsChild>
                                <w:div w:id="73819376">
                                  <w:marLeft w:val="0"/>
                                  <w:marRight w:val="0"/>
                                  <w:marTop w:val="0"/>
                                  <w:marBottom w:val="0"/>
                                  <w:divBdr>
                                    <w:top w:val="none" w:sz="0" w:space="0" w:color="auto"/>
                                    <w:left w:val="none" w:sz="0" w:space="0" w:color="auto"/>
                                    <w:bottom w:val="none" w:sz="0" w:space="0" w:color="auto"/>
                                    <w:right w:val="none" w:sz="0" w:space="0" w:color="auto"/>
                                  </w:divBdr>
                                </w:div>
                                <w:div w:id="1099638528">
                                  <w:marLeft w:val="0"/>
                                  <w:marRight w:val="0"/>
                                  <w:marTop w:val="0"/>
                                  <w:marBottom w:val="0"/>
                                  <w:divBdr>
                                    <w:top w:val="none" w:sz="0" w:space="0" w:color="auto"/>
                                    <w:left w:val="none" w:sz="0" w:space="0" w:color="auto"/>
                                    <w:bottom w:val="none" w:sz="0" w:space="0" w:color="auto"/>
                                    <w:right w:val="none" w:sz="0" w:space="0" w:color="auto"/>
                                  </w:divBdr>
                                  <w:divsChild>
                                    <w:div w:id="195235343">
                                      <w:marLeft w:val="0"/>
                                      <w:marRight w:val="0"/>
                                      <w:marTop w:val="0"/>
                                      <w:marBottom w:val="0"/>
                                      <w:divBdr>
                                        <w:top w:val="none" w:sz="0" w:space="0" w:color="auto"/>
                                        <w:left w:val="none" w:sz="0" w:space="0" w:color="auto"/>
                                        <w:bottom w:val="none" w:sz="0" w:space="0" w:color="auto"/>
                                        <w:right w:val="none" w:sz="0" w:space="0" w:color="auto"/>
                                      </w:divBdr>
                                    </w:div>
                                    <w:div w:id="1733387209">
                                      <w:marLeft w:val="0"/>
                                      <w:marRight w:val="0"/>
                                      <w:marTop w:val="0"/>
                                      <w:marBottom w:val="0"/>
                                      <w:divBdr>
                                        <w:top w:val="none" w:sz="0" w:space="0" w:color="auto"/>
                                        <w:left w:val="none" w:sz="0" w:space="0" w:color="auto"/>
                                        <w:bottom w:val="none" w:sz="0" w:space="0" w:color="auto"/>
                                        <w:right w:val="none" w:sz="0" w:space="0" w:color="auto"/>
                                      </w:divBdr>
                                    </w:div>
                                  </w:divsChild>
                                </w:div>
                                <w:div w:id="1147818046">
                                  <w:marLeft w:val="0"/>
                                  <w:marRight w:val="0"/>
                                  <w:marTop w:val="0"/>
                                  <w:marBottom w:val="0"/>
                                  <w:divBdr>
                                    <w:top w:val="none" w:sz="0" w:space="0" w:color="auto"/>
                                    <w:left w:val="none" w:sz="0" w:space="0" w:color="auto"/>
                                    <w:bottom w:val="none" w:sz="0" w:space="0" w:color="auto"/>
                                    <w:right w:val="none" w:sz="0" w:space="0" w:color="auto"/>
                                  </w:divBdr>
                                </w:div>
                                <w:div w:id="135249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497151">
      <w:bodyDiv w:val="1"/>
      <w:marLeft w:val="0"/>
      <w:marRight w:val="0"/>
      <w:marTop w:val="0"/>
      <w:marBottom w:val="0"/>
      <w:divBdr>
        <w:top w:val="none" w:sz="0" w:space="0" w:color="auto"/>
        <w:left w:val="none" w:sz="0" w:space="0" w:color="auto"/>
        <w:bottom w:val="none" w:sz="0" w:space="0" w:color="auto"/>
        <w:right w:val="none" w:sz="0" w:space="0" w:color="auto"/>
      </w:divBdr>
    </w:div>
    <w:div w:id="1675182748">
      <w:bodyDiv w:val="1"/>
      <w:marLeft w:val="0"/>
      <w:marRight w:val="0"/>
      <w:marTop w:val="0"/>
      <w:marBottom w:val="0"/>
      <w:divBdr>
        <w:top w:val="none" w:sz="0" w:space="0" w:color="auto"/>
        <w:left w:val="none" w:sz="0" w:space="0" w:color="auto"/>
        <w:bottom w:val="none" w:sz="0" w:space="0" w:color="auto"/>
        <w:right w:val="none" w:sz="0" w:space="0" w:color="auto"/>
      </w:divBdr>
      <w:divsChild>
        <w:div w:id="748310476">
          <w:marLeft w:val="0"/>
          <w:marRight w:val="0"/>
          <w:marTop w:val="0"/>
          <w:marBottom w:val="0"/>
          <w:divBdr>
            <w:top w:val="none" w:sz="0" w:space="0" w:color="auto"/>
            <w:left w:val="none" w:sz="0" w:space="0" w:color="auto"/>
            <w:bottom w:val="none" w:sz="0" w:space="0" w:color="auto"/>
            <w:right w:val="none" w:sz="0" w:space="0" w:color="auto"/>
          </w:divBdr>
          <w:divsChild>
            <w:div w:id="571736315">
              <w:marLeft w:val="0"/>
              <w:marRight w:val="0"/>
              <w:marTop w:val="0"/>
              <w:marBottom w:val="0"/>
              <w:divBdr>
                <w:top w:val="none" w:sz="0" w:space="0" w:color="auto"/>
                <w:left w:val="none" w:sz="0" w:space="0" w:color="auto"/>
                <w:bottom w:val="none" w:sz="0" w:space="0" w:color="auto"/>
                <w:right w:val="none" w:sz="0" w:space="0" w:color="auto"/>
              </w:divBdr>
              <w:divsChild>
                <w:div w:id="641665195">
                  <w:marLeft w:val="0"/>
                  <w:marRight w:val="0"/>
                  <w:marTop w:val="0"/>
                  <w:marBottom w:val="0"/>
                  <w:divBdr>
                    <w:top w:val="none" w:sz="0" w:space="0" w:color="auto"/>
                    <w:left w:val="none" w:sz="0" w:space="0" w:color="auto"/>
                    <w:bottom w:val="none" w:sz="0" w:space="0" w:color="auto"/>
                    <w:right w:val="none" w:sz="0" w:space="0" w:color="auto"/>
                  </w:divBdr>
                  <w:divsChild>
                    <w:div w:id="36027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154672">
      <w:bodyDiv w:val="1"/>
      <w:marLeft w:val="0"/>
      <w:marRight w:val="0"/>
      <w:marTop w:val="0"/>
      <w:marBottom w:val="0"/>
      <w:divBdr>
        <w:top w:val="none" w:sz="0" w:space="0" w:color="auto"/>
        <w:left w:val="none" w:sz="0" w:space="0" w:color="auto"/>
        <w:bottom w:val="none" w:sz="0" w:space="0" w:color="auto"/>
        <w:right w:val="none" w:sz="0" w:space="0" w:color="auto"/>
      </w:divBdr>
    </w:div>
    <w:div w:id="1679885836">
      <w:bodyDiv w:val="1"/>
      <w:marLeft w:val="0"/>
      <w:marRight w:val="0"/>
      <w:marTop w:val="0"/>
      <w:marBottom w:val="0"/>
      <w:divBdr>
        <w:top w:val="none" w:sz="0" w:space="0" w:color="auto"/>
        <w:left w:val="none" w:sz="0" w:space="0" w:color="auto"/>
        <w:bottom w:val="none" w:sz="0" w:space="0" w:color="auto"/>
        <w:right w:val="none" w:sz="0" w:space="0" w:color="auto"/>
      </w:divBdr>
    </w:div>
    <w:div w:id="1687898647">
      <w:bodyDiv w:val="1"/>
      <w:marLeft w:val="0"/>
      <w:marRight w:val="0"/>
      <w:marTop w:val="0"/>
      <w:marBottom w:val="0"/>
      <w:divBdr>
        <w:top w:val="none" w:sz="0" w:space="0" w:color="auto"/>
        <w:left w:val="none" w:sz="0" w:space="0" w:color="auto"/>
        <w:bottom w:val="none" w:sz="0" w:space="0" w:color="auto"/>
        <w:right w:val="none" w:sz="0" w:space="0" w:color="auto"/>
      </w:divBdr>
    </w:div>
    <w:div w:id="1688216401">
      <w:bodyDiv w:val="1"/>
      <w:marLeft w:val="0"/>
      <w:marRight w:val="0"/>
      <w:marTop w:val="0"/>
      <w:marBottom w:val="0"/>
      <w:divBdr>
        <w:top w:val="none" w:sz="0" w:space="0" w:color="auto"/>
        <w:left w:val="none" w:sz="0" w:space="0" w:color="auto"/>
        <w:bottom w:val="none" w:sz="0" w:space="0" w:color="auto"/>
        <w:right w:val="none" w:sz="0" w:space="0" w:color="auto"/>
      </w:divBdr>
    </w:div>
    <w:div w:id="1691644242">
      <w:bodyDiv w:val="1"/>
      <w:marLeft w:val="0"/>
      <w:marRight w:val="0"/>
      <w:marTop w:val="0"/>
      <w:marBottom w:val="0"/>
      <w:divBdr>
        <w:top w:val="none" w:sz="0" w:space="0" w:color="auto"/>
        <w:left w:val="none" w:sz="0" w:space="0" w:color="auto"/>
        <w:bottom w:val="none" w:sz="0" w:space="0" w:color="auto"/>
        <w:right w:val="none" w:sz="0" w:space="0" w:color="auto"/>
      </w:divBdr>
    </w:div>
    <w:div w:id="1711881512">
      <w:bodyDiv w:val="1"/>
      <w:marLeft w:val="0"/>
      <w:marRight w:val="0"/>
      <w:marTop w:val="0"/>
      <w:marBottom w:val="0"/>
      <w:divBdr>
        <w:top w:val="none" w:sz="0" w:space="0" w:color="auto"/>
        <w:left w:val="none" w:sz="0" w:space="0" w:color="auto"/>
        <w:bottom w:val="none" w:sz="0" w:space="0" w:color="auto"/>
        <w:right w:val="none" w:sz="0" w:space="0" w:color="auto"/>
      </w:divBdr>
    </w:div>
    <w:div w:id="1716083589">
      <w:bodyDiv w:val="1"/>
      <w:marLeft w:val="0"/>
      <w:marRight w:val="0"/>
      <w:marTop w:val="0"/>
      <w:marBottom w:val="0"/>
      <w:divBdr>
        <w:top w:val="none" w:sz="0" w:space="0" w:color="auto"/>
        <w:left w:val="none" w:sz="0" w:space="0" w:color="auto"/>
        <w:bottom w:val="none" w:sz="0" w:space="0" w:color="auto"/>
        <w:right w:val="none" w:sz="0" w:space="0" w:color="auto"/>
      </w:divBdr>
    </w:div>
    <w:div w:id="1722752205">
      <w:bodyDiv w:val="1"/>
      <w:marLeft w:val="0"/>
      <w:marRight w:val="0"/>
      <w:marTop w:val="0"/>
      <w:marBottom w:val="0"/>
      <w:divBdr>
        <w:top w:val="none" w:sz="0" w:space="0" w:color="auto"/>
        <w:left w:val="none" w:sz="0" w:space="0" w:color="auto"/>
        <w:bottom w:val="none" w:sz="0" w:space="0" w:color="auto"/>
        <w:right w:val="none" w:sz="0" w:space="0" w:color="auto"/>
      </w:divBdr>
    </w:div>
    <w:div w:id="1748728855">
      <w:bodyDiv w:val="1"/>
      <w:marLeft w:val="0"/>
      <w:marRight w:val="0"/>
      <w:marTop w:val="0"/>
      <w:marBottom w:val="0"/>
      <w:divBdr>
        <w:top w:val="none" w:sz="0" w:space="0" w:color="auto"/>
        <w:left w:val="none" w:sz="0" w:space="0" w:color="auto"/>
        <w:bottom w:val="none" w:sz="0" w:space="0" w:color="auto"/>
        <w:right w:val="none" w:sz="0" w:space="0" w:color="auto"/>
      </w:divBdr>
    </w:div>
    <w:div w:id="1767841080">
      <w:bodyDiv w:val="1"/>
      <w:marLeft w:val="0"/>
      <w:marRight w:val="0"/>
      <w:marTop w:val="0"/>
      <w:marBottom w:val="0"/>
      <w:divBdr>
        <w:top w:val="none" w:sz="0" w:space="0" w:color="auto"/>
        <w:left w:val="none" w:sz="0" w:space="0" w:color="auto"/>
        <w:bottom w:val="none" w:sz="0" w:space="0" w:color="auto"/>
        <w:right w:val="none" w:sz="0" w:space="0" w:color="auto"/>
      </w:divBdr>
      <w:divsChild>
        <w:div w:id="1831409945">
          <w:marLeft w:val="0"/>
          <w:marRight w:val="0"/>
          <w:marTop w:val="0"/>
          <w:marBottom w:val="0"/>
          <w:divBdr>
            <w:top w:val="none" w:sz="0" w:space="0" w:color="auto"/>
            <w:left w:val="none" w:sz="0" w:space="0" w:color="auto"/>
            <w:bottom w:val="none" w:sz="0" w:space="0" w:color="auto"/>
            <w:right w:val="none" w:sz="0" w:space="0" w:color="auto"/>
          </w:divBdr>
        </w:div>
      </w:divsChild>
    </w:div>
    <w:div w:id="1772168168">
      <w:bodyDiv w:val="1"/>
      <w:marLeft w:val="0"/>
      <w:marRight w:val="0"/>
      <w:marTop w:val="0"/>
      <w:marBottom w:val="0"/>
      <w:divBdr>
        <w:top w:val="none" w:sz="0" w:space="0" w:color="auto"/>
        <w:left w:val="none" w:sz="0" w:space="0" w:color="auto"/>
        <w:bottom w:val="none" w:sz="0" w:space="0" w:color="auto"/>
        <w:right w:val="none" w:sz="0" w:space="0" w:color="auto"/>
      </w:divBdr>
    </w:div>
    <w:div w:id="1773546130">
      <w:bodyDiv w:val="1"/>
      <w:marLeft w:val="0"/>
      <w:marRight w:val="0"/>
      <w:marTop w:val="0"/>
      <w:marBottom w:val="0"/>
      <w:divBdr>
        <w:top w:val="none" w:sz="0" w:space="0" w:color="auto"/>
        <w:left w:val="none" w:sz="0" w:space="0" w:color="auto"/>
        <w:bottom w:val="none" w:sz="0" w:space="0" w:color="auto"/>
        <w:right w:val="none" w:sz="0" w:space="0" w:color="auto"/>
      </w:divBdr>
      <w:divsChild>
        <w:div w:id="970206164">
          <w:marLeft w:val="0"/>
          <w:marRight w:val="0"/>
          <w:marTop w:val="0"/>
          <w:marBottom w:val="0"/>
          <w:divBdr>
            <w:top w:val="none" w:sz="0" w:space="0" w:color="auto"/>
            <w:left w:val="none" w:sz="0" w:space="0" w:color="auto"/>
            <w:bottom w:val="none" w:sz="0" w:space="0" w:color="auto"/>
            <w:right w:val="none" w:sz="0" w:space="0" w:color="auto"/>
          </w:divBdr>
          <w:divsChild>
            <w:div w:id="1093939885">
              <w:marLeft w:val="-225"/>
              <w:marRight w:val="-225"/>
              <w:marTop w:val="0"/>
              <w:marBottom w:val="0"/>
              <w:divBdr>
                <w:top w:val="none" w:sz="0" w:space="0" w:color="auto"/>
                <w:left w:val="none" w:sz="0" w:space="0" w:color="auto"/>
                <w:bottom w:val="none" w:sz="0" w:space="0" w:color="auto"/>
                <w:right w:val="none" w:sz="0" w:space="0" w:color="auto"/>
              </w:divBdr>
              <w:divsChild>
                <w:div w:id="168174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03424">
      <w:bodyDiv w:val="1"/>
      <w:marLeft w:val="0"/>
      <w:marRight w:val="0"/>
      <w:marTop w:val="0"/>
      <w:marBottom w:val="0"/>
      <w:divBdr>
        <w:top w:val="none" w:sz="0" w:space="0" w:color="auto"/>
        <w:left w:val="none" w:sz="0" w:space="0" w:color="auto"/>
        <w:bottom w:val="none" w:sz="0" w:space="0" w:color="auto"/>
        <w:right w:val="none" w:sz="0" w:space="0" w:color="auto"/>
      </w:divBdr>
    </w:div>
    <w:div w:id="1799109613">
      <w:bodyDiv w:val="1"/>
      <w:marLeft w:val="0"/>
      <w:marRight w:val="0"/>
      <w:marTop w:val="0"/>
      <w:marBottom w:val="0"/>
      <w:divBdr>
        <w:top w:val="none" w:sz="0" w:space="0" w:color="auto"/>
        <w:left w:val="none" w:sz="0" w:space="0" w:color="auto"/>
        <w:bottom w:val="none" w:sz="0" w:space="0" w:color="auto"/>
        <w:right w:val="none" w:sz="0" w:space="0" w:color="auto"/>
      </w:divBdr>
    </w:div>
    <w:div w:id="1803301615">
      <w:bodyDiv w:val="1"/>
      <w:marLeft w:val="0"/>
      <w:marRight w:val="0"/>
      <w:marTop w:val="0"/>
      <w:marBottom w:val="0"/>
      <w:divBdr>
        <w:top w:val="none" w:sz="0" w:space="0" w:color="auto"/>
        <w:left w:val="none" w:sz="0" w:space="0" w:color="auto"/>
        <w:bottom w:val="none" w:sz="0" w:space="0" w:color="auto"/>
        <w:right w:val="none" w:sz="0" w:space="0" w:color="auto"/>
      </w:divBdr>
    </w:div>
    <w:div w:id="1821923462">
      <w:bodyDiv w:val="1"/>
      <w:marLeft w:val="0"/>
      <w:marRight w:val="0"/>
      <w:marTop w:val="0"/>
      <w:marBottom w:val="0"/>
      <w:divBdr>
        <w:top w:val="none" w:sz="0" w:space="0" w:color="auto"/>
        <w:left w:val="none" w:sz="0" w:space="0" w:color="auto"/>
        <w:bottom w:val="none" w:sz="0" w:space="0" w:color="auto"/>
        <w:right w:val="none" w:sz="0" w:space="0" w:color="auto"/>
      </w:divBdr>
      <w:divsChild>
        <w:div w:id="1738630954">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822574829">
      <w:bodyDiv w:val="1"/>
      <w:marLeft w:val="0"/>
      <w:marRight w:val="0"/>
      <w:marTop w:val="0"/>
      <w:marBottom w:val="0"/>
      <w:divBdr>
        <w:top w:val="none" w:sz="0" w:space="0" w:color="auto"/>
        <w:left w:val="none" w:sz="0" w:space="0" w:color="auto"/>
        <w:bottom w:val="none" w:sz="0" w:space="0" w:color="auto"/>
        <w:right w:val="none" w:sz="0" w:space="0" w:color="auto"/>
      </w:divBdr>
    </w:div>
    <w:div w:id="1822889991">
      <w:bodyDiv w:val="1"/>
      <w:marLeft w:val="0"/>
      <w:marRight w:val="0"/>
      <w:marTop w:val="0"/>
      <w:marBottom w:val="0"/>
      <w:divBdr>
        <w:top w:val="none" w:sz="0" w:space="0" w:color="auto"/>
        <w:left w:val="none" w:sz="0" w:space="0" w:color="auto"/>
        <w:bottom w:val="none" w:sz="0" w:space="0" w:color="auto"/>
        <w:right w:val="none" w:sz="0" w:space="0" w:color="auto"/>
      </w:divBdr>
      <w:divsChild>
        <w:div w:id="44179384">
          <w:marLeft w:val="0"/>
          <w:marRight w:val="0"/>
          <w:marTop w:val="43"/>
          <w:marBottom w:val="43"/>
          <w:divBdr>
            <w:top w:val="single" w:sz="4" w:space="0" w:color="auto"/>
            <w:left w:val="none" w:sz="0" w:space="0" w:color="auto"/>
            <w:bottom w:val="single" w:sz="4" w:space="0" w:color="auto"/>
            <w:right w:val="none" w:sz="0" w:space="0" w:color="auto"/>
          </w:divBdr>
        </w:div>
        <w:div w:id="129059051">
          <w:marLeft w:val="0"/>
          <w:marRight w:val="0"/>
          <w:marTop w:val="43"/>
          <w:marBottom w:val="43"/>
          <w:divBdr>
            <w:top w:val="single" w:sz="4" w:space="0" w:color="auto"/>
            <w:left w:val="none" w:sz="0" w:space="0" w:color="auto"/>
            <w:bottom w:val="single" w:sz="4" w:space="0" w:color="auto"/>
            <w:right w:val="none" w:sz="0" w:space="0" w:color="auto"/>
          </w:divBdr>
        </w:div>
        <w:div w:id="134376896">
          <w:marLeft w:val="0"/>
          <w:marRight w:val="0"/>
          <w:marTop w:val="43"/>
          <w:marBottom w:val="43"/>
          <w:divBdr>
            <w:top w:val="single" w:sz="4" w:space="0" w:color="auto"/>
            <w:left w:val="none" w:sz="0" w:space="0" w:color="auto"/>
            <w:bottom w:val="single" w:sz="4" w:space="0" w:color="auto"/>
            <w:right w:val="none" w:sz="0" w:space="0" w:color="auto"/>
          </w:divBdr>
        </w:div>
        <w:div w:id="149174452">
          <w:marLeft w:val="0"/>
          <w:marRight w:val="0"/>
          <w:marTop w:val="43"/>
          <w:marBottom w:val="43"/>
          <w:divBdr>
            <w:top w:val="single" w:sz="4" w:space="0" w:color="auto"/>
            <w:left w:val="none" w:sz="0" w:space="0" w:color="auto"/>
            <w:bottom w:val="single" w:sz="4" w:space="0" w:color="auto"/>
            <w:right w:val="none" w:sz="0" w:space="0" w:color="auto"/>
          </w:divBdr>
        </w:div>
        <w:div w:id="169680452">
          <w:marLeft w:val="0"/>
          <w:marRight w:val="0"/>
          <w:marTop w:val="43"/>
          <w:marBottom w:val="43"/>
          <w:divBdr>
            <w:top w:val="single" w:sz="4" w:space="0" w:color="auto"/>
            <w:left w:val="none" w:sz="0" w:space="0" w:color="auto"/>
            <w:bottom w:val="single" w:sz="4" w:space="0" w:color="auto"/>
            <w:right w:val="none" w:sz="0" w:space="0" w:color="auto"/>
          </w:divBdr>
        </w:div>
        <w:div w:id="204486219">
          <w:marLeft w:val="0"/>
          <w:marRight w:val="0"/>
          <w:marTop w:val="43"/>
          <w:marBottom w:val="43"/>
          <w:divBdr>
            <w:top w:val="single" w:sz="4" w:space="0" w:color="auto"/>
            <w:left w:val="none" w:sz="0" w:space="0" w:color="auto"/>
            <w:bottom w:val="single" w:sz="4" w:space="0" w:color="auto"/>
            <w:right w:val="none" w:sz="0" w:space="0" w:color="auto"/>
          </w:divBdr>
        </w:div>
        <w:div w:id="314184455">
          <w:marLeft w:val="0"/>
          <w:marRight w:val="0"/>
          <w:marTop w:val="43"/>
          <w:marBottom w:val="43"/>
          <w:divBdr>
            <w:top w:val="single" w:sz="4" w:space="0" w:color="auto"/>
            <w:left w:val="none" w:sz="0" w:space="0" w:color="auto"/>
            <w:bottom w:val="single" w:sz="4" w:space="0" w:color="auto"/>
            <w:right w:val="none" w:sz="0" w:space="0" w:color="auto"/>
          </w:divBdr>
        </w:div>
        <w:div w:id="314260602">
          <w:marLeft w:val="0"/>
          <w:marRight w:val="0"/>
          <w:marTop w:val="43"/>
          <w:marBottom w:val="43"/>
          <w:divBdr>
            <w:top w:val="single" w:sz="4" w:space="0" w:color="auto"/>
            <w:left w:val="none" w:sz="0" w:space="0" w:color="auto"/>
            <w:bottom w:val="single" w:sz="4" w:space="0" w:color="auto"/>
            <w:right w:val="none" w:sz="0" w:space="0" w:color="auto"/>
          </w:divBdr>
        </w:div>
        <w:div w:id="314531407">
          <w:marLeft w:val="0"/>
          <w:marRight w:val="0"/>
          <w:marTop w:val="43"/>
          <w:marBottom w:val="43"/>
          <w:divBdr>
            <w:top w:val="single" w:sz="4" w:space="0" w:color="auto"/>
            <w:left w:val="none" w:sz="0" w:space="0" w:color="auto"/>
            <w:bottom w:val="single" w:sz="4" w:space="0" w:color="auto"/>
            <w:right w:val="none" w:sz="0" w:space="0" w:color="auto"/>
          </w:divBdr>
        </w:div>
        <w:div w:id="491218342">
          <w:marLeft w:val="0"/>
          <w:marRight w:val="0"/>
          <w:marTop w:val="43"/>
          <w:marBottom w:val="43"/>
          <w:divBdr>
            <w:top w:val="single" w:sz="4" w:space="0" w:color="auto"/>
            <w:left w:val="none" w:sz="0" w:space="0" w:color="auto"/>
            <w:bottom w:val="single" w:sz="4" w:space="0" w:color="auto"/>
            <w:right w:val="none" w:sz="0" w:space="0" w:color="auto"/>
          </w:divBdr>
        </w:div>
        <w:div w:id="540090263">
          <w:marLeft w:val="0"/>
          <w:marRight w:val="0"/>
          <w:marTop w:val="43"/>
          <w:marBottom w:val="43"/>
          <w:divBdr>
            <w:top w:val="single" w:sz="4" w:space="0" w:color="auto"/>
            <w:left w:val="none" w:sz="0" w:space="0" w:color="auto"/>
            <w:bottom w:val="single" w:sz="4" w:space="0" w:color="auto"/>
            <w:right w:val="none" w:sz="0" w:space="0" w:color="auto"/>
          </w:divBdr>
        </w:div>
        <w:div w:id="594090629">
          <w:marLeft w:val="0"/>
          <w:marRight w:val="0"/>
          <w:marTop w:val="43"/>
          <w:marBottom w:val="43"/>
          <w:divBdr>
            <w:top w:val="single" w:sz="4" w:space="0" w:color="auto"/>
            <w:left w:val="none" w:sz="0" w:space="0" w:color="auto"/>
            <w:bottom w:val="single" w:sz="4" w:space="0" w:color="auto"/>
            <w:right w:val="none" w:sz="0" w:space="0" w:color="auto"/>
          </w:divBdr>
        </w:div>
        <w:div w:id="646937373">
          <w:marLeft w:val="0"/>
          <w:marRight w:val="0"/>
          <w:marTop w:val="43"/>
          <w:marBottom w:val="43"/>
          <w:divBdr>
            <w:top w:val="single" w:sz="4" w:space="0" w:color="auto"/>
            <w:left w:val="none" w:sz="0" w:space="0" w:color="auto"/>
            <w:bottom w:val="single" w:sz="4" w:space="0" w:color="auto"/>
            <w:right w:val="none" w:sz="0" w:space="0" w:color="auto"/>
          </w:divBdr>
        </w:div>
        <w:div w:id="653264882">
          <w:marLeft w:val="0"/>
          <w:marRight w:val="0"/>
          <w:marTop w:val="43"/>
          <w:marBottom w:val="43"/>
          <w:divBdr>
            <w:top w:val="single" w:sz="4" w:space="0" w:color="auto"/>
            <w:left w:val="none" w:sz="0" w:space="0" w:color="auto"/>
            <w:bottom w:val="single" w:sz="4" w:space="0" w:color="auto"/>
            <w:right w:val="none" w:sz="0" w:space="0" w:color="auto"/>
          </w:divBdr>
        </w:div>
        <w:div w:id="665522636">
          <w:marLeft w:val="0"/>
          <w:marRight w:val="0"/>
          <w:marTop w:val="245"/>
          <w:marBottom w:val="43"/>
          <w:divBdr>
            <w:top w:val="single" w:sz="4" w:space="0" w:color="DDDDDD"/>
            <w:left w:val="none" w:sz="0" w:space="0" w:color="auto"/>
            <w:bottom w:val="single" w:sz="4" w:space="0" w:color="EEEEEE"/>
            <w:right w:val="none" w:sz="0" w:space="0" w:color="auto"/>
          </w:divBdr>
        </w:div>
        <w:div w:id="703602750">
          <w:marLeft w:val="0"/>
          <w:marRight w:val="0"/>
          <w:marTop w:val="43"/>
          <w:marBottom w:val="43"/>
          <w:divBdr>
            <w:top w:val="single" w:sz="4" w:space="0" w:color="auto"/>
            <w:left w:val="none" w:sz="0" w:space="0" w:color="auto"/>
            <w:bottom w:val="single" w:sz="4" w:space="0" w:color="auto"/>
            <w:right w:val="none" w:sz="0" w:space="0" w:color="auto"/>
          </w:divBdr>
        </w:div>
        <w:div w:id="739986202">
          <w:marLeft w:val="0"/>
          <w:marRight w:val="0"/>
          <w:marTop w:val="43"/>
          <w:marBottom w:val="43"/>
          <w:divBdr>
            <w:top w:val="single" w:sz="4" w:space="0" w:color="auto"/>
            <w:left w:val="none" w:sz="0" w:space="0" w:color="auto"/>
            <w:bottom w:val="single" w:sz="4" w:space="0" w:color="auto"/>
            <w:right w:val="none" w:sz="0" w:space="0" w:color="auto"/>
          </w:divBdr>
        </w:div>
        <w:div w:id="763769032">
          <w:marLeft w:val="1296"/>
          <w:marRight w:val="0"/>
          <w:marTop w:val="14"/>
          <w:marBottom w:val="0"/>
          <w:divBdr>
            <w:top w:val="single" w:sz="4" w:space="0" w:color="auto"/>
            <w:left w:val="none" w:sz="0" w:space="0" w:color="auto"/>
            <w:bottom w:val="single" w:sz="4" w:space="0" w:color="auto"/>
            <w:right w:val="none" w:sz="0" w:space="0" w:color="auto"/>
          </w:divBdr>
        </w:div>
        <w:div w:id="873151952">
          <w:marLeft w:val="0"/>
          <w:marRight w:val="0"/>
          <w:marTop w:val="43"/>
          <w:marBottom w:val="43"/>
          <w:divBdr>
            <w:top w:val="single" w:sz="4" w:space="0" w:color="auto"/>
            <w:left w:val="none" w:sz="0" w:space="0" w:color="auto"/>
            <w:bottom w:val="single" w:sz="4" w:space="0" w:color="auto"/>
            <w:right w:val="none" w:sz="0" w:space="0" w:color="auto"/>
          </w:divBdr>
        </w:div>
        <w:div w:id="893157369">
          <w:marLeft w:val="0"/>
          <w:marRight w:val="0"/>
          <w:marTop w:val="43"/>
          <w:marBottom w:val="43"/>
          <w:divBdr>
            <w:top w:val="single" w:sz="4" w:space="0" w:color="auto"/>
            <w:left w:val="none" w:sz="0" w:space="0" w:color="auto"/>
            <w:bottom w:val="single" w:sz="4" w:space="0" w:color="auto"/>
            <w:right w:val="none" w:sz="0" w:space="0" w:color="auto"/>
          </w:divBdr>
        </w:div>
        <w:div w:id="924461551">
          <w:marLeft w:val="0"/>
          <w:marRight w:val="0"/>
          <w:marTop w:val="43"/>
          <w:marBottom w:val="43"/>
          <w:divBdr>
            <w:top w:val="single" w:sz="4" w:space="0" w:color="auto"/>
            <w:left w:val="none" w:sz="0" w:space="0" w:color="auto"/>
            <w:bottom w:val="single" w:sz="4" w:space="0" w:color="auto"/>
            <w:right w:val="none" w:sz="0" w:space="0" w:color="auto"/>
          </w:divBdr>
        </w:div>
        <w:div w:id="1015351015">
          <w:marLeft w:val="0"/>
          <w:marRight w:val="0"/>
          <w:marTop w:val="43"/>
          <w:marBottom w:val="43"/>
          <w:divBdr>
            <w:top w:val="single" w:sz="4" w:space="0" w:color="auto"/>
            <w:left w:val="none" w:sz="0" w:space="0" w:color="auto"/>
            <w:bottom w:val="single" w:sz="4" w:space="0" w:color="auto"/>
            <w:right w:val="none" w:sz="0" w:space="0" w:color="auto"/>
          </w:divBdr>
        </w:div>
        <w:div w:id="1184367767">
          <w:marLeft w:val="0"/>
          <w:marRight w:val="0"/>
          <w:marTop w:val="43"/>
          <w:marBottom w:val="43"/>
          <w:divBdr>
            <w:top w:val="single" w:sz="4" w:space="0" w:color="auto"/>
            <w:left w:val="none" w:sz="0" w:space="0" w:color="auto"/>
            <w:bottom w:val="single" w:sz="4" w:space="0" w:color="auto"/>
            <w:right w:val="none" w:sz="0" w:space="0" w:color="auto"/>
          </w:divBdr>
        </w:div>
        <w:div w:id="1203711536">
          <w:marLeft w:val="0"/>
          <w:marRight w:val="0"/>
          <w:marTop w:val="43"/>
          <w:marBottom w:val="43"/>
          <w:divBdr>
            <w:top w:val="single" w:sz="4" w:space="0" w:color="auto"/>
            <w:left w:val="none" w:sz="0" w:space="0" w:color="auto"/>
            <w:bottom w:val="single" w:sz="4" w:space="0" w:color="auto"/>
            <w:right w:val="none" w:sz="0" w:space="0" w:color="auto"/>
          </w:divBdr>
        </w:div>
        <w:div w:id="1211767579">
          <w:marLeft w:val="0"/>
          <w:marRight w:val="0"/>
          <w:marTop w:val="43"/>
          <w:marBottom w:val="43"/>
          <w:divBdr>
            <w:top w:val="single" w:sz="4" w:space="0" w:color="auto"/>
            <w:left w:val="none" w:sz="0" w:space="0" w:color="auto"/>
            <w:bottom w:val="single" w:sz="4" w:space="0" w:color="auto"/>
            <w:right w:val="none" w:sz="0" w:space="0" w:color="auto"/>
          </w:divBdr>
        </w:div>
        <w:div w:id="1306356826">
          <w:marLeft w:val="0"/>
          <w:marRight w:val="0"/>
          <w:marTop w:val="43"/>
          <w:marBottom w:val="43"/>
          <w:divBdr>
            <w:top w:val="single" w:sz="4" w:space="0" w:color="auto"/>
            <w:left w:val="none" w:sz="0" w:space="0" w:color="auto"/>
            <w:bottom w:val="single" w:sz="4" w:space="0" w:color="auto"/>
            <w:right w:val="none" w:sz="0" w:space="0" w:color="auto"/>
          </w:divBdr>
        </w:div>
        <w:div w:id="1322154543">
          <w:marLeft w:val="0"/>
          <w:marRight w:val="0"/>
          <w:marTop w:val="43"/>
          <w:marBottom w:val="43"/>
          <w:divBdr>
            <w:top w:val="single" w:sz="4" w:space="0" w:color="auto"/>
            <w:left w:val="none" w:sz="0" w:space="0" w:color="auto"/>
            <w:bottom w:val="single" w:sz="4" w:space="0" w:color="auto"/>
            <w:right w:val="none" w:sz="0" w:space="0" w:color="auto"/>
          </w:divBdr>
        </w:div>
        <w:div w:id="1343429868">
          <w:marLeft w:val="0"/>
          <w:marRight w:val="0"/>
          <w:marTop w:val="43"/>
          <w:marBottom w:val="43"/>
          <w:divBdr>
            <w:top w:val="single" w:sz="4" w:space="0" w:color="auto"/>
            <w:left w:val="none" w:sz="0" w:space="0" w:color="auto"/>
            <w:bottom w:val="single" w:sz="4" w:space="0" w:color="auto"/>
            <w:right w:val="none" w:sz="0" w:space="0" w:color="auto"/>
          </w:divBdr>
        </w:div>
        <w:div w:id="1350907577">
          <w:marLeft w:val="0"/>
          <w:marRight w:val="0"/>
          <w:marTop w:val="43"/>
          <w:marBottom w:val="43"/>
          <w:divBdr>
            <w:top w:val="single" w:sz="4" w:space="0" w:color="auto"/>
            <w:left w:val="none" w:sz="0" w:space="0" w:color="auto"/>
            <w:bottom w:val="single" w:sz="4" w:space="0" w:color="auto"/>
            <w:right w:val="none" w:sz="0" w:space="0" w:color="auto"/>
          </w:divBdr>
        </w:div>
        <w:div w:id="1392656443">
          <w:marLeft w:val="0"/>
          <w:marRight w:val="0"/>
          <w:marTop w:val="43"/>
          <w:marBottom w:val="43"/>
          <w:divBdr>
            <w:top w:val="single" w:sz="4" w:space="0" w:color="auto"/>
            <w:left w:val="none" w:sz="0" w:space="0" w:color="auto"/>
            <w:bottom w:val="single" w:sz="4" w:space="0" w:color="auto"/>
            <w:right w:val="none" w:sz="0" w:space="0" w:color="auto"/>
          </w:divBdr>
        </w:div>
        <w:div w:id="1464039651">
          <w:marLeft w:val="0"/>
          <w:marRight w:val="0"/>
          <w:marTop w:val="43"/>
          <w:marBottom w:val="43"/>
          <w:divBdr>
            <w:top w:val="single" w:sz="4" w:space="0" w:color="auto"/>
            <w:left w:val="none" w:sz="0" w:space="0" w:color="auto"/>
            <w:bottom w:val="single" w:sz="4" w:space="0" w:color="auto"/>
            <w:right w:val="none" w:sz="0" w:space="0" w:color="auto"/>
          </w:divBdr>
        </w:div>
        <w:div w:id="1524784195">
          <w:marLeft w:val="0"/>
          <w:marRight w:val="0"/>
          <w:marTop w:val="43"/>
          <w:marBottom w:val="43"/>
          <w:divBdr>
            <w:top w:val="single" w:sz="4" w:space="0" w:color="auto"/>
            <w:left w:val="none" w:sz="0" w:space="0" w:color="auto"/>
            <w:bottom w:val="single" w:sz="4" w:space="0" w:color="auto"/>
            <w:right w:val="none" w:sz="0" w:space="0" w:color="auto"/>
          </w:divBdr>
        </w:div>
        <w:div w:id="1592356188">
          <w:marLeft w:val="0"/>
          <w:marRight w:val="0"/>
          <w:marTop w:val="43"/>
          <w:marBottom w:val="43"/>
          <w:divBdr>
            <w:top w:val="single" w:sz="4" w:space="0" w:color="auto"/>
            <w:left w:val="none" w:sz="0" w:space="0" w:color="auto"/>
            <w:bottom w:val="single" w:sz="4" w:space="0" w:color="auto"/>
            <w:right w:val="none" w:sz="0" w:space="0" w:color="auto"/>
          </w:divBdr>
        </w:div>
        <w:div w:id="1613317205">
          <w:marLeft w:val="0"/>
          <w:marRight w:val="0"/>
          <w:marTop w:val="43"/>
          <w:marBottom w:val="43"/>
          <w:divBdr>
            <w:top w:val="single" w:sz="4" w:space="0" w:color="auto"/>
            <w:left w:val="none" w:sz="0" w:space="0" w:color="auto"/>
            <w:bottom w:val="single" w:sz="4" w:space="0" w:color="auto"/>
            <w:right w:val="none" w:sz="0" w:space="0" w:color="auto"/>
          </w:divBdr>
        </w:div>
        <w:div w:id="1688675649">
          <w:marLeft w:val="0"/>
          <w:marRight w:val="0"/>
          <w:marTop w:val="43"/>
          <w:marBottom w:val="43"/>
          <w:divBdr>
            <w:top w:val="single" w:sz="4" w:space="0" w:color="auto"/>
            <w:left w:val="none" w:sz="0" w:space="0" w:color="auto"/>
            <w:bottom w:val="single" w:sz="4" w:space="0" w:color="auto"/>
            <w:right w:val="none" w:sz="0" w:space="0" w:color="auto"/>
          </w:divBdr>
        </w:div>
        <w:div w:id="1758742630">
          <w:marLeft w:val="0"/>
          <w:marRight w:val="0"/>
          <w:marTop w:val="43"/>
          <w:marBottom w:val="43"/>
          <w:divBdr>
            <w:top w:val="single" w:sz="4" w:space="0" w:color="auto"/>
            <w:left w:val="none" w:sz="0" w:space="0" w:color="auto"/>
            <w:bottom w:val="single" w:sz="4" w:space="0" w:color="auto"/>
            <w:right w:val="none" w:sz="0" w:space="0" w:color="auto"/>
          </w:divBdr>
        </w:div>
        <w:div w:id="1788548307">
          <w:marLeft w:val="0"/>
          <w:marRight w:val="0"/>
          <w:marTop w:val="43"/>
          <w:marBottom w:val="43"/>
          <w:divBdr>
            <w:top w:val="single" w:sz="4" w:space="0" w:color="auto"/>
            <w:left w:val="none" w:sz="0" w:space="0" w:color="auto"/>
            <w:bottom w:val="single" w:sz="4" w:space="0" w:color="auto"/>
            <w:right w:val="none" w:sz="0" w:space="0" w:color="auto"/>
          </w:divBdr>
        </w:div>
        <w:div w:id="1830051214">
          <w:marLeft w:val="0"/>
          <w:marRight w:val="0"/>
          <w:marTop w:val="43"/>
          <w:marBottom w:val="43"/>
          <w:divBdr>
            <w:top w:val="single" w:sz="4" w:space="0" w:color="auto"/>
            <w:left w:val="none" w:sz="0" w:space="0" w:color="auto"/>
            <w:bottom w:val="single" w:sz="4" w:space="0" w:color="auto"/>
            <w:right w:val="none" w:sz="0" w:space="0" w:color="auto"/>
          </w:divBdr>
        </w:div>
        <w:div w:id="1871990717">
          <w:marLeft w:val="0"/>
          <w:marRight w:val="0"/>
          <w:marTop w:val="43"/>
          <w:marBottom w:val="43"/>
          <w:divBdr>
            <w:top w:val="single" w:sz="4" w:space="0" w:color="auto"/>
            <w:left w:val="none" w:sz="0" w:space="0" w:color="auto"/>
            <w:bottom w:val="single" w:sz="4" w:space="0" w:color="auto"/>
            <w:right w:val="none" w:sz="0" w:space="0" w:color="auto"/>
          </w:divBdr>
        </w:div>
        <w:div w:id="1902903962">
          <w:marLeft w:val="0"/>
          <w:marRight w:val="0"/>
          <w:marTop w:val="43"/>
          <w:marBottom w:val="43"/>
          <w:divBdr>
            <w:top w:val="single" w:sz="4" w:space="0" w:color="auto"/>
            <w:left w:val="none" w:sz="0" w:space="0" w:color="auto"/>
            <w:bottom w:val="single" w:sz="4" w:space="0" w:color="auto"/>
            <w:right w:val="none" w:sz="0" w:space="0" w:color="auto"/>
          </w:divBdr>
        </w:div>
        <w:div w:id="1926069545">
          <w:marLeft w:val="0"/>
          <w:marRight w:val="0"/>
          <w:marTop w:val="43"/>
          <w:marBottom w:val="43"/>
          <w:divBdr>
            <w:top w:val="single" w:sz="4" w:space="0" w:color="auto"/>
            <w:left w:val="none" w:sz="0" w:space="0" w:color="auto"/>
            <w:bottom w:val="single" w:sz="4" w:space="0" w:color="auto"/>
            <w:right w:val="none" w:sz="0" w:space="0" w:color="auto"/>
          </w:divBdr>
        </w:div>
        <w:div w:id="1953004655">
          <w:marLeft w:val="0"/>
          <w:marRight w:val="0"/>
          <w:marTop w:val="43"/>
          <w:marBottom w:val="43"/>
          <w:divBdr>
            <w:top w:val="single" w:sz="4" w:space="0" w:color="auto"/>
            <w:left w:val="none" w:sz="0" w:space="0" w:color="auto"/>
            <w:bottom w:val="single" w:sz="4" w:space="0" w:color="auto"/>
            <w:right w:val="none" w:sz="0" w:space="0" w:color="auto"/>
          </w:divBdr>
        </w:div>
        <w:div w:id="2080712733">
          <w:marLeft w:val="0"/>
          <w:marRight w:val="0"/>
          <w:marTop w:val="43"/>
          <w:marBottom w:val="43"/>
          <w:divBdr>
            <w:top w:val="single" w:sz="4" w:space="0" w:color="auto"/>
            <w:left w:val="none" w:sz="0" w:space="0" w:color="auto"/>
            <w:bottom w:val="single" w:sz="4" w:space="0" w:color="auto"/>
            <w:right w:val="none" w:sz="0" w:space="0" w:color="auto"/>
          </w:divBdr>
        </w:div>
        <w:div w:id="2125953906">
          <w:marLeft w:val="0"/>
          <w:marRight w:val="0"/>
          <w:marTop w:val="43"/>
          <w:marBottom w:val="43"/>
          <w:divBdr>
            <w:top w:val="single" w:sz="4" w:space="0" w:color="auto"/>
            <w:left w:val="none" w:sz="0" w:space="0" w:color="auto"/>
            <w:bottom w:val="single" w:sz="4" w:space="0" w:color="auto"/>
            <w:right w:val="none" w:sz="0" w:space="0" w:color="auto"/>
          </w:divBdr>
        </w:div>
      </w:divsChild>
    </w:div>
    <w:div w:id="1825126518">
      <w:bodyDiv w:val="1"/>
      <w:marLeft w:val="0"/>
      <w:marRight w:val="0"/>
      <w:marTop w:val="0"/>
      <w:marBottom w:val="0"/>
      <w:divBdr>
        <w:top w:val="none" w:sz="0" w:space="0" w:color="auto"/>
        <w:left w:val="none" w:sz="0" w:space="0" w:color="auto"/>
        <w:bottom w:val="none" w:sz="0" w:space="0" w:color="auto"/>
        <w:right w:val="none" w:sz="0" w:space="0" w:color="auto"/>
      </w:divBdr>
      <w:divsChild>
        <w:div w:id="1748963385">
          <w:marLeft w:val="0"/>
          <w:marRight w:val="0"/>
          <w:marTop w:val="0"/>
          <w:marBottom w:val="0"/>
          <w:divBdr>
            <w:top w:val="none" w:sz="0" w:space="0" w:color="auto"/>
            <w:left w:val="none" w:sz="0" w:space="0" w:color="auto"/>
            <w:bottom w:val="none" w:sz="0" w:space="0" w:color="auto"/>
            <w:right w:val="none" w:sz="0" w:space="0" w:color="auto"/>
          </w:divBdr>
          <w:divsChild>
            <w:div w:id="63729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545802">
      <w:bodyDiv w:val="1"/>
      <w:marLeft w:val="0"/>
      <w:marRight w:val="0"/>
      <w:marTop w:val="0"/>
      <w:marBottom w:val="0"/>
      <w:divBdr>
        <w:top w:val="none" w:sz="0" w:space="0" w:color="auto"/>
        <w:left w:val="none" w:sz="0" w:space="0" w:color="auto"/>
        <w:bottom w:val="none" w:sz="0" w:space="0" w:color="auto"/>
        <w:right w:val="none" w:sz="0" w:space="0" w:color="auto"/>
      </w:divBdr>
      <w:divsChild>
        <w:div w:id="2126851548">
          <w:marLeft w:val="0"/>
          <w:marRight w:val="0"/>
          <w:marTop w:val="0"/>
          <w:marBottom w:val="0"/>
          <w:divBdr>
            <w:top w:val="none" w:sz="0" w:space="0" w:color="auto"/>
            <w:left w:val="none" w:sz="0" w:space="0" w:color="auto"/>
            <w:bottom w:val="none" w:sz="0" w:space="0" w:color="auto"/>
            <w:right w:val="none" w:sz="0" w:space="0" w:color="auto"/>
          </w:divBdr>
        </w:div>
      </w:divsChild>
    </w:div>
    <w:div w:id="1829511468">
      <w:bodyDiv w:val="1"/>
      <w:marLeft w:val="0"/>
      <w:marRight w:val="0"/>
      <w:marTop w:val="0"/>
      <w:marBottom w:val="0"/>
      <w:divBdr>
        <w:top w:val="none" w:sz="0" w:space="0" w:color="auto"/>
        <w:left w:val="none" w:sz="0" w:space="0" w:color="auto"/>
        <w:bottom w:val="none" w:sz="0" w:space="0" w:color="auto"/>
        <w:right w:val="none" w:sz="0" w:space="0" w:color="auto"/>
      </w:divBdr>
    </w:div>
    <w:div w:id="1832940987">
      <w:bodyDiv w:val="1"/>
      <w:marLeft w:val="0"/>
      <w:marRight w:val="0"/>
      <w:marTop w:val="0"/>
      <w:marBottom w:val="0"/>
      <w:divBdr>
        <w:top w:val="none" w:sz="0" w:space="0" w:color="auto"/>
        <w:left w:val="none" w:sz="0" w:space="0" w:color="auto"/>
        <w:bottom w:val="none" w:sz="0" w:space="0" w:color="auto"/>
        <w:right w:val="none" w:sz="0" w:space="0" w:color="auto"/>
      </w:divBdr>
      <w:divsChild>
        <w:div w:id="1249001996">
          <w:marLeft w:val="0"/>
          <w:marRight w:val="0"/>
          <w:marTop w:val="0"/>
          <w:marBottom w:val="0"/>
          <w:divBdr>
            <w:top w:val="none" w:sz="0" w:space="0" w:color="auto"/>
            <w:left w:val="none" w:sz="0" w:space="0" w:color="auto"/>
            <w:bottom w:val="none" w:sz="0" w:space="0" w:color="auto"/>
            <w:right w:val="none" w:sz="0" w:space="0" w:color="auto"/>
          </w:divBdr>
          <w:divsChild>
            <w:div w:id="29503697">
              <w:marLeft w:val="0"/>
              <w:marRight w:val="0"/>
              <w:marTop w:val="0"/>
              <w:marBottom w:val="0"/>
              <w:divBdr>
                <w:top w:val="none" w:sz="0" w:space="0" w:color="auto"/>
                <w:left w:val="none" w:sz="0" w:space="0" w:color="auto"/>
                <w:bottom w:val="none" w:sz="0" w:space="0" w:color="auto"/>
                <w:right w:val="none" w:sz="0" w:space="0" w:color="auto"/>
              </w:divBdr>
              <w:divsChild>
                <w:div w:id="1403943688">
                  <w:marLeft w:val="0"/>
                  <w:marRight w:val="0"/>
                  <w:marTop w:val="0"/>
                  <w:marBottom w:val="0"/>
                  <w:divBdr>
                    <w:top w:val="none" w:sz="0" w:space="0" w:color="auto"/>
                    <w:left w:val="none" w:sz="0" w:space="0" w:color="auto"/>
                    <w:bottom w:val="none" w:sz="0" w:space="0" w:color="auto"/>
                    <w:right w:val="none" w:sz="0" w:space="0" w:color="auto"/>
                  </w:divBdr>
                  <w:divsChild>
                    <w:div w:id="257762686">
                      <w:marLeft w:val="0"/>
                      <w:marRight w:val="0"/>
                      <w:marTop w:val="0"/>
                      <w:marBottom w:val="0"/>
                      <w:divBdr>
                        <w:top w:val="none" w:sz="0" w:space="0" w:color="auto"/>
                        <w:left w:val="none" w:sz="0" w:space="0" w:color="auto"/>
                        <w:bottom w:val="none" w:sz="0" w:space="0" w:color="auto"/>
                        <w:right w:val="none" w:sz="0" w:space="0" w:color="auto"/>
                      </w:divBdr>
                      <w:divsChild>
                        <w:div w:id="624851403">
                          <w:marLeft w:val="0"/>
                          <w:marRight w:val="0"/>
                          <w:marTop w:val="0"/>
                          <w:marBottom w:val="0"/>
                          <w:divBdr>
                            <w:top w:val="none" w:sz="0" w:space="0" w:color="auto"/>
                            <w:left w:val="none" w:sz="0" w:space="0" w:color="auto"/>
                            <w:bottom w:val="none" w:sz="0" w:space="0" w:color="auto"/>
                            <w:right w:val="none" w:sz="0" w:space="0" w:color="auto"/>
                          </w:divBdr>
                          <w:divsChild>
                            <w:div w:id="1876580262">
                              <w:marLeft w:val="0"/>
                              <w:marRight w:val="0"/>
                              <w:marTop w:val="0"/>
                              <w:marBottom w:val="0"/>
                              <w:divBdr>
                                <w:top w:val="none" w:sz="0" w:space="0" w:color="auto"/>
                                <w:left w:val="none" w:sz="0" w:space="0" w:color="auto"/>
                                <w:bottom w:val="none" w:sz="0" w:space="0" w:color="auto"/>
                                <w:right w:val="none" w:sz="0" w:space="0" w:color="auto"/>
                              </w:divBdr>
                              <w:divsChild>
                                <w:div w:id="107436441">
                                  <w:marLeft w:val="0"/>
                                  <w:marRight w:val="0"/>
                                  <w:marTop w:val="0"/>
                                  <w:marBottom w:val="0"/>
                                  <w:divBdr>
                                    <w:top w:val="none" w:sz="0" w:space="0" w:color="auto"/>
                                    <w:left w:val="none" w:sz="0" w:space="0" w:color="auto"/>
                                    <w:bottom w:val="none" w:sz="0" w:space="0" w:color="auto"/>
                                    <w:right w:val="none" w:sz="0" w:space="0" w:color="auto"/>
                                  </w:divBdr>
                                  <w:divsChild>
                                    <w:div w:id="1599363001">
                                      <w:marLeft w:val="0"/>
                                      <w:marRight w:val="0"/>
                                      <w:marTop w:val="0"/>
                                      <w:marBottom w:val="0"/>
                                      <w:divBdr>
                                        <w:top w:val="none" w:sz="0" w:space="0" w:color="auto"/>
                                        <w:left w:val="none" w:sz="0" w:space="0" w:color="auto"/>
                                        <w:bottom w:val="none" w:sz="0" w:space="0" w:color="auto"/>
                                        <w:right w:val="none" w:sz="0" w:space="0" w:color="auto"/>
                                      </w:divBdr>
                                      <w:divsChild>
                                        <w:div w:id="958030821">
                                          <w:marLeft w:val="0"/>
                                          <w:marRight w:val="0"/>
                                          <w:marTop w:val="0"/>
                                          <w:marBottom w:val="0"/>
                                          <w:divBdr>
                                            <w:top w:val="none" w:sz="0" w:space="0" w:color="auto"/>
                                            <w:left w:val="none" w:sz="0" w:space="0" w:color="auto"/>
                                            <w:bottom w:val="none" w:sz="0" w:space="0" w:color="auto"/>
                                            <w:right w:val="none" w:sz="0" w:space="0" w:color="auto"/>
                                          </w:divBdr>
                                          <w:divsChild>
                                            <w:div w:id="851341128">
                                              <w:marLeft w:val="0"/>
                                              <w:marRight w:val="0"/>
                                              <w:marTop w:val="0"/>
                                              <w:marBottom w:val="0"/>
                                              <w:divBdr>
                                                <w:top w:val="none" w:sz="0" w:space="0" w:color="auto"/>
                                                <w:left w:val="none" w:sz="0" w:space="0" w:color="auto"/>
                                                <w:bottom w:val="none" w:sz="0" w:space="0" w:color="auto"/>
                                                <w:right w:val="none" w:sz="0" w:space="0" w:color="auto"/>
                                              </w:divBdr>
                                              <w:divsChild>
                                                <w:div w:id="864559711">
                                                  <w:marLeft w:val="0"/>
                                                  <w:marRight w:val="0"/>
                                                  <w:marTop w:val="0"/>
                                                  <w:marBottom w:val="0"/>
                                                  <w:divBdr>
                                                    <w:top w:val="none" w:sz="0" w:space="0" w:color="auto"/>
                                                    <w:left w:val="none" w:sz="0" w:space="0" w:color="auto"/>
                                                    <w:bottom w:val="none" w:sz="0" w:space="0" w:color="auto"/>
                                                    <w:right w:val="none" w:sz="0" w:space="0" w:color="auto"/>
                                                  </w:divBdr>
                                                  <w:divsChild>
                                                    <w:div w:id="66879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3788140">
      <w:bodyDiv w:val="1"/>
      <w:marLeft w:val="0"/>
      <w:marRight w:val="0"/>
      <w:marTop w:val="0"/>
      <w:marBottom w:val="0"/>
      <w:divBdr>
        <w:top w:val="none" w:sz="0" w:space="0" w:color="auto"/>
        <w:left w:val="none" w:sz="0" w:space="0" w:color="auto"/>
        <w:bottom w:val="none" w:sz="0" w:space="0" w:color="auto"/>
        <w:right w:val="none" w:sz="0" w:space="0" w:color="auto"/>
      </w:divBdr>
    </w:div>
    <w:div w:id="1839925363">
      <w:bodyDiv w:val="1"/>
      <w:marLeft w:val="0"/>
      <w:marRight w:val="0"/>
      <w:marTop w:val="0"/>
      <w:marBottom w:val="0"/>
      <w:divBdr>
        <w:top w:val="none" w:sz="0" w:space="0" w:color="auto"/>
        <w:left w:val="none" w:sz="0" w:space="0" w:color="auto"/>
        <w:bottom w:val="none" w:sz="0" w:space="0" w:color="auto"/>
        <w:right w:val="none" w:sz="0" w:space="0" w:color="auto"/>
      </w:divBdr>
      <w:divsChild>
        <w:div w:id="1063986792">
          <w:marLeft w:val="0"/>
          <w:marRight w:val="0"/>
          <w:marTop w:val="0"/>
          <w:marBottom w:val="0"/>
          <w:divBdr>
            <w:top w:val="none" w:sz="0" w:space="0" w:color="auto"/>
            <w:left w:val="none" w:sz="0" w:space="0" w:color="auto"/>
            <w:bottom w:val="none" w:sz="0" w:space="0" w:color="auto"/>
            <w:right w:val="none" w:sz="0" w:space="0" w:color="auto"/>
          </w:divBdr>
          <w:divsChild>
            <w:div w:id="726105849">
              <w:marLeft w:val="0"/>
              <w:marRight w:val="0"/>
              <w:marTop w:val="0"/>
              <w:marBottom w:val="0"/>
              <w:divBdr>
                <w:top w:val="none" w:sz="0" w:space="0" w:color="auto"/>
                <w:left w:val="none" w:sz="0" w:space="0" w:color="auto"/>
                <w:bottom w:val="none" w:sz="0" w:space="0" w:color="auto"/>
                <w:right w:val="none" w:sz="0" w:space="0" w:color="auto"/>
              </w:divBdr>
              <w:divsChild>
                <w:div w:id="937444144">
                  <w:marLeft w:val="0"/>
                  <w:marRight w:val="0"/>
                  <w:marTop w:val="0"/>
                  <w:marBottom w:val="0"/>
                  <w:divBdr>
                    <w:top w:val="none" w:sz="0" w:space="0" w:color="auto"/>
                    <w:left w:val="none" w:sz="0" w:space="0" w:color="auto"/>
                    <w:bottom w:val="none" w:sz="0" w:space="0" w:color="auto"/>
                    <w:right w:val="none" w:sz="0" w:space="0" w:color="auto"/>
                  </w:divBdr>
                  <w:divsChild>
                    <w:div w:id="173165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312692">
      <w:bodyDiv w:val="1"/>
      <w:marLeft w:val="0"/>
      <w:marRight w:val="0"/>
      <w:marTop w:val="0"/>
      <w:marBottom w:val="0"/>
      <w:divBdr>
        <w:top w:val="none" w:sz="0" w:space="0" w:color="auto"/>
        <w:left w:val="none" w:sz="0" w:space="0" w:color="auto"/>
        <w:bottom w:val="none" w:sz="0" w:space="0" w:color="auto"/>
        <w:right w:val="none" w:sz="0" w:space="0" w:color="auto"/>
      </w:divBdr>
    </w:div>
    <w:div w:id="1843348584">
      <w:bodyDiv w:val="1"/>
      <w:marLeft w:val="0"/>
      <w:marRight w:val="0"/>
      <w:marTop w:val="0"/>
      <w:marBottom w:val="0"/>
      <w:divBdr>
        <w:top w:val="none" w:sz="0" w:space="0" w:color="auto"/>
        <w:left w:val="none" w:sz="0" w:space="0" w:color="auto"/>
        <w:bottom w:val="none" w:sz="0" w:space="0" w:color="auto"/>
        <w:right w:val="none" w:sz="0" w:space="0" w:color="auto"/>
      </w:divBdr>
    </w:div>
    <w:div w:id="1844319041">
      <w:bodyDiv w:val="1"/>
      <w:marLeft w:val="0"/>
      <w:marRight w:val="0"/>
      <w:marTop w:val="0"/>
      <w:marBottom w:val="0"/>
      <w:divBdr>
        <w:top w:val="none" w:sz="0" w:space="0" w:color="auto"/>
        <w:left w:val="none" w:sz="0" w:space="0" w:color="auto"/>
        <w:bottom w:val="none" w:sz="0" w:space="0" w:color="auto"/>
        <w:right w:val="none" w:sz="0" w:space="0" w:color="auto"/>
      </w:divBdr>
      <w:divsChild>
        <w:div w:id="1645701901">
          <w:marLeft w:val="0"/>
          <w:marRight w:val="0"/>
          <w:marTop w:val="0"/>
          <w:marBottom w:val="0"/>
          <w:divBdr>
            <w:top w:val="none" w:sz="0" w:space="0" w:color="auto"/>
            <w:left w:val="none" w:sz="0" w:space="0" w:color="auto"/>
            <w:bottom w:val="none" w:sz="0" w:space="0" w:color="auto"/>
            <w:right w:val="none" w:sz="0" w:space="0" w:color="auto"/>
          </w:divBdr>
          <w:divsChild>
            <w:div w:id="1179929825">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1846939558">
      <w:bodyDiv w:val="1"/>
      <w:marLeft w:val="0"/>
      <w:marRight w:val="0"/>
      <w:marTop w:val="0"/>
      <w:marBottom w:val="0"/>
      <w:divBdr>
        <w:top w:val="none" w:sz="0" w:space="0" w:color="auto"/>
        <w:left w:val="none" w:sz="0" w:space="0" w:color="auto"/>
        <w:bottom w:val="none" w:sz="0" w:space="0" w:color="auto"/>
        <w:right w:val="none" w:sz="0" w:space="0" w:color="auto"/>
      </w:divBdr>
    </w:div>
    <w:div w:id="1849565628">
      <w:bodyDiv w:val="1"/>
      <w:marLeft w:val="0"/>
      <w:marRight w:val="0"/>
      <w:marTop w:val="0"/>
      <w:marBottom w:val="0"/>
      <w:divBdr>
        <w:top w:val="none" w:sz="0" w:space="0" w:color="auto"/>
        <w:left w:val="none" w:sz="0" w:space="0" w:color="auto"/>
        <w:bottom w:val="none" w:sz="0" w:space="0" w:color="auto"/>
        <w:right w:val="none" w:sz="0" w:space="0" w:color="auto"/>
      </w:divBdr>
      <w:divsChild>
        <w:div w:id="748112484">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852068601">
      <w:bodyDiv w:val="1"/>
      <w:marLeft w:val="0"/>
      <w:marRight w:val="0"/>
      <w:marTop w:val="0"/>
      <w:marBottom w:val="0"/>
      <w:divBdr>
        <w:top w:val="none" w:sz="0" w:space="0" w:color="auto"/>
        <w:left w:val="none" w:sz="0" w:space="0" w:color="auto"/>
        <w:bottom w:val="none" w:sz="0" w:space="0" w:color="auto"/>
        <w:right w:val="none" w:sz="0" w:space="0" w:color="auto"/>
      </w:divBdr>
      <w:divsChild>
        <w:div w:id="397022119">
          <w:marLeft w:val="0"/>
          <w:marRight w:val="0"/>
          <w:marTop w:val="0"/>
          <w:marBottom w:val="0"/>
          <w:divBdr>
            <w:top w:val="none" w:sz="0" w:space="0" w:color="auto"/>
            <w:left w:val="none" w:sz="0" w:space="0" w:color="auto"/>
            <w:bottom w:val="none" w:sz="0" w:space="0" w:color="auto"/>
            <w:right w:val="none" w:sz="0" w:space="0" w:color="auto"/>
          </w:divBdr>
          <w:divsChild>
            <w:div w:id="829173778">
              <w:marLeft w:val="0"/>
              <w:marRight w:val="0"/>
              <w:marTop w:val="0"/>
              <w:marBottom w:val="0"/>
              <w:divBdr>
                <w:top w:val="none" w:sz="0" w:space="0" w:color="auto"/>
                <w:left w:val="none" w:sz="0" w:space="0" w:color="auto"/>
                <w:bottom w:val="none" w:sz="0" w:space="0" w:color="auto"/>
                <w:right w:val="none" w:sz="0" w:space="0" w:color="auto"/>
              </w:divBdr>
            </w:div>
            <w:div w:id="1087580800">
              <w:marLeft w:val="0"/>
              <w:marRight w:val="0"/>
              <w:marTop w:val="0"/>
              <w:marBottom w:val="0"/>
              <w:divBdr>
                <w:top w:val="none" w:sz="0" w:space="0" w:color="auto"/>
                <w:left w:val="none" w:sz="0" w:space="0" w:color="auto"/>
                <w:bottom w:val="none" w:sz="0" w:space="0" w:color="auto"/>
                <w:right w:val="none" w:sz="0" w:space="0" w:color="auto"/>
              </w:divBdr>
              <w:divsChild>
                <w:div w:id="816147338">
                  <w:marLeft w:val="0"/>
                  <w:marRight w:val="0"/>
                  <w:marTop w:val="0"/>
                  <w:marBottom w:val="0"/>
                  <w:divBdr>
                    <w:top w:val="none" w:sz="0" w:space="0" w:color="auto"/>
                    <w:left w:val="none" w:sz="0" w:space="0" w:color="auto"/>
                    <w:bottom w:val="none" w:sz="0" w:space="0" w:color="auto"/>
                    <w:right w:val="none" w:sz="0" w:space="0" w:color="auto"/>
                  </w:divBdr>
                </w:div>
                <w:div w:id="1125930319">
                  <w:marLeft w:val="0"/>
                  <w:marRight w:val="0"/>
                  <w:marTop w:val="0"/>
                  <w:marBottom w:val="0"/>
                  <w:divBdr>
                    <w:top w:val="none" w:sz="0" w:space="0" w:color="auto"/>
                    <w:left w:val="none" w:sz="0" w:space="0" w:color="auto"/>
                    <w:bottom w:val="none" w:sz="0" w:space="0" w:color="auto"/>
                    <w:right w:val="none" w:sz="0" w:space="0" w:color="auto"/>
                  </w:divBdr>
                </w:div>
                <w:div w:id="1223785302">
                  <w:marLeft w:val="0"/>
                  <w:marRight w:val="0"/>
                  <w:marTop w:val="0"/>
                  <w:marBottom w:val="0"/>
                  <w:divBdr>
                    <w:top w:val="none" w:sz="0" w:space="0" w:color="auto"/>
                    <w:left w:val="none" w:sz="0" w:space="0" w:color="auto"/>
                    <w:bottom w:val="none" w:sz="0" w:space="0" w:color="auto"/>
                    <w:right w:val="none" w:sz="0" w:space="0" w:color="auto"/>
                  </w:divBdr>
                </w:div>
              </w:divsChild>
            </w:div>
            <w:div w:id="1441993891">
              <w:marLeft w:val="0"/>
              <w:marRight w:val="0"/>
              <w:marTop w:val="0"/>
              <w:marBottom w:val="0"/>
              <w:divBdr>
                <w:top w:val="none" w:sz="0" w:space="0" w:color="auto"/>
                <w:left w:val="none" w:sz="0" w:space="0" w:color="auto"/>
                <w:bottom w:val="none" w:sz="0" w:space="0" w:color="auto"/>
                <w:right w:val="none" w:sz="0" w:space="0" w:color="auto"/>
              </w:divBdr>
            </w:div>
            <w:div w:id="1752659742">
              <w:marLeft w:val="0"/>
              <w:marRight w:val="0"/>
              <w:marTop w:val="0"/>
              <w:marBottom w:val="0"/>
              <w:divBdr>
                <w:top w:val="none" w:sz="0" w:space="0" w:color="auto"/>
                <w:left w:val="none" w:sz="0" w:space="0" w:color="auto"/>
                <w:bottom w:val="none" w:sz="0" w:space="0" w:color="auto"/>
                <w:right w:val="none" w:sz="0" w:space="0" w:color="auto"/>
              </w:divBdr>
            </w:div>
          </w:divsChild>
        </w:div>
        <w:div w:id="1506244155">
          <w:marLeft w:val="0"/>
          <w:marRight w:val="0"/>
          <w:marTop w:val="0"/>
          <w:marBottom w:val="0"/>
          <w:divBdr>
            <w:top w:val="none" w:sz="0" w:space="0" w:color="auto"/>
            <w:left w:val="none" w:sz="0" w:space="0" w:color="auto"/>
            <w:bottom w:val="none" w:sz="0" w:space="0" w:color="auto"/>
            <w:right w:val="none" w:sz="0" w:space="0" w:color="auto"/>
          </w:divBdr>
        </w:div>
      </w:divsChild>
    </w:div>
    <w:div w:id="1857307197">
      <w:bodyDiv w:val="1"/>
      <w:marLeft w:val="0"/>
      <w:marRight w:val="0"/>
      <w:marTop w:val="0"/>
      <w:marBottom w:val="0"/>
      <w:divBdr>
        <w:top w:val="none" w:sz="0" w:space="0" w:color="auto"/>
        <w:left w:val="none" w:sz="0" w:space="0" w:color="auto"/>
        <w:bottom w:val="none" w:sz="0" w:space="0" w:color="auto"/>
        <w:right w:val="none" w:sz="0" w:space="0" w:color="auto"/>
      </w:divBdr>
    </w:div>
    <w:div w:id="1858883155">
      <w:bodyDiv w:val="1"/>
      <w:marLeft w:val="0"/>
      <w:marRight w:val="0"/>
      <w:marTop w:val="0"/>
      <w:marBottom w:val="0"/>
      <w:divBdr>
        <w:top w:val="none" w:sz="0" w:space="0" w:color="auto"/>
        <w:left w:val="none" w:sz="0" w:space="0" w:color="auto"/>
        <w:bottom w:val="none" w:sz="0" w:space="0" w:color="auto"/>
        <w:right w:val="none" w:sz="0" w:space="0" w:color="auto"/>
      </w:divBdr>
      <w:divsChild>
        <w:div w:id="1786460330">
          <w:marLeft w:val="0"/>
          <w:marRight w:val="0"/>
          <w:marTop w:val="0"/>
          <w:marBottom w:val="0"/>
          <w:divBdr>
            <w:top w:val="none" w:sz="0" w:space="0" w:color="auto"/>
            <w:left w:val="none" w:sz="0" w:space="0" w:color="auto"/>
            <w:bottom w:val="none" w:sz="0" w:space="0" w:color="auto"/>
            <w:right w:val="none" w:sz="0" w:space="0" w:color="auto"/>
          </w:divBdr>
          <w:divsChild>
            <w:div w:id="584264800">
              <w:marLeft w:val="3225"/>
              <w:marRight w:val="0"/>
              <w:marTop w:val="0"/>
              <w:marBottom w:val="0"/>
              <w:divBdr>
                <w:top w:val="none" w:sz="0" w:space="0" w:color="auto"/>
                <w:left w:val="none" w:sz="0" w:space="0" w:color="auto"/>
                <w:bottom w:val="none" w:sz="0" w:space="0" w:color="auto"/>
                <w:right w:val="none" w:sz="0" w:space="0" w:color="auto"/>
              </w:divBdr>
              <w:divsChild>
                <w:div w:id="1250968058">
                  <w:marLeft w:val="90"/>
                  <w:marRight w:val="0"/>
                  <w:marTop w:val="0"/>
                  <w:marBottom w:val="0"/>
                  <w:divBdr>
                    <w:top w:val="single" w:sz="6" w:space="0" w:color="EEEEEE"/>
                    <w:left w:val="none" w:sz="0" w:space="0" w:color="auto"/>
                    <w:bottom w:val="none" w:sz="0" w:space="0" w:color="auto"/>
                    <w:right w:val="none" w:sz="0" w:space="0" w:color="auto"/>
                  </w:divBdr>
                  <w:divsChild>
                    <w:div w:id="1283345769">
                      <w:marLeft w:val="0"/>
                      <w:marRight w:val="0"/>
                      <w:marTop w:val="0"/>
                      <w:marBottom w:val="0"/>
                      <w:divBdr>
                        <w:top w:val="none" w:sz="0" w:space="0" w:color="auto"/>
                        <w:left w:val="none" w:sz="0" w:space="0" w:color="auto"/>
                        <w:bottom w:val="none" w:sz="0" w:space="0" w:color="auto"/>
                        <w:right w:val="none" w:sz="0" w:space="0" w:color="auto"/>
                      </w:divBdr>
                      <w:divsChild>
                        <w:div w:id="116320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6467">
      <w:bodyDiv w:val="1"/>
      <w:marLeft w:val="0"/>
      <w:marRight w:val="0"/>
      <w:marTop w:val="0"/>
      <w:marBottom w:val="0"/>
      <w:divBdr>
        <w:top w:val="none" w:sz="0" w:space="0" w:color="auto"/>
        <w:left w:val="none" w:sz="0" w:space="0" w:color="auto"/>
        <w:bottom w:val="none" w:sz="0" w:space="0" w:color="auto"/>
        <w:right w:val="none" w:sz="0" w:space="0" w:color="auto"/>
      </w:divBdr>
      <w:divsChild>
        <w:div w:id="1205797107">
          <w:marLeft w:val="0"/>
          <w:marRight w:val="0"/>
          <w:marTop w:val="0"/>
          <w:marBottom w:val="0"/>
          <w:divBdr>
            <w:top w:val="none" w:sz="0" w:space="0" w:color="auto"/>
            <w:left w:val="none" w:sz="0" w:space="0" w:color="auto"/>
            <w:bottom w:val="none" w:sz="0" w:space="0" w:color="auto"/>
            <w:right w:val="none" w:sz="0" w:space="0" w:color="auto"/>
          </w:divBdr>
          <w:divsChild>
            <w:div w:id="158423578">
              <w:marLeft w:val="0"/>
              <w:marRight w:val="0"/>
              <w:marTop w:val="0"/>
              <w:marBottom w:val="0"/>
              <w:divBdr>
                <w:top w:val="none" w:sz="0" w:space="0" w:color="auto"/>
                <w:left w:val="none" w:sz="0" w:space="0" w:color="auto"/>
                <w:bottom w:val="none" w:sz="0" w:space="0" w:color="auto"/>
                <w:right w:val="none" w:sz="0" w:space="0" w:color="auto"/>
              </w:divBdr>
              <w:divsChild>
                <w:div w:id="1686130066">
                  <w:marLeft w:val="0"/>
                  <w:marRight w:val="0"/>
                  <w:marTop w:val="0"/>
                  <w:marBottom w:val="0"/>
                  <w:divBdr>
                    <w:top w:val="none" w:sz="0" w:space="0" w:color="auto"/>
                    <w:left w:val="none" w:sz="0" w:space="0" w:color="auto"/>
                    <w:bottom w:val="none" w:sz="0" w:space="0" w:color="auto"/>
                    <w:right w:val="none" w:sz="0" w:space="0" w:color="auto"/>
                  </w:divBdr>
                  <w:divsChild>
                    <w:div w:id="1072434359">
                      <w:marLeft w:val="0"/>
                      <w:marRight w:val="0"/>
                      <w:marTop w:val="0"/>
                      <w:marBottom w:val="0"/>
                      <w:divBdr>
                        <w:top w:val="none" w:sz="0" w:space="0" w:color="auto"/>
                        <w:left w:val="none" w:sz="0" w:space="0" w:color="auto"/>
                        <w:bottom w:val="none" w:sz="0" w:space="0" w:color="auto"/>
                        <w:right w:val="none" w:sz="0" w:space="0" w:color="auto"/>
                      </w:divBdr>
                      <w:divsChild>
                        <w:div w:id="2147119367">
                          <w:marLeft w:val="0"/>
                          <w:marRight w:val="0"/>
                          <w:marTop w:val="0"/>
                          <w:marBottom w:val="0"/>
                          <w:divBdr>
                            <w:top w:val="none" w:sz="0" w:space="0" w:color="auto"/>
                            <w:left w:val="none" w:sz="0" w:space="0" w:color="auto"/>
                            <w:bottom w:val="none" w:sz="0" w:space="0" w:color="auto"/>
                            <w:right w:val="none" w:sz="0" w:space="0" w:color="auto"/>
                          </w:divBdr>
                          <w:divsChild>
                            <w:div w:id="45845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850397">
      <w:bodyDiv w:val="1"/>
      <w:marLeft w:val="0"/>
      <w:marRight w:val="0"/>
      <w:marTop w:val="0"/>
      <w:marBottom w:val="0"/>
      <w:divBdr>
        <w:top w:val="none" w:sz="0" w:space="0" w:color="auto"/>
        <w:left w:val="none" w:sz="0" w:space="0" w:color="auto"/>
        <w:bottom w:val="none" w:sz="0" w:space="0" w:color="auto"/>
        <w:right w:val="none" w:sz="0" w:space="0" w:color="auto"/>
      </w:divBdr>
    </w:div>
    <w:div w:id="1894922168">
      <w:bodyDiv w:val="1"/>
      <w:marLeft w:val="0"/>
      <w:marRight w:val="0"/>
      <w:marTop w:val="0"/>
      <w:marBottom w:val="0"/>
      <w:divBdr>
        <w:top w:val="none" w:sz="0" w:space="0" w:color="auto"/>
        <w:left w:val="none" w:sz="0" w:space="0" w:color="auto"/>
        <w:bottom w:val="none" w:sz="0" w:space="0" w:color="auto"/>
        <w:right w:val="none" w:sz="0" w:space="0" w:color="auto"/>
      </w:divBdr>
      <w:divsChild>
        <w:div w:id="630210080">
          <w:marLeft w:val="0"/>
          <w:marRight w:val="0"/>
          <w:marTop w:val="0"/>
          <w:marBottom w:val="240"/>
          <w:divBdr>
            <w:top w:val="single" w:sz="6" w:space="5" w:color="C2C2C2"/>
            <w:left w:val="single" w:sz="6" w:space="5" w:color="C2C2C2"/>
            <w:bottom w:val="single" w:sz="24" w:space="5" w:color="C2C2C2"/>
            <w:right w:val="single" w:sz="6" w:space="5" w:color="C2C2C2"/>
          </w:divBdr>
          <w:divsChild>
            <w:div w:id="197857970">
              <w:marLeft w:val="0"/>
              <w:marRight w:val="0"/>
              <w:marTop w:val="0"/>
              <w:marBottom w:val="0"/>
              <w:divBdr>
                <w:top w:val="none" w:sz="0" w:space="0" w:color="auto"/>
                <w:left w:val="none" w:sz="0" w:space="0" w:color="auto"/>
                <w:bottom w:val="none" w:sz="0" w:space="0" w:color="auto"/>
                <w:right w:val="none" w:sz="0" w:space="0" w:color="auto"/>
              </w:divBdr>
            </w:div>
            <w:div w:id="1012296305">
              <w:marLeft w:val="0"/>
              <w:marRight w:val="0"/>
              <w:marTop w:val="0"/>
              <w:marBottom w:val="0"/>
              <w:divBdr>
                <w:top w:val="none" w:sz="0" w:space="0" w:color="auto"/>
                <w:left w:val="none" w:sz="0" w:space="0" w:color="auto"/>
                <w:bottom w:val="none" w:sz="0" w:space="0" w:color="auto"/>
                <w:right w:val="none" w:sz="0" w:space="0" w:color="auto"/>
              </w:divBdr>
            </w:div>
            <w:div w:id="171943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938791">
      <w:bodyDiv w:val="1"/>
      <w:marLeft w:val="0"/>
      <w:marRight w:val="0"/>
      <w:marTop w:val="0"/>
      <w:marBottom w:val="0"/>
      <w:divBdr>
        <w:top w:val="none" w:sz="0" w:space="0" w:color="auto"/>
        <w:left w:val="none" w:sz="0" w:space="0" w:color="auto"/>
        <w:bottom w:val="none" w:sz="0" w:space="0" w:color="auto"/>
        <w:right w:val="none" w:sz="0" w:space="0" w:color="auto"/>
      </w:divBdr>
    </w:div>
    <w:div w:id="1903982695">
      <w:bodyDiv w:val="1"/>
      <w:marLeft w:val="0"/>
      <w:marRight w:val="0"/>
      <w:marTop w:val="0"/>
      <w:marBottom w:val="0"/>
      <w:divBdr>
        <w:top w:val="none" w:sz="0" w:space="0" w:color="auto"/>
        <w:left w:val="none" w:sz="0" w:space="0" w:color="auto"/>
        <w:bottom w:val="none" w:sz="0" w:space="0" w:color="auto"/>
        <w:right w:val="none" w:sz="0" w:space="0" w:color="auto"/>
      </w:divBdr>
    </w:div>
    <w:div w:id="1914582067">
      <w:bodyDiv w:val="1"/>
      <w:marLeft w:val="0"/>
      <w:marRight w:val="0"/>
      <w:marTop w:val="0"/>
      <w:marBottom w:val="0"/>
      <w:divBdr>
        <w:top w:val="none" w:sz="0" w:space="0" w:color="auto"/>
        <w:left w:val="none" w:sz="0" w:space="0" w:color="auto"/>
        <w:bottom w:val="none" w:sz="0" w:space="0" w:color="auto"/>
        <w:right w:val="none" w:sz="0" w:space="0" w:color="auto"/>
      </w:divBdr>
    </w:div>
    <w:div w:id="1925602636">
      <w:bodyDiv w:val="1"/>
      <w:marLeft w:val="0"/>
      <w:marRight w:val="0"/>
      <w:marTop w:val="0"/>
      <w:marBottom w:val="0"/>
      <w:divBdr>
        <w:top w:val="none" w:sz="0" w:space="0" w:color="auto"/>
        <w:left w:val="none" w:sz="0" w:space="0" w:color="auto"/>
        <w:bottom w:val="none" w:sz="0" w:space="0" w:color="auto"/>
        <w:right w:val="none" w:sz="0" w:space="0" w:color="auto"/>
      </w:divBdr>
    </w:div>
    <w:div w:id="1927227236">
      <w:bodyDiv w:val="1"/>
      <w:marLeft w:val="0"/>
      <w:marRight w:val="0"/>
      <w:marTop w:val="0"/>
      <w:marBottom w:val="0"/>
      <w:divBdr>
        <w:top w:val="none" w:sz="0" w:space="0" w:color="auto"/>
        <w:left w:val="none" w:sz="0" w:space="0" w:color="auto"/>
        <w:bottom w:val="none" w:sz="0" w:space="0" w:color="auto"/>
        <w:right w:val="none" w:sz="0" w:space="0" w:color="auto"/>
      </w:divBdr>
      <w:divsChild>
        <w:div w:id="1016348472">
          <w:marLeft w:val="0"/>
          <w:marRight w:val="0"/>
          <w:marTop w:val="0"/>
          <w:marBottom w:val="0"/>
          <w:divBdr>
            <w:top w:val="none" w:sz="0" w:space="0" w:color="auto"/>
            <w:left w:val="none" w:sz="0" w:space="0" w:color="auto"/>
            <w:bottom w:val="none" w:sz="0" w:space="0" w:color="auto"/>
            <w:right w:val="none" w:sz="0" w:space="0" w:color="auto"/>
          </w:divBdr>
          <w:divsChild>
            <w:div w:id="143432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895776">
      <w:bodyDiv w:val="1"/>
      <w:marLeft w:val="0"/>
      <w:marRight w:val="0"/>
      <w:marTop w:val="0"/>
      <w:marBottom w:val="0"/>
      <w:divBdr>
        <w:top w:val="none" w:sz="0" w:space="0" w:color="auto"/>
        <w:left w:val="none" w:sz="0" w:space="0" w:color="auto"/>
        <w:bottom w:val="none" w:sz="0" w:space="0" w:color="auto"/>
        <w:right w:val="none" w:sz="0" w:space="0" w:color="auto"/>
      </w:divBdr>
      <w:divsChild>
        <w:div w:id="410583283">
          <w:marLeft w:val="0"/>
          <w:marRight w:val="0"/>
          <w:marTop w:val="0"/>
          <w:marBottom w:val="0"/>
          <w:divBdr>
            <w:top w:val="none" w:sz="0" w:space="0" w:color="auto"/>
            <w:left w:val="none" w:sz="0" w:space="0" w:color="auto"/>
            <w:bottom w:val="none" w:sz="0" w:space="0" w:color="auto"/>
            <w:right w:val="none" w:sz="0" w:space="0" w:color="auto"/>
          </w:divBdr>
          <w:divsChild>
            <w:div w:id="1701785497">
              <w:marLeft w:val="0"/>
              <w:marRight w:val="0"/>
              <w:marTop w:val="0"/>
              <w:marBottom w:val="0"/>
              <w:divBdr>
                <w:top w:val="none" w:sz="0" w:space="0" w:color="auto"/>
                <w:left w:val="none" w:sz="0" w:space="0" w:color="auto"/>
                <w:bottom w:val="none" w:sz="0" w:space="0" w:color="auto"/>
                <w:right w:val="none" w:sz="0" w:space="0" w:color="auto"/>
              </w:divBdr>
              <w:divsChild>
                <w:div w:id="563033274">
                  <w:marLeft w:val="0"/>
                  <w:marRight w:val="0"/>
                  <w:marTop w:val="0"/>
                  <w:marBottom w:val="0"/>
                  <w:divBdr>
                    <w:top w:val="none" w:sz="0" w:space="0" w:color="auto"/>
                    <w:left w:val="none" w:sz="0" w:space="0" w:color="auto"/>
                    <w:bottom w:val="none" w:sz="0" w:space="0" w:color="auto"/>
                    <w:right w:val="none" w:sz="0" w:space="0" w:color="auto"/>
                  </w:divBdr>
                  <w:divsChild>
                    <w:div w:id="1476993070">
                      <w:marLeft w:val="0"/>
                      <w:marRight w:val="0"/>
                      <w:marTop w:val="0"/>
                      <w:marBottom w:val="0"/>
                      <w:divBdr>
                        <w:top w:val="none" w:sz="0" w:space="0" w:color="auto"/>
                        <w:left w:val="none" w:sz="0" w:space="0" w:color="auto"/>
                        <w:bottom w:val="none" w:sz="0" w:space="0" w:color="auto"/>
                        <w:right w:val="none" w:sz="0" w:space="0" w:color="auto"/>
                      </w:divBdr>
                      <w:divsChild>
                        <w:div w:id="413087213">
                          <w:marLeft w:val="0"/>
                          <w:marRight w:val="0"/>
                          <w:marTop w:val="0"/>
                          <w:marBottom w:val="0"/>
                          <w:divBdr>
                            <w:top w:val="none" w:sz="0" w:space="0" w:color="auto"/>
                            <w:left w:val="none" w:sz="0" w:space="0" w:color="auto"/>
                            <w:bottom w:val="none" w:sz="0" w:space="0" w:color="auto"/>
                            <w:right w:val="none" w:sz="0" w:space="0" w:color="auto"/>
                          </w:divBdr>
                          <w:divsChild>
                            <w:div w:id="1135832189">
                              <w:marLeft w:val="0"/>
                              <w:marRight w:val="0"/>
                              <w:marTop w:val="0"/>
                              <w:marBottom w:val="0"/>
                              <w:divBdr>
                                <w:top w:val="none" w:sz="0" w:space="0" w:color="auto"/>
                                <w:left w:val="none" w:sz="0" w:space="0" w:color="auto"/>
                                <w:bottom w:val="none" w:sz="0" w:space="0" w:color="auto"/>
                                <w:right w:val="none" w:sz="0" w:space="0" w:color="auto"/>
                              </w:divBdr>
                              <w:divsChild>
                                <w:div w:id="28188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5935454">
      <w:bodyDiv w:val="1"/>
      <w:marLeft w:val="0"/>
      <w:marRight w:val="0"/>
      <w:marTop w:val="0"/>
      <w:marBottom w:val="0"/>
      <w:divBdr>
        <w:top w:val="none" w:sz="0" w:space="0" w:color="auto"/>
        <w:left w:val="none" w:sz="0" w:space="0" w:color="auto"/>
        <w:bottom w:val="none" w:sz="0" w:space="0" w:color="auto"/>
        <w:right w:val="none" w:sz="0" w:space="0" w:color="auto"/>
      </w:divBdr>
      <w:divsChild>
        <w:div w:id="1915581901">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937009409">
      <w:bodyDiv w:val="1"/>
      <w:marLeft w:val="0"/>
      <w:marRight w:val="0"/>
      <w:marTop w:val="0"/>
      <w:marBottom w:val="0"/>
      <w:divBdr>
        <w:top w:val="none" w:sz="0" w:space="0" w:color="auto"/>
        <w:left w:val="none" w:sz="0" w:space="0" w:color="auto"/>
        <w:bottom w:val="none" w:sz="0" w:space="0" w:color="auto"/>
        <w:right w:val="none" w:sz="0" w:space="0" w:color="auto"/>
      </w:divBdr>
    </w:div>
    <w:div w:id="1942495906">
      <w:bodyDiv w:val="1"/>
      <w:marLeft w:val="0"/>
      <w:marRight w:val="0"/>
      <w:marTop w:val="0"/>
      <w:marBottom w:val="0"/>
      <w:divBdr>
        <w:top w:val="none" w:sz="0" w:space="0" w:color="auto"/>
        <w:left w:val="none" w:sz="0" w:space="0" w:color="auto"/>
        <w:bottom w:val="none" w:sz="0" w:space="0" w:color="auto"/>
        <w:right w:val="none" w:sz="0" w:space="0" w:color="auto"/>
      </w:divBdr>
    </w:div>
    <w:div w:id="1943099382">
      <w:bodyDiv w:val="1"/>
      <w:marLeft w:val="0"/>
      <w:marRight w:val="0"/>
      <w:marTop w:val="0"/>
      <w:marBottom w:val="0"/>
      <w:divBdr>
        <w:top w:val="none" w:sz="0" w:space="0" w:color="auto"/>
        <w:left w:val="none" w:sz="0" w:space="0" w:color="auto"/>
        <w:bottom w:val="none" w:sz="0" w:space="0" w:color="auto"/>
        <w:right w:val="none" w:sz="0" w:space="0" w:color="auto"/>
      </w:divBdr>
      <w:divsChild>
        <w:div w:id="1272787194">
          <w:marLeft w:val="0"/>
          <w:marRight w:val="0"/>
          <w:marTop w:val="0"/>
          <w:marBottom w:val="0"/>
          <w:divBdr>
            <w:top w:val="none" w:sz="0" w:space="0" w:color="auto"/>
            <w:left w:val="none" w:sz="0" w:space="0" w:color="auto"/>
            <w:bottom w:val="none" w:sz="0" w:space="0" w:color="auto"/>
            <w:right w:val="none" w:sz="0" w:space="0" w:color="auto"/>
          </w:divBdr>
          <w:divsChild>
            <w:div w:id="190776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943324">
      <w:bodyDiv w:val="1"/>
      <w:marLeft w:val="0"/>
      <w:marRight w:val="0"/>
      <w:marTop w:val="0"/>
      <w:marBottom w:val="0"/>
      <w:divBdr>
        <w:top w:val="none" w:sz="0" w:space="0" w:color="auto"/>
        <w:left w:val="none" w:sz="0" w:space="0" w:color="auto"/>
        <w:bottom w:val="none" w:sz="0" w:space="0" w:color="auto"/>
        <w:right w:val="none" w:sz="0" w:space="0" w:color="auto"/>
      </w:divBdr>
    </w:div>
    <w:div w:id="1956717538">
      <w:bodyDiv w:val="1"/>
      <w:marLeft w:val="0"/>
      <w:marRight w:val="0"/>
      <w:marTop w:val="0"/>
      <w:marBottom w:val="0"/>
      <w:divBdr>
        <w:top w:val="none" w:sz="0" w:space="0" w:color="auto"/>
        <w:left w:val="none" w:sz="0" w:space="0" w:color="auto"/>
        <w:bottom w:val="none" w:sz="0" w:space="0" w:color="auto"/>
        <w:right w:val="none" w:sz="0" w:space="0" w:color="auto"/>
      </w:divBdr>
    </w:div>
    <w:div w:id="1969043870">
      <w:bodyDiv w:val="1"/>
      <w:marLeft w:val="0"/>
      <w:marRight w:val="0"/>
      <w:marTop w:val="0"/>
      <w:marBottom w:val="0"/>
      <w:divBdr>
        <w:top w:val="none" w:sz="0" w:space="0" w:color="auto"/>
        <w:left w:val="none" w:sz="0" w:space="0" w:color="auto"/>
        <w:bottom w:val="none" w:sz="0" w:space="0" w:color="auto"/>
        <w:right w:val="none" w:sz="0" w:space="0" w:color="auto"/>
      </w:divBdr>
    </w:div>
    <w:div w:id="1969241963">
      <w:bodyDiv w:val="1"/>
      <w:marLeft w:val="0"/>
      <w:marRight w:val="0"/>
      <w:marTop w:val="0"/>
      <w:marBottom w:val="0"/>
      <w:divBdr>
        <w:top w:val="none" w:sz="0" w:space="0" w:color="auto"/>
        <w:left w:val="none" w:sz="0" w:space="0" w:color="auto"/>
        <w:bottom w:val="none" w:sz="0" w:space="0" w:color="auto"/>
        <w:right w:val="none" w:sz="0" w:space="0" w:color="auto"/>
      </w:divBdr>
      <w:divsChild>
        <w:div w:id="1478301440">
          <w:marLeft w:val="0"/>
          <w:marRight w:val="0"/>
          <w:marTop w:val="0"/>
          <w:marBottom w:val="0"/>
          <w:divBdr>
            <w:top w:val="none" w:sz="0" w:space="0" w:color="auto"/>
            <w:left w:val="none" w:sz="0" w:space="0" w:color="auto"/>
            <w:bottom w:val="none" w:sz="0" w:space="0" w:color="auto"/>
            <w:right w:val="none" w:sz="0" w:space="0" w:color="auto"/>
          </w:divBdr>
        </w:div>
      </w:divsChild>
    </w:div>
    <w:div w:id="1970085086">
      <w:bodyDiv w:val="1"/>
      <w:marLeft w:val="0"/>
      <w:marRight w:val="0"/>
      <w:marTop w:val="0"/>
      <w:marBottom w:val="0"/>
      <w:divBdr>
        <w:top w:val="none" w:sz="0" w:space="0" w:color="auto"/>
        <w:left w:val="none" w:sz="0" w:space="0" w:color="auto"/>
        <w:bottom w:val="none" w:sz="0" w:space="0" w:color="auto"/>
        <w:right w:val="none" w:sz="0" w:space="0" w:color="auto"/>
      </w:divBdr>
    </w:div>
    <w:div w:id="1986200221">
      <w:bodyDiv w:val="1"/>
      <w:marLeft w:val="0"/>
      <w:marRight w:val="0"/>
      <w:marTop w:val="0"/>
      <w:marBottom w:val="0"/>
      <w:divBdr>
        <w:top w:val="none" w:sz="0" w:space="0" w:color="auto"/>
        <w:left w:val="none" w:sz="0" w:space="0" w:color="auto"/>
        <w:bottom w:val="none" w:sz="0" w:space="0" w:color="auto"/>
        <w:right w:val="none" w:sz="0" w:space="0" w:color="auto"/>
      </w:divBdr>
      <w:divsChild>
        <w:div w:id="1759446757">
          <w:marLeft w:val="0"/>
          <w:marRight w:val="0"/>
          <w:marTop w:val="0"/>
          <w:marBottom w:val="0"/>
          <w:divBdr>
            <w:top w:val="none" w:sz="0" w:space="0" w:color="auto"/>
            <w:left w:val="none" w:sz="0" w:space="0" w:color="auto"/>
            <w:bottom w:val="none" w:sz="0" w:space="0" w:color="auto"/>
            <w:right w:val="none" w:sz="0" w:space="0" w:color="auto"/>
          </w:divBdr>
          <w:divsChild>
            <w:div w:id="2132750025">
              <w:marLeft w:val="0"/>
              <w:marRight w:val="0"/>
              <w:marTop w:val="0"/>
              <w:marBottom w:val="0"/>
              <w:divBdr>
                <w:top w:val="none" w:sz="0" w:space="0" w:color="auto"/>
                <w:left w:val="none" w:sz="0" w:space="0" w:color="auto"/>
                <w:bottom w:val="none" w:sz="0" w:space="0" w:color="auto"/>
                <w:right w:val="none" w:sz="0" w:space="0" w:color="auto"/>
              </w:divBdr>
              <w:divsChild>
                <w:div w:id="81342641">
                  <w:marLeft w:val="0"/>
                  <w:marRight w:val="0"/>
                  <w:marTop w:val="0"/>
                  <w:marBottom w:val="0"/>
                  <w:divBdr>
                    <w:top w:val="none" w:sz="0" w:space="0" w:color="auto"/>
                    <w:left w:val="none" w:sz="0" w:space="0" w:color="auto"/>
                    <w:bottom w:val="none" w:sz="0" w:space="0" w:color="auto"/>
                    <w:right w:val="none" w:sz="0" w:space="0" w:color="auto"/>
                  </w:divBdr>
                  <w:divsChild>
                    <w:div w:id="45267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862722">
      <w:bodyDiv w:val="1"/>
      <w:marLeft w:val="0"/>
      <w:marRight w:val="0"/>
      <w:marTop w:val="0"/>
      <w:marBottom w:val="0"/>
      <w:divBdr>
        <w:top w:val="none" w:sz="0" w:space="0" w:color="auto"/>
        <w:left w:val="none" w:sz="0" w:space="0" w:color="auto"/>
        <w:bottom w:val="none" w:sz="0" w:space="0" w:color="auto"/>
        <w:right w:val="none" w:sz="0" w:space="0" w:color="auto"/>
      </w:divBdr>
    </w:div>
    <w:div w:id="2004238787">
      <w:bodyDiv w:val="1"/>
      <w:marLeft w:val="0"/>
      <w:marRight w:val="0"/>
      <w:marTop w:val="0"/>
      <w:marBottom w:val="0"/>
      <w:divBdr>
        <w:top w:val="none" w:sz="0" w:space="0" w:color="auto"/>
        <w:left w:val="none" w:sz="0" w:space="0" w:color="auto"/>
        <w:bottom w:val="none" w:sz="0" w:space="0" w:color="auto"/>
        <w:right w:val="none" w:sz="0" w:space="0" w:color="auto"/>
      </w:divBdr>
      <w:divsChild>
        <w:div w:id="1847019688">
          <w:marLeft w:val="0"/>
          <w:marRight w:val="0"/>
          <w:marTop w:val="0"/>
          <w:marBottom w:val="0"/>
          <w:divBdr>
            <w:top w:val="none" w:sz="0" w:space="0" w:color="auto"/>
            <w:left w:val="none" w:sz="0" w:space="0" w:color="auto"/>
            <w:bottom w:val="none" w:sz="0" w:space="0" w:color="auto"/>
            <w:right w:val="none" w:sz="0" w:space="0" w:color="auto"/>
          </w:divBdr>
          <w:divsChild>
            <w:div w:id="94281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350568">
      <w:bodyDiv w:val="1"/>
      <w:marLeft w:val="0"/>
      <w:marRight w:val="0"/>
      <w:marTop w:val="0"/>
      <w:marBottom w:val="0"/>
      <w:divBdr>
        <w:top w:val="none" w:sz="0" w:space="0" w:color="auto"/>
        <w:left w:val="none" w:sz="0" w:space="0" w:color="auto"/>
        <w:bottom w:val="none" w:sz="0" w:space="0" w:color="auto"/>
        <w:right w:val="none" w:sz="0" w:space="0" w:color="auto"/>
      </w:divBdr>
    </w:div>
    <w:div w:id="2013990810">
      <w:bodyDiv w:val="1"/>
      <w:marLeft w:val="0"/>
      <w:marRight w:val="0"/>
      <w:marTop w:val="0"/>
      <w:marBottom w:val="0"/>
      <w:divBdr>
        <w:top w:val="none" w:sz="0" w:space="0" w:color="auto"/>
        <w:left w:val="none" w:sz="0" w:space="0" w:color="auto"/>
        <w:bottom w:val="none" w:sz="0" w:space="0" w:color="auto"/>
        <w:right w:val="none" w:sz="0" w:space="0" w:color="auto"/>
      </w:divBdr>
    </w:div>
    <w:div w:id="2015568498">
      <w:bodyDiv w:val="1"/>
      <w:marLeft w:val="0"/>
      <w:marRight w:val="0"/>
      <w:marTop w:val="0"/>
      <w:marBottom w:val="0"/>
      <w:divBdr>
        <w:top w:val="none" w:sz="0" w:space="0" w:color="auto"/>
        <w:left w:val="none" w:sz="0" w:space="0" w:color="auto"/>
        <w:bottom w:val="none" w:sz="0" w:space="0" w:color="auto"/>
        <w:right w:val="none" w:sz="0" w:space="0" w:color="auto"/>
      </w:divBdr>
    </w:div>
    <w:div w:id="2017535980">
      <w:bodyDiv w:val="1"/>
      <w:marLeft w:val="0"/>
      <w:marRight w:val="0"/>
      <w:marTop w:val="0"/>
      <w:marBottom w:val="0"/>
      <w:divBdr>
        <w:top w:val="none" w:sz="0" w:space="0" w:color="auto"/>
        <w:left w:val="none" w:sz="0" w:space="0" w:color="auto"/>
        <w:bottom w:val="none" w:sz="0" w:space="0" w:color="auto"/>
        <w:right w:val="none" w:sz="0" w:space="0" w:color="auto"/>
      </w:divBdr>
    </w:div>
    <w:div w:id="2019886970">
      <w:bodyDiv w:val="1"/>
      <w:marLeft w:val="0"/>
      <w:marRight w:val="0"/>
      <w:marTop w:val="0"/>
      <w:marBottom w:val="0"/>
      <w:divBdr>
        <w:top w:val="none" w:sz="0" w:space="0" w:color="auto"/>
        <w:left w:val="none" w:sz="0" w:space="0" w:color="auto"/>
        <w:bottom w:val="none" w:sz="0" w:space="0" w:color="auto"/>
        <w:right w:val="none" w:sz="0" w:space="0" w:color="auto"/>
      </w:divBdr>
      <w:divsChild>
        <w:div w:id="1609390706">
          <w:marLeft w:val="0"/>
          <w:marRight w:val="0"/>
          <w:marTop w:val="0"/>
          <w:marBottom w:val="0"/>
          <w:divBdr>
            <w:top w:val="none" w:sz="0" w:space="0" w:color="auto"/>
            <w:left w:val="none" w:sz="0" w:space="0" w:color="auto"/>
            <w:bottom w:val="none" w:sz="0" w:space="0" w:color="auto"/>
            <w:right w:val="none" w:sz="0" w:space="0" w:color="auto"/>
          </w:divBdr>
        </w:div>
      </w:divsChild>
    </w:div>
    <w:div w:id="2020571967">
      <w:bodyDiv w:val="1"/>
      <w:marLeft w:val="0"/>
      <w:marRight w:val="0"/>
      <w:marTop w:val="0"/>
      <w:marBottom w:val="0"/>
      <w:divBdr>
        <w:top w:val="none" w:sz="0" w:space="0" w:color="auto"/>
        <w:left w:val="none" w:sz="0" w:space="0" w:color="auto"/>
        <w:bottom w:val="none" w:sz="0" w:space="0" w:color="auto"/>
        <w:right w:val="none" w:sz="0" w:space="0" w:color="auto"/>
      </w:divBdr>
      <w:divsChild>
        <w:div w:id="645478871">
          <w:marLeft w:val="0"/>
          <w:marRight w:val="0"/>
          <w:marTop w:val="0"/>
          <w:marBottom w:val="0"/>
          <w:divBdr>
            <w:top w:val="none" w:sz="0" w:space="0" w:color="auto"/>
            <w:left w:val="none" w:sz="0" w:space="0" w:color="auto"/>
            <w:bottom w:val="none" w:sz="0" w:space="0" w:color="auto"/>
            <w:right w:val="none" w:sz="0" w:space="0" w:color="auto"/>
          </w:divBdr>
        </w:div>
      </w:divsChild>
    </w:div>
    <w:div w:id="2024815594">
      <w:bodyDiv w:val="1"/>
      <w:marLeft w:val="0"/>
      <w:marRight w:val="0"/>
      <w:marTop w:val="0"/>
      <w:marBottom w:val="0"/>
      <w:divBdr>
        <w:top w:val="none" w:sz="0" w:space="0" w:color="auto"/>
        <w:left w:val="none" w:sz="0" w:space="0" w:color="auto"/>
        <w:bottom w:val="none" w:sz="0" w:space="0" w:color="auto"/>
        <w:right w:val="none" w:sz="0" w:space="0" w:color="auto"/>
      </w:divBdr>
      <w:divsChild>
        <w:div w:id="808981468">
          <w:marLeft w:val="0"/>
          <w:marRight w:val="0"/>
          <w:marTop w:val="0"/>
          <w:marBottom w:val="0"/>
          <w:divBdr>
            <w:top w:val="none" w:sz="0" w:space="0" w:color="auto"/>
            <w:left w:val="none" w:sz="0" w:space="0" w:color="auto"/>
            <w:bottom w:val="none" w:sz="0" w:space="0" w:color="auto"/>
            <w:right w:val="none" w:sz="0" w:space="0" w:color="auto"/>
          </w:divBdr>
          <w:divsChild>
            <w:div w:id="15935729">
              <w:marLeft w:val="0"/>
              <w:marRight w:val="0"/>
              <w:marTop w:val="0"/>
              <w:marBottom w:val="0"/>
              <w:divBdr>
                <w:top w:val="none" w:sz="0" w:space="0" w:color="auto"/>
                <w:left w:val="none" w:sz="0" w:space="0" w:color="auto"/>
                <w:bottom w:val="none" w:sz="0" w:space="0" w:color="auto"/>
                <w:right w:val="none" w:sz="0" w:space="0" w:color="auto"/>
              </w:divBdr>
              <w:divsChild>
                <w:div w:id="1660772389">
                  <w:marLeft w:val="0"/>
                  <w:marRight w:val="0"/>
                  <w:marTop w:val="0"/>
                  <w:marBottom w:val="0"/>
                  <w:divBdr>
                    <w:top w:val="none" w:sz="0" w:space="0" w:color="auto"/>
                    <w:left w:val="none" w:sz="0" w:space="0" w:color="auto"/>
                    <w:bottom w:val="none" w:sz="0" w:space="0" w:color="auto"/>
                    <w:right w:val="none" w:sz="0" w:space="0" w:color="auto"/>
                  </w:divBdr>
                  <w:divsChild>
                    <w:div w:id="95383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135594">
      <w:bodyDiv w:val="1"/>
      <w:marLeft w:val="0"/>
      <w:marRight w:val="0"/>
      <w:marTop w:val="0"/>
      <w:marBottom w:val="0"/>
      <w:divBdr>
        <w:top w:val="none" w:sz="0" w:space="0" w:color="auto"/>
        <w:left w:val="none" w:sz="0" w:space="0" w:color="auto"/>
        <w:bottom w:val="none" w:sz="0" w:space="0" w:color="auto"/>
        <w:right w:val="none" w:sz="0" w:space="0" w:color="auto"/>
      </w:divBdr>
    </w:div>
    <w:div w:id="2046907407">
      <w:bodyDiv w:val="1"/>
      <w:marLeft w:val="0"/>
      <w:marRight w:val="0"/>
      <w:marTop w:val="0"/>
      <w:marBottom w:val="0"/>
      <w:divBdr>
        <w:top w:val="none" w:sz="0" w:space="0" w:color="auto"/>
        <w:left w:val="none" w:sz="0" w:space="0" w:color="auto"/>
        <w:bottom w:val="none" w:sz="0" w:space="0" w:color="auto"/>
        <w:right w:val="none" w:sz="0" w:space="0" w:color="auto"/>
      </w:divBdr>
    </w:div>
    <w:div w:id="2050756677">
      <w:bodyDiv w:val="1"/>
      <w:marLeft w:val="0"/>
      <w:marRight w:val="0"/>
      <w:marTop w:val="0"/>
      <w:marBottom w:val="0"/>
      <w:divBdr>
        <w:top w:val="none" w:sz="0" w:space="0" w:color="auto"/>
        <w:left w:val="none" w:sz="0" w:space="0" w:color="auto"/>
        <w:bottom w:val="none" w:sz="0" w:space="0" w:color="auto"/>
        <w:right w:val="none" w:sz="0" w:space="0" w:color="auto"/>
      </w:divBdr>
    </w:div>
    <w:div w:id="2060932168">
      <w:bodyDiv w:val="1"/>
      <w:marLeft w:val="0"/>
      <w:marRight w:val="0"/>
      <w:marTop w:val="0"/>
      <w:marBottom w:val="0"/>
      <w:divBdr>
        <w:top w:val="none" w:sz="0" w:space="0" w:color="auto"/>
        <w:left w:val="none" w:sz="0" w:space="0" w:color="auto"/>
        <w:bottom w:val="none" w:sz="0" w:space="0" w:color="auto"/>
        <w:right w:val="none" w:sz="0" w:space="0" w:color="auto"/>
      </w:divBdr>
    </w:div>
    <w:div w:id="2060934529">
      <w:bodyDiv w:val="1"/>
      <w:marLeft w:val="0"/>
      <w:marRight w:val="0"/>
      <w:marTop w:val="0"/>
      <w:marBottom w:val="0"/>
      <w:divBdr>
        <w:top w:val="none" w:sz="0" w:space="0" w:color="auto"/>
        <w:left w:val="none" w:sz="0" w:space="0" w:color="auto"/>
        <w:bottom w:val="none" w:sz="0" w:space="0" w:color="auto"/>
        <w:right w:val="none" w:sz="0" w:space="0" w:color="auto"/>
      </w:divBdr>
    </w:div>
    <w:div w:id="2062897752">
      <w:bodyDiv w:val="1"/>
      <w:marLeft w:val="0"/>
      <w:marRight w:val="0"/>
      <w:marTop w:val="0"/>
      <w:marBottom w:val="0"/>
      <w:divBdr>
        <w:top w:val="none" w:sz="0" w:space="0" w:color="auto"/>
        <w:left w:val="none" w:sz="0" w:space="0" w:color="auto"/>
        <w:bottom w:val="none" w:sz="0" w:space="0" w:color="auto"/>
        <w:right w:val="none" w:sz="0" w:space="0" w:color="auto"/>
      </w:divBdr>
    </w:div>
    <w:div w:id="2069455156">
      <w:bodyDiv w:val="1"/>
      <w:marLeft w:val="0"/>
      <w:marRight w:val="0"/>
      <w:marTop w:val="0"/>
      <w:marBottom w:val="0"/>
      <w:divBdr>
        <w:top w:val="none" w:sz="0" w:space="0" w:color="auto"/>
        <w:left w:val="none" w:sz="0" w:space="0" w:color="auto"/>
        <w:bottom w:val="none" w:sz="0" w:space="0" w:color="auto"/>
        <w:right w:val="none" w:sz="0" w:space="0" w:color="auto"/>
      </w:divBdr>
    </w:div>
    <w:div w:id="2070807296">
      <w:bodyDiv w:val="1"/>
      <w:marLeft w:val="0"/>
      <w:marRight w:val="0"/>
      <w:marTop w:val="0"/>
      <w:marBottom w:val="0"/>
      <w:divBdr>
        <w:top w:val="none" w:sz="0" w:space="0" w:color="auto"/>
        <w:left w:val="none" w:sz="0" w:space="0" w:color="auto"/>
        <w:bottom w:val="none" w:sz="0" w:space="0" w:color="auto"/>
        <w:right w:val="none" w:sz="0" w:space="0" w:color="auto"/>
      </w:divBdr>
      <w:divsChild>
        <w:div w:id="310907138">
          <w:marLeft w:val="0"/>
          <w:marRight w:val="0"/>
          <w:marTop w:val="0"/>
          <w:marBottom w:val="0"/>
          <w:divBdr>
            <w:top w:val="none" w:sz="0" w:space="0" w:color="auto"/>
            <w:left w:val="none" w:sz="0" w:space="0" w:color="auto"/>
            <w:bottom w:val="none" w:sz="0" w:space="0" w:color="auto"/>
            <w:right w:val="none" w:sz="0" w:space="0" w:color="auto"/>
          </w:divBdr>
          <w:divsChild>
            <w:div w:id="175940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21384">
      <w:bodyDiv w:val="1"/>
      <w:marLeft w:val="0"/>
      <w:marRight w:val="0"/>
      <w:marTop w:val="0"/>
      <w:marBottom w:val="0"/>
      <w:divBdr>
        <w:top w:val="none" w:sz="0" w:space="0" w:color="auto"/>
        <w:left w:val="none" w:sz="0" w:space="0" w:color="auto"/>
        <w:bottom w:val="none" w:sz="0" w:space="0" w:color="auto"/>
        <w:right w:val="none" w:sz="0" w:space="0" w:color="auto"/>
      </w:divBdr>
      <w:divsChild>
        <w:div w:id="441998813">
          <w:marLeft w:val="0"/>
          <w:marRight w:val="0"/>
          <w:marTop w:val="0"/>
          <w:marBottom w:val="0"/>
          <w:divBdr>
            <w:top w:val="none" w:sz="0" w:space="0" w:color="auto"/>
            <w:left w:val="none" w:sz="0" w:space="0" w:color="auto"/>
            <w:bottom w:val="none" w:sz="0" w:space="0" w:color="auto"/>
            <w:right w:val="none" w:sz="0" w:space="0" w:color="auto"/>
          </w:divBdr>
          <w:divsChild>
            <w:div w:id="2027098097">
              <w:marLeft w:val="0"/>
              <w:marRight w:val="0"/>
              <w:marTop w:val="0"/>
              <w:marBottom w:val="0"/>
              <w:divBdr>
                <w:top w:val="none" w:sz="0" w:space="0" w:color="auto"/>
                <w:left w:val="none" w:sz="0" w:space="0" w:color="auto"/>
                <w:bottom w:val="none" w:sz="0" w:space="0" w:color="auto"/>
                <w:right w:val="none" w:sz="0" w:space="0" w:color="auto"/>
              </w:divBdr>
              <w:divsChild>
                <w:div w:id="100683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518559">
      <w:bodyDiv w:val="1"/>
      <w:marLeft w:val="0"/>
      <w:marRight w:val="0"/>
      <w:marTop w:val="0"/>
      <w:marBottom w:val="0"/>
      <w:divBdr>
        <w:top w:val="none" w:sz="0" w:space="0" w:color="auto"/>
        <w:left w:val="none" w:sz="0" w:space="0" w:color="auto"/>
        <w:bottom w:val="none" w:sz="0" w:space="0" w:color="auto"/>
        <w:right w:val="none" w:sz="0" w:space="0" w:color="auto"/>
      </w:divBdr>
      <w:divsChild>
        <w:div w:id="495414489">
          <w:marLeft w:val="0"/>
          <w:marRight w:val="0"/>
          <w:marTop w:val="0"/>
          <w:marBottom w:val="0"/>
          <w:divBdr>
            <w:top w:val="none" w:sz="0" w:space="0" w:color="auto"/>
            <w:left w:val="none" w:sz="0" w:space="0" w:color="auto"/>
            <w:bottom w:val="none" w:sz="0" w:space="0" w:color="auto"/>
            <w:right w:val="none" w:sz="0" w:space="0" w:color="auto"/>
          </w:divBdr>
          <w:divsChild>
            <w:div w:id="1128671355">
              <w:marLeft w:val="0"/>
              <w:marRight w:val="0"/>
              <w:marTop w:val="0"/>
              <w:marBottom w:val="0"/>
              <w:divBdr>
                <w:top w:val="none" w:sz="0" w:space="0" w:color="auto"/>
                <w:left w:val="none" w:sz="0" w:space="0" w:color="auto"/>
                <w:bottom w:val="none" w:sz="0" w:space="0" w:color="auto"/>
                <w:right w:val="none" w:sz="0" w:space="0" w:color="auto"/>
              </w:divBdr>
              <w:divsChild>
                <w:div w:id="1719622093">
                  <w:marLeft w:val="0"/>
                  <w:marRight w:val="0"/>
                  <w:marTop w:val="0"/>
                  <w:marBottom w:val="0"/>
                  <w:divBdr>
                    <w:top w:val="none" w:sz="0" w:space="0" w:color="auto"/>
                    <w:left w:val="none" w:sz="0" w:space="0" w:color="auto"/>
                    <w:bottom w:val="none" w:sz="0" w:space="0" w:color="auto"/>
                    <w:right w:val="none" w:sz="0" w:space="0" w:color="auto"/>
                  </w:divBdr>
                  <w:divsChild>
                    <w:div w:id="68867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705814">
      <w:bodyDiv w:val="1"/>
      <w:marLeft w:val="0"/>
      <w:marRight w:val="0"/>
      <w:marTop w:val="0"/>
      <w:marBottom w:val="0"/>
      <w:divBdr>
        <w:top w:val="none" w:sz="0" w:space="0" w:color="auto"/>
        <w:left w:val="none" w:sz="0" w:space="0" w:color="auto"/>
        <w:bottom w:val="none" w:sz="0" w:space="0" w:color="auto"/>
        <w:right w:val="none" w:sz="0" w:space="0" w:color="auto"/>
      </w:divBdr>
    </w:div>
    <w:div w:id="2086222766">
      <w:bodyDiv w:val="1"/>
      <w:marLeft w:val="0"/>
      <w:marRight w:val="0"/>
      <w:marTop w:val="0"/>
      <w:marBottom w:val="0"/>
      <w:divBdr>
        <w:top w:val="none" w:sz="0" w:space="0" w:color="auto"/>
        <w:left w:val="none" w:sz="0" w:space="0" w:color="auto"/>
        <w:bottom w:val="none" w:sz="0" w:space="0" w:color="auto"/>
        <w:right w:val="none" w:sz="0" w:space="0" w:color="auto"/>
      </w:divBdr>
    </w:div>
    <w:div w:id="2087410325">
      <w:bodyDiv w:val="1"/>
      <w:marLeft w:val="0"/>
      <w:marRight w:val="0"/>
      <w:marTop w:val="0"/>
      <w:marBottom w:val="0"/>
      <w:divBdr>
        <w:top w:val="none" w:sz="0" w:space="0" w:color="auto"/>
        <w:left w:val="none" w:sz="0" w:space="0" w:color="auto"/>
        <w:bottom w:val="none" w:sz="0" w:space="0" w:color="auto"/>
        <w:right w:val="none" w:sz="0" w:space="0" w:color="auto"/>
      </w:divBdr>
    </w:div>
    <w:div w:id="2090035063">
      <w:bodyDiv w:val="1"/>
      <w:marLeft w:val="0"/>
      <w:marRight w:val="0"/>
      <w:marTop w:val="0"/>
      <w:marBottom w:val="0"/>
      <w:divBdr>
        <w:top w:val="none" w:sz="0" w:space="0" w:color="auto"/>
        <w:left w:val="none" w:sz="0" w:space="0" w:color="auto"/>
        <w:bottom w:val="none" w:sz="0" w:space="0" w:color="auto"/>
        <w:right w:val="none" w:sz="0" w:space="0" w:color="auto"/>
      </w:divBdr>
    </w:div>
    <w:div w:id="2096856065">
      <w:bodyDiv w:val="1"/>
      <w:marLeft w:val="0"/>
      <w:marRight w:val="0"/>
      <w:marTop w:val="0"/>
      <w:marBottom w:val="0"/>
      <w:divBdr>
        <w:top w:val="none" w:sz="0" w:space="0" w:color="auto"/>
        <w:left w:val="none" w:sz="0" w:space="0" w:color="auto"/>
        <w:bottom w:val="none" w:sz="0" w:space="0" w:color="auto"/>
        <w:right w:val="none" w:sz="0" w:space="0" w:color="auto"/>
      </w:divBdr>
    </w:div>
    <w:div w:id="2114551626">
      <w:bodyDiv w:val="1"/>
      <w:marLeft w:val="0"/>
      <w:marRight w:val="0"/>
      <w:marTop w:val="0"/>
      <w:marBottom w:val="0"/>
      <w:divBdr>
        <w:top w:val="none" w:sz="0" w:space="0" w:color="auto"/>
        <w:left w:val="none" w:sz="0" w:space="0" w:color="auto"/>
        <w:bottom w:val="none" w:sz="0" w:space="0" w:color="auto"/>
        <w:right w:val="none" w:sz="0" w:space="0" w:color="auto"/>
      </w:divBdr>
    </w:div>
    <w:div w:id="2124112824">
      <w:bodyDiv w:val="1"/>
      <w:marLeft w:val="0"/>
      <w:marRight w:val="0"/>
      <w:marTop w:val="0"/>
      <w:marBottom w:val="0"/>
      <w:divBdr>
        <w:top w:val="none" w:sz="0" w:space="0" w:color="auto"/>
        <w:left w:val="none" w:sz="0" w:space="0" w:color="auto"/>
        <w:bottom w:val="none" w:sz="0" w:space="0" w:color="auto"/>
        <w:right w:val="none" w:sz="0" w:space="0" w:color="auto"/>
      </w:divBdr>
      <w:divsChild>
        <w:div w:id="220866853">
          <w:marLeft w:val="0"/>
          <w:marRight w:val="0"/>
          <w:marTop w:val="0"/>
          <w:marBottom w:val="0"/>
          <w:divBdr>
            <w:top w:val="none" w:sz="0" w:space="0" w:color="auto"/>
            <w:left w:val="none" w:sz="0" w:space="0" w:color="auto"/>
            <w:bottom w:val="none" w:sz="0" w:space="0" w:color="auto"/>
            <w:right w:val="none" w:sz="0" w:space="0" w:color="auto"/>
          </w:divBdr>
          <w:divsChild>
            <w:div w:id="574365465">
              <w:marLeft w:val="0"/>
              <w:marRight w:val="0"/>
              <w:marTop w:val="0"/>
              <w:marBottom w:val="0"/>
              <w:divBdr>
                <w:top w:val="none" w:sz="0" w:space="0" w:color="auto"/>
                <w:left w:val="none" w:sz="0" w:space="0" w:color="auto"/>
                <w:bottom w:val="none" w:sz="0" w:space="0" w:color="auto"/>
                <w:right w:val="none" w:sz="0" w:space="0" w:color="auto"/>
              </w:divBdr>
              <w:divsChild>
                <w:div w:id="737559150">
                  <w:marLeft w:val="0"/>
                  <w:marRight w:val="0"/>
                  <w:marTop w:val="0"/>
                  <w:marBottom w:val="0"/>
                  <w:divBdr>
                    <w:top w:val="none" w:sz="0" w:space="0" w:color="auto"/>
                    <w:left w:val="none" w:sz="0" w:space="0" w:color="auto"/>
                    <w:bottom w:val="none" w:sz="0" w:space="0" w:color="auto"/>
                    <w:right w:val="none" w:sz="0" w:space="0" w:color="auto"/>
                  </w:divBdr>
                  <w:divsChild>
                    <w:div w:id="271591645">
                      <w:marLeft w:val="0"/>
                      <w:marRight w:val="0"/>
                      <w:marTop w:val="0"/>
                      <w:marBottom w:val="0"/>
                      <w:divBdr>
                        <w:top w:val="none" w:sz="0" w:space="0" w:color="auto"/>
                        <w:left w:val="none" w:sz="0" w:space="0" w:color="auto"/>
                        <w:bottom w:val="none" w:sz="0" w:space="0" w:color="auto"/>
                        <w:right w:val="none" w:sz="0" w:space="0" w:color="auto"/>
                      </w:divBdr>
                      <w:divsChild>
                        <w:div w:id="551500234">
                          <w:marLeft w:val="0"/>
                          <w:marRight w:val="0"/>
                          <w:marTop w:val="0"/>
                          <w:marBottom w:val="0"/>
                          <w:divBdr>
                            <w:top w:val="none" w:sz="0" w:space="0" w:color="auto"/>
                            <w:left w:val="none" w:sz="0" w:space="0" w:color="auto"/>
                            <w:bottom w:val="none" w:sz="0" w:space="0" w:color="auto"/>
                            <w:right w:val="none" w:sz="0" w:space="0" w:color="auto"/>
                          </w:divBdr>
                          <w:divsChild>
                            <w:div w:id="659381262">
                              <w:marLeft w:val="0"/>
                              <w:marRight w:val="0"/>
                              <w:marTop w:val="0"/>
                              <w:marBottom w:val="0"/>
                              <w:divBdr>
                                <w:top w:val="none" w:sz="0" w:space="0" w:color="auto"/>
                                <w:left w:val="none" w:sz="0" w:space="0" w:color="auto"/>
                                <w:bottom w:val="none" w:sz="0" w:space="0" w:color="auto"/>
                                <w:right w:val="none" w:sz="0" w:space="0" w:color="auto"/>
                              </w:divBdr>
                              <w:divsChild>
                                <w:div w:id="789278222">
                                  <w:marLeft w:val="0"/>
                                  <w:marRight w:val="0"/>
                                  <w:marTop w:val="0"/>
                                  <w:marBottom w:val="0"/>
                                  <w:divBdr>
                                    <w:top w:val="none" w:sz="0" w:space="0" w:color="auto"/>
                                    <w:left w:val="none" w:sz="0" w:space="0" w:color="auto"/>
                                    <w:bottom w:val="none" w:sz="0" w:space="0" w:color="auto"/>
                                    <w:right w:val="none" w:sz="0" w:space="0" w:color="auto"/>
                                  </w:divBdr>
                                  <w:divsChild>
                                    <w:div w:id="1609043503">
                                      <w:marLeft w:val="0"/>
                                      <w:marRight w:val="0"/>
                                      <w:marTop w:val="0"/>
                                      <w:marBottom w:val="0"/>
                                      <w:divBdr>
                                        <w:top w:val="none" w:sz="0" w:space="0" w:color="auto"/>
                                        <w:left w:val="none" w:sz="0" w:space="0" w:color="auto"/>
                                        <w:bottom w:val="none" w:sz="0" w:space="0" w:color="auto"/>
                                        <w:right w:val="none" w:sz="0" w:space="0" w:color="auto"/>
                                      </w:divBdr>
                                      <w:divsChild>
                                        <w:div w:id="1160774562">
                                          <w:marLeft w:val="0"/>
                                          <w:marRight w:val="0"/>
                                          <w:marTop w:val="0"/>
                                          <w:marBottom w:val="0"/>
                                          <w:divBdr>
                                            <w:top w:val="none" w:sz="0" w:space="0" w:color="auto"/>
                                            <w:left w:val="none" w:sz="0" w:space="0" w:color="auto"/>
                                            <w:bottom w:val="none" w:sz="0" w:space="0" w:color="auto"/>
                                            <w:right w:val="none" w:sz="0" w:space="0" w:color="auto"/>
                                          </w:divBdr>
                                          <w:divsChild>
                                            <w:div w:id="1663388212">
                                              <w:marLeft w:val="0"/>
                                              <w:marRight w:val="0"/>
                                              <w:marTop w:val="0"/>
                                              <w:marBottom w:val="0"/>
                                              <w:divBdr>
                                                <w:top w:val="none" w:sz="0" w:space="0" w:color="auto"/>
                                                <w:left w:val="none" w:sz="0" w:space="0" w:color="auto"/>
                                                <w:bottom w:val="none" w:sz="0" w:space="0" w:color="auto"/>
                                                <w:right w:val="none" w:sz="0" w:space="0" w:color="auto"/>
                                              </w:divBdr>
                                              <w:divsChild>
                                                <w:div w:id="1529682391">
                                                  <w:marLeft w:val="0"/>
                                                  <w:marRight w:val="0"/>
                                                  <w:marTop w:val="0"/>
                                                  <w:marBottom w:val="0"/>
                                                  <w:divBdr>
                                                    <w:top w:val="none" w:sz="0" w:space="0" w:color="auto"/>
                                                    <w:left w:val="none" w:sz="0" w:space="0" w:color="auto"/>
                                                    <w:bottom w:val="none" w:sz="0" w:space="0" w:color="auto"/>
                                                    <w:right w:val="none" w:sz="0" w:space="0" w:color="auto"/>
                                                  </w:divBdr>
                                                  <w:divsChild>
                                                    <w:div w:id="1304192116">
                                                      <w:marLeft w:val="0"/>
                                                      <w:marRight w:val="0"/>
                                                      <w:marTop w:val="0"/>
                                                      <w:marBottom w:val="0"/>
                                                      <w:divBdr>
                                                        <w:top w:val="none" w:sz="0" w:space="0" w:color="auto"/>
                                                        <w:left w:val="none" w:sz="0" w:space="0" w:color="auto"/>
                                                        <w:bottom w:val="none" w:sz="0" w:space="0" w:color="auto"/>
                                                        <w:right w:val="none" w:sz="0" w:space="0" w:color="auto"/>
                                                      </w:divBdr>
                                                      <w:divsChild>
                                                        <w:div w:id="1000618704">
                                                          <w:marLeft w:val="0"/>
                                                          <w:marRight w:val="0"/>
                                                          <w:marTop w:val="0"/>
                                                          <w:marBottom w:val="0"/>
                                                          <w:divBdr>
                                                            <w:top w:val="none" w:sz="0" w:space="0" w:color="auto"/>
                                                            <w:left w:val="none" w:sz="0" w:space="0" w:color="auto"/>
                                                            <w:bottom w:val="none" w:sz="0" w:space="0" w:color="auto"/>
                                                            <w:right w:val="none" w:sz="0" w:space="0" w:color="auto"/>
                                                          </w:divBdr>
                                                          <w:divsChild>
                                                            <w:div w:id="139033166">
                                                              <w:marLeft w:val="0"/>
                                                              <w:marRight w:val="0"/>
                                                              <w:marTop w:val="0"/>
                                                              <w:marBottom w:val="0"/>
                                                              <w:divBdr>
                                                                <w:top w:val="none" w:sz="0" w:space="0" w:color="auto"/>
                                                                <w:left w:val="none" w:sz="0" w:space="0" w:color="auto"/>
                                                                <w:bottom w:val="none" w:sz="0" w:space="0" w:color="auto"/>
                                                                <w:right w:val="none" w:sz="0" w:space="0" w:color="auto"/>
                                                              </w:divBdr>
                                                              <w:divsChild>
                                                                <w:div w:id="85658002">
                                                                  <w:marLeft w:val="0"/>
                                                                  <w:marRight w:val="0"/>
                                                                  <w:marTop w:val="0"/>
                                                                  <w:marBottom w:val="0"/>
                                                                  <w:divBdr>
                                                                    <w:top w:val="none" w:sz="0" w:space="0" w:color="auto"/>
                                                                    <w:left w:val="none" w:sz="0" w:space="0" w:color="auto"/>
                                                                    <w:bottom w:val="none" w:sz="0" w:space="0" w:color="auto"/>
                                                                    <w:right w:val="none" w:sz="0" w:space="0" w:color="auto"/>
                                                                  </w:divBdr>
                                                                </w:div>
                                                                <w:div w:id="92013322">
                                                                  <w:marLeft w:val="0"/>
                                                                  <w:marRight w:val="0"/>
                                                                  <w:marTop w:val="0"/>
                                                                  <w:marBottom w:val="0"/>
                                                                  <w:divBdr>
                                                                    <w:top w:val="none" w:sz="0" w:space="0" w:color="auto"/>
                                                                    <w:left w:val="none" w:sz="0" w:space="0" w:color="auto"/>
                                                                    <w:bottom w:val="none" w:sz="0" w:space="0" w:color="auto"/>
                                                                    <w:right w:val="none" w:sz="0" w:space="0" w:color="auto"/>
                                                                  </w:divBdr>
                                                                </w:div>
                                                                <w:div w:id="132989572">
                                                                  <w:marLeft w:val="0"/>
                                                                  <w:marRight w:val="0"/>
                                                                  <w:marTop w:val="120"/>
                                                                  <w:marBottom w:val="120"/>
                                                                  <w:divBdr>
                                                                    <w:top w:val="none" w:sz="0" w:space="0" w:color="auto"/>
                                                                    <w:left w:val="none" w:sz="0" w:space="0" w:color="auto"/>
                                                                    <w:bottom w:val="none" w:sz="0" w:space="0" w:color="auto"/>
                                                                    <w:right w:val="none" w:sz="0" w:space="0" w:color="auto"/>
                                                                  </w:divBdr>
                                                                  <w:divsChild>
                                                                    <w:div w:id="1348412846">
                                                                      <w:marLeft w:val="0"/>
                                                                      <w:marRight w:val="0"/>
                                                                      <w:marTop w:val="0"/>
                                                                      <w:marBottom w:val="0"/>
                                                                      <w:divBdr>
                                                                        <w:top w:val="none" w:sz="0" w:space="0" w:color="auto"/>
                                                                        <w:left w:val="none" w:sz="0" w:space="0" w:color="auto"/>
                                                                        <w:bottom w:val="none" w:sz="0" w:space="0" w:color="auto"/>
                                                                        <w:right w:val="none" w:sz="0" w:space="0" w:color="auto"/>
                                                                      </w:divBdr>
                                                                    </w:div>
                                                                  </w:divsChild>
                                                                </w:div>
                                                                <w:div w:id="240334931">
                                                                  <w:marLeft w:val="0"/>
                                                                  <w:marRight w:val="0"/>
                                                                  <w:marTop w:val="0"/>
                                                                  <w:marBottom w:val="0"/>
                                                                  <w:divBdr>
                                                                    <w:top w:val="none" w:sz="0" w:space="0" w:color="auto"/>
                                                                    <w:left w:val="none" w:sz="0" w:space="0" w:color="auto"/>
                                                                    <w:bottom w:val="none" w:sz="0" w:space="0" w:color="auto"/>
                                                                    <w:right w:val="none" w:sz="0" w:space="0" w:color="auto"/>
                                                                  </w:divBdr>
                                                                </w:div>
                                                                <w:div w:id="312102340">
                                                                  <w:marLeft w:val="0"/>
                                                                  <w:marRight w:val="0"/>
                                                                  <w:marTop w:val="0"/>
                                                                  <w:marBottom w:val="0"/>
                                                                  <w:divBdr>
                                                                    <w:top w:val="none" w:sz="0" w:space="0" w:color="auto"/>
                                                                    <w:left w:val="none" w:sz="0" w:space="0" w:color="auto"/>
                                                                    <w:bottom w:val="none" w:sz="0" w:space="0" w:color="auto"/>
                                                                    <w:right w:val="none" w:sz="0" w:space="0" w:color="auto"/>
                                                                  </w:divBdr>
                                                                </w:div>
                                                                <w:div w:id="491725503">
                                                                  <w:marLeft w:val="0"/>
                                                                  <w:marRight w:val="0"/>
                                                                  <w:marTop w:val="0"/>
                                                                  <w:marBottom w:val="0"/>
                                                                  <w:divBdr>
                                                                    <w:top w:val="none" w:sz="0" w:space="0" w:color="auto"/>
                                                                    <w:left w:val="none" w:sz="0" w:space="0" w:color="auto"/>
                                                                    <w:bottom w:val="none" w:sz="0" w:space="0" w:color="auto"/>
                                                                    <w:right w:val="none" w:sz="0" w:space="0" w:color="auto"/>
                                                                  </w:divBdr>
                                                                </w:div>
                                                                <w:div w:id="511339319">
                                                                  <w:marLeft w:val="0"/>
                                                                  <w:marRight w:val="0"/>
                                                                  <w:marTop w:val="0"/>
                                                                  <w:marBottom w:val="0"/>
                                                                  <w:divBdr>
                                                                    <w:top w:val="none" w:sz="0" w:space="0" w:color="auto"/>
                                                                    <w:left w:val="none" w:sz="0" w:space="0" w:color="auto"/>
                                                                    <w:bottom w:val="none" w:sz="0" w:space="0" w:color="auto"/>
                                                                    <w:right w:val="none" w:sz="0" w:space="0" w:color="auto"/>
                                                                  </w:divBdr>
                                                                </w:div>
                                                                <w:div w:id="625625410">
                                                                  <w:marLeft w:val="0"/>
                                                                  <w:marRight w:val="0"/>
                                                                  <w:marTop w:val="0"/>
                                                                  <w:marBottom w:val="0"/>
                                                                  <w:divBdr>
                                                                    <w:top w:val="none" w:sz="0" w:space="0" w:color="auto"/>
                                                                    <w:left w:val="none" w:sz="0" w:space="0" w:color="auto"/>
                                                                    <w:bottom w:val="none" w:sz="0" w:space="0" w:color="auto"/>
                                                                    <w:right w:val="none" w:sz="0" w:space="0" w:color="auto"/>
                                                                  </w:divBdr>
                                                                </w:div>
                                                                <w:div w:id="641736778">
                                                                  <w:marLeft w:val="0"/>
                                                                  <w:marRight w:val="0"/>
                                                                  <w:marTop w:val="0"/>
                                                                  <w:marBottom w:val="0"/>
                                                                  <w:divBdr>
                                                                    <w:top w:val="none" w:sz="0" w:space="0" w:color="auto"/>
                                                                    <w:left w:val="none" w:sz="0" w:space="0" w:color="auto"/>
                                                                    <w:bottom w:val="none" w:sz="0" w:space="0" w:color="auto"/>
                                                                    <w:right w:val="none" w:sz="0" w:space="0" w:color="auto"/>
                                                                  </w:divBdr>
                                                                </w:div>
                                                                <w:div w:id="678043037">
                                                                  <w:marLeft w:val="0"/>
                                                                  <w:marRight w:val="0"/>
                                                                  <w:marTop w:val="0"/>
                                                                  <w:marBottom w:val="0"/>
                                                                  <w:divBdr>
                                                                    <w:top w:val="none" w:sz="0" w:space="0" w:color="auto"/>
                                                                    <w:left w:val="none" w:sz="0" w:space="0" w:color="auto"/>
                                                                    <w:bottom w:val="none" w:sz="0" w:space="0" w:color="auto"/>
                                                                    <w:right w:val="none" w:sz="0" w:space="0" w:color="auto"/>
                                                                  </w:divBdr>
                                                                </w:div>
                                                                <w:div w:id="708266788">
                                                                  <w:marLeft w:val="0"/>
                                                                  <w:marRight w:val="0"/>
                                                                  <w:marTop w:val="0"/>
                                                                  <w:marBottom w:val="0"/>
                                                                  <w:divBdr>
                                                                    <w:top w:val="none" w:sz="0" w:space="0" w:color="auto"/>
                                                                    <w:left w:val="none" w:sz="0" w:space="0" w:color="auto"/>
                                                                    <w:bottom w:val="none" w:sz="0" w:space="0" w:color="auto"/>
                                                                    <w:right w:val="none" w:sz="0" w:space="0" w:color="auto"/>
                                                                  </w:divBdr>
                                                                </w:div>
                                                                <w:div w:id="883760238">
                                                                  <w:marLeft w:val="0"/>
                                                                  <w:marRight w:val="0"/>
                                                                  <w:marTop w:val="0"/>
                                                                  <w:marBottom w:val="0"/>
                                                                  <w:divBdr>
                                                                    <w:top w:val="none" w:sz="0" w:space="0" w:color="auto"/>
                                                                    <w:left w:val="none" w:sz="0" w:space="0" w:color="auto"/>
                                                                    <w:bottom w:val="none" w:sz="0" w:space="0" w:color="auto"/>
                                                                    <w:right w:val="none" w:sz="0" w:space="0" w:color="auto"/>
                                                                  </w:divBdr>
                                                                </w:div>
                                                                <w:div w:id="931351860">
                                                                  <w:marLeft w:val="0"/>
                                                                  <w:marRight w:val="0"/>
                                                                  <w:marTop w:val="0"/>
                                                                  <w:marBottom w:val="0"/>
                                                                  <w:divBdr>
                                                                    <w:top w:val="none" w:sz="0" w:space="0" w:color="auto"/>
                                                                    <w:left w:val="none" w:sz="0" w:space="0" w:color="auto"/>
                                                                    <w:bottom w:val="none" w:sz="0" w:space="0" w:color="auto"/>
                                                                    <w:right w:val="none" w:sz="0" w:space="0" w:color="auto"/>
                                                                  </w:divBdr>
                                                                </w:div>
                                                                <w:div w:id="953362579">
                                                                  <w:marLeft w:val="0"/>
                                                                  <w:marRight w:val="0"/>
                                                                  <w:marTop w:val="0"/>
                                                                  <w:marBottom w:val="0"/>
                                                                  <w:divBdr>
                                                                    <w:top w:val="none" w:sz="0" w:space="0" w:color="auto"/>
                                                                    <w:left w:val="none" w:sz="0" w:space="0" w:color="auto"/>
                                                                    <w:bottom w:val="none" w:sz="0" w:space="0" w:color="auto"/>
                                                                    <w:right w:val="none" w:sz="0" w:space="0" w:color="auto"/>
                                                                  </w:divBdr>
                                                                </w:div>
                                                                <w:div w:id="994455722">
                                                                  <w:marLeft w:val="0"/>
                                                                  <w:marRight w:val="0"/>
                                                                  <w:marTop w:val="0"/>
                                                                  <w:marBottom w:val="0"/>
                                                                  <w:divBdr>
                                                                    <w:top w:val="none" w:sz="0" w:space="0" w:color="auto"/>
                                                                    <w:left w:val="none" w:sz="0" w:space="0" w:color="auto"/>
                                                                    <w:bottom w:val="none" w:sz="0" w:space="0" w:color="auto"/>
                                                                    <w:right w:val="none" w:sz="0" w:space="0" w:color="auto"/>
                                                                  </w:divBdr>
                                                                </w:div>
                                                                <w:div w:id="1022125362">
                                                                  <w:marLeft w:val="0"/>
                                                                  <w:marRight w:val="0"/>
                                                                  <w:marTop w:val="0"/>
                                                                  <w:marBottom w:val="0"/>
                                                                  <w:divBdr>
                                                                    <w:top w:val="none" w:sz="0" w:space="0" w:color="auto"/>
                                                                    <w:left w:val="none" w:sz="0" w:space="0" w:color="auto"/>
                                                                    <w:bottom w:val="none" w:sz="0" w:space="0" w:color="auto"/>
                                                                    <w:right w:val="none" w:sz="0" w:space="0" w:color="auto"/>
                                                                  </w:divBdr>
                                                                </w:div>
                                                                <w:div w:id="1079669678">
                                                                  <w:marLeft w:val="0"/>
                                                                  <w:marRight w:val="0"/>
                                                                  <w:marTop w:val="0"/>
                                                                  <w:marBottom w:val="0"/>
                                                                  <w:divBdr>
                                                                    <w:top w:val="none" w:sz="0" w:space="0" w:color="auto"/>
                                                                    <w:left w:val="none" w:sz="0" w:space="0" w:color="auto"/>
                                                                    <w:bottom w:val="none" w:sz="0" w:space="0" w:color="auto"/>
                                                                    <w:right w:val="none" w:sz="0" w:space="0" w:color="auto"/>
                                                                  </w:divBdr>
                                                                </w:div>
                                                                <w:div w:id="1167553161">
                                                                  <w:marLeft w:val="0"/>
                                                                  <w:marRight w:val="0"/>
                                                                  <w:marTop w:val="0"/>
                                                                  <w:marBottom w:val="0"/>
                                                                  <w:divBdr>
                                                                    <w:top w:val="none" w:sz="0" w:space="0" w:color="auto"/>
                                                                    <w:left w:val="none" w:sz="0" w:space="0" w:color="auto"/>
                                                                    <w:bottom w:val="none" w:sz="0" w:space="0" w:color="auto"/>
                                                                    <w:right w:val="none" w:sz="0" w:space="0" w:color="auto"/>
                                                                  </w:divBdr>
                                                                </w:div>
                                                                <w:div w:id="1182931414">
                                                                  <w:marLeft w:val="0"/>
                                                                  <w:marRight w:val="0"/>
                                                                  <w:marTop w:val="0"/>
                                                                  <w:marBottom w:val="0"/>
                                                                  <w:divBdr>
                                                                    <w:top w:val="none" w:sz="0" w:space="0" w:color="auto"/>
                                                                    <w:left w:val="none" w:sz="0" w:space="0" w:color="auto"/>
                                                                    <w:bottom w:val="none" w:sz="0" w:space="0" w:color="auto"/>
                                                                    <w:right w:val="none" w:sz="0" w:space="0" w:color="auto"/>
                                                                  </w:divBdr>
                                                                </w:div>
                                                                <w:div w:id="1262684693">
                                                                  <w:marLeft w:val="0"/>
                                                                  <w:marRight w:val="0"/>
                                                                  <w:marTop w:val="0"/>
                                                                  <w:marBottom w:val="0"/>
                                                                  <w:divBdr>
                                                                    <w:top w:val="none" w:sz="0" w:space="0" w:color="auto"/>
                                                                    <w:left w:val="none" w:sz="0" w:space="0" w:color="auto"/>
                                                                    <w:bottom w:val="none" w:sz="0" w:space="0" w:color="auto"/>
                                                                    <w:right w:val="none" w:sz="0" w:space="0" w:color="auto"/>
                                                                  </w:divBdr>
                                                                </w:div>
                                                                <w:div w:id="1284341183">
                                                                  <w:marLeft w:val="0"/>
                                                                  <w:marRight w:val="0"/>
                                                                  <w:marTop w:val="0"/>
                                                                  <w:marBottom w:val="0"/>
                                                                  <w:divBdr>
                                                                    <w:top w:val="none" w:sz="0" w:space="0" w:color="auto"/>
                                                                    <w:left w:val="none" w:sz="0" w:space="0" w:color="auto"/>
                                                                    <w:bottom w:val="none" w:sz="0" w:space="0" w:color="auto"/>
                                                                    <w:right w:val="none" w:sz="0" w:space="0" w:color="auto"/>
                                                                  </w:divBdr>
                                                                </w:div>
                                                                <w:div w:id="1391539351">
                                                                  <w:marLeft w:val="0"/>
                                                                  <w:marRight w:val="0"/>
                                                                  <w:marTop w:val="0"/>
                                                                  <w:marBottom w:val="0"/>
                                                                  <w:divBdr>
                                                                    <w:top w:val="none" w:sz="0" w:space="0" w:color="auto"/>
                                                                    <w:left w:val="none" w:sz="0" w:space="0" w:color="auto"/>
                                                                    <w:bottom w:val="none" w:sz="0" w:space="0" w:color="auto"/>
                                                                    <w:right w:val="none" w:sz="0" w:space="0" w:color="auto"/>
                                                                  </w:divBdr>
                                                                </w:div>
                                                                <w:div w:id="1527402812">
                                                                  <w:marLeft w:val="0"/>
                                                                  <w:marRight w:val="0"/>
                                                                  <w:marTop w:val="0"/>
                                                                  <w:marBottom w:val="0"/>
                                                                  <w:divBdr>
                                                                    <w:top w:val="none" w:sz="0" w:space="0" w:color="auto"/>
                                                                    <w:left w:val="none" w:sz="0" w:space="0" w:color="auto"/>
                                                                    <w:bottom w:val="none" w:sz="0" w:space="0" w:color="auto"/>
                                                                    <w:right w:val="none" w:sz="0" w:space="0" w:color="auto"/>
                                                                  </w:divBdr>
                                                                </w:div>
                                                                <w:div w:id="1552306304">
                                                                  <w:marLeft w:val="0"/>
                                                                  <w:marRight w:val="0"/>
                                                                  <w:marTop w:val="0"/>
                                                                  <w:marBottom w:val="0"/>
                                                                  <w:divBdr>
                                                                    <w:top w:val="none" w:sz="0" w:space="0" w:color="auto"/>
                                                                    <w:left w:val="none" w:sz="0" w:space="0" w:color="auto"/>
                                                                    <w:bottom w:val="none" w:sz="0" w:space="0" w:color="auto"/>
                                                                    <w:right w:val="none" w:sz="0" w:space="0" w:color="auto"/>
                                                                  </w:divBdr>
                                                                </w:div>
                                                                <w:div w:id="1566180560">
                                                                  <w:marLeft w:val="0"/>
                                                                  <w:marRight w:val="0"/>
                                                                  <w:marTop w:val="0"/>
                                                                  <w:marBottom w:val="0"/>
                                                                  <w:divBdr>
                                                                    <w:top w:val="none" w:sz="0" w:space="0" w:color="auto"/>
                                                                    <w:left w:val="none" w:sz="0" w:space="0" w:color="auto"/>
                                                                    <w:bottom w:val="none" w:sz="0" w:space="0" w:color="auto"/>
                                                                    <w:right w:val="none" w:sz="0" w:space="0" w:color="auto"/>
                                                                  </w:divBdr>
                                                                </w:div>
                                                                <w:div w:id="1639649014">
                                                                  <w:marLeft w:val="0"/>
                                                                  <w:marRight w:val="0"/>
                                                                  <w:marTop w:val="0"/>
                                                                  <w:marBottom w:val="0"/>
                                                                  <w:divBdr>
                                                                    <w:top w:val="none" w:sz="0" w:space="0" w:color="auto"/>
                                                                    <w:left w:val="none" w:sz="0" w:space="0" w:color="auto"/>
                                                                    <w:bottom w:val="none" w:sz="0" w:space="0" w:color="auto"/>
                                                                    <w:right w:val="none" w:sz="0" w:space="0" w:color="auto"/>
                                                                  </w:divBdr>
                                                                </w:div>
                                                                <w:div w:id="1875338559">
                                                                  <w:marLeft w:val="0"/>
                                                                  <w:marRight w:val="0"/>
                                                                  <w:marTop w:val="0"/>
                                                                  <w:marBottom w:val="0"/>
                                                                  <w:divBdr>
                                                                    <w:top w:val="none" w:sz="0" w:space="0" w:color="auto"/>
                                                                    <w:left w:val="none" w:sz="0" w:space="0" w:color="auto"/>
                                                                    <w:bottom w:val="none" w:sz="0" w:space="0" w:color="auto"/>
                                                                    <w:right w:val="none" w:sz="0" w:space="0" w:color="auto"/>
                                                                  </w:divBdr>
                                                                </w:div>
                                                                <w:div w:id="2082562032">
                                                                  <w:marLeft w:val="0"/>
                                                                  <w:marRight w:val="0"/>
                                                                  <w:marTop w:val="0"/>
                                                                  <w:marBottom w:val="0"/>
                                                                  <w:divBdr>
                                                                    <w:top w:val="none" w:sz="0" w:space="0" w:color="auto"/>
                                                                    <w:left w:val="none" w:sz="0" w:space="0" w:color="auto"/>
                                                                    <w:bottom w:val="none" w:sz="0" w:space="0" w:color="auto"/>
                                                                    <w:right w:val="none" w:sz="0" w:space="0" w:color="auto"/>
                                                                  </w:divBdr>
                                                                </w:div>
                                                                <w:div w:id="2086956585">
                                                                  <w:marLeft w:val="0"/>
                                                                  <w:marRight w:val="0"/>
                                                                  <w:marTop w:val="0"/>
                                                                  <w:marBottom w:val="0"/>
                                                                  <w:divBdr>
                                                                    <w:top w:val="none" w:sz="0" w:space="0" w:color="auto"/>
                                                                    <w:left w:val="none" w:sz="0" w:space="0" w:color="auto"/>
                                                                    <w:bottom w:val="none" w:sz="0" w:space="0" w:color="auto"/>
                                                                    <w:right w:val="none" w:sz="0" w:space="0" w:color="auto"/>
                                                                  </w:divBdr>
                                                                </w:div>
                                                                <w:div w:id="2101489984">
                                                                  <w:marLeft w:val="0"/>
                                                                  <w:marRight w:val="0"/>
                                                                  <w:marTop w:val="0"/>
                                                                  <w:marBottom w:val="0"/>
                                                                  <w:divBdr>
                                                                    <w:top w:val="none" w:sz="0" w:space="0" w:color="auto"/>
                                                                    <w:left w:val="none" w:sz="0" w:space="0" w:color="auto"/>
                                                                    <w:bottom w:val="none" w:sz="0" w:space="0" w:color="auto"/>
                                                                    <w:right w:val="none" w:sz="0" w:space="0" w:color="auto"/>
                                                                  </w:divBdr>
                                                                </w:div>
                                                                <w:div w:id="213706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38597781">
      <w:bodyDiv w:val="1"/>
      <w:marLeft w:val="0"/>
      <w:marRight w:val="0"/>
      <w:marTop w:val="0"/>
      <w:marBottom w:val="0"/>
      <w:divBdr>
        <w:top w:val="none" w:sz="0" w:space="0" w:color="auto"/>
        <w:left w:val="none" w:sz="0" w:space="0" w:color="auto"/>
        <w:bottom w:val="none" w:sz="0" w:space="0" w:color="auto"/>
        <w:right w:val="none" w:sz="0" w:space="0" w:color="auto"/>
      </w:divBdr>
      <w:divsChild>
        <w:div w:id="1763793629">
          <w:marLeft w:val="0"/>
          <w:marRight w:val="0"/>
          <w:marTop w:val="0"/>
          <w:marBottom w:val="0"/>
          <w:divBdr>
            <w:top w:val="none" w:sz="0" w:space="0" w:color="auto"/>
            <w:left w:val="none" w:sz="0" w:space="0" w:color="auto"/>
            <w:bottom w:val="none" w:sz="0" w:space="0" w:color="auto"/>
            <w:right w:val="none" w:sz="0" w:space="0" w:color="auto"/>
          </w:divBdr>
          <w:divsChild>
            <w:div w:id="169233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997699">
      <w:bodyDiv w:val="1"/>
      <w:marLeft w:val="0"/>
      <w:marRight w:val="0"/>
      <w:marTop w:val="0"/>
      <w:marBottom w:val="0"/>
      <w:divBdr>
        <w:top w:val="none" w:sz="0" w:space="0" w:color="auto"/>
        <w:left w:val="none" w:sz="0" w:space="0" w:color="auto"/>
        <w:bottom w:val="none" w:sz="0" w:space="0" w:color="auto"/>
        <w:right w:val="none" w:sz="0" w:space="0" w:color="auto"/>
      </w:divBdr>
      <w:divsChild>
        <w:div w:id="194971135">
          <w:marLeft w:val="0"/>
          <w:marRight w:val="0"/>
          <w:marTop w:val="0"/>
          <w:marBottom w:val="0"/>
          <w:divBdr>
            <w:top w:val="none" w:sz="0" w:space="0" w:color="auto"/>
            <w:left w:val="none" w:sz="0" w:space="0" w:color="auto"/>
            <w:bottom w:val="none" w:sz="0" w:space="0" w:color="auto"/>
            <w:right w:val="none" w:sz="0" w:space="0" w:color="auto"/>
          </w:divBdr>
          <w:divsChild>
            <w:div w:id="1403025270">
              <w:marLeft w:val="0"/>
              <w:marRight w:val="75"/>
              <w:marTop w:val="0"/>
              <w:marBottom w:val="0"/>
              <w:divBdr>
                <w:top w:val="none" w:sz="0" w:space="0" w:color="auto"/>
                <w:left w:val="none" w:sz="0" w:space="0" w:color="auto"/>
                <w:bottom w:val="none" w:sz="0" w:space="0" w:color="auto"/>
                <w:right w:val="none" w:sz="0" w:space="0" w:color="auto"/>
              </w:divBdr>
              <w:divsChild>
                <w:div w:id="1043291071">
                  <w:marLeft w:val="0"/>
                  <w:marRight w:val="0"/>
                  <w:marTop w:val="0"/>
                  <w:marBottom w:val="0"/>
                  <w:divBdr>
                    <w:top w:val="none" w:sz="0" w:space="0" w:color="auto"/>
                    <w:left w:val="none" w:sz="0" w:space="0" w:color="auto"/>
                    <w:bottom w:val="none" w:sz="0" w:space="0" w:color="auto"/>
                    <w:right w:val="none" w:sz="0" w:space="0" w:color="auto"/>
                  </w:divBdr>
                  <w:divsChild>
                    <w:div w:id="1797485631">
                      <w:marLeft w:val="0"/>
                      <w:marRight w:val="0"/>
                      <w:marTop w:val="225"/>
                      <w:marBottom w:val="225"/>
                      <w:divBdr>
                        <w:top w:val="none" w:sz="0" w:space="0" w:color="auto"/>
                        <w:left w:val="none" w:sz="0" w:space="0" w:color="auto"/>
                        <w:bottom w:val="none" w:sz="0" w:space="0" w:color="auto"/>
                        <w:right w:val="none" w:sz="0" w:space="0" w:color="auto"/>
                      </w:divBdr>
                      <w:divsChild>
                        <w:div w:id="1133475944">
                          <w:marLeft w:val="0"/>
                          <w:marRight w:val="150"/>
                          <w:marTop w:val="0"/>
                          <w:marBottom w:val="0"/>
                          <w:divBdr>
                            <w:top w:val="none" w:sz="0" w:space="0" w:color="auto"/>
                            <w:left w:val="none" w:sz="0" w:space="0" w:color="auto"/>
                            <w:bottom w:val="none" w:sz="0" w:space="0" w:color="auto"/>
                            <w:right w:val="none" w:sz="0" w:space="0" w:color="auto"/>
                          </w:divBdr>
                          <w:divsChild>
                            <w:div w:id="152131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6" Type="http://schemas.openxmlformats.org/officeDocument/2006/relationships/hyperlink" Target="http://www.aph.gov.au/About_Parliament/Senate/Powers_practice_n_procedures/odgers13" TargetMode="External"/><Relationship Id="rId21" Type="http://schemas.openxmlformats.org/officeDocument/2006/relationships/hyperlink" Target="http://www.aph.gov.au/About_Parliament/Senate/Powers_practice_n_procedures/odgers13" TargetMode="External"/><Relationship Id="rId34" Type="http://schemas.openxmlformats.org/officeDocument/2006/relationships/hyperlink" Target="http://www.apsc.gov.au/working-in-the-aps/your-rights-and-responsibilities-as-an-aps-employee/code-of-conduct" TargetMode="External"/><Relationship Id="rId42" Type="http://schemas.openxmlformats.org/officeDocument/2006/relationships/hyperlink" Target="https://www.legislation.gov.au/Details/C2016C00414/Download" TargetMode="External"/><Relationship Id="rId47" Type="http://schemas.openxmlformats.org/officeDocument/2006/relationships/hyperlink" Target="http://www.apsc.gov.au/publications-and-media/current-publications/aps-values-and-code-of-conduct-in-practice" TargetMode="External"/><Relationship Id="rId50" Type="http://schemas.openxmlformats.org/officeDocument/2006/relationships/hyperlink" Target="https://www.gesetze-im-internet.de/englisch_abgg/englisch_abgg.html" TargetMode="External"/><Relationship Id="rId55" Type="http://schemas.openxmlformats.org/officeDocument/2006/relationships/hyperlink" Target="http://www.bundestag.de/blob/195006/a1232d4a394f7cdee1b9bccc2f374880/code_of_conduct-data.pdf" TargetMode="External"/><Relationship Id="rId63" Type="http://schemas.openxmlformats.org/officeDocument/2006/relationships/hyperlink" Target="http://www.bundestag.de/blob/195006/a1232d4a394f7cdee1b9bccc2f374880/code_of_conduct-data.pdf" TargetMode="External"/><Relationship Id="rId68" Type="http://schemas.openxmlformats.org/officeDocument/2006/relationships/hyperlink" Target="http://www.bundestag.de/blob/195006/a1232d4a394f7cdee1b9bccc2f374880/code_of_conduct-data.pdf" TargetMode="External"/><Relationship Id="rId76" Type="http://schemas.openxmlformats.org/officeDocument/2006/relationships/hyperlink" Target="http://www.tandfonline.com/doi/full/10.1080/10999922.2016.1225479" TargetMode="External"/><Relationship Id="rId84" Type="http://schemas.openxmlformats.org/officeDocument/2006/relationships/hyperlink" Target="https://www.legifrance.gouv.fr/affichTexte.do?cidTexte=JORFTEXT000032433852&amp;categorieLien=id" TargetMode="External"/><Relationship Id="rId89" Type="http://schemas.openxmlformats.org/officeDocument/2006/relationships/hyperlink" Target="https://www.legifrance.gouv.fr/affichTexte.do?cidTexte=JORFTEXT000032433852&amp;categorieLien=id" TargetMode="External"/><Relationship Id="rId97" Type="http://schemas.openxmlformats.org/officeDocument/2006/relationships/hyperlink" Target="https://www.legifrance.gouv.fr/content/download/8845/110182/version/4/file/l_2013_907_en_2013_10_13.pdf" TargetMode="External"/><Relationship Id="rId7" Type="http://schemas.openxmlformats.org/officeDocument/2006/relationships/hyperlink" Target="http://www.aph.gov.au/About_Parliament/House_of_Representatives/Powers_practice_and_procedure/Practice6" TargetMode="External"/><Relationship Id="rId71" Type="http://schemas.openxmlformats.org/officeDocument/2006/relationships/hyperlink" Target="https://www.bmi.bund.de/SharedDocs/Downloads/EN/Broschueren/2014/rules-on-integrity.pdf?__blob=publicationFile" TargetMode="External"/><Relationship Id="rId92" Type="http://schemas.openxmlformats.org/officeDocument/2006/relationships/hyperlink" Target="http://www.elysee.fr/assets/pdf/Charte-de-deontologie.pdf" TargetMode="External"/><Relationship Id="rId2" Type="http://schemas.openxmlformats.org/officeDocument/2006/relationships/hyperlink" Target="https://www.gov.uk/government/publications/civil-service-code/the-civil-service-code" TargetMode="External"/><Relationship Id="rId16" Type="http://schemas.openxmlformats.org/officeDocument/2006/relationships/hyperlink" Target="http://www.aph.gov.au/About_Parliament/House_of_Representatives/Powers_practice_and_procedure/Practice6/Practice6HTML?file=Chapter5&amp;section=06" TargetMode="External"/><Relationship Id="rId29" Type="http://schemas.openxmlformats.org/officeDocument/2006/relationships/hyperlink" Target="https://www.legislation.gov.au/Details/C2016C00420" TargetMode="External"/><Relationship Id="rId11" Type="http://schemas.openxmlformats.org/officeDocument/2006/relationships/hyperlink" Target="http://www.aph.gov.au/About_Parliament/House_of_Representatives/Powers_practice_and_procedure/Practice6/Practice6HTML?file=Chapter5&amp;section=06" TargetMode="External"/><Relationship Id="rId24" Type="http://schemas.openxmlformats.org/officeDocument/2006/relationships/hyperlink" Target="http://www.aph.gov.au/~/media/05%20About%20Parliament/53%20HoR/532%20PPP/Resolutions/9Oct1984.pdf" TargetMode="External"/><Relationship Id="rId32" Type="http://schemas.openxmlformats.org/officeDocument/2006/relationships/hyperlink" Target="http://www.apsc.gov.au/publications-and-media/current-publications/aps-values-and-code-of-conduct-in-practice" TargetMode="External"/><Relationship Id="rId37" Type="http://schemas.openxmlformats.org/officeDocument/2006/relationships/hyperlink" Target="https://www.legislation.gov.au/Details/C2016C00405" TargetMode="External"/><Relationship Id="rId40" Type="http://schemas.openxmlformats.org/officeDocument/2006/relationships/hyperlink" Target="https://www.legislation.gov.au/Details/C2016C00420" TargetMode="External"/><Relationship Id="rId45" Type="http://schemas.openxmlformats.org/officeDocument/2006/relationships/hyperlink" Target="http://www.apsc.gov.au/publications-and-media/current-publications/aps-values-and-code-of-conduct-in-practice" TargetMode="External"/><Relationship Id="rId53" Type="http://schemas.openxmlformats.org/officeDocument/2006/relationships/hyperlink" Target="http://www.bundestag.de/blob/195006/a1232d4a394f7cdee1b9bccc2f374880/code_of_conduct-data.pdf" TargetMode="External"/><Relationship Id="rId58" Type="http://schemas.openxmlformats.org/officeDocument/2006/relationships/hyperlink" Target="http://www.bundestag.de/blob/195006/a1232d4a394f7cdee1b9bccc2f374880/code_of_conduct-data.pdf" TargetMode="External"/><Relationship Id="rId66" Type="http://schemas.openxmlformats.org/officeDocument/2006/relationships/hyperlink" Target="http://www.bundestag.de/blob/195006/a1232d4a394f7cdee1b9bccc2f374880/code_of_conduct-data.pdf" TargetMode="External"/><Relationship Id="rId74" Type="http://schemas.openxmlformats.org/officeDocument/2006/relationships/hyperlink" Target="http://www.bmi.bund.de/SharedDocs/Downloads/DE/Themen/OED_Verwaltung/Korruption_Sponsoring/Richtlinie_zur_Korruptionspraevention_in_der_Bundesverwaltung_englisch.pdf?__blob=publicationFile" TargetMode="External"/><Relationship Id="rId79" Type="http://schemas.openxmlformats.org/officeDocument/2006/relationships/hyperlink" Target="http://www.hatvp.fr/the-high-authority/" TargetMode="External"/><Relationship Id="rId87" Type="http://schemas.openxmlformats.org/officeDocument/2006/relationships/hyperlink" Target="http://www.hatvp.fr/the-high-authority/what-we-do/audit-the-assets-of-public-officials/" TargetMode="External"/><Relationship Id="rId5" Type="http://schemas.openxmlformats.org/officeDocument/2006/relationships/hyperlink" Target="http://civilservicecommission.independent.gov.uk/civil-service-code/" TargetMode="External"/><Relationship Id="rId61" Type="http://schemas.openxmlformats.org/officeDocument/2006/relationships/hyperlink" Target="http://www.bundestag.de/blob/195006/a1232d4a394f7cdee1b9bccc2f374880/code_of_conduct-data.pdf" TargetMode="External"/><Relationship Id="rId82" Type="http://schemas.openxmlformats.org/officeDocument/2006/relationships/hyperlink" Target="https://www.legifrance.gouv.fr/affichTexte.do;jsessionid=4D5ABB6FD9A6B91831D3EE76FFE83577.tpdjo15v_2?cidTexte=JORFTEXT000028056315&amp;dateTexte=" TargetMode="External"/><Relationship Id="rId90" Type="http://schemas.openxmlformats.org/officeDocument/2006/relationships/hyperlink" Target="https://www.legifrance.gouv.fr/content/download/8845/110182/version/4/file/l_2013_907_en_2013_10_13.pdf" TargetMode="External"/><Relationship Id="rId95" Type="http://schemas.openxmlformats.org/officeDocument/2006/relationships/hyperlink" Target="http://www.hatvp.fr/the-high-authority/how-we-work/le-college/" TargetMode="External"/><Relationship Id="rId19" Type="http://schemas.openxmlformats.org/officeDocument/2006/relationships/hyperlink" Target="http://www.aph.gov.au/About_Parliament/House_of_Representatives/Powers_practice_and_procedure/Practice6" TargetMode="External"/><Relationship Id="rId14" Type="http://schemas.openxmlformats.org/officeDocument/2006/relationships/hyperlink" Target="http://www.aph.gov.au/About_Parliament/House_of_Representatives/Powers_practice_and_procedure/House_of_Representatives_Standing_Orders" TargetMode="External"/><Relationship Id="rId22" Type="http://schemas.openxmlformats.org/officeDocument/2006/relationships/hyperlink" Target="http://www.aph.gov.au/About_Parliament/Senate/Powers_practice_n_procedures/odgers13?file=chapter06&amp;section=13" TargetMode="External"/><Relationship Id="rId27" Type="http://schemas.openxmlformats.org/officeDocument/2006/relationships/hyperlink" Target="http://www.aph.gov.au/About_Parliament/Senate/Powers_practice_n_procedures/odgers13?file=chapter06&amp;section=13" TargetMode="External"/><Relationship Id="rId30" Type="http://schemas.openxmlformats.org/officeDocument/2006/relationships/hyperlink" Target="https://www.legislation.gov.au/Details/C2016C00414/Download" TargetMode="External"/><Relationship Id="rId35" Type="http://schemas.openxmlformats.org/officeDocument/2006/relationships/hyperlink" Target="http://dfat.gov.au/about-us/publications/corporate/conduct-ethics-manual/Pages/conduct-and-ethics-manual.aspx" TargetMode="External"/><Relationship Id="rId43" Type="http://schemas.openxmlformats.org/officeDocument/2006/relationships/hyperlink" Target="http://www.apsc.gov.au/publications-and-media/current-publications/aps-values-and-code-of-conduct-in-practice" TargetMode="External"/><Relationship Id="rId48" Type="http://schemas.openxmlformats.org/officeDocument/2006/relationships/hyperlink" Target="http://www.apsc.gov.au/publications-and-media/current-publications/aps-values-and-code-of-conduct-in-practice" TargetMode="External"/><Relationship Id="rId56" Type="http://schemas.openxmlformats.org/officeDocument/2006/relationships/hyperlink" Target="http://www.bundestag.de/blob/195006/a1232d4a394f7cdee1b9bccc2f374880/code_of_conduct-data.pdf" TargetMode="External"/><Relationship Id="rId64" Type="http://schemas.openxmlformats.org/officeDocument/2006/relationships/hyperlink" Target="http://www.bundestag.de/blob/195006/a1232d4a394f7cdee1b9bccc2f374880/code_of_conduct-data.pdf" TargetMode="External"/><Relationship Id="rId69" Type="http://schemas.openxmlformats.org/officeDocument/2006/relationships/hyperlink" Target="http://www.bundestag.de/blob/195006/a1232d4a394f7cdee1b9bccc2f374880/code_of_conduct-data.pdf" TargetMode="External"/><Relationship Id="rId77" Type="http://schemas.openxmlformats.org/officeDocument/2006/relationships/hyperlink" Target="http://www.lamoncloa.gob.es/lang/en/espana/spaintoday2015/transparency/Paginas/index.aspx" TargetMode="External"/><Relationship Id="rId100" Type="http://schemas.openxmlformats.org/officeDocument/2006/relationships/hyperlink" Target="https://www.legifrance.gouv.fr/content/download/8845/110182/version/4/file/l_2013_907_en_2013_10_13.pdf" TargetMode="External"/><Relationship Id="rId8" Type="http://schemas.openxmlformats.org/officeDocument/2006/relationships/hyperlink" Target="http://www.aph.gov.au/About_Parliament/House_of_Representatives/Powers_practice_and_procedure/House_of_Representatives_Standing_Orders" TargetMode="External"/><Relationship Id="rId51" Type="http://schemas.openxmlformats.org/officeDocument/2006/relationships/hyperlink" Target="https://www.gesetze-im-internet.de/englisch_abgg/englisch_abgg.html" TargetMode="External"/><Relationship Id="rId72" Type="http://schemas.openxmlformats.org/officeDocument/2006/relationships/hyperlink" Target="https://www.bmi.bund.de/SharedDocs/Downloads/EN/Broschueren/2014/rules-on-integrity.pdf?__blob=publicationFile" TargetMode="External"/><Relationship Id="rId80" Type="http://schemas.openxmlformats.org/officeDocument/2006/relationships/hyperlink" Target="https://www.legifrance.gouv.fr/affichTexte.do?cidTexte=JORFTEXT000028056223&amp;fastPos=1&amp;fastReqId=1837032461&amp;categorieLien=id&amp;oldAction=rechTexte" TargetMode="External"/><Relationship Id="rId85" Type="http://schemas.openxmlformats.org/officeDocument/2006/relationships/hyperlink" Target="https://www.legifrance.gouv.fr/affichTexte.do?cidTexte=LEGITEXT000006068812&amp;dateTexte=20170129" TargetMode="External"/><Relationship Id="rId93" Type="http://schemas.openxmlformats.org/officeDocument/2006/relationships/hyperlink" Target="https://www.legifrance.gouv.fr/content/download/8845/110182/version/4/file/l_2013_907_en_2013_10_13.pdf" TargetMode="External"/><Relationship Id="rId98" Type="http://schemas.openxmlformats.org/officeDocument/2006/relationships/hyperlink" Target="https://declarations.hatvp.fr/pdf/hatvp-guide-du-declarant.pdf" TargetMode="External"/><Relationship Id="rId3" Type="http://schemas.openxmlformats.org/officeDocument/2006/relationships/hyperlink" Target="http://civilservicecommission.independent.gov.uk/civil-service-code/" TargetMode="External"/><Relationship Id="rId12" Type="http://schemas.openxmlformats.org/officeDocument/2006/relationships/hyperlink" Target="http://www.aph.gov.au/About_Parliament/House_of_Representatives/Powers_practice_and_procedure/Practice6" TargetMode="External"/><Relationship Id="rId17" Type="http://schemas.openxmlformats.org/officeDocument/2006/relationships/hyperlink" Target="http://www.aph.gov.au/About_Parliament/House_of_Representatives/Powers_practice_and_procedure/Practice6" TargetMode="External"/><Relationship Id="rId25" Type="http://schemas.openxmlformats.org/officeDocument/2006/relationships/hyperlink" Target="http://www.aph.gov.au/Senators_and_Members/Members/Register" TargetMode="External"/><Relationship Id="rId33" Type="http://schemas.openxmlformats.org/officeDocument/2006/relationships/hyperlink" Target="http://www.apsc.gov.au/working-in-the-aps/your-rights-and-responsibilities-as-an-aps-employee/aps-values" TargetMode="External"/><Relationship Id="rId38" Type="http://schemas.openxmlformats.org/officeDocument/2006/relationships/hyperlink" Target="http://www.smos.gov.au/resources/statement-of-standards.html" TargetMode="External"/><Relationship Id="rId46" Type="http://schemas.openxmlformats.org/officeDocument/2006/relationships/hyperlink" Target="http://www.apsc.gov.au/working-in-the-aps/your-rights-and-responsibilities-as-an-aps-employee/declaration-of-interests" TargetMode="External"/><Relationship Id="rId59" Type="http://schemas.openxmlformats.org/officeDocument/2006/relationships/hyperlink" Target="http://www.bundestag.de/blob/195006/a1232d4a394f7cdee1b9bccc2f374880/code_of_conduct-data.pdf" TargetMode="External"/><Relationship Id="rId67" Type="http://schemas.openxmlformats.org/officeDocument/2006/relationships/hyperlink" Target="http://www.bundestag.de/blob/195006/a1232d4a394f7cdee1b9bccc2f374880/code_of_conduct-data.pdf" TargetMode="External"/><Relationship Id="rId20" Type="http://schemas.openxmlformats.org/officeDocument/2006/relationships/hyperlink" Target="http://www.aph.gov.au/About_Parliament/House_of_Representatives/Powers_practice_and_procedure/Practice6/Practice6HTML?file=Chapter5&amp;section=06" TargetMode="External"/><Relationship Id="rId41" Type="http://schemas.openxmlformats.org/officeDocument/2006/relationships/hyperlink" Target="https://www.legislation.gov.au/Details/C2016C00420" TargetMode="External"/><Relationship Id="rId54" Type="http://schemas.openxmlformats.org/officeDocument/2006/relationships/hyperlink" Target="http://www.bundestag.de/blob/195006/a1232d4a394f7cdee1b9bccc2f374880/code_of_conduct-data.pdf" TargetMode="External"/><Relationship Id="rId62" Type="http://schemas.openxmlformats.org/officeDocument/2006/relationships/hyperlink" Target="http://www.bundestag.de/blob/195006/a1232d4a394f7cdee1b9bccc2f374880/code_of_conduct-data.pdf" TargetMode="External"/><Relationship Id="rId70" Type="http://schemas.openxmlformats.org/officeDocument/2006/relationships/hyperlink" Target="http://www.bundestag.de/blob/195006/a1232d4a394f7cdee1b9bccc2f374880/code_of_conduct-data.pdf" TargetMode="External"/><Relationship Id="rId75" Type="http://schemas.openxmlformats.org/officeDocument/2006/relationships/hyperlink" Target="http://www.boe.es/boe/dias/2015/03/31/pdfs/BOE-A-2015-3444.pdf" TargetMode="External"/><Relationship Id="rId83" Type="http://schemas.openxmlformats.org/officeDocument/2006/relationships/hyperlink" Target="https://www.legifrance.gouv.fr/content/download/8845/110182/version/4/file/l_2013_907_en_2013_10_13.pdf" TargetMode="External"/><Relationship Id="rId88" Type="http://schemas.openxmlformats.org/officeDocument/2006/relationships/hyperlink" Target="https://www.legifrance.gouv.fr/content/download/8845/110182/version/4/file/l_2013_907_en_2013_10_13.pdf" TargetMode="External"/><Relationship Id="rId91" Type="http://schemas.openxmlformats.org/officeDocument/2006/relationships/hyperlink" Target="https://www.legifrance.gouv.fr/affichTexte.do?cidTexte=JORFTEXT000032433852&amp;categorieLien=id" TargetMode="External"/><Relationship Id="rId96" Type="http://schemas.openxmlformats.org/officeDocument/2006/relationships/hyperlink" Target="http://www.hatvp.fr/the-high-authority/what-we-do/audit-the-assets-of-public-officials/" TargetMode="External"/><Relationship Id="rId1" Type="http://schemas.openxmlformats.org/officeDocument/2006/relationships/hyperlink" Target="https://www.gov.uk/government/publications/civil-service-code/the-civil-service-code" TargetMode="External"/><Relationship Id="rId6" Type="http://schemas.openxmlformats.org/officeDocument/2006/relationships/hyperlink" Target="http://www.aph.gov.au/Senators_and_Members/Members/Register" TargetMode="External"/><Relationship Id="rId15" Type="http://schemas.openxmlformats.org/officeDocument/2006/relationships/hyperlink" Target="http://www.aph.gov.au/About_Parliament/House_of_Representatives/Powers_practice_and_procedure/Practice6" TargetMode="External"/><Relationship Id="rId23" Type="http://schemas.openxmlformats.org/officeDocument/2006/relationships/hyperlink" Target="http://www.aph.gov.au/About_Parliament/Senate/Powers_practice_n_procedures/odgers13?file=chapter11&amp;section=05" TargetMode="External"/><Relationship Id="rId28" Type="http://schemas.openxmlformats.org/officeDocument/2006/relationships/hyperlink" Target="https://www.dpmc.gov.au/sites/default/files/files/Statement_of_Ministerial_Standards.pdf" TargetMode="External"/><Relationship Id="rId36" Type="http://schemas.openxmlformats.org/officeDocument/2006/relationships/hyperlink" Target="http://dfat.gov.au/about-us/publications/corporate/conduct-ethics-manual/Pages/chapter-5-conflicts-of-interests.aspx" TargetMode="External"/><Relationship Id="rId49" Type="http://schemas.openxmlformats.org/officeDocument/2006/relationships/hyperlink" Target="https://www.gesetze-im-internet.de/englisch_abgg/englisch_abgg.html" TargetMode="External"/><Relationship Id="rId57" Type="http://schemas.openxmlformats.org/officeDocument/2006/relationships/hyperlink" Target="http://www.bundestag.de/blob/195006/a1232d4a394f7cdee1b9bccc2f374880/code_of_conduct-data.pdf" TargetMode="External"/><Relationship Id="rId10" Type="http://schemas.openxmlformats.org/officeDocument/2006/relationships/hyperlink" Target="http://www.aph.gov.au/About_Parliament/House_of_Representatives/Powers_practice_and_procedure/Practice6" TargetMode="External"/><Relationship Id="rId31" Type="http://schemas.openxmlformats.org/officeDocument/2006/relationships/hyperlink" Target="https://www.legislation.gov.au/Details/F2016L01430" TargetMode="External"/><Relationship Id="rId44" Type="http://schemas.openxmlformats.org/officeDocument/2006/relationships/hyperlink" Target="http://www.apsc.gov.au/publications-and-media/current-publications/aps-values-and-code-of-conduct-in-practice" TargetMode="External"/><Relationship Id="rId52" Type="http://schemas.openxmlformats.org/officeDocument/2006/relationships/hyperlink" Target="https://www.gesetze-im-internet.de/englisch_abgg/englisch_abgg.html" TargetMode="External"/><Relationship Id="rId60" Type="http://schemas.openxmlformats.org/officeDocument/2006/relationships/hyperlink" Target="http://www.bundestag.de/blob/195006/a1232d4a394f7cdee1b9bccc2f374880/code_of_conduct-data.pdf" TargetMode="External"/><Relationship Id="rId65" Type="http://schemas.openxmlformats.org/officeDocument/2006/relationships/hyperlink" Target="http://www.bundestag.de/blob/195006/a1232d4a394f7cdee1b9bccc2f374880/code_of_conduct-data.pdf" TargetMode="External"/><Relationship Id="rId73" Type="http://schemas.openxmlformats.org/officeDocument/2006/relationships/hyperlink" Target="https://www.bmi.bund.de/SharedDocs/Downloads/EN/Broschueren/2014/rules-on-integrity.pdf?__blob=publicationFile" TargetMode="External"/><Relationship Id="rId78" Type="http://schemas.openxmlformats.org/officeDocument/2006/relationships/hyperlink" Target="http://www.hatvp.fr/" TargetMode="External"/><Relationship Id="rId81" Type="http://schemas.openxmlformats.org/officeDocument/2006/relationships/hyperlink" Target="https://www.legifrance.gouv.fr/content/download/8844/110178/version/4/file/lo_2013_906_en_2013_10_13.pdf" TargetMode="External"/><Relationship Id="rId86" Type="http://schemas.openxmlformats.org/officeDocument/2006/relationships/hyperlink" Target="https://www.legifrance.gouv.fr/content/download/8845/110182/version/4/file/l_2013_907_en_2013_10_13.pdf" TargetMode="External"/><Relationship Id="rId94" Type="http://schemas.openxmlformats.org/officeDocument/2006/relationships/hyperlink" Target="https://www.legifrance.gouv.fr/content/download/8845/110182/version/4/file/l_2013_907_en_2013_10_13.pdf" TargetMode="External"/><Relationship Id="rId99" Type="http://schemas.openxmlformats.org/officeDocument/2006/relationships/hyperlink" Target="https://declarations.hatvp.fr/pdf/hatvp-guide-du-declarant.pdf" TargetMode="External"/><Relationship Id="rId101" Type="http://schemas.openxmlformats.org/officeDocument/2006/relationships/hyperlink" Target="https://declarations.hatvp.fr/pdf/hatvp-guide-du-declarant.pdf" TargetMode="External"/><Relationship Id="rId4" Type="http://schemas.openxmlformats.org/officeDocument/2006/relationships/hyperlink" Target="http://civilservicecommission.independent.gov.uk/civil-service-code/" TargetMode="External"/><Relationship Id="rId9" Type="http://schemas.openxmlformats.org/officeDocument/2006/relationships/hyperlink" Target="http://www.aph.gov.au/About_Parliament/House_of_Representatives/Powers_practice_and_procedure/00_-_Infosheets/Infosheet_14_-_Making_decisions_-_debate_and_division" TargetMode="External"/><Relationship Id="rId13" Type="http://schemas.openxmlformats.org/officeDocument/2006/relationships/hyperlink" Target="http://www.aph.gov.au/About_Parliament/House_of_Representatives/Powers_practice_and_procedure/Practice6/Practice6HTML?file=Chapter5&amp;section=06" TargetMode="External"/><Relationship Id="rId18" Type="http://schemas.openxmlformats.org/officeDocument/2006/relationships/hyperlink" Target="http://www.aph.gov.au/About_Parliament/House_of_Representatives/Powers_practice_and_procedure/Practice6/Practice6HTML?file=Chapter18&amp;section=08" TargetMode="External"/><Relationship Id="rId39" Type="http://schemas.openxmlformats.org/officeDocument/2006/relationships/hyperlink" Target="http://www.alrc.gov.au/publications/13-regulating-beyond-australian-public-service/commonwealth-employees-outside-aps"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3AFA76-DEAF-4FD6-8DD5-91065953200C}">
  <ds:schemaRefs>
    <ds:schemaRef ds:uri="http://schemas.openxmlformats.org/officeDocument/2006/bibliography"/>
  </ds:schemaRefs>
</ds:datastoreItem>
</file>

<file path=customXml/itemProps2.xml><?xml version="1.0" encoding="utf-8"?>
<ds:datastoreItem xmlns:ds="http://schemas.openxmlformats.org/officeDocument/2006/customXml" ds:itemID="{5BB177A4-04AF-44AE-8F18-0CDD14436A87}"/>
</file>

<file path=customXml/itemProps3.xml><?xml version="1.0" encoding="utf-8"?>
<ds:datastoreItem xmlns:ds="http://schemas.openxmlformats.org/officeDocument/2006/customXml" ds:itemID="{574CE36E-9DDC-4AB6-8729-3EDB1B80039A}"/>
</file>

<file path=customXml/itemProps4.xml><?xml version="1.0" encoding="utf-8"?>
<ds:datastoreItem xmlns:ds="http://schemas.openxmlformats.org/officeDocument/2006/customXml" ds:itemID="{C6B288AA-D381-4E79-B873-A737DB0C4152}"/>
</file>

<file path=docProps/app.xml><?xml version="1.0" encoding="utf-8"?>
<Properties xmlns="http://schemas.openxmlformats.org/officeDocument/2006/extended-properties" xmlns:vt="http://schemas.openxmlformats.org/officeDocument/2006/docPropsVTypes">
  <Template>Normal</Template>
  <TotalTime>38</TotalTime>
  <Pages>1</Pages>
  <Words>13991</Words>
  <Characters>69958</Characters>
  <Application>Microsoft Office Word</Application>
  <DocSecurity>0</DocSecurity>
  <Lines>582</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83782</CharactersWithSpaces>
  <SharedDoc>false</SharedDoc>
  <HLinks>
    <vt:vector size="24" baseType="variant">
      <vt:variant>
        <vt:i4>917592</vt:i4>
      </vt:variant>
      <vt:variant>
        <vt:i4>9</vt:i4>
      </vt:variant>
      <vt:variant>
        <vt:i4>0</vt:i4>
      </vt:variant>
      <vt:variant>
        <vt:i4>5</vt:i4>
      </vt:variant>
      <vt:variant>
        <vt:lpwstr>http://www.electoralcommission.org.uk/find-information-by-subject/political-parties-campaigning-and-donations</vt:lpwstr>
      </vt:variant>
      <vt:variant>
        <vt:lpwstr/>
      </vt:variant>
      <vt:variant>
        <vt:i4>6619187</vt:i4>
      </vt:variant>
      <vt:variant>
        <vt:i4>6</vt:i4>
      </vt:variant>
      <vt:variant>
        <vt:i4>0</vt:i4>
      </vt:variant>
      <vt:variant>
        <vt:i4>5</vt:i4>
      </vt:variant>
      <vt:variant>
        <vt:lpwstr>http://www.electoralcommission.org.uk/</vt:lpwstr>
      </vt:variant>
      <vt:variant>
        <vt:lpwstr/>
      </vt:variant>
      <vt:variant>
        <vt:i4>7274605</vt:i4>
      </vt:variant>
      <vt:variant>
        <vt:i4>3</vt:i4>
      </vt:variant>
      <vt:variant>
        <vt:i4>0</vt:i4>
      </vt:variant>
      <vt:variant>
        <vt:i4>5</vt:i4>
      </vt:variant>
      <vt:variant>
        <vt:lpwstr>https://www.parliament.uk/</vt:lpwstr>
      </vt:variant>
      <vt:variant>
        <vt:lpwstr/>
      </vt:variant>
      <vt:variant>
        <vt:i4>6750269</vt:i4>
      </vt:variant>
      <vt:variant>
        <vt:i4>0</vt:i4>
      </vt:variant>
      <vt:variant>
        <vt:i4>0</vt:i4>
      </vt:variant>
      <vt:variant>
        <vt:i4>5</vt:i4>
      </vt:variant>
      <vt:variant>
        <vt:lpwstr>http://www.aec.gov.au/Voting/index.htm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giladn</dc:creator>
  <cp:keywords/>
  <dc:description/>
  <cp:lastModifiedBy>דינה צדוק</cp:lastModifiedBy>
  <cp:revision>5</cp:revision>
  <cp:lastPrinted>2017-01-26T12:03:00Z</cp:lastPrinted>
  <dcterms:created xsi:type="dcterms:W3CDTF">2017-05-28T06:40:00Z</dcterms:created>
  <dcterms:modified xsi:type="dcterms:W3CDTF">2017-05-28T07:17:00Z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2016648</vt:r8>
  </property>
</Properties>
</file>