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CAA11" w14:textId="77777777" w:rsidR="008A0EA8" w:rsidRPr="0000131B" w:rsidRDefault="008A0EA8" w:rsidP="008A0EA8">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2003759</w:t>
      </w:r>
      <w:bookmarkEnd w:id="0"/>
    </w:p>
    <w:p w14:paraId="4B253F04" w14:textId="77777777" w:rsidR="008A0EA8" w:rsidRPr="00DB7060" w:rsidRDefault="008A0EA8" w:rsidP="008A0EA8">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6EEF6B6B" w14:textId="77777777" w:rsidR="008A0EA8" w:rsidRPr="00F67051" w:rsidRDefault="008A0EA8" w:rsidP="008A0EA8">
      <w:pPr>
        <w:rPr>
          <w:rFonts w:cs="David"/>
          <w:b/>
          <w:bCs/>
          <w:sz w:val="26"/>
          <w:szCs w:val="26"/>
          <w:rtl/>
        </w:rPr>
      </w:pPr>
    </w:p>
    <w:p w14:paraId="71F8E872" w14:textId="77777777" w:rsidR="008A0EA8" w:rsidRDefault="008A0EA8" w:rsidP="008A0EA8">
      <w:pPr>
        <w:pStyle w:val="David"/>
        <w:spacing w:line="360" w:lineRule="auto"/>
        <w:ind w:left="3544"/>
        <w:rPr>
          <w:b/>
          <w:bCs/>
          <w:rtl/>
        </w:rPr>
      </w:pPr>
      <w:bookmarkStart w:id="2" w:name="LGS_Initiators_List"/>
      <w:r>
        <w:rPr>
          <w:b/>
          <w:bCs/>
          <w:rtl/>
        </w:rPr>
        <w:t>יוזמים:      חברי הכנסת</w:t>
      </w:r>
      <w:bookmarkEnd w:id="2"/>
      <w:r w:rsidRPr="00F67051">
        <w:rPr>
          <w:b/>
          <w:bCs/>
        </w:rPr>
        <w:tab/>
      </w:r>
      <w:bookmarkStart w:id="3" w:name="LGS_PM_Names"/>
      <w:r>
        <w:rPr>
          <w:rFonts w:hint="cs"/>
          <w:b/>
          <w:bCs/>
          <w:rtl/>
        </w:rPr>
        <w:t>מרב מיכאלי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משה גפני</w:t>
      </w:r>
      <w:bookmarkEnd w:id="3"/>
    </w:p>
    <w:p w14:paraId="74FA51ED" w14:textId="77777777" w:rsidR="008A0EA8" w:rsidRPr="00CF1AA2" w:rsidRDefault="008A0EA8" w:rsidP="008A0EA8">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4225DC52" w14:textId="77777777" w:rsidR="008A0EA8" w:rsidRPr="00904591" w:rsidRDefault="008A0EA8" w:rsidP="008A0EA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1820CEE" w14:textId="77777777" w:rsidR="008A0EA8" w:rsidRPr="00E06736" w:rsidRDefault="008A0EA8" w:rsidP="008A0EA8">
      <w:pPr>
        <w:pStyle w:val="David"/>
        <w:spacing w:before="0" w:line="240" w:lineRule="auto"/>
        <w:ind w:left="3544"/>
        <w:rPr>
          <w:rtl/>
        </w:rPr>
      </w:pPr>
      <w:r>
        <w:t xml:space="preserve">                                             </w:t>
      </w:r>
      <w:bookmarkStart w:id="6" w:name="Private_Number"/>
      <w:r>
        <w:rPr>
          <w:rFonts w:hint="cs"/>
          <w:rtl/>
        </w:rPr>
        <w:t>פ/3076/20</w:t>
      </w:r>
      <w:bookmarkEnd w:id="6"/>
    </w:p>
    <w:p w14:paraId="3536E9D1" w14:textId="77777777" w:rsidR="008A0EA8" w:rsidRDefault="008A0EA8" w:rsidP="008A0EA8">
      <w:pPr>
        <w:spacing w:before="0" w:line="360" w:lineRule="auto"/>
        <w:ind w:left="2880" w:firstLine="720"/>
        <w:rPr>
          <w:rFonts w:cs="David"/>
          <w:sz w:val="26"/>
          <w:szCs w:val="26"/>
          <w:rtl/>
        </w:rPr>
      </w:pPr>
    </w:p>
    <w:p w14:paraId="16B4CB39" w14:textId="77777777" w:rsidR="008A0EA8" w:rsidRPr="00F67051" w:rsidRDefault="008A0EA8" w:rsidP="008A0EA8">
      <w:pPr>
        <w:pStyle w:val="HeadHatzaotHok"/>
        <w:rPr>
          <w:rtl/>
        </w:rPr>
      </w:pPr>
      <w:bookmarkStart w:id="7" w:name="LGS_Subject"/>
      <w:r>
        <w:rPr>
          <w:rFonts w:hint="cs"/>
          <w:rtl/>
        </w:rPr>
        <w:t>הצעת חוק נכסים של נספי השואה (השבה ליורשים והקדשה למטרות סיוע והנצחה) (תיקון – סיוע לניצולי שואה הזקוקים לכך), התשע"ו–2016</w:t>
      </w:r>
      <w:bookmarkEnd w:id="7"/>
    </w:p>
    <w:p w14:paraId="30E50A72" w14:textId="77777777" w:rsidR="008A0EA8" w:rsidRDefault="008A0EA8" w:rsidP="008A0EA8">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8A0EA8" w14:paraId="67B9D361" w14:textId="77777777" w:rsidTr="00942086">
        <w:trPr>
          <w:cantSplit/>
        </w:trPr>
        <w:tc>
          <w:tcPr>
            <w:tcW w:w="1871" w:type="dxa"/>
          </w:tcPr>
          <w:p w14:paraId="5DCE8EDB" w14:textId="77777777" w:rsidR="008A0EA8" w:rsidRDefault="008A0EA8" w:rsidP="00942086">
            <w:pPr>
              <w:pStyle w:val="TableSideHeading"/>
              <w:keepLines w:val="0"/>
            </w:pPr>
            <w:r>
              <w:rPr>
                <w:rFonts w:hint="cs"/>
                <w:rtl/>
              </w:rPr>
              <w:t xml:space="preserve">תיקון סעיף 34 </w:t>
            </w:r>
          </w:p>
        </w:tc>
        <w:tc>
          <w:tcPr>
            <w:tcW w:w="624" w:type="dxa"/>
          </w:tcPr>
          <w:p w14:paraId="584B406C" w14:textId="77777777" w:rsidR="008A0EA8" w:rsidRDefault="008A0EA8" w:rsidP="00942086">
            <w:pPr>
              <w:pStyle w:val="TableText"/>
              <w:keepLines w:val="0"/>
              <w:numPr>
                <w:ilvl w:val="0"/>
                <w:numId w:val="12"/>
              </w:numPr>
            </w:pPr>
          </w:p>
        </w:tc>
        <w:tc>
          <w:tcPr>
            <w:tcW w:w="7143" w:type="dxa"/>
            <w:gridSpan w:val="2"/>
          </w:tcPr>
          <w:p w14:paraId="59F35968" w14:textId="77777777" w:rsidR="008A0EA8" w:rsidRPr="00C34DE2" w:rsidRDefault="008A0EA8" w:rsidP="00942086">
            <w:pPr>
              <w:pStyle w:val="TableBlock"/>
              <w:rPr>
                <w:rtl/>
              </w:rPr>
            </w:pPr>
            <w:r>
              <w:rPr>
                <w:rFonts w:hint="cs"/>
                <w:rtl/>
              </w:rPr>
              <w:t>בחוק נכסים של נספי השואה (השבה ליורשים והקדשה למטרות סיוע),  התשס"ו</w:t>
            </w:r>
            <w:r>
              <w:rPr>
                <w:rtl/>
              </w:rPr>
              <w:t>–</w:t>
            </w:r>
            <w:r>
              <w:rPr>
                <w:rtl/>
              </w:rPr>
              <w:softHyphen/>
            </w:r>
            <w:r>
              <w:rPr>
                <w:rFonts w:hint="cs"/>
                <w:rtl/>
              </w:rPr>
              <w:t>2006</w:t>
            </w:r>
            <w:r>
              <w:rPr>
                <w:rStyle w:val="a6"/>
                <w:rtl/>
              </w:rPr>
              <w:footnoteReference w:id="2"/>
            </w:r>
            <w:r>
              <w:rPr>
                <w:rFonts w:hint="cs"/>
                <w:rtl/>
              </w:rPr>
              <w:t xml:space="preserve"> (להלן </w:t>
            </w:r>
            <w:r>
              <w:rPr>
                <w:rtl/>
              </w:rPr>
              <w:t>–</w:t>
            </w:r>
            <w:r>
              <w:rPr>
                <w:rFonts w:hint="cs"/>
                <w:rtl/>
              </w:rPr>
              <w:t xml:space="preserve"> החוק העיקרי), בסעיף 34, אחרי סעיף קטן (ב3) יבוא: </w:t>
            </w:r>
          </w:p>
        </w:tc>
      </w:tr>
      <w:tr w:rsidR="008A0EA8" w14:paraId="723F8932" w14:textId="77777777" w:rsidTr="00942086">
        <w:trPr>
          <w:cantSplit/>
        </w:trPr>
        <w:tc>
          <w:tcPr>
            <w:tcW w:w="1871" w:type="dxa"/>
          </w:tcPr>
          <w:p w14:paraId="5EEF1FF4" w14:textId="77777777" w:rsidR="008A0EA8" w:rsidRDefault="008A0EA8" w:rsidP="00942086">
            <w:pPr>
              <w:pStyle w:val="TableSideHeading"/>
            </w:pPr>
          </w:p>
        </w:tc>
        <w:tc>
          <w:tcPr>
            <w:tcW w:w="624" w:type="dxa"/>
          </w:tcPr>
          <w:p w14:paraId="16A9CD2D" w14:textId="77777777" w:rsidR="008A0EA8" w:rsidRDefault="008A0EA8" w:rsidP="00942086">
            <w:pPr>
              <w:pStyle w:val="TableText"/>
            </w:pPr>
          </w:p>
        </w:tc>
        <w:tc>
          <w:tcPr>
            <w:tcW w:w="7143" w:type="dxa"/>
            <w:gridSpan w:val="2"/>
          </w:tcPr>
          <w:p w14:paraId="0B3102A7" w14:textId="77777777" w:rsidR="008A0EA8" w:rsidRDefault="008A0EA8" w:rsidP="00942086">
            <w:pPr>
              <w:pStyle w:val="TableBlock"/>
            </w:pPr>
            <w:r>
              <w:rPr>
                <w:rFonts w:hint="cs"/>
                <w:rtl/>
              </w:rPr>
              <w:t>"(ב4)</w:t>
            </w:r>
            <w:r>
              <w:rPr>
                <w:rtl/>
              </w:rPr>
              <w:tab/>
            </w:r>
            <w:r>
              <w:rPr>
                <w:rFonts w:hint="cs"/>
                <w:rtl/>
              </w:rPr>
              <w:t>העבירה החברה כספים לכל ניצול כאמור בסעיף קטן (ב2), בסכום הנמוך מ-2,700 שקלים חדשים לכל ניצול ברבעון, תעביר המדינה באמצעות משרד האוצר, לכל ניצול, סכום שביחד עם הסכום שהעבירה החברה, לא יפחת מ-2,700 שקלים חדשים לרבעון; ההעברה תבוצע ב-1 לחודש העוקב לחודש הראשון בכל רבעון בו לא העבירה החברה לכל ניצול, את סכום הכסף כאמור במלואו."</w:t>
            </w:r>
          </w:p>
        </w:tc>
      </w:tr>
      <w:tr w:rsidR="008A0EA8" w14:paraId="31CFD47C" w14:textId="77777777" w:rsidTr="00942086">
        <w:trPr>
          <w:cantSplit/>
        </w:trPr>
        <w:tc>
          <w:tcPr>
            <w:tcW w:w="1871" w:type="dxa"/>
          </w:tcPr>
          <w:p w14:paraId="0A7F3CC7" w14:textId="77777777" w:rsidR="008A0EA8" w:rsidRDefault="008A0EA8" w:rsidP="00942086">
            <w:pPr>
              <w:pStyle w:val="TableSideHeading"/>
              <w:keepLines w:val="0"/>
              <w:rPr>
                <w:rtl/>
              </w:rPr>
            </w:pPr>
            <w:r>
              <w:rPr>
                <w:rFonts w:hint="cs"/>
                <w:rtl/>
              </w:rPr>
              <w:t>תיקון סעיף 64</w:t>
            </w:r>
          </w:p>
        </w:tc>
        <w:tc>
          <w:tcPr>
            <w:tcW w:w="624" w:type="dxa"/>
          </w:tcPr>
          <w:p w14:paraId="4E4B4A46" w14:textId="77777777" w:rsidR="008A0EA8" w:rsidRDefault="008A0EA8" w:rsidP="00942086">
            <w:pPr>
              <w:pStyle w:val="TableText"/>
            </w:pPr>
            <w:r>
              <w:rPr>
                <w:rFonts w:hint="cs"/>
                <w:rtl/>
              </w:rPr>
              <w:t>2.</w:t>
            </w:r>
          </w:p>
        </w:tc>
        <w:tc>
          <w:tcPr>
            <w:tcW w:w="7143" w:type="dxa"/>
            <w:gridSpan w:val="2"/>
          </w:tcPr>
          <w:p w14:paraId="396D512C" w14:textId="782B89AF" w:rsidR="008A0EA8" w:rsidRDefault="00D54494" w:rsidP="00942086">
            <w:pPr>
              <w:pStyle w:val="TableBlock"/>
              <w:rPr>
                <w:rtl/>
              </w:rPr>
            </w:pPr>
            <w:r>
              <w:rPr>
                <w:rFonts w:hint="cs"/>
                <w:rtl/>
              </w:rPr>
              <w:t>בסעיף 64</w:t>
            </w:r>
            <w:r w:rsidR="008A0EA8">
              <w:rPr>
                <w:rFonts w:hint="cs"/>
                <w:rtl/>
              </w:rPr>
              <w:t xml:space="preserve">(ג1) לחוק העיקרי </w:t>
            </w:r>
            <w:r w:rsidR="008A0EA8">
              <w:rPr>
                <w:rtl/>
              </w:rPr>
              <w:t>–</w:t>
            </w:r>
            <w:r w:rsidR="008A0EA8">
              <w:rPr>
                <w:rFonts w:hint="cs"/>
                <w:rtl/>
              </w:rPr>
              <w:t xml:space="preserve"> </w:t>
            </w:r>
          </w:p>
        </w:tc>
      </w:tr>
      <w:tr w:rsidR="008A0EA8" w14:paraId="66DC0509" w14:textId="77777777" w:rsidTr="00942086">
        <w:trPr>
          <w:cantSplit/>
        </w:trPr>
        <w:tc>
          <w:tcPr>
            <w:tcW w:w="1871" w:type="dxa"/>
          </w:tcPr>
          <w:p w14:paraId="0D17682D" w14:textId="77777777" w:rsidR="008A0EA8" w:rsidRDefault="008A0EA8" w:rsidP="00942086">
            <w:pPr>
              <w:pStyle w:val="TableSideHeading"/>
              <w:keepLines w:val="0"/>
              <w:rPr>
                <w:rtl/>
              </w:rPr>
            </w:pPr>
          </w:p>
        </w:tc>
        <w:tc>
          <w:tcPr>
            <w:tcW w:w="624" w:type="dxa"/>
          </w:tcPr>
          <w:p w14:paraId="560432A1" w14:textId="77777777" w:rsidR="008A0EA8" w:rsidRDefault="008A0EA8" w:rsidP="00942086">
            <w:pPr>
              <w:pStyle w:val="TableText"/>
              <w:rPr>
                <w:rtl/>
              </w:rPr>
            </w:pPr>
          </w:p>
        </w:tc>
        <w:tc>
          <w:tcPr>
            <w:tcW w:w="7143" w:type="dxa"/>
            <w:gridSpan w:val="2"/>
          </w:tcPr>
          <w:p w14:paraId="7A1731BC" w14:textId="77503414" w:rsidR="008A0EA8" w:rsidRDefault="008A0EA8" w:rsidP="00D54494">
            <w:pPr>
              <w:pStyle w:val="TableBlock"/>
              <w:rPr>
                <w:rtl/>
              </w:rPr>
            </w:pPr>
            <w:r>
              <w:rPr>
                <w:rFonts w:hint="cs"/>
                <w:rtl/>
              </w:rPr>
              <w:t>(1)</w:t>
            </w:r>
            <w:r>
              <w:rPr>
                <w:rtl/>
              </w:rPr>
              <w:tab/>
              <w:t xml:space="preserve">האמור בו יסומן </w:t>
            </w:r>
            <w:r w:rsidR="00D54494">
              <w:rPr>
                <w:rFonts w:hint="cs"/>
                <w:rtl/>
              </w:rPr>
              <w:t xml:space="preserve">כפסקה </w:t>
            </w:r>
            <w:r>
              <w:rPr>
                <w:rtl/>
              </w:rPr>
              <w:t>(1)</w:t>
            </w:r>
            <w:r>
              <w:rPr>
                <w:rFonts w:hint="cs"/>
                <w:rtl/>
              </w:rPr>
              <w:t xml:space="preserve">, </w:t>
            </w:r>
            <w:r w:rsidRPr="0094705B">
              <w:rPr>
                <w:rtl/>
              </w:rPr>
              <w:t>אחרי "לפי סעיפים קטנים (ב)(4) ו-(5) ו-(ג)" יבוא "</w:t>
            </w:r>
            <w:r>
              <w:rPr>
                <w:rFonts w:hint="cs"/>
                <w:rtl/>
              </w:rPr>
              <w:t>ובלבד ש</w:t>
            </w:r>
            <w:r>
              <w:rPr>
                <w:rtl/>
              </w:rPr>
              <w:t>ב-1 לחודש של כל תחילת רבעון יועבר</w:t>
            </w:r>
            <w:r>
              <w:rPr>
                <w:rFonts w:hint="cs"/>
                <w:rtl/>
              </w:rPr>
              <w:t>ו כספים בסכום של</w:t>
            </w:r>
            <w:r w:rsidRPr="0094705B">
              <w:rPr>
                <w:rtl/>
              </w:rPr>
              <w:t xml:space="preserve"> לפחות 2,700 שקלים חדשים ישירות לחשבונות הבנק הרשומים על</w:t>
            </w:r>
            <w:r>
              <w:rPr>
                <w:rtl/>
              </w:rPr>
              <w:t xml:space="preserve"> שמם של ניצולי שואה הזקוקים לכך</w:t>
            </w:r>
            <w:r w:rsidRPr="0094705B">
              <w:rPr>
                <w:rtl/>
              </w:rPr>
              <w:t>"</w:t>
            </w:r>
            <w:r>
              <w:rPr>
                <w:rFonts w:hint="cs"/>
                <w:rtl/>
              </w:rPr>
              <w:t xml:space="preserve">, והסיפה החל במילים "ואולם לא ישמשו הנכסים" </w:t>
            </w:r>
            <w:r>
              <w:rPr>
                <w:rtl/>
              </w:rPr>
              <w:t>–</w:t>
            </w:r>
            <w:r>
              <w:rPr>
                <w:rFonts w:hint="cs"/>
                <w:rtl/>
              </w:rPr>
              <w:t xml:space="preserve"> תימחק;</w:t>
            </w:r>
          </w:p>
        </w:tc>
      </w:tr>
      <w:tr w:rsidR="008A0EA8" w14:paraId="0B5B5F4E" w14:textId="77777777" w:rsidTr="00942086">
        <w:trPr>
          <w:cantSplit/>
        </w:trPr>
        <w:tc>
          <w:tcPr>
            <w:tcW w:w="1871" w:type="dxa"/>
          </w:tcPr>
          <w:p w14:paraId="21BA2155" w14:textId="77777777" w:rsidR="008A0EA8" w:rsidRDefault="008A0EA8" w:rsidP="00942086">
            <w:pPr>
              <w:pStyle w:val="TableSideHeading"/>
              <w:keepLines w:val="0"/>
              <w:rPr>
                <w:rtl/>
              </w:rPr>
            </w:pPr>
          </w:p>
        </w:tc>
        <w:tc>
          <w:tcPr>
            <w:tcW w:w="624" w:type="dxa"/>
          </w:tcPr>
          <w:p w14:paraId="7C9D8567" w14:textId="77777777" w:rsidR="008A0EA8" w:rsidRDefault="008A0EA8" w:rsidP="00942086">
            <w:pPr>
              <w:pStyle w:val="TableText"/>
              <w:rPr>
                <w:rtl/>
              </w:rPr>
            </w:pPr>
          </w:p>
        </w:tc>
        <w:tc>
          <w:tcPr>
            <w:tcW w:w="7143" w:type="dxa"/>
            <w:gridSpan w:val="2"/>
          </w:tcPr>
          <w:p w14:paraId="4213C438" w14:textId="407783D0" w:rsidR="008A0EA8" w:rsidRDefault="008A0EA8" w:rsidP="00942086">
            <w:pPr>
              <w:pStyle w:val="TableBlock"/>
              <w:rPr>
                <w:rtl/>
              </w:rPr>
            </w:pPr>
            <w:r>
              <w:rPr>
                <w:rFonts w:hint="cs"/>
                <w:rtl/>
              </w:rPr>
              <w:t>(2)</w:t>
            </w:r>
            <w:r>
              <w:rPr>
                <w:rtl/>
              </w:rPr>
              <w:tab/>
            </w:r>
            <w:r w:rsidR="00D54494">
              <w:rPr>
                <w:rtl/>
              </w:rPr>
              <w:t>אחרי פסקה (1) יבוא</w:t>
            </w:r>
            <w:r w:rsidR="00D54494">
              <w:rPr>
                <w:rFonts w:hint="cs"/>
                <w:rtl/>
              </w:rPr>
              <w:t>:</w:t>
            </w:r>
          </w:p>
        </w:tc>
      </w:tr>
      <w:tr w:rsidR="008A0EA8" w14:paraId="4F275218" w14:textId="77777777" w:rsidTr="00942086">
        <w:trPr>
          <w:cantSplit/>
        </w:trPr>
        <w:tc>
          <w:tcPr>
            <w:tcW w:w="1871" w:type="dxa"/>
          </w:tcPr>
          <w:p w14:paraId="4B63E756" w14:textId="77777777" w:rsidR="008A0EA8" w:rsidRDefault="008A0EA8" w:rsidP="00942086">
            <w:pPr>
              <w:pStyle w:val="TableSideHeading"/>
            </w:pPr>
          </w:p>
        </w:tc>
        <w:tc>
          <w:tcPr>
            <w:tcW w:w="624" w:type="dxa"/>
          </w:tcPr>
          <w:p w14:paraId="52AEAA54" w14:textId="77777777" w:rsidR="008A0EA8" w:rsidRDefault="008A0EA8" w:rsidP="00942086">
            <w:pPr>
              <w:pStyle w:val="TableText"/>
            </w:pPr>
          </w:p>
        </w:tc>
        <w:tc>
          <w:tcPr>
            <w:tcW w:w="624" w:type="dxa"/>
          </w:tcPr>
          <w:p w14:paraId="11C93B6D" w14:textId="77777777" w:rsidR="008A0EA8" w:rsidRDefault="008A0EA8" w:rsidP="00942086">
            <w:pPr>
              <w:pStyle w:val="TableText"/>
            </w:pPr>
          </w:p>
        </w:tc>
        <w:tc>
          <w:tcPr>
            <w:tcW w:w="6519" w:type="dxa"/>
          </w:tcPr>
          <w:p w14:paraId="6FF96F14" w14:textId="77777777" w:rsidR="008A0EA8" w:rsidRDefault="008A0EA8" w:rsidP="00942086">
            <w:pPr>
              <w:pStyle w:val="TableBlock"/>
            </w:pPr>
            <w:r>
              <w:rPr>
                <w:rFonts w:hint="cs"/>
                <w:rtl/>
              </w:rPr>
              <w:t>"(</w:t>
            </w:r>
            <w:r w:rsidRPr="00EA1B44">
              <w:rPr>
                <w:rtl/>
              </w:rPr>
              <w:t>2)</w:t>
            </w:r>
            <w:r w:rsidRPr="00EA1B44">
              <w:rPr>
                <w:rtl/>
              </w:rPr>
              <w:tab/>
              <w:t>הנכסים האמורים בפסקה (1) לא ישמשו לתשלום גמלה או קצבה שמגיעה בדין לניצולי השואה מהמדינה או לתשלום מענק אחד מהמדינה שניתנו לניצולי השואה במועד מוקדם יותר;</w:t>
            </w:r>
          </w:p>
        </w:tc>
      </w:tr>
      <w:tr w:rsidR="008A0EA8" w14:paraId="2E25CE4E" w14:textId="77777777" w:rsidTr="00942086">
        <w:trPr>
          <w:cantSplit/>
        </w:trPr>
        <w:tc>
          <w:tcPr>
            <w:tcW w:w="1871" w:type="dxa"/>
          </w:tcPr>
          <w:p w14:paraId="32853810" w14:textId="77777777" w:rsidR="008A0EA8" w:rsidRDefault="008A0EA8" w:rsidP="00942086">
            <w:pPr>
              <w:pStyle w:val="TableSideHeading"/>
            </w:pPr>
          </w:p>
        </w:tc>
        <w:tc>
          <w:tcPr>
            <w:tcW w:w="624" w:type="dxa"/>
          </w:tcPr>
          <w:p w14:paraId="3BC49362" w14:textId="77777777" w:rsidR="008A0EA8" w:rsidRDefault="008A0EA8" w:rsidP="00942086">
            <w:pPr>
              <w:pStyle w:val="TableText"/>
            </w:pPr>
          </w:p>
        </w:tc>
        <w:tc>
          <w:tcPr>
            <w:tcW w:w="624" w:type="dxa"/>
          </w:tcPr>
          <w:p w14:paraId="7F56DAB5" w14:textId="77777777" w:rsidR="008A0EA8" w:rsidRDefault="008A0EA8" w:rsidP="00942086">
            <w:pPr>
              <w:pStyle w:val="TableText"/>
            </w:pPr>
          </w:p>
        </w:tc>
        <w:tc>
          <w:tcPr>
            <w:tcW w:w="6519" w:type="dxa"/>
          </w:tcPr>
          <w:p w14:paraId="4211563A" w14:textId="77777777" w:rsidR="008A0EA8" w:rsidRPr="00EA1B44" w:rsidRDefault="008A0EA8" w:rsidP="00942086">
            <w:pPr>
              <w:pStyle w:val="TableBlock"/>
              <w:rPr>
                <w:rtl/>
              </w:rPr>
            </w:pPr>
            <w:r w:rsidRPr="00EA1B44">
              <w:rPr>
                <w:rtl/>
              </w:rPr>
              <w:t>(3)</w:t>
            </w:r>
            <w:r w:rsidRPr="00EA1B44">
              <w:rPr>
                <w:rtl/>
              </w:rPr>
              <w:tab/>
              <w:t>לא הועברו הכספים לכל ניצול כאמור בפסקה (1) או הועברו כספים בסכום הנמוך מהסכום הקבוע בפסקה (1), תעביר המדינה</w:t>
            </w:r>
            <w:r>
              <w:rPr>
                <w:rtl/>
              </w:rPr>
              <w:t xml:space="preserve"> באמצעות משרד האוצר לכל ניצול, </w:t>
            </w:r>
            <w:r w:rsidRPr="00EA1B44">
              <w:rPr>
                <w:rtl/>
              </w:rPr>
              <w:t>כספים הדרושים להשלמת הסכום האמור; ההעברה תבוצע ב-1 לחודש העוקב לראשיתו של רבעון בו לא הועבר סכום הכסף האמור בפסקה</w:t>
            </w:r>
            <w:r>
              <w:rPr>
                <w:rtl/>
              </w:rPr>
              <w:t xml:space="preserve"> (1) בחלקו או במלואו; </w:t>
            </w:r>
          </w:p>
        </w:tc>
      </w:tr>
      <w:tr w:rsidR="008A0EA8" w14:paraId="584C2BBC" w14:textId="77777777" w:rsidTr="00942086">
        <w:trPr>
          <w:cantSplit/>
        </w:trPr>
        <w:tc>
          <w:tcPr>
            <w:tcW w:w="1871" w:type="dxa"/>
          </w:tcPr>
          <w:p w14:paraId="7B685B00" w14:textId="77777777" w:rsidR="008A0EA8" w:rsidRDefault="008A0EA8" w:rsidP="00942086">
            <w:pPr>
              <w:pStyle w:val="TableSideHeading"/>
            </w:pPr>
          </w:p>
        </w:tc>
        <w:tc>
          <w:tcPr>
            <w:tcW w:w="624" w:type="dxa"/>
          </w:tcPr>
          <w:p w14:paraId="6D7818F1" w14:textId="77777777" w:rsidR="008A0EA8" w:rsidRDefault="008A0EA8" w:rsidP="00942086">
            <w:pPr>
              <w:pStyle w:val="TableText"/>
            </w:pPr>
          </w:p>
        </w:tc>
        <w:tc>
          <w:tcPr>
            <w:tcW w:w="624" w:type="dxa"/>
          </w:tcPr>
          <w:p w14:paraId="3361BED3" w14:textId="77777777" w:rsidR="008A0EA8" w:rsidRDefault="008A0EA8" w:rsidP="00942086">
            <w:pPr>
              <w:pStyle w:val="TableText"/>
            </w:pPr>
          </w:p>
        </w:tc>
        <w:tc>
          <w:tcPr>
            <w:tcW w:w="6519" w:type="dxa"/>
          </w:tcPr>
          <w:p w14:paraId="47E2866F" w14:textId="77777777" w:rsidR="008A0EA8" w:rsidRPr="00EA1B44" w:rsidRDefault="008A0EA8" w:rsidP="00942086">
            <w:pPr>
              <w:pStyle w:val="TableBlock"/>
              <w:rPr>
                <w:rtl/>
              </w:rPr>
            </w:pPr>
            <w:r w:rsidRPr="00EA1B44">
              <w:rPr>
                <w:rtl/>
              </w:rPr>
              <w:t>(4)</w:t>
            </w:r>
            <w:r w:rsidRPr="00EA1B44">
              <w:rPr>
                <w:rtl/>
              </w:rPr>
              <w:tab/>
              <w:t>נותרו נכסים לאחר סיום חלוקתם, בהתאם לסעיף 64(ג1), תהיה המדינה זכאית להשבה של הכספים שהעבירה באמצעות האוצר בהתאם לסעיפים 34</w:t>
            </w:r>
            <w:r>
              <w:rPr>
                <w:rFonts w:hint="cs"/>
                <w:rtl/>
              </w:rPr>
              <w:t>(ב4)</w:t>
            </w:r>
            <w:r w:rsidRPr="00EA1B44">
              <w:rPr>
                <w:rtl/>
              </w:rPr>
              <w:t xml:space="preserve"> ו-64(ג1)."</w:t>
            </w:r>
          </w:p>
        </w:tc>
      </w:tr>
    </w:tbl>
    <w:p w14:paraId="7D36BC36" w14:textId="77777777" w:rsidR="008A0EA8" w:rsidRDefault="008A0EA8" w:rsidP="008A0EA8">
      <w:pPr>
        <w:pStyle w:val="HeadDivreiHesber"/>
        <w:rPr>
          <w:rtl/>
        </w:rPr>
      </w:pPr>
      <w:r w:rsidRPr="0027450A">
        <w:rPr>
          <w:rFonts w:hint="cs"/>
          <w:rtl/>
        </w:rPr>
        <w:t>דברי הסבר</w:t>
      </w:r>
    </w:p>
    <w:p w14:paraId="37DF598E" w14:textId="0CE277B8" w:rsidR="008A0EA8" w:rsidRPr="00134811" w:rsidRDefault="008A0EA8" w:rsidP="00D54494">
      <w:pPr>
        <w:pStyle w:val="Hesber"/>
        <w:rPr>
          <w:rtl/>
        </w:rPr>
      </w:pPr>
      <w:r w:rsidRPr="00134811">
        <w:rPr>
          <w:rFonts w:hint="cs"/>
          <w:rtl/>
        </w:rPr>
        <w:t>חוק נכסים של נספי השואה (השבה ליורשים והקדשה למטרות סיוע והנצחה), התשס"ו</w:t>
      </w:r>
      <w:r w:rsidR="00D54494">
        <w:rPr>
          <w:rFonts w:hint="eastAsia"/>
          <w:rtl/>
        </w:rPr>
        <w:t>–</w:t>
      </w:r>
      <w:r w:rsidRPr="00134811">
        <w:rPr>
          <w:rFonts w:hint="cs"/>
          <w:rtl/>
        </w:rPr>
        <w:t xml:space="preserve">2006 (להלן </w:t>
      </w:r>
      <w:r w:rsidRPr="00134811">
        <w:rPr>
          <w:rtl/>
        </w:rPr>
        <w:t>–</w:t>
      </w:r>
      <w:r w:rsidRPr="00134811">
        <w:rPr>
          <w:rFonts w:hint="cs"/>
          <w:rtl/>
        </w:rPr>
        <w:t xml:space="preserve"> החוק), פורסם ונכנס לתוקף ביום 3 בינואר 2006. החוק נחקק במטרה </w:t>
      </w:r>
      <w:r w:rsidRPr="00134811">
        <w:rPr>
          <w:rtl/>
        </w:rPr>
        <w:t>ל</w:t>
      </w:r>
      <w:r w:rsidRPr="00134811">
        <w:rPr>
          <w:rFonts w:hint="cs"/>
          <w:rtl/>
        </w:rPr>
        <w:t>הגביר את</w:t>
      </w:r>
      <w:r w:rsidRPr="00134811">
        <w:rPr>
          <w:rtl/>
        </w:rPr>
        <w:t xml:space="preserve"> הפעולות להשבת נכסים של נספי השואה </w:t>
      </w:r>
      <w:r w:rsidRPr="00134811">
        <w:rPr>
          <w:rFonts w:hint="cs"/>
          <w:rtl/>
        </w:rPr>
        <w:t>ליורשיהם</w:t>
      </w:r>
      <w:r w:rsidRPr="00134811">
        <w:rPr>
          <w:rtl/>
        </w:rPr>
        <w:t xml:space="preserve"> בישראל</w:t>
      </w:r>
      <w:r w:rsidRPr="00134811">
        <w:rPr>
          <w:rFonts w:hint="cs"/>
          <w:rtl/>
        </w:rPr>
        <w:t xml:space="preserve">, </w:t>
      </w:r>
      <w:r w:rsidRPr="00134811">
        <w:rPr>
          <w:rtl/>
        </w:rPr>
        <w:t xml:space="preserve">באמצעות </w:t>
      </w:r>
      <w:r w:rsidRPr="00134811">
        <w:rPr>
          <w:rFonts w:hint="cs"/>
          <w:rtl/>
        </w:rPr>
        <w:t xml:space="preserve">הקמת </w:t>
      </w:r>
      <w:r w:rsidRPr="00134811">
        <w:rPr>
          <w:rtl/>
        </w:rPr>
        <w:t>חברה</w:t>
      </w:r>
      <w:r w:rsidRPr="00134811">
        <w:rPr>
          <w:rFonts w:hint="cs"/>
          <w:rtl/>
        </w:rPr>
        <w:t xml:space="preserve"> בעלת הסמכות להחזיק ב</w:t>
      </w:r>
      <w:r w:rsidRPr="00134811">
        <w:rPr>
          <w:rtl/>
        </w:rPr>
        <w:t xml:space="preserve">נכסים של נספי השואה ואשר עליה </w:t>
      </w:r>
      <w:r w:rsidRPr="00134811">
        <w:rPr>
          <w:rFonts w:hint="cs"/>
          <w:rtl/>
        </w:rPr>
        <w:t>ה</w:t>
      </w:r>
      <w:r w:rsidRPr="00134811">
        <w:rPr>
          <w:rtl/>
        </w:rPr>
        <w:t>וטל ליזום ולבצע פעולות לאיתור נכסים</w:t>
      </w:r>
      <w:r w:rsidRPr="00134811">
        <w:rPr>
          <w:rFonts w:hint="cs"/>
          <w:rtl/>
        </w:rPr>
        <w:t xml:space="preserve"> ויורשים (להלן </w:t>
      </w:r>
      <w:r w:rsidRPr="00134811">
        <w:rPr>
          <w:rtl/>
        </w:rPr>
        <w:t>–</w:t>
      </w:r>
      <w:r w:rsidRPr="00134811">
        <w:rPr>
          <w:rFonts w:hint="cs"/>
          <w:rtl/>
        </w:rPr>
        <w:t xml:space="preserve"> החברה). בנוסף החוק קובע כי במקרה </w:t>
      </w:r>
      <w:r w:rsidR="00D54494">
        <w:rPr>
          <w:rFonts w:hint="cs"/>
          <w:rtl/>
        </w:rPr>
        <w:t>ש</w:t>
      </w:r>
      <w:r w:rsidRPr="00134811">
        <w:rPr>
          <w:rFonts w:hint="cs"/>
          <w:rtl/>
        </w:rPr>
        <w:t xml:space="preserve">בו החברה אינה מצליחה לאתר את היורשים החוקיים של נכס, </w:t>
      </w:r>
      <w:r w:rsidR="00D54494">
        <w:rPr>
          <w:rFonts w:hint="cs"/>
          <w:rtl/>
        </w:rPr>
        <w:t>היא</w:t>
      </w:r>
      <w:r w:rsidRPr="00134811">
        <w:rPr>
          <w:rFonts w:hint="cs"/>
          <w:rtl/>
        </w:rPr>
        <w:t xml:space="preserve"> תשתמש ב</w:t>
      </w:r>
      <w:r w:rsidRPr="00134811">
        <w:rPr>
          <w:rtl/>
        </w:rPr>
        <w:t>נכס</w:t>
      </w:r>
      <w:r w:rsidRPr="00134811">
        <w:rPr>
          <w:rFonts w:hint="cs"/>
          <w:rtl/>
        </w:rPr>
        <w:t>ים שאספה</w:t>
      </w:r>
      <w:r w:rsidRPr="00134811">
        <w:rPr>
          <w:rtl/>
        </w:rPr>
        <w:t xml:space="preserve"> ל</w:t>
      </w:r>
      <w:r w:rsidRPr="00134811">
        <w:rPr>
          <w:rFonts w:hint="cs"/>
          <w:rtl/>
        </w:rPr>
        <w:t xml:space="preserve">שם </w:t>
      </w:r>
      <w:r w:rsidRPr="00134811">
        <w:rPr>
          <w:rtl/>
        </w:rPr>
        <w:t xml:space="preserve">סיוע לניצולי שואה החיים בישראל </w:t>
      </w:r>
      <w:r w:rsidRPr="00134811">
        <w:rPr>
          <w:rFonts w:hint="cs"/>
          <w:rtl/>
        </w:rPr>
        <w:t xml:space="preserve">וזקוקים לכך ולמטרות הנצחה. בפועל ניתן סיוע שנתי לכ-10,000 ניצולי השואה הנזקקים ביותר. </w:t>
      </w:r>
    </w:p>
    <w:p w14:paraId="0E7B72D5" w14:textId="0FCD955D" w:rsidR="008A0EA8" w:rsidRPr="00134811" w:rsidRDefault="008A0EA8" w:rsidP="00D54494">
      <w:pPr>
        <w:pStyle w:val="Hesber"/>
        <w:rPr>
          <w:rtl/>
        </w:rPr>
      </w:pPr>
      <w:r w:rsidRPr="00134811">
        <w:rPr>
          <w:rFonts w:hint="cs"/>
          <w:rtl/>
        </w:rPr>
        <w:t xml:space="preserve">בשנת 2014 תוקן החוק ונקבע בו, בסעיף 34, כי החברה תקצה מדי שנה 135 מיליון </w:t>
      </w:r>
      <w:r w:rsidR="00D54494">
        <w:rPr>
          <w:rFonts w:hint="cs"/>
          <w:rtl/>
        </w:rPr>
        <w:t>שקלים חדשים</w:t>
      </w:r>
      <w:r w:rsidRPr="00134811">
        <w:rPr>
          <w:rFonts w:hint="cs"/>
          <w:rtl/>
        </w:rPr>
        <w:t xml:space="preserve"> לסיוע לניצולי השואה הזקוקים לכך, וכן נקבע כי 75% לפחות מהסכום יוקצה באמצעות העברה ישירה לחשבונות הבנק של הניצולים. כן תוקנו ההוראות הנוגעות לסיום חייה של החברה לאיתור ולהשבה ונקבע כי החברה תסיים את פעילותה ביום </w:t>
      </w:r>
      <w:r w:rsidR="00D54494">
        <w:rPr>
          <w:rFonts w:hint="cs"/>
          <w:rtl/>
        </w:rPr>
        <w:t>31 בדצמבר 2017</w:t>
      </w:r>
      <w:r w:rsidRPr="00134811">
        <w:rPr>
          <w:rFonts w:hint="cs"/>
          <w:rtl/>
        </w:rPr>
        <w:t xml:space="preserve">, כאמור בסעיף 60 לחוק. עוד נקבע כי הנכסים אשר יוותרו בידי החברה יעברו לאפוטרופוס הכללי, אשר ימשיך בפעילות איתור היורשים, כאמור בסעיף 64 לחוק. </w:t>
      </w:r>
    </w:p>
    <w:p w14:paraId="30F10B7A" w14:textId="77777777" w:rsidR="008A0EA8" w:rsidRPr="00134811" w:rsidRDefault="008A0EA8" w:rsidP="008A0EA8">
      <w:pPr>
        <w:pStyle w:val="Hesber"/>
        <w:rPr>
          <w:rtl/>
        </w:rPr>
      </w:pPr>
      <w:r w:rsidRPr="00134811">
        <w:rPr>
          <w:rFonts w:hint="cs"/>
          <w:rtl/>
        </w:rPr>
        <w:t xml:space="preserve">מאז שנת 2015 הפסיקה החברה לאיתור ולהשבת נכסים של נספי השואה להעביר לניצולים את קצבת הסיוע הרבעוני בשל קשיי נזילות. החברה גם אינה מממשת נכסים שבידיה, מאחר שלעמדתה, נכסים אלו אינם יכולים להימכר בערכם המלא. בעקבות הפסקת הקצבאות, נעשו מאמצים רבים בוועדות הכנסת להשיג מקורות מימון לניצולי וניצולות השואה, ובערב פסח התשע"ו הודיע שר האוצר שמשרד האוצר יעביר את הקצבה לניצולי וניצולות השואה. </w:t>
      </w:r>
    </w:p>
    <w:p w14:paraId="7F6961CB" w14:textId="63969441" w:rsidR="00E13C27" w:rsidRDefault="008A0EA8" w:rsidP="00D54494">
      <w:pPr>
        <w:pStyle w:val="Hesber"/>
        <w:rPr>
          <w:rtl/>
        </w:rPr>
      </w:pPr>
      <w:r w:rsidRPr="00134811">
        <w:rPr>
          <w:rFonts w:hint="cs"/>
          <w:rtl/>
        </w:rPr>
        <w:t xml:space="preserve">הואיל ופתרון נקודתי אינו מספק, נדרש לייצר פתרון קבע שימנע את הפגיעה בניצולי השואה הנזקקים ביותר, הנמצאים בעוני שפוגע בכבודן וכבודם כבני ובנות אדם, ויפתור את הקושי התזרימי שמוביל לכך שניצולי שואה מסיימים את חייהם מדי יום בעוני מחפיר. לפיכך מוצע לקבוע כי במקרה בו החברה לאיתור ולהשבת נכסים או האפוטרופוס הכללי, לפי העניין, אינם משלמים את הסכום הרבעוני, </w:t>
      </w:r>
      <w:r w:rsidR="007B44D1">
        <w:rPr>
          <w:rFonts w:hint="cs"/>
          <w:rtl/>
        </w:rPr>
        <w:t>המדינה באמצעות משרד האוצר ת</w:t>
      </w:r>
      <w:r w:rsidRPr="00134811">
        <w:rPr>
          <w:rFonts w:hint="cs"/>
          <w:rtl/>
        </w:rPr>
        <w:t>היה אחראי</w:t>
      </w:r>
      <w:r w:rsidR="007B44D1">
        <w:rPr>
          <w:rFonts w:hint="cs"/>
          <w:rtl/>
        </w:rPr>
        <w:t>ת</w:t>
      </w:r>
      <w:r w:rsidRPr="00134811">
        <w:rPr>
          <w:rFonts w:hint="cs"/>
          <w:rtl/>
        </w:rPr>
        <w:t xml:space="preserve"> להעברת הקצבה לניצולי השואה הנזקקים לכך, </w:t>
      </w:r>
      <w:r w:rsidRPr="00134811">
        <w:rPr>
          <w:rFonts w:hint="cs"/>
          <w:rtl/>
        </w:rPr>
        <w:lastRenderedPageBreak/>
        <w:t xml:space="preserve">העומדים בתנאי הזכאות לקבלת קצבת סיוע, בסך 2,700 </w:t>
      </w:r>
      <w:r w:rsidR="00D54494">
        <w:rPr>
          <w:rFonts w:hint="cs"/>
          <w:rtl/>
        </w:rPr>
        <w:t>שקלים חדשים</w:t>
      </w:r>
      <w:r w:rsidRPr="00134811">
        <w:rPr>
          <w:rFonts w:hint="cs"/>
          <w:rtl/>
        </w:rPr>
        <w:t xml:space="preserve"> לרבעון. ההצעה </w:t>
      </w:r>
      <w:r w:rsidR="00D54494">
        <w:rPr>
          <w:rFonts w:hint="cs"/>
          <w:rtl/>
        </w:rPr>
        <w:t>היא</w:t>
      </w:r>
      <w:r w:rsidRPr="00134811">
        <w:rPr>
          <w:rFonts w:hint="cs"/>
          <w:rtl/>
        </w:rPr>
        <w:t xml:space="preserve"> גם פתרון ליום שבו תיסגר החברה להשבת נכסי נספי שואה בסוף 2017. עוד מוצע שככל שייוותרו בידי האפוטרופוס הכללי נכסים שלא יחולקו לניצולי שואה הנזקקים לכך, לאחר שאלו לא יהיו עוד בין החיים </w:t>
      </w:r>
      <w:r w:rsidRPr="00134811">
        <w:rPr>
          <w:rtl/>
        </w:rPr>
        <w:t>–</w:t>
      </w:r>
      <w:r w:rsidR="007B44D1">
        <w:rPr>
          <w:rFonts w:hint="cs"/>
          <w:rtl/>
        </w:rPr>
        <w:t xml:space="preserve"> תוכל המדינה לקבל בחזרה את הסכום שהועבר באמצעות משרד האוצר</w:t>
      </w:r>
      <w:r w:rsidRPr="00134811">
        <w:rPr>
          <w:rFonts w:hint="cs"/>
          <w:rtl/>
        </w:rPr>
        <w:t xml:space="preserve">, מאותם </w:t>
      </w:r>
      <w:r w:rsidR="007B44D1">
        <w:rPr>
          <w:rFonts w:hint="cs"/>
          <w:rtl/>
        </w:rPr>
        <w:t>ה</w:t>
      </w:r>
      <w:r w:rsidRPr="00134811">
        <w:rPr>
          <w:rFonts w:hint="cs"/>
          <w:rtl/>
        </w:rPr>
        <w:t>נכסים.</w:t>
      </w:r>
    </w:p>
    <w:p w14:paraId="39113121" w14:textId="77777777" w:rsidR="00D54494" w:rsidRDefault="00D54494" w:rsidP="00D54494">
      <w:pPr>
        <w:pStyle w:val="Hesber"/>
        <w:rPr>
          <w:rtl/>
        </w:rPr>
      </w:pPr>
    </w:p>
    <w:p w14:paraId="514FABD6" w14:textId="77777777" w:rsidR="00D54494" w:rsidRDefault="00D54494" w:rsidP="00D54494">
      <w:pPr>
        <w:pStyle w:val="Hesber"/>
        <w:rPr>
          <w:rtl/>
        </w:rPr>
      </w:pPr>
    </w:p>
    <w:p w14:paraId="78801345" w14:textId="77777777" w:rsidR="00D54494" w:rsidRDefault="00D54494" w:rsidP="00D54494">
      <w:pPr>
        <w:pStyle w:val="Hesber"/>
        <w:rPr>
          <w:rtl/>
        </w:rPr>
      </w:pPr>
      <w:bookmarkStart w:id="8" w:name="_GoBack"/>
      <w:bookmarkEnd w:id="8"/>
    </w:p>
    <w:p w14:paraId="7A88DB88" w14:textId="77777777" w:rsidR="00D54494" w:rsidRPr="00D73212" w:rsidRDefault="00D54494" w:rsidP="00D54494">
      <w:pPr>
        <w:pStyle w:val="Hesber"/>
        <w:rPr>
          <w:color w:val="auto"/>
          <w:rtl/>
          <w:lang w:eastAsia="en-US"/>
        </w:rPr>
      </w:pPr>
      <w:r w:rsidRPr="00D73212">
        <w:rPr>
          <w:color w:val="auto"/>
          <w:rtl/>
          <w:lang w:eastAsia="en-US"/>
        </w:rPr>
        <w:t>---------------------------------</w:t>
      </w:r>
    </w:p>
    <w:p w14:paraId="6F5AEBF6" w14:textId="77777777" w:rsidR="00D54494" w:rsidRPr="00D73212" w:rsidRDefault="00D54494" w:rsidP="00D5449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E1B2A71" w14:textId="77777777" w:rsidR="00D54494" w:rsidRPr="00D73212" w:rsidRDefault="00D54494" w:rsidP="00D5449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337DE15" w14:textId="77777777" w:rsidR="00D54494" w:rsidRPr="00317312" w:rsidRDefault="00D54494" w:rsidP="00D54494">
      <w:pPr>
        <w:pStyle w:val="Hesber"/>
      </w:pPr>
      <w:r>
        <w:rPr>
          <w:rFonts w:hint="cs"/>
          <w:color w:val="auto"/>
          <w:rtl/>
          <w:lang w:eastAsia="en-US"/>
        </w:rPr>
        <w:t>י"ד בסיוון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20.6</w:t>
      </w:r>
      <w:r w:rsidRPr="00D73212">
        <w:rPr>
          <w:color w:val="auto"/>
          <w:rtl/>
          <w:lang w:eastAsia="en-US"/>
        </w:rPr>
        <w:t>.1</w:t>
      </w:r>
      <w:r>
        <w:rPr>
          <w:rFonts w:hint="cs"/>
          <w:color w:val="auto"/>
          <w:rtl/>
          <w:lang w:eastAsia="en-US"/>
        </w:rPr>
        <w:t>6</w:t>
      </w:r>
    </w:p>
    <w:p w14:paraId="43E66B87" w14:textId="77777777" w:rsidR="00D54494" w:rsidRPr="00D54494" w:rsidRDefault="00D54494" w:rsidP="00D54494">
      <w:pPr>
        <w:pStyle w:val="Hesber"/>
        <w:rPr>
          <w:rtl/>
        </w:rPr>
      </w:pPr>
    </w:p>
    <w:p w14:paraId="1F32996C" w14:textId="77777777" w:rsidR="00D54494" w:rsidRPr="008A0EA8" w:rsidRDefault="00D54494" w:rsidP="00D54494">
      <w:pPr>
        <w:pStyle w:val="Hesber"/>
        <w:rPr>
          <w:rtl/>
        </w:rPr>
      </w:pPr>
    </w:p>
    <w:sectPr w:rsidR="00D54494" w:rsidRPr="008A0EA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DF7C40">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CA3A9FF" w14:textId="77777777" w:rsidR="008A0EA8" w:rsidRDefault="008A0EA8" w:rsidP="008A0EA8">
      <w:pPr>
        <w:pStyle w:val="a4"/>
        <w:rPr>
          <w:rtl/>
        </w:rPr>
      </w:pPr>
      <w:r>
        <w:rPr>
          <w:rStyle w:val="a6"/>
        </w:rPr>
        <w:footnoteRef/>
      </w:r>
      <w:r>
        <w:rPr>
          <w:rtl/>
        </w:rPr>
        <w:t xml:space="preserve"> </w:t>
      </w:r>
      <w:r>
        <w:rPr>
          <w:rFonts w:hint="cs"/>
          <w:rtl/>
        </w:rPr>
        <w:t>ס"ח התשס"ו, עמ' 202.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B44D1"/>
    <w:rsid w:val="007C3FA6"/>
    <w:rsid w:val="007D585A"/>
    <w:rsid w:val="007D5A12"/>
    <w:rsid w:val="007E59F9"/>
    <w:rsid w:val="008078D6"/>
    <w:rsid w:val="00810BCD"/>
    <w:rsid w:val="00812C98"/>
    <w:rsid w:val="00814D92"/>
    <w:rsid w:val="0083181D"/>
    <w:rsid w:val="00843EB2"/>
    <w:rsid w:val="00853571"/>
    <w:rsid w:val="00865572"/>
    <w:rsid w:val="00874BBC"/>
    <w:rsid w:val="00892135"/>
    <w:rsid w:val="00895449"/>
    <w:rsid w:val="00897879"/>
    <w:rsid w:val="008A0EA8"/>
    <w:rsid w:val="008A6870"/>
    <w:rsid w:val="008C2DDC"/>
    <w:rsid w:val="008C7516"/>
    <w:rsid w:val="008D1EA2"/>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4494"/>
    <w:rsid w:val="00D63620"/>
    <w:rsid w:val="00D8410D"/>
    <w:rsid w:val="00D867D7"/>
    <w:rsid w:val="00DB7060"/>
    <w:rsid w:val="00DE3153"/>
    <w:rsid w:val="00DF7C40"/>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A4A208B-AD43-4A2D-93C8-73B5230F3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5357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0ABAD-F6BB-44DC-8084-569DD7788228}"/>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0DA9F435-209C-4BB2-9778-97E16366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677</Words>
  <Characters>3386</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8</cp:revision>
  <cp:lastPrinted>2016-06-19T06:04:00Z</cp:lastPrinted>
  <dcterms:created xsi:type="dcterms:W3CDTF">2015-04-20T09:58:00Z</dcterms:created>
  <dcterms:modified xsi:type="dcterms:W3CDTF">2016-06-19T06:14:00Z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2017639</vt:r8>
  </property>
</Properties>
</file>