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D45" w:rsidRPr="007D6D45" w:rsidRDefault="007D6D45" w:rsidP="007D6D45">
      <w:pPr>
        <w:bidi w:val="0"/>
        <w:spacing w:after="120" w:line="360" w:lineRule="auto"/>
        <w:jc w:val="center"/>
        <w:rPr>
          <w:rFonts w:ascii="Calibri" w:eastAsia="Calibri" w:hAnsi="Calibri" w:cs="David"/>
          <w:b/>
          <w:bCs/>
          <w:sz w:val="24"/>
          <w:szCs w:val="24"/>
          <w:rtl/>
        </w:rPr>
      </w:pPr>
      <w:bookmarkStart w:id="0" w:name="_GoBack"/>
      <w:bookmarkEnd w:id="0"/>
      <w:r w:rsidRPr="007D6D45">
        <w:rPr>
          <w:rFonts w:ascii="Calibri" w:eastAsia="Calibri" w:hAnsi="Calibri" w:cs="David" w:hint="cs"/>
          <w:b/>
          <w:bCs/>
          <w:sz w:val="24"/>
          <w:szCs w:val="24"/>
          <w:rtl/>
        </w:rPr>
        <w:t>תקנות בתי המשפט (רשימת מגשרים), התשע"ו-2016</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בתוקף סמכותי לפי סעיפים 79ד(א) ו-109 לחוק בתי המשפט [נוסח משולב], התשמ"ד-1984</w:t>
      </w:r>
      <w:r w:rsidRPr="007D6D45">
        <w:rPr>
          <w:rFonts w:ascii="Calibri" w:eastAsia="Calibri" w:hAnsi="Calibri" w:cs="David"/>
          <w:sz w:val="24"/>
          <w:szCs w:val="24"/>
          <w:vertAlign w:val="superscript"/>
          <w:rtl/>
        </w:rPr>
        <w:footnoteReference w:id="1"/>
      </w:r>
      <w:r w:rsidRPr="007D6D45">
        <w:rPr>
          <w:rFonts w:ascii="Calibri" w:eastAsia="Calibri" w:hAnsi="Calibri" w:cs="David" w:hint="cs"/>
          <w:sz w:val="24"/>
          <w:szCs w:val="24"/>
          <w:rtl/>
        </w:rPr>
        <w:t xml:space="preserve">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החוק), וסעיף 26(א) לחוק בית המשפט לענייני משפחה, התשנ"ה-1995</w:t>
      </w:r>
      <w:r w:rsidRPr="007D6D45">
        <w:rPr>
          <w:rFonts w:ascii="Calibri" w:eastAsia="Calibri" w:hAnsi="Calibri" w:cs="David"/>
          <w:sz w:val="24"/>
          <w:szCs w:val="24"/>
          <w:vertAlign w:val="superscript"/>
          <w:rtl/>
        </w:rPr>
        <w:footnoteReference w:id="2"/>
      </w:r>
      <w:r w:rsidRPr="007D6D45">
        <w:rPr>
          <w:rFonts w:ascii="Calibri" w:eastAsia="Calibri" w:hAnsi="Calibri" w:cs="David" w:hint="cs"/>
          <w:sz w:val="24"/>
          <w:szCs w:val="24"/>
          <w:rtl/>
        </w:rPr>
        <w:t xml:space="preserve">  וסעיף 39 לחוק בית הדין לעבודה, תשכ"ט- </w:t>
      </w:r>
      <w:r w:rsidRPr="007D6D45">
        <w:rPr>
          <w:rFonts w:ascii="Calibri" w:eastAsia="Calibri" w:hAnsi="Calibri" w:cs="David"/>
          <w:sz w:val="24"/>
          <w:szCs w:val="24"/>
          <w:vertAlign w:val="superscript"/>
          <w:rtl/>
        </w:rPr>
        <w:footnoteReference w:id="3"/>
      </w:r>
      <w:r w:rsidRPr="007D6D45">
        <w:rPr>
          <w:rFonts w:ascii="Calibri" w:eastAsia="Calibri" w:hAnsi="Calibri" w:cs="David" w:hint="cs"/>
          <w:sz w:val="24"/>
          <w:szCs w:val="24"/>
          <w:rtl/>
        </w:rPr>
        <w:t xml:space="preserve">1969 ובאישור של שר האוצר לפי ס' 39ב לחוק יסודות התקציב, </w:t>
      </w:r>
      <w:proofErr w:type="spellStart"/>
      <w:r w:rsidRPr="007D6D45">
        <w:rPr>
          <w:rFonts w:ascii="Calibri" w:eastAsia="Calibri" w:hAnsi="Calibri" w:cs="David" w:hint="cs"/>
          <w:sz w:val="24"/>
          <w:szCs w:val="24"/>
          <w:rtl/>
        </w:rPr>
        <w:t>התשמ"ה</w:t>
      </w:r>
      <w:proofErr w:type="spellEnd"/>
      <w:r w:rsidRPr="007D6D45">
        <w:rPr>
          <w:rFonts w:ascii="Calibri" w:eastAsia="Calibri" w:hAnsi="Calibri" w:cs="David" w:hint="cs"/>
          <w:sz w:val="24"/>
          <w:szCs w:val="24"/>
          <w:rtl/>
        </w:rPr>
        <w:t>- 1985</w:t>
      </w:r>
      <w:r w:rsidRPr="007D6D45">
        <w:rPr>
          <w:rFonts w:ascii="Calibri" w:eastAsia="Calibri" w:hAnsi="Calibri" w:cs="David"/>
          <w:sz w:val="24"/>
          <w:szCs w:val="24"/>
          <w:vertAlign w:val="superscript"/>
          <w:rtl/>
        </w:rPr>
        <w:footnoteReference w:id="4"/>
      </w:r>
      <w:r w:rsidRPr="007D6D45">
        <w:rPr>
          <w:rFonts w:ascii="Calibri" w:eastAsia="Calibri" w:hAnsi="Calibri" w:cs="David" w:hint="cs"/>
          <w:sz w:val="24"/>
          <w:szCs w:val="24"/>
          <w:rtl/>
        </w:rPr>
        <w:t xml:space="preserve"> ובאישור ועדת החוקה, חוק ומשפט של הכנסת, אני מתקינה תקנות אלה:</w:t>
      </w:r>
    </w:p>
    <w:tbl>
      <w:tblPr>
        <w:bidiVisual/>
        <w:tblW w:w="856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8"/>
        <w:gridCol w:w="485"/>
        <w:gridCol w:w="485"/>
        <w:gridCol w:w="62"/>
        <w:gridCol w:w="547"/>
        <w:gridCol w:w="5308"/>
        <w:gridCol w:w="471"/>
      </w:tblGrid>
      <w:tr w:rsidR="007D6D45" w:rsidRPr="007D6D45" w:rsidTr="00C718A6">
        <w:trPr>
          <w:gridAfter w:val="1"/>
          <w:wAfter w:w="471" w:type="dxa"/>
        </w:trPr>
        <w:tc>
          <w:tcPr>
            <w:tcW w:w="1274" w:type="dxa"/>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הגדרות</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6790" w:type="dxa"/>
            <w:gridSpan w:val="4"/>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בתקנות אלה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"בקשה להיכלל ברשימת המגשרים"- בקשה לפי תקנה 7 לתקנות;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כהגדרתו בסעיף 79ג לחוק;</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"הכשרה כללית בגישור"- קורס עיוני ומעשי בגישור של ששים שעות לימוד לפחות, שהוועדה המייעצת אישרה את תכניתו;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"הכשרה בגישור בענייני משפחה"- קורס עיוני ומעשי בגישור בענייני משפחה של ארבעים שעות לימוד לפחות, שהוועדה המייעצת אישרה את תכניתו;</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sz w:val="24"/>
                <w:szCs w:val="24"/>
                <w:rtl/>
              </w:rPr>
              <w:t xml:space="preserve">"הסדר גישור" – כהגדרתו </w:t>
            </w:r>
            <w:r w:rsidRPr="007D6D45">
              <w:rPr>
                <w:rFonts w:ascii="Calibri" w:eastAsia="Calibri" w:hAnsi="Calibri" w:cs="David" w:hint="cs"/>
                <w:sz w:val="24"/>
                <w:szCs w:val="24"/>
                <w:rtl/>
              </w:rPr>
              <w:t>בסעיף 79ג לחוק</w:t>
            </w:r>
            <w:r w:rsidRPr="007D6D45">
              <w:rPr>
                <w:rFonts w:ascii="Calibri" w:eastAsia="Calibri" w:hAnsi="Calibri" w:cs="David"/>
                <w:sz w:val="24"/>
                <w:szCs w:val="24"/>
                <w:rtl/>
              </w:rPr>
              <w:t>;</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"הערכה מקצועית" - הערכה הכוללת הערכת מיומנויות וידע בגישור ולעניין גישור בענייני משפחה- גם מיומנויות וידע בגישור משפחה, וכן הערכת היכרות כללית עם ההליך המשפטי;</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"השר"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שר המשפטים;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"ועדה מייעצת"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ועדה שמונתה לפי תקנה 2;</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"יחידת הגישור"- יחידה בהנהלת בתי המשפט הממונה על ניהול רשימת המגשרים ועל הפנייה למגשרים לפי תקנות אלה;</w:t>
            </w:r>
          </w:p>
          <w:p w:rsidR="007D6D45" w:rsidRPr="007D6D45" w:rsidRDefault="007D6D45" w:rsidP="007D6D45">
            <w:pPr>
              <w:tabs>
                <w:tab w:val="left" w:pos="0"/>
              </w:tabs>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"מגשר"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כהגדרתו בתקנות הגישור;</w:t>
            </w:r>
          </w:p>
          <w:p w:rsidR="007D6D45" w:rsidRPr="007D6D45" w:rsidRDefault="007D6D45" w:rsidP="007D6D45">
            <w:pPr>
              <w:tabs>
                <w:tab w:val="left" w:pos="0"/>
              </w:tabs>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"ממונה על יחידת הגישור"- משפטן בהנהלת בתי המשפט שעבר הכשרה כללית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כהגדרתה בתקנות סדר הדין האזרחי, </w:t>
            </w:r>
            <w:proofErr w:type="spellStart"/>
            <w:r w:rsidRPr="007D6D45">
              <w:rPr>
                <w:rFonts w:ascii="Calibri" w:eastAsia="Calibri" w:hAnsi="Calibri" w:cs="David" w:hint="cs"/>
                <w:sz w:val="24"/>
                <w:szCs w:val="24"/>
                <w:rtl/>
              </w:rPr>
              <w:t>התשמ"ד</w:t>
            </w:r>
            <w:proofErr w:type="spellEnd"/>
            <w:r w:rsidRPr="007D6D45">
              <w:rPr>
                <w:rFonts w:ascii="Calibri" w:eastAsia="Calibri" w:hAnsi="Calibri" w:cs="David" w:hint="cs"/>
                <w:sz w:val="24"/>
                <w:szCs w:val="24"/>
                <w:rtl/>
              </w:rPr>
              <w:t>- 1984</w:t>
            </w:r>
            <w:r w:rsidRPr="007D6D45">
              <w:rPr>
                <w:rFonts w:ascii="Calibri" w:eastAsia="Calibri" w:hAnsi="Calibri" w:cs="David"/>
                <w:sz w:val="24"/>
                <w:szCs w:val="24"/>
                <w:vertAlign w:val="superscript"/>
                <w:rtl/>
              </w:rPr>
              <w:footnoteReference w:id="5"/>
            </w:r>
            <w:r w:rsidRPr="007D6D45">
              <w:rPr>
                <w:rFonts w:ascii="Calibri" w:eastAsia="Calibri" w:hAnsi="Calibri" w:cs="David" w:hint="cs"/>
                <w:sz w:val="24"/>
                <w:szCs w:val="24"/>
                <w:rtl/>
              </w:rPr>
              <w:t xml:space="preserve">; </w:t>
            </w:r>
          </w:p>
          <w:p w:rsidR="007D6D45" w:rsidRPr="007D6D45" w:rsidRDefault="007D6D45" w:rsidP="007D6D45">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Arial" w:eastAsia="Arial Unicode MS" w:hAnsi="Arial" w:cs="David" w:hint="cs"/>
                <w:b/>
                <w:bCs/>
                <w:snapToGrid w:val="0"/>
                <w:color w:val="000000"/>
                <w:sz w:val="24"/>
                <w:szCs w:val="24"/>
                <w:rtl/>
                <w:lang w:eastAsia="ja-JP"/>
              </w:rPr>
              <w:lastRenderedPageBreak/>
              <w:t>"</w:t>
            </w:r>
            <w:r w:rsidRPr="007D6D45">
              <w:rPr>
                <w:rFonts w:ascii="Calibri" w:eastAsia="Calibri" w:hAnsi="Calibri" w:cs="David" w:hint="cs"/>
                <w:sz w:val="24"/>
                <w:szCs w:val="24"/>
                <w:rtl/>
              </w:rPr>
              <w:t xml:space="preserve">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כמשמעותן בסעיף 3(ב)(1) לחוק להסדר התדיינויות בסכסוכי משפחה (הוראת שעה), </w:t>
            </w:r>
            <w:proofErr w:type="spellStart"/>
            <w:r w:rsidRPr="007D6D45">
              <w:rPr>
                <w:rFonts w:ascii="Calibri" w:eastAsia="Calibri" w:hAnsi="Calibri" w:cs="David" w:hint="cs"/>
                <w:sz w:val="24"/>
                <w:szCs w:val="24"/>
                <w:rtl/>
              </w:rPr>
              <w:t>התשע"ה</w:t>
            </w:r>
            <w:proofErr w:type="spellEnd"/>
            <w:r w:rsidRPr="007D6D45">
              <w:rPr>
                <w:rFonts w:ascii="Calibri" w:eastAsia="Calibri" w:hAnsi="Calibri" w:cs="David" w:hint="cs"/>
                <w:sz w:val="24"/>
                <w:szCs w:val="24"/>
                <w:rtl/>
              </w:rPr>
              <w:t>- 2014</w:t>
            </w:r>
            <w:r w:rsidRPr="007D6D45">
              <w:rPr>
                <w:rFonts w:ascii="Calibri" w:eastAsia="Calibri" w:hAnsi="Calibri" w:cs="David"/>
                <w:sz w:val="24"/>
                <w:szCs w:val="24"/>
                <w:vertAlign w:val="superscript"/>
                <w:rtl/>
              </w:rPr>
              <w:footnoteReference w:id="6"/>
            </w:r>
            <w:r w:rsidRPr="007D6D45">
              <w:rPr>
                <w:rFonts w:ascii="Calibri" w:eastAsia="Calibri" w:hAnsi="Calibri" w:cs="David" w:hint="cs"/>
                <w:sz w:val="24"/>
                <w:szCs w:val="24"/>
                <w:rtl/>
              </w:rPr>
              <w:t>;</w:t>
            </w:r>
          </w:p>
          <w:p w:rsidR="007D6D45" w:rsidRPr="007D6D45" w:rsidRDefault="007D6D45" w:rsidP="007D6D45">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 xml:space="preserve">"רשימת המגשרים"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כוללת כל אחת מאלה:</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רשימת מגשרים לפי תקנה 3(א);</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רשימת מגשרים לעניין הליכים בבית משפט לתביעות קטנות לפי תקנה 3(ב);</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Pr>
            </w:pPr>
            <w:r w:rsidRPr="007D6D45">
              <w:rPr>
                <w:rFonts w:ascii="Calibri" w:eastAsia="Calibri" w:hAnsi="Calibri" w:cs="David" w:hint="cs"/>
                <w:sz w:val="24"/>
                <w:szCs w:val="24"/>
                <w:rtl/>
              </w:rPr>
              <w:t>רשימת מגשרים בענייני משפחה לפי תקנה 4.</w:t>
            </w:r>
          </w:p>
          <w:p w:rsidR="007D6D45" w:rsidRPr="007D6D45" w:rsidRDefault="007D6D45" w:rsidP="007D6D45">
            <w:pPr>
              <w:spacing w:before="240"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שופט בדימוס"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מי שהיה שופט, דיין, קאדי, קאדי מדהב או שופט בבית דין נוצרי ויצא לקצבה או פרש;</w:t>
            </w:r>
          </w:p>
          <w:p w:rsidR="007D6D45" w:rsidRPr="007D6D45" w:rsidRDefault="007D6D45" w:rsidP="007D6D45">
            <w:pPr>
              <w:spacing w:before="240"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"תואר אקדמי"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תואר אקדמי שנתן </w:t>
            </w:r>
            <w:r w:rsidRPr="007D6D45">
              <w:rPr>
                <w:rFonts w:ascii="Calibri" w:eastAsia="Calibri" w:hAnsi="Calibri" w:cs="David"/>
                <w:sz w:val="24"/>
                <w:szCs w:val="24"/>
                <w:rtl/>
              </w:rPr>
              <w:t>מוסד שהוכר לפי סעיף 9 לחוק המועצה להשכלה גבוהה</w:t>
            </w:r>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התשי"ח</w:t>
            </w:r>
            <w:proofErr w:type="spellEnd"/>
            <w:r w:rsidRPr="007D6D45">
              <w:rPr>
                <w:rFonts w:ascii="Calibri" w:eastAsia="Calibri" w:hAnsi="Calibri" w:cs="David" w:hint="cs"/>
                <w:sz w:val="24"/>
                <w:szCs w:val="24"/>
                <w:rtl/>
              </w:rPr>
              <w:t>- 1958</w:t>
            </w:r>
            <w:r w:rsidRPr="007D6D45">
              <w:rPr>
                <w:rFonts w:ascii="Calibri" w:eastAsia="Calibri" w:hAnsi="Calibri" w:cs="David"/>
                <w:sz w:val="24"/>
                <w:szCs w:val="24"/>
                <w:vertAlign w:val="superscript"/>
                <w:rtl/>
              </w:rPr>
              <w:footnoteReference w:id="7"/>
            </w:r>
            <w:r w:rsidRPr="007D6D45">
              <w:rPr>
                <w:rFonts w:ascii="Calibri" w:eastAsia="Calibri" w:hAnsi="Calibri" w:cs="David" w:hint="cs"/>
                <w:sz w:val="24"/>
                <w:szCs w:val="24"/>
                <w:rtl/>
              </w:rPr>
              <w:t xml:space="preserve"> או על ידי מוסד שהתואר שהוא מעניק הוכר לפי סעיף 28א לחוק האמור;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"תיעוד של הליך גישור"- תיאור תמציתי של מהלך הגישור, לרבות הפגישות שהתקיימו בין הצדדים, הדילמות שהתעוררו במהלכו והדרך שבה התמודד עמן המגשר;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"תכנית התנסות מודרכת בגישור"- תכנית שאישרה הוועדה המייעצת, הכוללת, בין השאר, צפייה בהליכי גישור </w:t>
            </w:r>
            <w:proofErr w:type="spellStart"/>
            <w:r w:rsidRPr="007D6D45">
              <w:rPr>
                <w:rFonts w:ascii="Calibri" w:eastAsia="Calibri" w:hAnsi="Calibri" w:cs="David" w:hint="cs"/>
                <w:sz w:val="24"/>
                <w:szCs w:val="24"/>
                <w:rtl/>
              </w:rPr>
              <w:t>אמיתיים</w:t>
            </w:r>
            <w:proofErr w:type="spellEnd"/>
            <w:r w:rsidRPr="007D6D45">
              <w:rPr>
                <w:rFonts w:ascii="Calibri" w:eastAsia="Calibri" w:hAnsi="Calibri" w:cs="David" w:hint="cs"/>
                <w:sz w:val="24"/>
                <w:szCs w:val="24"/>
                <w:rtl/>
              </w:rPr>
              <w:t xml:space="preserve">, ניתוח ודיון וכן התנסות באופן מודרך בשישה גישורים לפחות;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"תכנית התנסות מודרכת בגישור בענייני משפחה"- תכנית  שאישרה הוועדה המייעצת, הכוללת, בין השאר, צפייה בהליכי גישור </w:t>
            </w:r>
            <w:proofErr w:type="spellStart"/>
            <w:r w:rsidRPr="007D6D45">
              <w:rPr>
                <w:rFonts w:ascii="Calibri" w:eastAsia="Calibri" w:hAnsi="Calibri" w:cs="David" w:hint="cs"/>
                <w:sz w:val="24"/>
                <w:szCs w:val="24"/>
                <w:rtl/>
              </w:rPr>
              <w:t>אמיתיים</w:t>
            </w:r>
            <w:proofErr w:type="spellEnd"/>
            <w:r w:rsidRPr="007D6D45">
              <w:rPr>
                <w:rFonts w:ascii="Calibri" w:eastAsia="Calibri" w:hAnsi="Calibri" w:cs="David" w:hint="cs"/>
                <w:sz w:val="24"/>
                <w:szCs w:val="24"/>
                <w:rtl/>
              </w:rPr>
              <w:t xml:space="preserve"> במשפחה, ניתוח ודיון וכן התנסות באופן מודרך ב</w:t>
            </w:r>
            <w:r w:rsidRPr="007D6D45">
              <w:rPr>
                <w:rFonts w:ascii="Calibri" w:eastAsia="Calibri" w:hAnsi="Calibri" w:cs="David"/>
                <w:sz w:val="24"/>
                <w:szCs w:val="24"/>
                <w:rtl/>
              </w:rPr>
              <w:t xml:space="preserve">שלושה גישורים לפחות </w:t>
            </w:r>
            <w:r w:rsidRPr="007D6D45">
              <w:rPr>
                <w:rFonts w:ascii="Calibri" w:eastAsia="Calibri" w:hAnsi="Calibri" w:cs="David" w:hint="cs"/>
                <w:sz w:val="24"/>
                <w:szCs w:val="24"/>
                <w:rtl/>
              </w:rPr>
              <w:t xml:space="preserve">בענייני משפחה </w:t>
            </w:r>
            <w:r w:rsidRPr="007D6D45">
              <w:rPr>
                <w:rFonts w:ascii="Calibri" w:eastAsia="Calibri" w:hAnsi="Calibri" w:cs="David"/>
                <w:sz w:val="24"/>
                <w:szCs w:val="24"/>
                <w:rtl/>
              </w:rPr>
              <w:t xml:space="preserve">בהיקף </w:t>
            </w:r>
            <w:r w:rsidRPr="007D6D45">
              <w:rPr>
                <w:rFonts w:ascii="Calibri" w:eastAsia="Calibri" w:hAnsi="Calibri" w:cs="David" w:hint="cs"/>
                <w:sz w:val="24"/>
                <w:szCs w:val="24"/>
                <w:rtl/>
              </w:rPr>
              <w:t xml:space="preserve">כולל </w:t>
            </w:r>
            <w:r w:rsidRPr="007D6D45">
              <w:rPr>
                <w:rFonts w:ascii="Calibri" w:eastAsia="Calibri" w:hAnsi="Calibri" w:cs="David"/>
                <w:sz w:val="24"/>
                <w:szCs w:val="24"/>
                <w:rtl/>
              </w:rPr>
              <w:t xml:space="preserve">של </w:t>
            </w:r>
            <w:r w:rsidRPr="007D6D45">
              <w:rPr>
                <w:rFonts w:ascii="Calibri" w:eastAsia="Calibri" w:hAnsi="Calibri" w:cs="David" w:hint="cs"/>
                <w:sz w:val="24"/>
                <w:szCs w:val="24"/>
                <w:rtl/>
              </w:rPr>
              <w:t>2</w:t>
            </w:r>
            <w:r w:rsidRPr="007D6D45">
              <w:rPr>
                <w:rFonts w:ascii="Calibri" w:eastAsia="Calibri" w:hAnsi="Calibri" w:cs="David"/>
                <w:sz w:val="24"/>
                <w:szCs w:val="24"/>
                <w:rtl/>
              </w:rPr>
              <w:t>0 שעות גישור</w:t>
            </w:r>
            <w:r w:rsidRPr="007D6D45">
              <w:rPr>
                <w:rFonts w:ascii="Calibri" w:eastAsia="Calibri" w:hAnsi="Calibri" w:cs="David" w:hint="cs"/>
                <w:sz w:val="24"/>
                <w:szCs w:val="24"/>
                <w:rtl/>
              </w:rPr>
              <w:t xml:space="preserve"> לפחות;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"תקנות הגישור"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תקנות בתי המשפט (גישור), התשנ"ג-1993.</w:t>
            </w:r>
            <w:r w:rsidRPr="007D6D45">
              <w:rPr>
                <w:rFonts w:ascii="Calibri" w:eastAsia="Calibri" w:hAnsi="Calibri" w:cs="David"/>
                <w:sz w:val="24"/>
                <w:szCs w:val="24"/>
                <w:vertAlign w:val="superscript"/>
                <w:rtl/>
              </w:rPr>
              <w:footnoteReference w:id="8"/>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lastRenderedPageBreak/>
              <w:t>ועדה מייעצת</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2</w:t>
            </w:r>
          </w:p>
        </w:tc>
        <w:tc>
          <w:tcPr>
            <w:tcW w:w="6790" w:type="dxa"/>
            <w:gridSpan w:val="4"/>
            <w:shd w:val="clear" w:color="auto" w:fill="auto"/>
          </w:tcPr>
          <w:p w:rsidR="007D6D45" w:rsidRPr="007D6D45" w:rsidRDefault="007D6D45" w:rsidP="007D6D45">
            <w:pPr>
              <w:numPr>
                <w:ilvl w:val="0"/>
                <w:numId w:val="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השר ימנה ועדה מייעצת שאלה תפקידיה: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לאשר את-  </w:t>
            </w:r>
          </w:p>
          <w:p w:rsidR="007D6D45" w:rsidRPr="007D6D45" w:rsidRDefault="007D6D45" w:rsidP="00EC53B8">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  התכנית  הנדרשת במסגרת הכשרה כללית בגישור והכשרה בגישור בענייני משפחה;</w:t>
            </w:r>
          </w:p>
          <w:p w:rsidR="007D6D45" w:rsidRPr="007D6D45" w:rsidRDefault="007D6D45" w:rsidP="00EC53B8">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 התכנית  הנדרשת במסגרת תכנית התנסות מודרכת בגישור וכן תכנית התנסות מודרכת בענייני משפחה;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להמליץ לשר לעניין תוכן הערכה מקצועית והערכה מקצועית מותאמת להליך של חידוש רישום וכן על דרך בחינתן;</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להמליץ לשר להתקין תקנות בעניין-</w:t>
            </w:r>
          </w:p>
          <w:p w:rsidR="007D6D45" w:rsidRPr="007D6D45" w:rsidRDefault="007D6D45" w:rsidP="007D6D45">
            <w:pPr>
              <w:numPr>
                <w:ilvl w:val="0"/>
                <w:numId w:val="23"/>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פרטים נוספים שיידרש מגשר למסור במסגרת הבקשה להיכלל ברשימת המגשרים לפי תקנה 7(א)ב); </w:t>
            </w:r>
          </w:p>
          <w:p w:rsidR="007D6D45" w:rsidRPr="007D6D45" w:rsidRDefault="007D6D45" w:rsidP="007D6D45">
            <w:pPr>
              <w:numPr>
                <w:ilvl w:val="0"/>
                <w:numId w:val="2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שכר הטרחה המרבי לפי תקנה 11, ובכלל זה לפי סוג ההליך ומשכו.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לאשר לכלול ברשימת המגשרים מי שלא עמד בתנאי הכשירות כאמור בתקנה 5;</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להורות שלא לכלול ברשימת המגשרים מי שחלה לגביו תקנה 6 וכן להמליץ לשר על עיכוב, התלייה של רישום מגשר ברשימת המגשרים או מחיקה של מגשר מהרשימה כאמור בתקנות 9 ו-10;</w:t>
            </w:r>
          </w:p>
          <w:p w:rsidR="007D6D45" w:rsidRPr="007D6D45" w:rsidRDefault="007D6D45" w:rsidP="007D6D45">
            <w:pPr>
              <w:numPr>
                <w:ilvl w:val="0"/>
                <w:numId w:val="7"/>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הרכב הוועדה יהיה כמפורט להלן: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אדם הכשיר להתמנות לשופט בית משפט מחוזי, והוא יהיה יושב ראש הוועדה;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הממונה על יחידת הגישור בהנהלת בתי המשפט;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שעסק בהכשרה כללית בגישור במשך חמש שנים לפחו</w:t>
            </w:r>
            <w:r w:rsidRPr="007D6D45">
              <w:rPr>
                <w:rFonts w:ascii="Calibri" w:eastAsia="Calibri" w:hAnsi="Calibri" w:cs="David" w:hint="eastAsia"/>
                <w:sz w:val="24"/>
                <w:szCs w:val="24"/>
                <w:rtl/>
              </w:rPr>
              <w:t>ת</w:t>
            </w:r>
            <w:r w:rsidRPr="007D6D45">
              <w:rPr>
                <w:rFonts w:ascii="Calibri" w:eastAsia="Calibri" w:hAnsi="Calibri" w:cs="David" w:hint="cs"/>
                <w:sz w:val="24"/>
                <w:szCs w:val="24"/>
                <w:rtl/>
              </w:rPr>
              <w:t>;</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שעסק בהכשרה בגישור בענייני משפחה במשך חמש שנים לפחות;</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איש אקדמיה בעל מומחיות בתחום הגישור. </w:t>
            </w:r>
          </w:p>
          <w:p w:rsidR="007D6D45" w:rsidRPr="007D6D45" w:rsidRDefault="007D6D45" w:rsidP="007D6D45">
            <w:pPr>
              <w:numPr>
                <w:ilvl w:val="0"/>
                <w:numId w:val="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אחד מחברי הוועדה לפחות יהיה בעל  חמש שנות ניסיון לפחות בניהול הליכי 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(ג) </w:t>
            </w:r>
            <w:r w:rsidRPr="007D6D45">
              <w:rPr>
                <w:rFonts w:ascii="Calibri" w:eastAsia="Calibri" w:hAnsi="Calibri" w:cs="David" w:hint="cs"/>
                <w:sz w:val="24"/>
                <w:szCs w:val="24"/>
                <w:rtl/>
              </w:rPr>
              <w:tab/>
              <w:t xml:space="preserve">לצורך מילוי תפקידי הוועדה המייעצת לפי תקנה 2(א)(4) ו-(5) רשאי יושב ראש הוועדה למנות ועדת משנה מבין חברי הוועדה ובלבד שוועדת המשנה תמנה שלושה חברים לפחות שאחד מהם לפחות הוא משפטן ואם היא דנה בעניינו של מגשר במשפחה- אחד מהם לפחות הוא בעל ניסיון בגישור בענייני משפחה.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(ד)</w:t>
            </w:r>
            <w:r w:rsidRPr="007D6D45">
              <w:rPr>
                <w:rFonts w:ascii="Calibri" w:eastAsia="Calibri" w:hAnsi="Calibri" w:cs="David"/>
                <w:sz w:val="24"/>
                <w:szCs w:val="24"/>
                <w:rtl/>
              </w:rPr>
              <w:tab/>
            </w:r>
            <w:r w:rsidRPr="007D6D45">
              <w:rPr>
                <w:rFonts w:ascii="Calibri" w:eastAsia="Calibri" w:hAnsi="Calibri" w:cs="David" w:hint="cs"/>
                <w:sz w:val="24"/>
                <w:szCs w:val="24"/>
                <w:rtl/>
              </w:rPr>
              <w:t>הודעה בדבר מינוי הוועדה המייעצת תפורסם ברשומות.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       תקופת הכהונה של יושב ראש וחברי הוועדה המייעצת היא לחמש שנים מיום מינוים, והשר רשאי למנותם לתקופת כהונה אחת נוספת. </w:t>
            </w:r>
          </w:p>
        </w:tc>
      </w:tr>
      <w:tr w:rsidR="007D6D45" w:rsidRPr="007D6D45" w:rsidTr="00C718A6">
        <w:trPr>
          <w:trHeight w:val="1054"/>
        </w:trPr>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כשירות להיכלל ברשימת המגשרים שלא בענייני משפחה</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3.</w:t>
            </w:r>
          </w:p>
        </w:tc>
        <w:tc>
          <w:tcPr>
            <w:tcW w:w="634"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מי שנתקיימו בו כל אלה כשיר להיכל</w:t>
            </w:r>
            <w:r w:rsidRPr="007D6D45">
              <w:rPr>
                <w:rFonts w:ascii="Calibri" w:eastAsia="Calibri" w:hAnsi="Calibri" w:cs="David" w:hint="eastAsia"/>
                <w:sz w:val="24"/>
                <w:szCs w:val="24"/>
                <w:rtl/>
              </w:rPr>
              <w:t>ל</w:t>
            </w:r>
            <w:r w:rsidRPr="007D6D45">
              <w:rPr>
                <w:rFonts w:ascii="Calibri" w:eastAsia="Calibri" w:hAnsi="Calibri" w:cs="David" w:hint="cs"/>
                <w:sz w:val="24"/>
                <w:szCs w:val="24"/>
                <w:rtl/>
              </w:rPr>
              <w:t xml:space="preserve"> ברשימת המגשרים-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בעל תואר אקדמי בוגר או תואר אחר מאת מוסד להשכלה גבוהה בחוץ לארץ שיחידת הגישור שוכנעה שהוא שווה ערך לתואר אקדמי;</w:t>
            </w:r>
            <w:r w:rsidRPr="007D6D45">
              <w:rPr>
                <w:rFonts w:ascii="Arial" w:eastAsia="Calibri" w:hAnsi="Arial" w:cs="Arial"/>
                <w:color w:val="00B050"/>
                <w:rtl/>
              </w:rPr>
              <w:t xml:space="preserve"> </w:t>
            </w:r>
          </w:p>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הוא בעל חמש שנות ניסיון לפחות בתחום עיסוקו; </w:t>
            </w:r>
          </w:p>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עבר הכשרה כללית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(4) הוא השתתף בתכנית התנסות מודרכת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(5) הוא ניהל חמישה עשר הליכי גישור בחמש השנים האחרונות לפחות, וצירף חמישה הסדרי גישור מגישורים שניהל שנחתמו על ידי הצדדים, והכל ללא ציון שמות ופרטים מזהים אחרים;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(6) הוא עמד בהערכה מקצועית;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(7) לעניין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הוא התחייב ששכר הטרחה שהוא דורש אינו עולה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כשיר להיכלל ברשימת המגשרים לעניין הליכים בבית משפט לתביעות קטנות מי שמתקיים בו אחד מאלה : </w:t>
            </w:r>
          </w:p>
          <w:p w:rsidR="007D6D45" w:rsidRPr="007D6D45" w:rsidRDefault="007D6D45" w:rsidP="007D6D45">
            <w:pPr>
              <w:numPr>
                <w:ilvl w:val="0"/>
                <w:numId w:val="1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האמור בתקנת משנה (א)(1) עד (4) והוא ניהל שישה הליכי גישור לפחות בחמש השנים האחרונות, וצירף שני הסדרי גישור מגישורים שניהל וכן תיעוד של הליכי הגישור שהביאו להסדרים אלה, והכל ללא ציון שמות ופרטים מזהים אחרים; </w:t>
            </w:r>
          </w:p>
          <w:p w:rsidR="007D6D45" w:rsidRPr="007D6D45" w:rsidRDefault="007D6D45" w:rsidP="007D6D45">
            <w:pPr>
              <w:numPr>
                <w:ilvl w:val="0"/>
                <w:numId w:val="11"/>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האמור בתקנת משנה (א)(1) עד (3) ובלבד שהליך הגישור ייערך במסגרת תכנית התנסות מודרכת בגישור.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כשירות להיכלל ברשימת המגשרים בענייני משפחה</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4.</w:t>
            </w: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כשיר להיכלל ברשימת המגשרים בענייני משפחה מי שמתקיים בו האמור בתקנה 3(א)(1) עד (3)  וכל אלה: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בעל </w:t>
            </w:r>
            <w:r w:rsidRPr="007D6D45">
              <w:rPr>
                <w:rFonts w:ascii="Calibri" w:eastAsia="Calibri" w:hAnsi="Calibri" w:cs="David"/>
                <w:sz w:val="24"/>
                <w:szCs w:val="24"/>
                <w:rtl/>
              </w:rPr>
              <w:t xml:space="preserve">תואר </w:t>
            </w:r>
            <w:r w:rsidRPr="007D6D45">
              <w:rPr>
                <w:rFonts w:ascii="Calibri" w:eastAsia="Calibri" w:hAnsi="Calibri" w:cs="David" w:hint="cs"/>
                <w:sz w:val="24"/>
                <w:szCs w:val="24"/>
                <w:rtl/>
              </w:rPr>
              <w:t>אקדמי שהוא אחד מהמפורטים להלן או תואר אחר ממוסד להשכלה בחוץ לארץ שיחידת הגישור שוכנעה שהוא שווה ערך לתואר אקדמי, ו</w:t>
            </w:r>
            <w:r w:rsidRPr="007D6D45">
              <w:rPr>
                <w:rFonts w:ascii="Calibri" w:eastAsia="Calibri" w:hAnsi="Calibri" w:cs="David"/>
                <w:sz w:val="24"/>
                <w:szCs w:val="24"/>
                <w:rtl/>
              </w:rPr>
              <w:t>עסק</w:t>
            </w:r>
            <w:r w:rsidRPr="007D6D45">
              <w:rPr>
                <w:rFonts w:ascii="Calibri" w:eastAsia="Calibri" w:hAnsi="Calibri" w:cs="David" w:hint="cs"/>
                <w:sz w:val="24"/>
                <w:szCs w:val="24"/>
                <w:rtl/>
              </w:rPr>
              <w:t xml:space="preserve"> במשך חמש שנים לפחות</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 xml:space="preserve">מתוך עשר השנים האחרונות </w:t>
            </w:r>
            <w:r w:rsidRPr="007D6D45">
              <w:rPr>
                <w:rFonts w:ascii="Calibri" w:eastAsia="Calibri" w:hAnsi="Calibri" w:cs="David"/>
                <w:sz w:val="24"/>
                <w:szCs w:val="24"/>
                <w:rtl/>
              </w:rPr>
              <w:t>בתחום לימודיו או</w:t>
            </w:r>
            <w:r w:rsidRPr="007D6D45">
              <w:rPr>
                <w:rFonts w:ascii="Calibri" w:eastAsia="Calibri" w:hAnsi="Calibri" w:cs="David" w:hint="cs"/>
                <w:sz w:val="24"/>
                <w:szCs w:val="24"/>
                <w:rtl/>
              </w:rPr>
              <w:t xml:space="preserve"> שהוא עורך דין,  טוען רבני, טוען שרעי או שופט בדימוס ש</w:t>
            </w:r>
            <w:r w:rsidRPr="007D6D45">
              <w:rPr>
                <w:rFonts w:ascii="Calibri" w:eastAsia="Calibri" w:hAnsi="Calibri" w:cs="David"/>
                <w:sz w:val="24"/>
                <w:szCs w:val="24"/>
                <w:rtl/>
              </w:rPr>
              <w:t>עסק</w:t>
            </w:r>
            <w:r w:rsidRPr="007D6D45">
              <w:rPr>
                <w:rFonts w:ascii="Calibri" w:eastAsia="Calibri" w:hAnsi="Calibri" w:cs="David" w:hint="cs"/>
                <w:sz w:val="24"/>
                <w:szCs w:val="24"/>
                <w:rtl/>
              </w:rPr>
              <w:t xml:space="preserve"> במשך חמש שנים לפחות מתוך עשר השנים האחרונות</w:t>
            </w:r>
            <w:r w:rsidRPr="007D6D45" w:rsidDel="004200E1">
              <w:rPr>
                <w:rFonts w:ascii="Calibri" w:eastAsia="Calibri" w:hAnsi="Calibri" w:cs="David" w:hint="cs"/>
                <w:sz w:val="24"/>
                <w:szCs w:val="24"/>
                <w:rtl/>
              </w:rPr>
              <w:t xml:space="preserve"> </w:t>
            </w:r>
            <w:r w:rsidRPr="007D6D45">
              <w:rPr>
                <w:rFonts w:ascii="Calibri" w:eastAsia="Calibri" w:hAnsi="Calibri" w:cs="David" w:hint="cs"/>
                <w:sz w:val="24"/>
                <w:szCs w:val="24"/>
                <w:rtl/>
              </w:rPr>
              <w:t>בענייני משפחה:</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בוגר</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ב</w:t>
            </w:r>
            <w:r w:rsidRPr="007D6D45">
              <w:rPr>
                <w:rFonts w:ascii="Calibri" w:eastAsia="Calibri" w:hAnsi="Calibri" w:cs="David"/>
                <w:sz w:val="24"/>
                <w:szCs w:val="24"/>
                <w:rtl/>
              </w:rPr>
              <w:t>עבודה סוציאלית</w:t>
            </w:r>
            <w:r w:rsidRPr="007D6D45">
              <w:rPr>
                <w:rFonts w:ascii="Calibri" w:eastAsia="Calibri" w:hAnsi="Calibri" w:cs="David" w:hint="cs"/>
                <w:sz w:val="24"/>
                <w:szCs w:val="24"/>
                <w:rtl/>
              </w:rPr>
              <w:t>;</w:t>
            </w:r>
            <w:r w:rsidRPr="007D6D45">
              <w:rPr>
                <w:rFonts w:ascii="Calibri" w:eastAsia="Calibri" w:hAnsi="Calibri" w:cs="David"/>
                <w:sz w:val="24"/>
                <w:szCs w:val="24"/>
                <w:rtl/>
              </w:rPr>
              <w:t xml:space="preserve"> </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מוסמך בפסיכולוגיה;</w:t>
            </w:r>
          </w:p>
          <w:p w:rsidR="007D6D45" w:rsidRPr="007D6D45" w:rsidRDefault="00EC53B8" w:rsidP="007D6D45">
            <w:pPr>
              <w:numPr>
                <w:ilvl w:val="0"/>
                <w:numId w:val="17"/>
              </w:numPr>
              <w:spacing w:after="120" w:line="360" w:lineRule="auto"/>
              <w:ind w:hanging="77"/>
              <w:jc w:val="both"/>
              <w:rPr>
                <w:rFonts w:ascii="Calibri" w:eastAsia="Calibri" w:hAnsi="Calibri" w:cs="David"/>
                <w:sz w:val="24"/>
                <w:szCs w:val="24"/>
              </w:rPr>
            </w:pPr>
            <w:r>
              <w:rPr>
                <w:rFonts w:ascii="Calibri" w:eastAsia="Calibri" w:hAnsi="Calibri" w:cs="David" w:hint="cs"/>
                <w:sz w:val="24"/>
                <w:szCs w:val="24"/>
                <w:rtl/>
              </w:rPr>
              <w:t>מומחה</w:t>
            </w:r>
            <w:r w:rsidRPr="007D6D45">
              <w:rPr>
                <w:rFonts w:ascii="Calibri" w:eastAsia="Calibri" w:hAnsi="Calibri" w:cs="David" w:hint="cs"/>
                <w:sz w:val="24"/>
                <w:szCs w:val="24"/>
                <w:rtl/>
              </w:rPr>
              <w:t xml:space="preserve"> </w:t>
            </w:r>
            <w:r w:rsidR="007D6D45" w:rsidRPr="007D6D45">
              <w:rPr>
                <w:rFonts w:ascii="Calibri" w:eastAsia="Calibri" w:hAnsi="Calibri" w:cs="David" w:hint="cs"/>
                <w:sz w:val="24"/>
                <w:szCs w:val="24"/>
                <w:rtl/>
              </w:rPr>
              <w:t>בפסיכיאטריה כללית;</w:t>
            </w:r>
          </w:p>
          <w:p w:rsidR="007D6D45" w:rsidRPr="007D6D45" w:rsidRDefault="00EC53B8" w:rsidP="00EC53B8">
            <w:pPr>
              <w:numPr>
                <w:ilvl w:val="0"/>
                <w:numId w:val="17"/>
              </w:numPr>
              <w:spacing w:after="120" w:line="360" w:lineRule="auto"/>
              <w:ind w:hanging="77"/>
              <w:jc w:val="both"/>
              <w:rPr>
                <w:rFonts w:ascii="Calibri" w:eastAsia="Calibri" w:hAnsi="Calibri" w:cs="David"/>
                <w:sz w:val="24"/>
                <w:szCs w:val="24"/>
              </w:rPr>
            </w:pPr>
            <w:r>
              <w:rPr>
                <w:rFonts w:ascii="Calibri" w:eastAsia="Calibri" w:hAnsi="Calibri" w:cs="David" w:hint="cs"/>
                <w:sz w:val="24"/>
                <w:szCs w:val="24"/>
                <w:rtl/>
              </w:rPr>
              <w:t>מומחה</w:t>
            </w:r>
            <w:r w:rsidR="007D6D45" w:rsidRPr="007D6D45">
              <w:rPr>
                <w:rFonts w:ascii="Calibri" w:eastAsia="Calibri" w:hAnsi="Calibri" w:cs="David" w:hint="cs"/>
                <w:sz w:val="24"/>
                <w:szCs w:val="24"/>
                <w:rtl/>
              </w:rPr>
              <w:t xml:space="preserve"> בפסיכיאטריה של ילדים ומתבגרים;</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מוסמך ב</w:t>
            </w:r>
            <w:r w:rsidRPr="007D6D45">
              <w:rPr>
                <w:rFonts w:ascii="Calibri" w:eastAsia="Calibri" w:hAnsi="Calibri" w:cs="David"/>
                <w:sz w:val="24"/>
                <w:szCs w:val="24"/>
                <w:rtl/>
              </w:rPr>
              <w:t>ייעוץ חינוכי</w:t>
            </w:r>
            <w:r w:rsidRPr="007D6D45">
              <w:rPr>
                <w:rFonts w:ascii="Calibri" w:eastAsia="Calibri" w:hAnsi="Calibri" w:cs="David" w:hint="cs"/>
                <w:sz w:val="24"/>
                <w:szCs w:val="24"/>
                <w:rtl/>
              </w:rPr>
              <w:t>;</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עבר הכשרה בגישור בענייני משפחה; </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השתתף בתכנית התנסות מודרכת בגישור או  תכנית התנסות מודרכת בגישור בענייני משפחה; </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ניהל עשרים הליכי גישור לפחות בחמש השנים האחרונות מהם עשרה הליכי גישור לפחות בענייני משפחה, וצירף חמישה הסדרי גישור מגישורים שניהל בענייני משפחה שנחתמו על ידי הצדדים, והכל ללא ציון שמות ופרטים מזהים אחרים; השתתף אדם בתכנית התנסות מודרכת בגישור בענייני משפחה, יידרש להראות כי ניהל עשרה הליכי גישור לפחות מהם חמישה לפחות בענייני משפחה ולצרף חמישה הסדרי גישור מגישורים שניהל בענייני משפחה שנחתמו על ידי הצדדים ), והכל ללא ציון שמות ופרטים מזהים אחרים;</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עמד בהערכה מקצועית;</w:t>
            </w:r>
          </w:p>
          <w:p w:rsidR="007D6D45" w:rsidRPr="007D6D45" w:rsidRDefault="007D6D45" w:rsidP="007D6D45">
            <w:pPr>
              <w:numPr>
                <w:ilvl w:val="0"/>
                <w:numId w:val="2"/>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לעניין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הוא התחייב ששכר הטרחה שהוא דורש אינו עולה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אישור חריגים </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5.</w:t>
            </w:r>
          </w:p>
        </w:tc>
        <w:tc>
          <w:tcPr>
            <w:tcW w:w="568" w:type="dxa"/>
            <w:shd w:val="clear" w:color="auto" w:fill="auto"/>
          </w:tcPr>
          <w:p w:rsidR="007D6D45" w:rsidRPr="007D6D45" w:rsidDel="009675DB"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(א) </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על אף האמור בתקנה 3 רשאית הוועדה המייעצת, בהחלטה מנומקת בכתב, לאשר לכלול ברשימת המגשרים-</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מגשר שלא עמד בתנאי הכשירות שבתקנה 3(א)(1), אם הוא בעל חמש שנות ניסיון לפחות בעיסוק מקצועי שעשוי לתרום לעבודתו בגישור; </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שלא עמד בתנאי הכשירות שבתקנה 3(א)(3), אם הוא למד במדינת חוץ בקורס הכשרה עיוני ומעשי בגישור של ששים שעות לימוד לפחות, אם הוכח, להנחת דעתה של הוועדה, כי תכנית הקורס דומה במתכונתה לתכנית הכשרה כללית בגישור;</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מגשר שלא עמד בתנאי הכשירות שבתקנה 3(א)(4), אם מצאה שיש לו מומחיות וניסיון של 7שנים לפחות בגישור, המצדיקים מתן אישור חריג כאמור. </w:t>
            </w:r>
          </w:p>
          <w:p w:rsidR="007D6D45" w:rsidRPr="007D6D45" w:rsidDel="009675DB" w:rsidRDefault="007D6D45" w:rsidP="007D6D45">
            <w:pPr>
              <w:spacing w:after="120" w:line="360" w:lineRule="auto"/>
              <w:jc w:val="both"/>
              <w:rPr>
                <w:rFonts w:ascii="Calibri" w:eastAsia="Calibri" w:hAnsi="Calibri" w:cs="David"/>
                <w:sz w:val="24"/>
                <w:szCs w:val="24"/>
                <w:rtl/>
              </w:rPr>
            </w:pP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על אף האמור בתקנה 4 רשאית הוועדה המייעצת, לכלול </w:t>
            </w:r>
            <w:r w:rsidRPr="007D6D45">
              <w:rPr>
                <w:rFonts w:ascii="Calibri" w:eastAsia="Calibri" w:hAnsi="Calibri" w:cs="David"/>
                <w:sz w:val="24"/>
                <w:szCs w:val="24"/>
                <w:rtl/>
              </w:rPr>
              <w:t>ברשימת המגשרים בענייני משפחה</w:t>
            </w:r>
            <w:r w:rsidRPr="007D6D45">
              <w:rPr>
                <w:rFonts w:ascii="Calibri" w:eastAsia="Calibri" w:hAnsi="Calibri" w:cs="David" w:hint="cs"/>
                <w:sz w:val="24"/>
                <w:szCs w:val="24"/>
                <w:rtl/>
              </w:rPr>
              <w:t xml:space="preserve"> -</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שאינו בעל אחד מהתארים האקדמאיים המוסמכים שבתקנה 4(1), אם הוא בעל 5 שנות ניסיון לפחות בעיסוק מקצועי שעשוי לתרום לעבודתו בגישור במשפחה;</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מגשר שלא עמד בתנאי הכשירות שבתקנה 4(1) לעניין הדרישה כי ניסיונו בתחום עיסוקו יהיה בפרק הזמן של חמש מתוך עשר השנים האחרונות, אם הוועדה מצאה כי המומחיות והניסיון שיש לו מצדיקים מתן אישור חריג כאמור ובלבד שיש לו חמש שנות </w:t>
            </w:r>
            <w:proofErr w:type="spellStart"/>
            <w:r w:rsidRPr="007D6D45">
              <w:rPr>
                <w:rFonts w:ascii="Calibri" w:eastAsia="Calibri" w:hAnsi="Calibri" w:cs="David" w:hint="cs"/>
                <w:sz w:val="24"/>
                <w:szCs w:val="24"/>
                <w:rtl/>
              </w:rPr>
              <w:t>נסיון</w:t>
            </w:r>
            <w:proofErr w:type="spellEnd"/>
            <w:r w:rsidRPr="007D6D45">
              <w:rPr>
                <w:rFonts w:ascii="Calibri" w:eastAsia="Calibri" w:hAnsi="Calibri" w:cs="David" w:hint="cs"/>
                <w:sz w:val="24"/>
                <w:szCs w:val="24"/>
                <w:rtl/>
              </w:rPr>
              <w:t xml:space="preserve"> בתחום עיסוקו לפחות.</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שלא עמד בתנאי הכשירות שבתקנה 4(2), אם הוא למד במדינת חוץ בקורס עיוני ומעשי בגישור בענייני משפחה של ארבעים שעות לימוד לפחות ואם הוכח, להנחת דעתה של הוועדה, כי תכנית הקורס דומה במתכונתה לתכנית ההכשרה בגישור בענייני משפחה לפי תקנה 4(2);</w:t>
            </w:r>
          </w:p>
          <w:p w:rsidR="007D6D45" w:rsidRPr="007D6D45" w:rsidRDefault="007D6D45" w:rsidP="007D6D45">
            <w:pPr>
              <w:numPr>
                <w:ilvl w:val="0"/>
                <w:numId w:val="9"/>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שלא עמד בתנאי הכשירות שבתקנה 4(3), אם מצאה שיש לו מומחיות וניסיון של 7 שנים לפחות בגישור בענייני משפחה, המצדיקים מתן אישור חריג כאמור.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סייגים מלהיכלל ברשימה</w:t>
            </w: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6.</w:t>
            </w:r>
          </w:p>
        </w:tc>
        <w:tc>
          <w:tcPr>
            <w:tcW w:w="6724" w:type="dxa"/>
            <w:gridSpan w:val="3"/>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על אף האמור בתקנות 3 ו-4, לא ייכלל  ברשימת המגשרים  מי שהתקיים בו אחד או יותר מאלה: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p>
        </w:tc>
        <w:tc>
          <w:tcPr>
            <w:tcW w:w="6724" w:type="dxa"/>
            <w:gridSpan w:val="3"/>
            <w:shd w:val="clear" w:color="auto" w:fill="auto"/>
          </w:tcPr>
          <w:p w:rsidR="007D6D45" w:rsidRPr="007D6D45" w:rsidRDefault="007D6D45" w:rsidP="007D6D45">
            <w:pPr>
              <w:numPr>
                <w:ilvl w:val="0"/>
                <w:numId w:val="4"/>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הורשע בעבירה או הוגש נגדו כתב אישום בעבירה שמפאת חומרתה, מהותה או נסיבותיה אין הוא ראוי, לדעת הוועדה המייעצת, לשמש מגשר;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(2) הוא הורשע בעבירת משמעת לפי כל דין או הוגשה נגדו קובלנה בעבירת משמעת שמפאת חומרתה, מהותה או נסיבותיה, אין הוא ראוי, לדעת הוועדה המייעצת, לשמש מגשר.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בקשה להיכלל ברשימת המגשרים </w:t>
            </w: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7.</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בקשה להיכלל ברשימת מגשרים ובקשה לחידוש רישום תוגש ליחידת הגישור ובה יציין המבקש באיזו רשימה מתוך רשימות המגשרים הוא מעוניין להיכלל; הבקשה  להיכלל ברשימת המגשרים תכלול את פרטי המגשר ונתונים המוכיחים כי התקיימו בו הדרישות שבתקנות 3 ו-4  הנוגעים למבקש והנושאים שבהם הוא מתמחה, אזורי פעילותו, והשפות שהוא דובר, למעט לעניין הערכה מקצועית;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המגשר  יציין בבקשה את שכר הטרחה שהוא דורש והוא רשאי לציין שכר טרחה שונה להליך גישור שאיננו מתקיים במסגרת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להליך בענייני משפחה או להליך במסגרת 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שכר הטרחה יכלול את כל עבודת המגשר לרבות פעולות הכנה לגישור ועריכת הסדר גישור ולא ייגבה שכר נוסף בעד רכיבים אלה.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(ג)</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המגשר רשאי לציין כי הוא פועל מטעם מרכז גישור בקהילה או שהוא מגשר במשותף עם מגשר נוסף, ומידע כאמור יצוין ברשימה.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(ד)</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על הערכה מקצועית יחולו הוראות אלה:</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מצאה יחידת הגישור כי המגשר עומד בדרישות תקנות אלה כדי להיכלל ברשימת המגשרים למעט לעניין הערכה מקצועית, תזמין אותו לעבור הליך של הערכה מקצועית בכפוף לכך שמילא אחר הדרישות כאמור בפסקה (2);</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בעד ההשתתפות בהערכה מקצועית תשולם אגרה לפי התוספת השנייה ולצורך ההערכה כאמור יידרש המגשר להגיש ליחידת הגישור תיעוד של שלושה הליכי גישור שהביאו להסדרים שהוגשו על ידו בעת הגשת הבקשה, ללא ציון שמות ופרטים מזהים; </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עבר המגשר את ההערכה המקצועית בהצלחה, יחידת הגישור תכלול את המגשר ברשימת המגשרים.</w:t>
            </w:r>
          </w:p>
          <w:p w:rsidR="007D6D45" w:rsidRPr="007D6D45" w:rsidRDefault="007D6D45" w:rsidP="007D6D45">
            <w:pPr>
              <w:numPr>
                <w:ilvl w:val="0"/>
                <w:numId w:val="27"/>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הליך של הערכה מקצועית כאמור יתבצע אחת לשנה, במועד שתחליט יחידת הגישור.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(ה)</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הממונה על יחידת הגישור יעמיד לרשות בית המשפט ולרשות הציבור את </w:t>
            </w:r>
            <w:r w:rsidRPr="007D6D45">
              <w:rPr>
                <w:rFonts w:ascii="Calibri" w:eastAsia="Calibri" w:hAnsi="Calibri" w:cs="David"/>
                <w:sz w:val="24"/>
                <w:szCs w:val="24"/>
                <w:rtl/>
              </w:rPr>
              <w:t>רשימת המגשרים</w:t>
            </w:r>
            <w:r w:rsidRPr="007D6D45">
              <w:rPr>
                <w:rFonts w:ascii="Calibri" w:eastAsia="Calibri" w:hAnsi="Calibri" w:cs="David" w:hint="cs"/>
                <w:sz w:val="24"/>
                <w:szCs w:val="24"/>
                <w:rtl/>
              </w:rPr>
              <w:t>; הממונה יפרסם את רשימת</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המגשרים</w:t>
            </w:r>
            <w:r w:rsidRPr="007D6D45">
              <w:rPr>
                <w:rFonts w:ascii="Calibri" w:eastAsia="Calibri" w:hAnsi="Calibri" w:cs="David"/>
                <w:sz w:val="24"/>
                <w:szCs w:val="24"/>
                <w:rtl/>
              </w:rPr>
              <w:t xml:space="preserve"> באתר האינטרנט של הנהלת בתי המשפט </w:t>
            </w:r>
            <w:r w:rsidRPr="007D6D45">
              <w:rPr>
                <w:rFonts w:ascii="Calibri" w:eastAsia="Calibri" w:hAnsi="Calibri" w:cs="David" w:hint="cs"/>
                <w:sz w:val="24"/>
                <w:szCs w:val="24"/>
                <w:rtl/>
              </w:rPr>
              <w:t xml:space="preserve">שכתובתו </w:t>
            </w:r>
            <w:r w:rsidRPr="007D6D45">
              <w:rPr>
                <w:rFonts w:ascii="Calibri" w:eastAsia="Calibri" w:hAnsi="Calibri" w:cs="David"/>
                <w:sz w:val="24"/>
                <w:szCs w:val="24"/>
              </w:rPr>
              <w:t>www.court.gov.il</w:t>
            </w:r>
            <w:r w:rsidRPr="007D6D45">
              <w:rPr>
                <w:rFonts w:ascii="Calibri" w:eastAsia="Calibri" w:hAnsi="Calibri" w:cs="David" w:hint="cs"/>
                <w:sz w:val="24"/>
                <w:szCs w:val="24"/>
                <w:rtl/>
              </w:rPr>
              <w:t xml:space="preserve"> </w:t>
            </w:r>
            <w:r w:rsidRPr="007D6D45">
              <w:rPr>
                <w:rFonts w:ascii="Calibri" w:eastAsia="Calibri" w:hAnsi="Calibri" w:cs="David"/>
                <w:sz w:val="24"/>
                <w:szCs w:val="24"/>
                <w:rtl/>
              </w:rPr>
              <w:t>ובאתר האינטרנט של משרד המשפטים</w:t>
            </w:r>
            <w:r w:rsidRPr="007D6D45">
              <w:rPr>
                <w:rFonts w:ascii="Calibri" w:eastAsia="Calibri" w:hAnsi="Calibri" w:cs="David" w:hint="cs"/>
                <w:sz w:val="24"/>
                <w:szCs w:val="24"/>
                <w:rtl/>
              </w:rPr>
              <w:t xml:space="preserve"> שכתובתו </w:t>
            </w:r>
            <w:r w:rsidRPr="007D6D45">
              <w:rPr>
                <w:rFonts w:ascii="Calibri" w:eastAsia="Calibri" w:hAnsi="Calibri" w:cs="David"/>
                <w:sz w:val="24"/>
                <w:szCs w:val="24"/>
              </w:rPr>
              <w:t>www.justice.gov.il</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רשימת מגשרים תכלול</w:t>
            </w:r>
            <w:r w:rsidRPr="007D6D45">
              <w:rPr>
                <w:rFonts w:ascii="Calibri" w:eastAsia="Calibri" w:hAnsi="Calibri" w:cs="David"/>
                <w:sz w:val="24"/>
                <w:szCs w:val="24"/>
                <w:rtl/>
              </w:rPr>
              <w:t xml:space="preserve"> את </w:t>
            </w:r>
            <w:r w:rsidRPr="007D6D45">
              <w:rPr>
                <w:rFonts w:ascii="Calibri" w:eastAsia="Calibri" w:hAnsi="Calibri" w:cs="David" w:hint="cs"/>
                <w:sz w:val="24"/>
                <w:szCs w:val="24"/>
                <w:rtl/>
              </w:rPr>
              <w:t>שם</w:t>
            </w:r>
            <w:r w:rsidRPr="007D6D45">
              <w:rPr>
                <w:rFonts w:ascii="Calibri" w:eastAsia="Calibri" w:hAnsi="Calibri" w:cs="David"/>
                <w:sz w:val="24"/>
                <w:szCs w:val="24"/>
                <w:rtl/>
              </w:rPr>
              <w:t xml:space="preserve"> המגשר</w:t>
            </w:r>
            <w:r w:rsidRPr="007D6D45">
              <w:rPr>
                <w:rFonts w:ascii="Calibri" w:eastAsia="Calibri" w:hAnsi="Calibri" w:cs="David" w:hint="cs"/>
                <w:sz w:val="24"/>
                <w:szCs w:val="24"/>
                <w:rtl/>
              </w:rPr>
              <w:t xml:space="preserve">, מקצועו והתארים האקדמאיים שברשותו, הנושאים שבהם הוא מתמחה, אזורי פעילותו השפות שהוא דובר ומידע כאמור בתקנת משנה (ג).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חידוש רישום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8.</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ייכלל ברשימת המגשרים לתקופה של חמש שנים וניתן לחדש את הרישום לחמש שנים בכל פעם.</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יחידת הגישור תאשר בקשה לחידוש רישום בהתקיים תנאים אלה:</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המבקש צירף חמישה הסדרי גישור מגישורים שניהל בחמש השנים האחרונות וכן תיעוד של שלושה הליכי גישור שהביאו להסדרים אלה;</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המבקש עמד בהערכה מקצועית מותאמת להליך של חידוש רישום; </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לא התקיימו סייגים לרישומו כאמור בתקנה 6 או עילות לעיכוב או התליה כאמור בתקנה 9;</w:t>
            </w:r>
          </w:p>
          <w:p w:rsidR="007D6D45" w:rsidRPr="007D6D45" w:rsidRDefault="007D6D45" w:rsidP="007D6D45">
            <w:pPr>
              <w:numPr>
                <w:ilvl w:val="0"/>
                <w:numId w:val="12"/>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לא התקיימו עילות למחיקתו מרשימת המגשרים כאמור בתקנה 10.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עיכוב או התליה של רישום ברשימת המגשרים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9.</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הוועדה המייעצת, רשאית לעכב או להתלות רישום של מגשר ברשימת המגשרים, לאחר שנתנה למגשר הזדמנות לטעון את טענותיו בפניה, אם מתנהלת נגדו חקירה בשל חשד לביצוע עבירה כאמור בתקנה 6(1) או 6(2).</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מחיקה מרשימת המגשרים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10.</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בנוסף על האמור בתקנה 6, הוועדה המייעצת, רשאית למחוק שמו של מגשר מרשימת המגשרים לאחר שנתנה למגשר הזדמנות לטעון את טענותיו בפניה, אם התקיים אחד מאלה:</w:t>
            </w:r>
          </w:p>
          <w:p w:rsidR="007D6D45" w:rsidRPr="007D6D45" w:rsidRDefault="007D6D45" w:rsidP="007D6D45">
            <w:pPr>
              <w:numPr>
                <w:ilvl w:val="0"/>
                <w:numId w:val="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הורשע בעבירה או הוגש נגדו כתב אישום כאמור בתקנה 6;</w:t>
            </w:r>
          </w:p>
          <w:p w:rsidR="007D6D45" w:rsidRPr="007D6D45" w:rsidRDefault="007D6D45" w:rsidP="007D6D45">
            <w:pPr>
              <w:numPr>
                <w:ilvl w:val="0"/>
                <w:numId w:val="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קיימות נסיבות שבשלהן אין הוא ראוי לשמש מגשר, לרבות אי קיום תקנות הגישור;</w:t>
            </w:r>
          </w:p>
          <w:p w:rsidR="007D6D45" w:rsidRPr="007D6D45" w:rsidRDefault="007D6D45" w:rsidP="007D6D45">
            <w:pPr>
              <w:numPr>
                <w:ilvl w:val="0"/>
                <w:numId w:val="3"/>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התנהגות המגשר אינה הולמת מי שממלא תפקיד של מגשר.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שכר טרחה מרבי</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11.</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שגובה מגשר בעד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או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לא יעלה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עדכון סכומים </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12.</w:t>
            </w: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הסכומים הנקובים בתוספת הראשונה ובתוספת השנייה יתעדכנו ב-1 בינואר של כל שנה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יום העדכון), לפי שינוי המדד החדש לעומת המדד היסודי.</w:t>
            </w:r>
          </w:p>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סכום מעודכן כאמור בתקנת משנה (א), יעוגל לשקל החדש השלם הקרוב, וסכום של חצי שקל יעוגל כלפי מעלה.</w:t>
            </w:r>
          </w:p>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המנהל הכללי של משרד המשפטים יפרסם בהודעה ברשומות את נוסח התוספת כפי שהשתנה לפי תקנה זו.</w:t>
            </w:r>
          </w:p>
          <w:p w:rsidR="007D6D45" w:rsidRPr="007D6D45" w:rsidRDefault="007D6D45" w:rsidP="007D6D45">
            <w:pPr>
              <w:numPr>
                <w:ilvl w:val="0"/>
                <w:numId w:val="6"/>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בתקנה זאת </w:t>
            </w:r>
            <w:r w:rsidRPr="007D6D45">
              <w:rPr>
                <w:rFonts w:ascii="Calibri" w:eastAsia="Calibri" w:hAnsi="Calibri" w:cs="David"/>
                <w:sz w:val="24"/>
                <w:szCs w:val="24"/>
                <w:rtl/>
              </w:rPr>
              <w:t>–</w:t>
            </w:r>
          </w:p>
          <w:p w:rsidR="007D6D45" w:rsidRPr="007D6D45" w:rsidRDefault="007D6D45" w:rsidP="007D6D45">
            <w:pPr>
              <w:spacing w:after="120" w:line="360" w:lineRule="auto"/>
              <w:jc w:val="both"/>
              <w:rPr>
                <w:rFonts w:ascii="Calibri" w:eastAsia="Calibri" w:hAnsi="Calibri" w:cs="David"/>
                <w:b/>
                <w:bCs/>
                <w:sz w:val="24"/>
                <w:szCs w:val="24"/>
                <w:rtl/>
              </w:rPr>
            </w:pPr>
            <w:r w:rsidRPr="007D6D45">
              <w:rPr>
                <w:rFonts w:ascii="Calibri" w:eastAsia="Calibri" w:hAnsi="Calibri" w:cs="David" w:hint="cs"/>
                <w:sz w:val="24"/>
                <w:szCs w:val="24"/>
                <w:rtl/>
              </w:rPr>
              <w:t xml:space="preserve">"המדד"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מדד המחירים לצרכן שמפרסמת הלשכה המרכזית לסטטיסטיקה;</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"מדד חדש"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המדד שפורסם בחודש נובמבר שקדם ליום העדכון;</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"מדד יסודי"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המדד שפורסם בחודש נובמבר 2014.</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תחילה והוראות מעבר</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13.</w:t>
            </w: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תחילתן של תקנות אלה תשעה חודשים מיום פרסומן, למעט תקנה 2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יום התחילה).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 </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sz w:val="24"/>
                <w:szCs w:val="24"/>
                <w:rtl/>
              </w:rPr>
              <w:t xml:space="preserve">על אף האמור בתקנות אלה, </w:t>
            </w:r>
            <w:r w:rsidRPr="007D6D45">
              <w:rPr>
                <w:rFonts w:ascii="Calibri" w:eastAsia="Calibri" w:hAnsi="Calibri" w:cs="David" w:hint="cs"/>
                <w:sz w:val="24"/>
                <w:szCs w:val="24"/>
                <w:rtl/>
              </w:rPr>
              <w:t>רשאי להיכלל ברשימה גם - מי שלא התקיימו בו לפני יום התחילה-</w:t>
            </w:r>
          </w:p>
          <w:p w:rsidR="007D6D45" w:rsidRPr="007D6D45" w:rsidRDefault="007D6D45" w:rsidP="007D6D45">
            <w:pPr>
              <w:numPr>
                <w:ilvl w:val="0"/>
                <w:numId w:val="2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תקנות 3(א)(3) או 4(2), לפי העניין, אם הוא נכלל ברשימת המגשרים לפי תקנות בתי המשפט (רשימת המגשרים),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- 1996</w:t>
            </w:r>
            <w:r w:rsidRPr="007D6D45">
              <w:rPr>
                <w:rFonts w:ascii="Calibri" w:eastAsia="Calibri" w:hAnsi="Calibri" w:cs="David"/>
                <w:sz w:val="24"/>
                <w:szCs w:val="24"/>
                <w:vertAlign w:val="superscript"/>
                <w:rtl/>
              </w:rPr>
              <w:footnoteReference w:id="9"/>
            </w:r>
            <w:r w:rsidRPr="007D6D45">
              <w:rPr>
                <w:rFonts w:ascii="Calibri" w:eastAsia="Calibri" w:hAnsi="Calibri" w:cs="David" w:hint="cs"/>
                <w:sz w:val="24"/>
                <w:szCs w:val="24"/>
                <w:rtl/>
              </w:rPr>
              <w:t xml:space="preserve"> או שהוא עמד בתנאי ההכשרה לעניין גישור או גישור בענייני משפחה, לפי העניין, כפי שנקבעו בהן;  </w:t>
            </w:r>
          </w:p>
          <w:p w:rsidR="007D6D45" w:rsidRPr="007D6D45" w:rsidRDefault="007D6D45" w:rsidP="007D6D45">
            <w:pPr>
              <w:numPr>
                <w:ilvl w:val="0"/>
                <w:numId w:val="26"/>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תקנות 3(א)(4) או 4(3), לפי העניין, אם הוא סיים תכנית התנסות מודרכת בגישור וקיבל תעודה על כך מהמרכז הארצי לגישור כהגדרתו בתקנות בתי המשפט (רשימת המגשרים),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או מהנהלת בתי המשפט.  </w:t>
            </w:r>
          </w:p>
        </w:tc>
      </w:tr>
    </w:tbl>
    <w:p w:rsidR="007D6D45" w:rsidRPr="007D6D45" w:rsidRDefault="007D6D45" w:rsidP="007D6D45">
      <w:pPr>
        <w:spacing w:after="0" w:line="360" w:lineRule="auto"/>
        <w:jc w:val="center"/>
        <w:rPr>
          <w:rFonts w:ascii="Times New Roman" w:eastAsia="Times New Roman" w:hAnsi="Times New Roman" w:cs="David"/>
          <w:b/>
          <w:bCs/>
          <w:spacing w:val="20"/>
          <w:sz w:val="24"/>
          <w:szCs w:val="24"/>
          <w:rtl/>
        </w:rPr>
      </w:pPr>
    </w:p>
    <w:p w:rsidR="007D6D45" w:rsidRPr="007D6D45" w:rsidRDefault="007D6D45" w:rsidP="007D6D45">
      <w:pPr>
        <w:spacing w:after="0" w:line="360" w:lineRule="auto"/>
        <w:jc w:val="center"/>
        <w:rPr>
          <w:rFonts w:ascii="Times New Roman" w:eastAsia="Times New Roman" w:hAnsi="Times New Roman" w:cs="David"/>
          <w:b/>
          <w:bCs/>
          <w:spacing w:val="20"/>
          <w:sz w:val="24"/>
          <w:szCs w:val="24"/>
          <w:rtl/>
        </w:rPr>
      </w:pPr>
    </w:p>
    <w:p w:rsidR="007D6D45" w:rsidRPr="007D6D45" w:rsidRDefault="007D6D45" w:rsidP="007D6D45">
      <w:pPr>
        <w:spacing w:line="360" w:lineRule="auto"/>
        <w:rPr>
          <w:rFonts w:ascii="Calibri" w:eastAsia="Calibri" w:hAnsi="Calibri" w:cs="David"/>
          <w:b/>
          <w:bCs/>
          <w:sz w:val="24"/>
          <w:szCs w:val="24"/>
          <w:rtl/>
        </w:rPr>
      </w:pPr>
    </w:p>
    <w:p w:rsidR="007D6D45" w:rsidRPr="007D6D45" w:rsidRDefault="007D6D45" w:rsidP="007D6D45">
      <w:pPr>
        <w:spacing w:line="360" w:lineRule="auto"/>
        <w:jc w:val="center"/>
        <w:rPr>
          <w:rFonts w:ascii="Calibri" w:eastAsia="Calibri" w:hAnsi="Calibri" w:cs="David"/>
          <w:b/>
          <w:bCs/>
          <w:sz w:val="24"/>
          <w:szCs w:val="24"/>
          <w:rtl/>
        </w:rPr>
      </w:pPr>
      <w:r w:rsidRPr="007D6D45">
        <w:rPr>
          <w:rFonts w:ascii="Calibri" w:eastAsia="Calibri" w:hAnsi="Calibri" w:cs="David" w:hint="cs"/>
          <w:b/>
          <w:bCs/>
          <w:sz w:val="24"/>
          <w:szCs w:val="24"/>
          <w:rtl/>
        </w:rPr>
        <w:t>תוספת ראשונה</w:t>
      </w:r>
    </w:p>
    <w:p w:rsidR="007D6D45" w:rsidRPr="007D6D45" w:rsidRDefault="007D6D45" w:rsidP="007D6D45">
      <w:pPr>
        <w:spacing w:line="360" w:lineRule="auto"/>
        <w:jc w:val="center"/>
        <w:rPr>
          <w:rFonts w:ascii="Calibri" w:eastAsia="Calibri" w:hAnsi="Calibri" w:cs="David"/>
          <w:sz w:val="24"/>
          <w:szCs w:val="24"/>
          <w:rtl/>
        </w:rPr>
      </w:pPr>
      <w:r w:rsidRPr="007D6D45">
        <w:rPr>
          <w:rFonts w:ascii="Calibri" w:eastAsia="Calibri" w:hAnsi="Calibri" w:cs="David" w:hint="cs"/>
          <w:sz w:val="24"/>
          <w:szCs w:val="24"/>
          <w:rtl/>
        </w:rPr>
        <w:t xml:space="preserve"> (תקנות 3(א), (4), 11 ו-12)</w:t>
      </w:r>
    </w:p>
    <w:p w:rsidR="007D6D45" w:rsidRPr="007D6D45" w:rsidRDefault="007D6D45" w:rsidP="007D6D45">
      <w:pPr>
        <w:spacing w:line="360" w:lineRule="auto"/>
        <w:rPr>
          <w:rFonts w:ascii="Calibri" w:eastAsia="Calibri" w:hAnsi="Calibri" w:cs="David"/>
          <w:sz w:val="24"/>
          <w:szCs w:val="24"/>
          <w:rtl/>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בשקלים חדשים </w:t>
            </w:r>
          </w:p>
        </w:tc>
      </w:tr>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המרבי בעד שעת גישור שמתקיימת בעקבות ישיבת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ובעקבות ישיבת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בענייני משפחה.</w:t>
            </w: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400 + מע"מ לכל צד, ולא יותר מ-1,200 + מע"מ אם משתתפים בגישור למעלה מ-3 צדדים.</w:t>
            </w:r>
          </w:p>
        </w:tc>
      </w:tr>
    </w:tbl>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360" w:lineRule="auto"/>
        <w:jc w:val="center"/>
        <w:rPr>
          <w:rFonts w:ascii="Calibri" w:eastAsia="Calibri" w:hAnsi="Calibri" w:cs="David"/>
          <w:b/>
          <w:bCs/>
          <w:sz w:val="24"/>
          <w:szCs w:val="24"/>
          <w:rtl/>
        </w:rPr>
      </w:pPr>
      <w:r w:rsidRPr="007D6D45">
        <w:rPr>
          <w:rFonts w:ascii="Calibri" w:eastAsia="Calibri" w:hAnsi="Calibri" w:cs="David" w:hint="cs"/>
          <w:b/>
          <w:bCs/>
          <w:sz w:val="24"/>
          <w:szCs w:val="24"/>
          <w:rtl/>
        </w:rPr>
        <w:t>תוספת שנייה</w:t>
      </w:r>
    </w:p>
    <w:p w:rsidR="007D6D45" w:rsidRPr="007D6D45" w:rsidRDefault="007D6D45" w:rsidP="007D6D45">
      <w:pPr>
        <w:spacing w:line="360" w:lineRule="auto"/>
        <w:jc w:val="center"/>
        <w:rPr>
          <w:rFonts w:ascii="Calibri" w:eastAsia="Calibri" w:hAnsi="Calibri" w:cs="David"/>
          <w:sz w:val="24"/>
          <w:szCs w:val="24"/>
          <w:rtl/>
        </w:rPr>
      </w:pPr>
      <w:r w:rsidRPr="007D6D45">
        <w:rPr>
          <w:rFonts w:ascii="Calibri" w:eastAsia="Calibri" w:hAnsi="Calibri" w:cs="David" w:hint="cs"/>
          <w:sz w:val="24"/>
          <w:szCs w:val="24"/>
          <w:rtl/>
        </w:rPr>
        <w:t xml:space="preserve"> (תקנה 7(א))</w:t>
      </w:r>
    </w:p>
    <w:p w:rsidR="007D6D45" w:rsidRPr="007D6D45" w:rsidRDefault="007D6D45" w:rsidP="007D6D45">
      <w:pPr>
        <w:spacing w:line="360" w:lineRule="auto"/>
        <w:rPr>
          <w:rFonts w:ascii="Calibri" w:eastAsia="Calibri" w:hAnsi="Calibri" w:cs="David"/>
          <w:sz w:val="24"/>
          <w:szCs w:val="24"/>
          <w:rtl/>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בשקלים חדשים</w:t>
            </w:r>
          </w:p>
        </w:tc>
      </w:tr>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השתתפות בהערכה מקצועית</w:t>
            </w: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870</w:t>
            </w:r>
          </w:p>
        </w:tc>
      </w:tr>
    </w:tbl>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_________ </w:t>
      </w:r>
      <w:proofErr w:type="spellStart"/>
      <w:r w:rsidRPr="007D6D45">
        <w:rPr>
          <w:rFonts w:ascii="Calibri" w:eastAsia="Calibri" w:hAnsi="Calibri" w:cs="David" w:hint="cs"/>
          <w:sz w:val="24"/>
          <w:szCs w:val="24"/>
          <w:rtl/>
        </w:rPr>
        <w:t>התשע"ו</w:t>
      </w:r>
      <w:proofErr w:type="spellEnd"/>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________2016)</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w:t>
      </w:r>
      <w:proofErr w:type="spellStart"/>
      <w:r w:rsidRPr="007D6D45">
        <w:rPr>
          <w:rFonts w:ascii="Calibri" w:eastAsia="Calibri" w:hAnsi="Calibri" w:cs="David" w:hint="cs"/>
          <w:sz w:val="24"/>
          <w:szCs w:val="24"/>
          <w:rtl/>
        </w:rPr>
        <w:t>חמ</w:t>
      </w:r>
      <w:proofErr w:type="spellEnd"/>
      <w:r w:rsidRPr="007D6D45">
        <w:rPr>
          <w:rFonts w:ascii="Calibri" w:eastAsia="Calibri" w:hAnsi="Calibri" w:cs="David" w:hint="cs"/>
          <w:sz w:val="24"/>
          <w:szCs w:val="24"/>
          <w:rtl/>
        </w:rPr>
        <w:t xml:space="preserve"> 3-3207)</w:t>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t xml:space="preserve">                          </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_____________  </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איילת שקד</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w:t>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t xml:space="preserve">            שרת המשפטים</w:t>
      </w:r>
    </w:p>
    <w:p w:rsidR="007D6D45" w:rsidRPr="007D6D45" w:rsidRDefault="007D6D45" w:rsidP="007D6D45">
      <w:pPr>
        <w:spacing w:line="360" w:lineRule="auto"/>
        <w:jc w:val="center"/>
        <w:rPr>
          <w:rFonts w:ascii="Calibri" w:eastAsia="Calibri" w:hAnsi="Calibri" w:cs="David"/>
          <w:b/>
          <w:bCs/>
          <w:sz w:val="24"/>
          <w:szCs w:val="24"/>
          <w:u w:val="single"/>
          <w:rtl/>
        </w:rPr>
      </w:pPr>
    </w:p>
    <w:p w:rsidR="007D6D45" w:rsidRPr="007D6D45" w:rsidRDefault="007D6D45" w:rsidP="007D6D45">
      <w:pPr>
        <w:spacing w:line="360" w:lineRule="auto"/>
        <w:jc w:val="center"/>
        <w:rPr>
          <w:rFonts w:ascii="Calibri" w:eastAsia="Calibri" w:hAnsi="Calibri" w:cs="David"/>
          <w:b/>
          <w:bCs/>
          <w:sz w:val="24"/>
          <w:szCs w:val="24"/>
          <w:u w:val="single"/>
          <w:rtl/>
        </w:rPr>
      </w:pPr>
    </w:p>
    <w:p w:rsidR="007D6D45" w:rsidRPr="007D6D45" w:rsidRDefault="007D6D45" w:rsidP="007D6D45">
      <w:pPr>
        <w:spacing w:line="360" w:lineRule="auto"/>
        <w:jc w:val="center"/>
        <w:rPr>
          <w:rFonts w:ascii="Calibri" w:eastAsia="Calibri" w:hAnsi="Calibri" w:cs="David"/>
          <w:b/>
          <w:bCs/>
          <w:sz w:val="24"/>
          <w:szCs w:val="24"/>
          <w:u w:val="single"/>
          <w:rtl/>
        </w:rPr>
      </w:pPr>
      <w:r w:rsidRPr="007D6D45">
        <w:rPr>
          <w:rFonts w:ascii="Calibri" w:eastAsia="Calibri" w:hAnsi="Calibri" w:cs="David" w:hint="cs"/>
          <w:b/>
          <w:bCs/>
          <w:sz w:val="24"/>
          <w:szCs w:val="24"/>
          <w:u w:val="single"/>
          <w:rtl/>
        </w:rPr>
        <w:t>דברי הסבר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מטרת תקנות אלה היא להסדיר את הפניית המתדיינים בבתי המשפט למגשרים תוך קביעת התנאים המוקדמים להיכללותם ברשימה (כשירות, השכלה, הכישורים והניסיון הנדרשים ממגשר).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תקנות בתי המשפט (רשימת 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(להלן- תקנות רשימת המגשרים משנת 96'), הסדירו את התנאים שיידרש מגשר לעמוד בהם כדי שיוכל להיכלל ברשימת המגשרים של בתי המשפט. תקנות אלה היו בתוקף עד שבוטלו בשנת 2008. בחודש מאי 1998 פורסם דו"ח הוועדה המייעצת לעניין גישור בבית המשפט בראשות כב' השופטת שרה גדות (להלן- ועדת גדות), אשר אומצו ונקבעו דה פקטו, בתקנות בתי המשפט (מינוי מפשר),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(פורסמו </w:t>
      </w:r>
      <w:proofErr w:type="spellStart"/>
      <w:r w:rsidRPr="007D6D45">
        <w:rPr>
          <w:rFonts w:ascii="Calibri" w:eastAsia="Calibri" w:hAnsi="Calibri" w:cs="David" w:hint="cs"/>
          <w:sz w:val="24"/>
          <w:szCs w:val="24"/>
          <w:rtl/>
        </w:rPr>
        <w:t>בק"ת</w:t>
      </w:r>
      <w:proofErr w:type="spellEnd"/>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עמ' 1325), במסגרת תיקון לתקנות מיום ג' בטבת </w:t>
      </w:r>
      <w:proofErr w:type="spellStart"/>
      <w:r w:rsidRPr="007D6D45">
        <w:rPr>
          <w:rFonts w:ascii="Calibri" w:eastAsia="Calibri" w:hAnsi="Calibri" w:cs="David" w:hint="cs"/>
          <w:sz w:val="24"/>
          <w:szCs w:val="24"/>
          <w:rtl/>
        </w:rPr>
        <w:t>התשנ"ט</w:t>
      </w:r>
      <w:proofErr w:type="spellEnd"/>
      <w:r w:rsidRPr="007D6D45">
        <w:rPr>
          <w:rFonts w:ascii="Calibri" w:eastAsia="Calibri" w:hAnsi="Calibri" w:cs="David" w:hint="cs"/>
          <w:sz w:val="24"/>
          <w:szCs w:val="24"/>
          <w:rtl/>
        </w:rPr>
        <w:t xml:space="preserve"> (20 בינואר 1999) (פורסמו </w:t>
      </w:r>
      <w:proofErr w:type="spellStart"/>
      <w:r w:rsidRPr="007D6D45">
        <w:rPr>
          <w:rFonts w:ascii="Calibri" w:eastAsia="Calibri" w:hAnsi="Calibri" w:cs="David" w:hint="cs"/>
          <w:sz w:val="24"/>
          <w:szCs w:val="24"/>
          <w:rtl/>
        </w:rPr>
        <w:t>בק"ת</w:t>
      </w:r>
      <w:proofErr w:type="spellEnd"/>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התשנ"ט</w:t>
      </w:r>
      <w:proofErr w:type="spellEnd"/>
      <w:r w:rsidRPr="007D6D45">
        <w:rPr>
          <w:rFonts w:ascii="Calibri" w:eastAsia="Calibri" w:hAnsi="Calibri" w:cs="David" w:hint="cs"/>
          <w:sz w:val="24"/>
          <w:szCs w:val="24"/>
          <w:rtl/>
        </w:rPr>
        <w:t>, עמ' 281).</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ההוראות שנקבעו בתקנות רשימת המגשרים משנת 1996 שימשו בסיס להסדרים המוצעים בתקנות אלה. יחד עם זאת ובהתחשב בעובדה שבאותה העת הליך הגישור היה בתחילת דרכו ושבמהלך הזמן הצטבר ידע וניסיון אודות הליך זה, נערכו בתקנות המוצעות עדכונים ושינויים מתאימים.  על השימוש בגישור אמרה ועדת גדות בזמנו כי: "השימוש בגישור והבקרה על איכות ההליך הם המפתח לביסוס הגישור בישראל, ולכן קביעת אמות המידה הראויות לכישוריהם של המגשרים אשר ייכללו ברשימה שתעמוד לרשות בתי המשפט היא תנאי בלעדיו אין".</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טיוטת התקנות נועדה להסדיר את ההפניה של המגשרים</w:t>
      </w:r>
      <w:r w:rsidRPr="007D6D45">
        <w:rPr>
          <w:rFonts w:ascii="Calibri" w:eastAsia="Calibri" w:hAnsi="Calibri" w:cs="David"/>
          <w:sz w:val="24"/>
          <w:szCs w:val="24"/>
          <w:rtl/>
        </w:rPr>
        <w:t xml:space="preserve"> על ידי בתי המשפט בלבד</w:t>
      </w:r>
      <w:r w:rsidRPr="007D6D45">
        <w:rPr>
          <w:rFonts w:ascii="Calibri" w:eastAsia="Calibri" w:hAnsi="Calibri" w:cs="David" w:hint="cs"/>
          <w:sz w:val="24"/>
          <w:szCs w:val="24"/>
          <w:rtl/>
        </w:rPr>
        <w:t xml:space="preserve">, בין בהליכי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ובין במסגרת ההתדיינות השיפוטית בין הצדדים, באופן שוויוני ושקוף ככל הניתן. בעלי הדין רשאים לבחור כל מגשר ואינם מחויבים לבחור מגשר מן הרשימה, מה גם שמתנהלים גישורים בתחומים שונים גם שלא במסגרת תביעות משפטיות.  התקנות נועדו לייצר רשימה של מגשרים שתעמוד, לרשות בתי המשפט, בכל סוגי התובענות וההליכים שבמסגרתם מופנים צדדים לגישור. בהתאם לכך, ייערכו שלוש רשימות של מגשרים- מגשרים כללי (לפי סעיף 79ג לחוק בתי המשפט, לפי סעיף 39 לחוק בית הדין לעבודה ולפי פרק ז'1 לתקנות </w:t>
      </w:r>
      <w:proofErr w:type="spellStart"/>
      <w:r w:rsidRPr="007D6D45">
        <w:rPr>
          <w:rFonts w:ascii="Calibri" w:eastAsia="Calibri" w:hAnsi="Calibri" w:cs="David" w:hint="cs"/>
          <w:sz w:val="24"/>
          <w:szCs w:val="24"/>
          <w:rtl/>
        </w:rPr>
        <w:t>סד"א</w:t>
      </w:r>
      <w:proofErr w:type="spellEnd"/>
      <w:r w:rsidRPr="007D6D45">
        <w:rPr>
          <w:rFonts w:ascii="Calibri" w:eastAsia="Calibri" w:hAnsi="Calibri" w:cs="David" w:hint="cs"/>
          <w:sz w:val="24"/>
          <w:szCs w:val="24"/>
          <w:rtl/>
        </w:rPr>
        <w:t xml:space="preserve">), מגשרי בית משפט לתביעות קטנות ומגשרי משפחה, שאליהן יופנו בעלי דין מבתי המשפט ובמסגרתן ייכללו פרטים אודות המגשר, לרבות הנושאים שבהם הוא מתמחה והערכת מיומנותו (סעיף 79ד(ב2) לחוק בתי המשפט, </w:t>
      </w:r>
      <w:proofErr w:type="spellStart"/>
      <w:r w:rsidRPr="007D6D45">
        <w:rPr>
          <w:rFonts w:ascii="Calibri" w:eastAsia="Calibri" w:hAnsi="Calibri" w:cs="David" w:hint="cs"/>
          <w:sz w:val="24"/>
          <w:szCs w:val="24"/>
          <w:rtl/>
        </w:rPr>
        <w:t>התשמד</w:t>
      </w:r>
      <w:proofErr w:type="spellEnd"/>
      <w:r w:rsidRPr="007D6D45">
        <w:rPr>
          <w:rFonts w:ascii="Calibri" w:eastAsia="Calibri" w:hAnsi="Calibri" w:cs="David" w:hint="cs"/>
          <w:sz w:val="24"/>
          <w:szCs w:val="24"/>
          <w:rtl/>
        </w:rPr>
        <w:t>- 1984).</w:t>
      </w:r>
    </w:p>
    <w:p w:rsidR="007D6D45" w:rsidRPr="007D6D45" w:rsidRDefault="007D6D45" w:rsidP="007D6D45">
      <w:pPr>
        <w:spacing w:before="120" w:line="360" w:lineRule="auto"/>
        <w:jc w:val="both"/>
        <w:rPr>
          <w:rFonts w:ascii="Calibri" w:eastAsia="Calibri" w:hAnsi="Calibri" w:cs="David"/>
          <w:b/>
          <w:bCs/>
          <w:sz w:val="24"/>
          <w:szCs w:val="24"/>
          <w:u w:val="single"/>
          <w:rtl/>
        </w:rPr>
      </w:pPr>
      <w:r w:rsidRPr="007D6D45">
        <w:rPr>
          <w:rFonts w:ascii="Calibri" w:eastAsia="Calibri" w:hAnsi="Calibri" w:cs="David" w:hint="cs"/>
          <w:b/>
          <w:bCs/>
          <w:sz w:val="24"/>
          <w:szCs w:val="24"/>
          <w:u w:val="single"/>
          <w:rtl/>
        </w:rPr>
        <w:t>תקנה 1- הגדרות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b/>
          <w:bCs/>
          <w:sz w:val="24"/>
          <w:szCs w:val="24"/>
          <w:u w:val="single"/>
          <w:rtl/>
        </w:rPr>
        <w:t>תקנה 2- ועדה מייעצת</w:t>
      </w:r>
      <w:r w:rsidRPr="007D6D45">
        <w:rPr>
          <w:rFonts w:ascii="Calibri" w:eastAsia="Calibri" w:hAnsi="Calibri" w:cs="David" w:hint="cs"/>
          <w:sz w:val="24"/>
          <w:szCs w:val="24"/>
          <w:rtl/>
        </w:rPr>
        <w:t>- מטרת הקמת הוועדה המייעצת היא לסייע בידי שר המשפטים בעניינים מקצועיים הנוגעים לתחום הגישור, וביניהם, המלצה בעניין התכנים הנדרשים במסגרת ההכשרות לגישור והערכה המקצועית כתנאי סף לכניסה לרשימת המגשרים. כמו כן, הוועדה רשאית לאשר לכלול ברשימה מגשרים שלא עמדו בתנאי הכשירות, להמליץ על פרטים נוספים שיידרש מגשר למסור במסגרת בקשה להיכלל ברשימת המגשרים, להמליץ על עיכוב, התלייה או מחיקה של מגשר מהרשימה, להמליץ על אמות המידה שייבחנו במסגרת הערכה תקופתית, להמליץ על שכר הטרחה המקסימאלי בעד שעת גישור, לרבות בהתאם לסוג ההליך ומשכו.</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הרכבה של הוועדה המייעצת מביא לידי ביטוי את כלל הגופים שצריכים לתת את הדעת לעניינים שבסמכותה.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כמו כן, נקבע כי לפחות אחד מחברי הוועדה יהיה בעל חמש שנות ניסיון לפחות בניהול הליכי גישור, זאת כדי שמבין חברי הוועדה המייעצת יהיה לפחות גורם אחד בעל ניסיון מעשי בתחום.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תקופת  הכהונה של יו"ר וחברי הוועדה המייעצת תוגבל לקדנציה של חמש שנים מיום מינויים, והשר רשאי למנותם לתקופת כהונה אחת נוספת. המטרה היא לאפשר ריענון של השורות.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b/>
          <w:bCs/>
          <w:sz w:val="24"/>
          <w:szCs w:val="24"/>
          <w:u w:val="single"/>
          <w:rtl/>
        </w:rPr>
        <w:t>תקנה 3- כשירות להיכלל ברשימה</w:t>
      </w:r>
      <w:r w:rsidRPr="007D6D45">
        <w:rPr>
          <w:rFonts w:ascii="Calibri" w:eastAsia="Calibri" w:hAnsi="Calibri" w:cs="David" w:hint="cs"/>
          <w:sz w:val="24"/>
          <w:szCs w:val="24"/>
          <w:rtl/>
        </w:rPr>
        <w:t xml:space="preserve">- ביום י"ט באייר </w:t>
      </w:r>
      <w:proofErr w:type="spellStart"/>
      <w:r w:rsidRPr="007D6D45">
        <w:rPr>
          <w:rFonts w:ascii="Calibri" w:eastAsia="Calibri" w:hAnsi="Calibri" w:cs="David" w:hint="cs"/>
          <w:sz w:val="24"/>
          <w:szCs w:val="24"/>
          <w:rtl/>
        </w:rPr>
        <w:t>התשנ"ח</w:t>
      </w:r>
      <w:proofErr w:type="spellEnd"/>
      <w:r w:rsidRPr="007D6D45">
        <w:rPr>
          <w:rFonts w:ascii="Calibri" w:eastAsia="Calibri" w:hAnsi="Calibri" w:cs="David" w:hint="cs"/>
          <w:sz w:val="24"/>
          <w:szCs w:val="24"/>
          <w:rtl/>
        </w:rPr>
        <w:t xml:space="preserve"> 15.5.98 הוגש דו"ח ועדת גדות הדן בקביעת אמות המידה והניסיון המקצועי הנדרשים ממגשר שייכלל ברשימה, אשר תועמד לרשות בתי המשפט (להלן- דו"ח ועדת גדות השני). בדו"ח נקבע כי כדי שמגשר ישמש בתפקידו על פי המלצתו של בית המשפט, נהוג לקבוע תנאי סף באשר לכישורים הנדרשים מהם (כך נהוג במדינות שונות שבהן מקובל מוסד הגישור בצמוד לבית המשפט). תנאי הסף שמוצע לקבוע בתקנות אלה דומים במהותם לתנאים שעליהם המליצה ועדת גדות.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לפיכך, מוצע לקבוע כי מי שנתקיימו בו כל אלה כשיר להיכלל ברשימת המגשרים: </w:t>
      </w:r>
    </w:p>
    <w:p w:rsidR="007D6D45" w:rsidRPr="007D6D45" w:rsidRDefault="007D6D45" w:rsidP="007D6D45">
      <w:pPr>
        <w:spacing w:before="120" w:line="360" w:lineRule="auto"/>
        <w:jc w:val="both"/>
        <w:rPr>
          <w:rFonts w:ascii="Calibri" w:eastAsia="Calibri" w:hAnsi="Calibri" w:cs="David"/>
          <w:sz w:val="24"/>
          <w:szCs w:val="24"/>
          <w:rtl/>
        </w:rPr>
      </w:pP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3(א)</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(1) הוא בעל תואר אקדמי בוגר או תואר מחו"ל-  בדו"ח ועדת גדות נקבע כי יש חשיבות להשכלתו ולרמתו האישית של המגשר בנוסף לכישוריו המקצועיים. אין הכרח בלימוד מקצועות מסוימים דווקא וכל בעל השכלה אקדמית יוכל להיות מגשר אם יוכיח כי הוא עומד בכל התנאים האחרים למינוי מגשר.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(2) חמש שנות ניסיון לפחות בתחום עיסוקו- אין הכרח כי העיסוק יהיה בתחום הלימודים. דרישה זו משליכה על גילו של המגשר, אשר מופיע כתנאי לכשירות בחוקים שונים. בשעתו, הוועדה מצאה כי כישורי המגשר צריך שיכללו, בין היתר, בגרות, ניסיון חיים וניסיון מקצועי במשך 5 שנים לפחות. כדי שמגשר יזכה באמונם של הצדדים ושל עורכי הדין, יש צורך, לדעת הוועדה, לקבוע כי הוא יהא בעל ניסיון מקצועי ובגרות, בנוסף לכישורים המקצועיים האמורים. בדרישה לניסיון מקצועי יש כדי לשמש אמת מידה מהותית, בהבדל מבדיקה פורמלית של גיל, ויש בה כדי לחייב את המגשר בניסיון מקצועי בתחום עיסוקו (ולאו דווקא בגישור) וממילא ניתן לצפות כי הניסיון המקצועי יתרום גם לבגרות וניסיון חיים.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(3) לימוד בקורס הכשרה כללית בגישור- קורס עיוני ומעשי בגישור של 60 שעות לימוד לפחות שתכניתו אושרה על ידי הוועדה המייעצת- נדרש כי כישוריו של מגשר יתבססו בראש וראשונה על לימוד עיוני ומעשי בתחום הגישור. זהו בסיס שעשוי לשרת את המגשר במסגרת ניסיונו המעשי. בדו"ח ועדת גדות הראשון המליצה הוועדה על היקף של 40 שעות ולאחר מכן בדו"ח ועדת גדות השני המליצה הוועדה לשנות את אורך ההכשרה הנדרש ל-60 שעות הוראה. למידה, תרגול וניסיון עשויים לשפר את ביצועיו של המגשר. על המגשר ללמוד את הגישות, השיטות והאפשרויות העומדות לפניו בגישור כדי שיוכל לבחור בדרך המתאימה בגישור שלפניו, זאת לאחר שבחן את הדרכים האלטרנטיביות ומצא את זו שמתאימה לו ביותר.  אחת ממטרות ההכשרה בגישור היא "לחנך מחדש" את מי שיעסוק בגישור, באופן שיאפשר לו לסגל לעצמו דרך מחשבה הנדרשת לצורך יישוב סכסוכים ומתאימה לתפקידים שעל המגשר למלא. כמו כן, בלבו של הליך הגישור עומדת ההקפדה על כללי האתיקה המקצועית. ההכשרה לגישור מעמידה את המגשר על חשיבותם הייחודית של עניינים אל ה והשלכותיהם על מהות הליך הגישור.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(4) השתתפות בתכנית התנסות מודרכת שתכניתה אושרה על ידי הוועדה המייעצת - </w:t>
      </w:r>
      <w:r w:rsidRPr="007D6D45">
        <w:rPr>
          <w:rFonts w:ascii="Calibri" w:eastAsia="Calibri" w:hAnsi="Calibri" w:cs="David"/>
          <w:sz w:val="24"/>
          <w:szCs w:val="24"/>
          <w:rtl/>
        </w:rPr>
        <w:t>הרעיון העומד בבסיס</w:t>
      </w:r>
      <w:r w:rsidRPr="007D6D45">
        <w:rPr>
          <w:rFonts w:ascii="Calibri" w:eastAsia="Calibri" w:hAnsi="Calibri" w:cs="David" w:hint="cs"/>
          <w:sz w:val="24"/>
          <w:szCs w:val="24"/>
          <w:rtl/>
        </w:rPr>
        <w:t xml:space="preserve"> הדרישה הוא שהתנסות מעשית בגישור ראוי שתיעשה בצורה מודרכת, תוך קבלת משוב מקצועי בזמן אמת. המלצה על דרישה מסוג זה הובאה במסגרת דו"ח ועדת גדות השני מדצמבר 1999. לקורסי ההכשרה הבסיסיים בגישור נודעת חשיבות רבה כאמור לעיל, אולם אין בהם בהכרח כדי לתת די כלים להתמודדות עם גישורים בפועל. לאור העובדה שישנו פרק זמן שבו לא הופעלו תכניות להתנסות מודרכת (בין 2008 ל- 2011), מוצע לאפשר גם למגשר שעבר התנסות מודרכת מקבילה (למשל מגשר ותיק שחנך מגשר מתחיל), כפי שתקבע הוועדה המייעצת ושאושרה על ידה, לעמוד בתנאי כשירות זה.</w:t>
      </w:r>
      <w:r w:rsidRPr="007D6D45">
        <w:rPr>
          <w:rFonts w:ascii="Calibri" w:eastAsia="Calibri" w:hAnsi="Calibri" w:cs="David"/>
          <w:sz w:val="24"/>
          <w:szCs w:val="24"/>
          <w:rtl/>
        </w:rPr>
        <w:t xml:space="preserve">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(5) ניהול חמישה עשר הליכי גישור בחמש השנים האחרונות, וצירוף של חמישה הסדרי גישור מגישורים שניהל וכן תיעוד של שלושה הליכי גישור שהביאו להסדרים אלה- דרישה זו  נועדה לאפשר עמידה על ניסיונו המעשי של המגשר ואיכותו. הדרישה לצירוף 15 הסדרי גישור נועדה לאזן בין הצורך להבטיח את רמתו המקצועית של המגשר באמצעות הניסיון שרכש בניהול הליכי גישור (שכן, ככל שרמתו המקצועית תהא גבוהה יותר, כך יהא טוב יותר השירות לציבור) לבין הצורך לתת הזדמנות לכמה שיותר מגשרים להיכנס לרשימה זו. כאמור בהגדרה שבתקנה 1 "תיעוד של הליך גישור" יכלול תיאור של מהלך הגישור, לרבות הפגישות שהתקיימו בין הצדדים, הדילמות שהתעוררו במהלכו והדרך שבה התמודד עמן המגשר. המגשר יהיה רשאי להעביר את התיעוד כאמור רק לאחר שיוזמן להערכה מקצועית כאמור בתקנה 7(א).</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(6) הערכה מקצועית הכוללת הערכת ידע ומיומנויות בגישור וכן הערכת היכרות כללית עם ההליך המשפטי. להיכרות כללית כאמור יש יתרון כאשר נדרש המגשר לנהל הליך גישור המהווה חלופה להליך משפטי, וזאת לאחר שהוגשו כתבי טענות לבית המשפט.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(7) לעניין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יידרש מגשר להתחייב כי שכר הטרחה שהוא דורש לעניין פגישת </w:t>
      </w:r>
      <w:proofErr w:type="spellStart"/>
      <w:r w:rsidRPr="007D6D45">
        <w:rPr>
          <w:rFonts w:ascii="Calibri" w:eastAsia="Calibri" w:hAnsi="Calibri" w:cs="David" w:hint="cs"/>
          <w:sz w:val="24"/>
          <w:szCs w:val="24"/>
          <w:rtl/>
        </w:rPr>
        <w:t>המהו"ת</w:t>
      </w:r>
      <w:proofErr w:type="spellEnd"/>
      <w:r w:rsidRPr="007D6D45">
        <w:rPr>
          <w:rFonts w:ascii="Calibri" w:eastAsia="Calibri" w:hAnsi="Calibri" w:cs="David" w:hint="cs"/>
          <w:sz w:val="24"/>
          <w:szCs w:val="24"/>
          <w:rtl/>
        </w:rPr>
        <w:t xml:space="preserve"> אינו עולה על שכר הטרחה המרבי.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u w:val="single"/>
          <w:rtl/>
        </w:rPr>
        <w:t>תקנה 3(ב)</w:t>
      </w:r>
      <w:r w:rsidRPr="007D6D45">
        <w:rPr>
          <w:rFonts w:ascii="Calibri" w:eastAsia="Calibri" w:hAnsi="Calibri" w:cs="David" w:hint="cs"/>
          <w:sz w:val="24"/>
          <w:szCs w:val="24"/>
          <w:rtl/>
        </w:rPr>
        <w:t>-</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rtl/>
        </w:rPr>
        <w:t xml:space="preserve">מגשרים בתיקי תביעות קטנות- נקבע כי כשיר להיכלל ברשימת המגשרים של בית משפט לתביעות קטנות מי שמתקיים בו אחד מאלה- (1) האמור בתקנת משנה (א) פסקאות (1)- (4) והוא ניהל שישה הליכי גישור בחמש השנים האחרונות, וצירף שני הסדרי גישור מגישורים שניהל וכן תיעוד של הליכי הגישור שהביאו להסדרים אלה; (2) האמור בתקנת משנה (א) פסקאות (1)- (3) ובלבד שהליך הגישור ייערך במסגרת תכנית התנסות מודרכת (להלן- גם "פרקטיקום"). כדי לאפשר למגשר שעבר תכנית פרקטיקום להיכלל ברשימה, די בכך שניהל שישה הליכי גישור זאת בהתאם למספר ההליכים שמנהלים בתכנית פרקטיקום בתביעות קטנות. בנוסף, כדי שלא לחסום את המשך התכנית להתנסות מודרכת בבית משפט לתביעות קטנות, מוצע להותיר על כנה אפשרות זו תוך דרישה כי המגשר יהיה בעל תואר אקדמי, יעסוק 5 שנים לפחות בתחום עיסוקו ועבר הכשרה בסיסית בגישור.  </w:t>
      </w:r>
      <w:r w:rsidRPr="007D6D45">
        <w:rPr>
          <w:rFonts w:ascii="Calibri" w:eastAsia="Calibri" w:hAnsi="Calibri" w:cs="David" w:hint="cs"/>
          <w:sz w:val="24"/>
          <w:szCs w:val="24"/>
          <w:u w:val="single"/>
          <w:rtl/>
        </w:rPr>
        <w:t xml:space="preserve">תקנה 4- מגשרים בענייני משפחה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כשיר להיכלל ברשימת המגשרים בענייני משפחה מי שמתקיים בו האמור בתקנת משנה (א)(1)-(3) וכל אלה: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(1) הוא בעל תואר אקדמי שהוא אחד מהתארים המפורטים בתקנה זו או תואר אחר ממוסד להשכלה בחוץ לארץ שיחידת הגישור שוכנעה שהוא שווה ערך לתואר אקדמי, ועסק במשך חמש שנים לפחות מתוך עשר שנים האחרונות בתחום לימודיו או שהוא עורך דין, טוען רבני, טוען שרעי או שופט בדימוס שעסק במשך חמש שנים לפחות מתוך עשר השנים האחרונות בענייני משפחה. ועדת גדות סברה כי בענייני המעמד האישי ובדומה להסדר שנקבע בתקנות המגשרים משנת 96' יוכל להתמנות כמגשר רק מי שהוא בעל השכלה אקדמית בתחום המקצועות הטיפוליים. בענייני המעמד האישי מדובר בנושאים רגישים ועדינים בתחום המשפחה, ולפיכך יש צורך במיומנות מיוחדת הנקנית, בין היתר, בלימוד מקצועות אלה. הוועדה סברה כי בענייני מעמד אישי יוכל להתמנות כמגשר רק מי שרכש ניסיון מקצועי במשך תקופה של 5 שנים לפחות מתוך עשר השנים האחרונות במקצוע הנלמד, דהיינו, במקצועות הטיפוליים. לחילופין וכאמור בדו"ח ועדת גדות, אין ספק שידע משפטי ועיסוק כעורך דין בענייני משפחה יסייע למגשר בתהליך הגישור במשפחה. אם המגשר מצויד בניסיון וידע משפטי בתחום המשפחה אז הוא מסוגל לקצר את ההליך ולראות ביתר זהירות את האלטרנטיבות העומדות בפני הצדדים.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(2) עבר הכשרה בגישור בענייני משפחה- למד קורס עיוני ומעשי בגישור בענייני משפחה של 40 שעות לימוד לפחות, שתכניתו אושרה על ידי הוועדה המייעצת. הדרישה להכשרה נוספת לצורך גישור בתחום המעמד האישי, כפי שנקבע בדו"ח ועדת גדות השני, נובעת מהצורך המיוחד של מגשרים בתחום זה לדעת ולהבין את הנושאים הבאים: תגובות רגשיות של ילדים ומבוגרים לגירושין, אלימות במשפחה- אבחון ומיון לגבי אפשרויות הגישור, צרכים של ילדים בגילאים שונים, כלכלת המשפחה וענייני ממון, שירותים טיפוליים הקיימים בקהילה, הורות אחרי גירושין, משמורת וסדרי ביקור, הדינים הנוגעים לענייני משפחה והליכים משפטיים בבתי המשפט ובית הדין הרבני. בנושא הנוגע למשמורת ילדים, יש לשקול את צרכי הילדים ואת טובתם ושיקולים אלה מחייבים ידע והכשרה מקצועית.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(3) השתתף בתכנית התנסות מודרכת כללית כאמור בתקנה 3(א)(4) או בתכנית מודרכת בגישור בענייני משפחה שתכניתה אושרה על ידי  הוועדה המייעצת. ראו הדברים שלעיל על חשיבותה של התנסות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(4) ניהול עשרים הליכי גישור לפחות בחמש השנים האחרונות מהם עשרה הליכי גישור בענייני משפחה וצירוף חמישה הסדרי גישור מגישורים כאמור שקיבלו תוקף של פסק דין וכן תיעוד של שלושה הליכי גישור שהביאו להסדרים אלה, והכל ללא ציון שמות ופרטים מזהים אחרים; השתתף אדם בתכנית התנסות מודרכת בגישור בענייני משפחה, יידרש להראות כי ניהל עשרה הליכי גישור לפחות, מהם חמישה בענייני משפחה ולצרף חמישה הסדרי גישור מגישורים שניהל בענייני משפחה ונתחמו על ידי הצדדים וכן תיעוד של שלושה הליכי גישור שהביאו להסכמים אלה כאמור בתקנה 7(ו), והכל ללא ציון שמות ופרטים מזהים אחרים; התנסות מודרכת בענייני משפחה היא בבחינת יתרון ולכן מוצע להקל על מי שרכש התנסות כאמור </w:t>
      </w:r>
      <w:proofErr w:type="spellStart"/>
      <w:r w:rsidRPr="007D6D45">
        <w:rPr>
          <w:rFonts w:ascii="Calibri" w:eastAsia="Calibri" w:hAnsi="Calibri" w:cs="David" w:hint="cs"/>
          <w:sz w:val="24"/>
          <w:szCs w:val="24"/>
          <w:rtl/>
        </w:rPr>
        <w:t>בענין</w:t>
      </w:r>
      <w:proofErr w:type="spellEnd"/>
      <w:r w:rsidRPr="007D6D45">
        <w:rPr>
          <w:rFonts w:ascii="Calibri" w:eastAsia="Calibri" w:hAnsi="Calibri" w:cs="David" w:hint="cs"/>
          <w:sz w:val="24"/>
          <w:szCs w:val="24"/>
          <w:rtl/>
        </w:rPr>
        <w:t xml:space="preserve"> מספר הליכי הגישור שיידרש להוכיח כי ניהל.</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(5) הוא עמד בהערכה מקצועית.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(6)- ישיבת גישור המתקיימת בעקבות 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המגשר ייכלל ברשימה רק אם התחייב ששכר הטרחה שהוא דורש, אינו עולה על שכר הטרחה המרבי לפי התוספת הראשונה.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5</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בתקנה זו מוצע להסדיר את המקרים החריגים </w:t>
      </w:r>
      <w:proofErr w:type="spellStart"/>
      <w:r w:rsidRPr="007D6D45">
        <w:rPr>
          <w:rFonts w:ascii="Calibri" w:eastAsia="Calibri" w:hAnsi="Calibri" w:cs="David" w:hint="cs"/>
          <w:sz w:val="24"/>
          <w:szCs w:val="24"/>
          <w:rtl/>
        </w:rPr>
        <w:t>שבהתקיימם</w:t>
      </w:r>
      <w:proofErr w:type="spellEnd"/>
      <w:r w:rsidRPr="007D6D45">
        <w:rPr>
          <w:rFonts w:ascii="Calibri" w:eastAsia="Calibri" w:hAnsi="Calibri" w:cs="David" w:hint="cs"/>
          <w:sz w:val="24"/>
          <w:szCs w:val="24"/>
          <w:rtl/>
        </w:rPr>
        <w:t xml:space="preserve"> ייכלל מגשר ברשימה גם אם לא עמד בתנאי הסף. נקבעו שלושה חריגים במקרה של מגשר המעוניין להיכלל ברשימת המגשרים בגישור כללי כשהוא אינו עומד במלוא תנאי הכשירות הרגילים והם:</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המגשר ללא תואר אקדמי בוגר או תואר אחר במוסד להשכלה גבוהה בחוץ לארץ שיחידת הגישור שוכנעה שהוא שווה ערך לתואר אקדמי אך הוא בעל 5 שנות ניסיון לפחות בעיסוק מקצועי שעשוי לתרום לעבודתו בגישור; </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לא עבר הכשרה כללית בגישור אך הוא למד במדינת חוץ בקורס הכשרה עיוני ומעשי כנדרש בסעיף 5(א)(2) והוועדה השתכנעה כי תכנית הקורס דומה במתכונתה לתכנית ההכשרה הכללית בגישור;</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המגשר לא השתתף בתכנית התנסות מודרכת בגישור אך יש לו מומחיות וניסיון של 7 שנים לפחות בגישור המצדיקים מתן אישור חריג כאמור. </w:t>
      </w:r>
    </w:p>
    <w:p w:rsidR="007D6D45" w:rsidRPr="007D6D45" w:rsidRDefault="007D6D45" w:rsidP="007D6D45">
      <w:pPr>
        <w:numPr>
          <w:ilvl w:val="0"/>
          <w:numId w:val="28"/>
        </w:num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המגשר לא עמד בתנאי הכשירות לעניין הדרישה לניהול הליכי גישור בחמש השנים האחרונות, והוועדה מצאה כי המומחיות והניסיון שיש לו מצדיקים מתן אישור חריג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בבקשה להיכלל ברשימת מגשרי משפחה, נקבעו החריגים הנ"ל:</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אינו בעל תואר אקדמי כנדרש בתנאי הסף אך יש לו ניסיון של 5 שנים לפחות בעיסוק מקצועי שעשוי לתרום לעבודתו בגישור במשפחה;</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אינו בעל ניסיון בחמש שנים מתוך עשר השנים האחרונות כפי שנדרש לפי תקנה 4(1) או לא ניהל הליכי גישור בחמש השנים האחרונות דווקא אך הוועדה מצאה כי המומחיות והניסיון שיש לו, מצדיקים מתן אישור חריג כאמור;</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לא עבר הכשרה בגישור בענייני משפחה אך הוא למד במדינת חוץ בקורס עיוני ומעשי בגישור משפחה כנדרש בסעיף 5(ב)(3) והוועדה השתכנעה כי תכנית הקורס דומה במתכונתה לתכנית ההכשרה בגישור בענייני משפחה;</w:t>
      </w:r>
    </w:p>
    <w:p w:rsidR="007D6D45" w:rsidRPr="007D6D45" w:rsidRDefault="007D6D45" w:rsidP="007D6D45">
      <w:pPr>
        <w:numPr>
          <w:ilvl w:val="0"/>
          <w:numId w:val="29"/>
        </w:num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שלא השתתף בהתנסות מודרכת בגישור או התנסות מודרכת בגישור בענייני משפחה אך יש לו מומחיות וניסיון של 7 שנים לפחות בגישור בענייני משפחה המצדיקים מתן אישור חריג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כלל החריגים נמצאים בשיקול דעתה של הוועדה המייעצת, שזו תפעיל אותה בכל מקרה ומקרה, וזאת על מנת לא לחסום ממגשרים טובים ופוטנציאליים מלהיכלל ברשימת המגשרים.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6</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תקנה זו מגדירה את הסייגים מלהיכלל ברשימת המגשרים. על המועמד לעמוד בסטנדרטים של התנהגות נורמטיבית שעיקרם, העדר עבר פלילי ועבר משמעתי, שבשלהם אין הוא ראוי, לדעת הוועדה, לשמש כמגשר. מגשר שאליו מפנה בית המשפט צדדים לסכסוך צריך להיות אדם ללא רבב כדי שבעלי הדין יוכלו לתת בו אמון מלא. לפיכך, לצורך בדיקה זו, תקבל יחידת הגישור מידע מהמרשם הפלילי.</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7</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בקשה להיכלל ברשימת המגשרים- המבקש להיכלל ברשימת המגשרים ומי שמבקש לחדש רישום יגיש בקשה ליחידת הגישור שתכלול את הפרטים הבאים: ציון הרשימה בה  מעוניין להיכלל,  ציון פרטיו והבאת נתונים המוכיחים כי התקיימו לגביו הדרישות שבתקנות 3 ו-4, פירוט הנושאים שבם הוא מתמחה, פירוט אזורי פעילותו ושפות שאותן הוא דובר.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מצאה יחידת הגישור כי המגשר עומד בתנאי הסף, היחידה תזמן את המגשר להערכה מקצועית, עליה ישלם אגרה כפי שנקבע בתוספת השנייה. מגיש הבקשה רשאי לצרף בשלב זה (קרי, לאחר שהוזמן להערכה מקצועית), אם לא צירף במועד הגשת הבקשה, את התיעוד של הליכי הגישור. ככל שמגשר עבר את ההערכה המקצועית בהצלחה, יחידת הגישור תכלול את המגשר ברשימת המגשרים.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הערכות מקצועיות למגשרים שהגישו בקשות כאמור, יתבצעו אחת לשנה, במועד שיקבע על ידי היחידה.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כמו כן, המגשר יציין את שכר הטרחה שהוא דורש ורשאי לציין גם  שכר טרחה שונה שייגבה בהליכים שאינם מתקיימים במסגרת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עניני משפחה או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שכר הטרחה מגלם בתוכו את כל עבודת המגשר, לרבות פעולות הכנה לגישור ועריכת הסדר גישור. לפיכך, בפעולות אלה לא יגבה שכר טרחה נוסף.</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במקרים בהם המגשר פועל מטעם מרכז גישור בקהילה או שהוא מגשר במשותף עם מגשר נוסף, הוא רשאי לציין זאת ברשימת המגשרים, ככל שייכלל בה.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sz w:val="24"/>
          <w:szCs w:val="24"/>
          <w:rtl/>
        </w:rPr>
        <w:t>רשימת המגשרים</w:t>
      </w:r>
      <w:r w:rsidRPr="007D6D45">
        <w:rPr>
          <w:rFonts w:ascii="Calibri" w:eastAsia="Calibri" w:hAnsi="Calibri" w:cs="David" w:hint="cs"/>
          <w:sz w:val="24"/>
          <w:szCs w:val="24"/>
          <w:rtl/>
        </w:rPr>
        <w:t xml:space="preserve"> הכוללת את רשימת המגשרים הכללית, רשימת המגשרים של בית המשפט לתביעת קטנות ורשימת המגשרים בענייני משפחה תועמד לרשות בית המשפט והציבור והן יפורסמו באתר האינטרנט </w:t>
      </w:r>
      <w:r w:rsidRPr="007D6D45">
        <w:rPr>
          <w:rFonts w:ascii="Calibri" w:eastAsia="Calibri" w:hAnsi="Calibri" w:cs="David"/>
          <w:sz w:val="24"/>
          <w:szCs w:val="24"/>
          <w:rtl/>
        </w:rPr>
        <w:t>של הנהלת בתי המשפט ובאתר האינטרנט של משרד המשפטים;</w:t>
      </w:r>
      <w:r w:rsidRPr="007D6D45">
        <w:rPr>
          <w:rFonts w:ascii="Calibri" w:eastAsia="Calibri" w:hAnsi="Calibri" w:cs="David" w:hint="cs"/>
          <w:sz w:val="24"/>
          <w:szCs w:val="24"/>
          <w:rtl/>
        </w:rPr>
        <w:t xml:space="preserve"> ה</w:t>
      </w:r>
      <w:r w:rsidRPr="007D6D45">
        <w:rPr>
          <w:rFonts w:ascii="Calibri" w:eastAsia="Calibri" w:hAnsi="Calibri" w:cs="David"/>
          <w:sz w:val="24"/>
          <w:szCs w:val="24"/>
          <w:rtl/>
        </w:rPr>
        <w:t>רשימ</w:t>
      </w:r>
      <w:r w:rsidRPr="007D6D45">
        <w:rPr>
          <w:rFonts w:ascii="Calibri" w:eastAsia="Calibri" w:hAnsi="Calibri" w:cs="David" w:hint="cs"/>
          <w:sz w:val="24"/>
          <w:szCs w:val="24"/>
          <w:rtl/>
        </w:rPr>
        <w:t>ות יכללו</w:t>
      </w:r>
      <w:r w:rsidRPr="007D6D45">
        <w:rPr>
          <w:rFonts w:ascii="Calibri" w:eastAsia="Calibri" w:hAnsi="Calibri" w:cs="David"/>
          <w:sz w:val="24"/>
          <w:szCs w:val="24"/>
          <w:rtl/>
        </w:rPr>
        <w:t xml:space="preserve"> את </w:t>
      </w:r>
      <w:r w:rsidRPr="007D6D45">
        <w:rPr>
          <w:rFonts w:ascii="Calibri" w:eastAsia="Calibri" w:hAnsi="Calibri" w:cs="David" w:hint="cs"/>
          <w:sz w:val="24"/>
          <w:szCs w:val="24"/>
          <w:rtl/>
        </w:rPr>
        <w:t>שם</w:t>
      </w:r>
      <w:r w:rsidRPr="007D6D45">
        <w:rPr>
          <w:rFonts w:ascii="Calibri" w:eastAsia="Calibri" w:hAnsi="Calibri" w:cs="David"/>
          <w:sz w:val="24"/>
          <w:szCs w:val="24"/>
          <w:rtl/>
        </w:rPr>
        <w:t xml:space="preserve"> המגשר</w:t>
      </w:r>
      <w:r w:rsidRPr="007D6D45">
        <w:rPr>
          <w:rFonts w:ascii="Calibri" w:eastAsia="Calibri" w:hAnsi="Calibri" w:cs="David" w:hint="cs"/>
          <w:sz w:val="24"/>
          <w:szCs w:val="24"/>
          <w:rtl/>
        </w:rPr>
        <w:t>, מקצועו ותוארו, הנושאים שבהם הוא מתמחה, אזורי פעילותו, שפות אותן הוא דובר ומידע האם המגשר פועל מטעם מרכז גישור בקהילה, או האם הוא מגשר יחד עם מגשר נוסף.</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8</w:t>
      </w:r>
    </w:p>
    <w:p w:rsidR="007D6D45" w:rsidRPr="007D6D45" w:rsidRDefault="007D6D45" w:rsidP="007D6D45">
      <w:pPr>
        <w:spacing w:after="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חידוש רישום- מגשר ייכלל ברשימה לתקופה של 5 שנים וניתן לחדש את הרישום לחמש שנים בכל פעם. בקשה לחידוש רישום נועדה להבטיח כי הרשימה תישאר עדכנית, וכי המגשרים הרשומים ברשימה אכן ראויים לה, ולכן נקבעו התנאים בתקנה 8(ב) אותם תבחן יחידת הגישור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המגשר צירף 5 הסדרי גישור מהגישורים שביצע בחמש שנים האחרונות ותיעוד של שלושה הליכי גישור שהביאו לקביעתם; המבקש עמד בהערכה מקצועית מותאמת להליך של חידוש רישום. </w:t>
      </w:r>
    </w:p>
    <w:p w:rsidR="007D6D45" w:rsidRPr="007D6D45" w:rsidRDefault="007D6D45" w:rsidP="007D6D45">
      <w:pPr>
        <w:spacing w:after="0" w:line="360" w:lineRule="auto"/>
        <w:jc w:val="both"/>
        <w:rPr>
          <w:rFonts w:ascii="Calibri" w:eastAsia="Calibri" w:hAnsi="Calibri" w:cs="David"/>
          <w:sz w:val="24"/>
          <w:szCs w:val="24"/>
          <w:rtl/>
        </w:rPr>
      </w:pPr>
    </w:p>
    <w:p w:rsidR="007D6D45" w:rsidRPr="007D6D45" w:rsidRDefault="007D6D45" w:rsidP="007D6D45">
      <w:pPr>
        <w:spacing w:after="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9</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עיכוב או התלייה של רישום ברשימת המגשרים- הוועדה המייעצת רשאית לעכב או להתלות את רישומו של מגשר, לאחר שניתנה לו הזדמנות לטעון טענותיו בפני הוועדה המייעצת, אם מתנהלת נגדו חקירה בשל חשד לביצוע עבירה כאמור בתקנה 6. תקנה זו מקנה לוועדה שיקול דעת האם לעכב או להתלות רישומו של מגשר עד לסיום ההליך נגדו.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10</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מחיקה מרשימת המגשרים- תקנה זו קובעת את התנאים שבהם הוועדה המייעצת רשאית למחוק שמו של מגשר מרשימת המגשרים, זאת בכפוף לכך שלפני מחיקת מגשר מרשימת המגשרים תינתן לו זכות לטעון בפניי הוועדה המייעצת.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11</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מרבי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תקנה זו מבהירה ששכר טרחה בעד פגישת גישור כללית או בעד ישיבת גישור בעקבות הליך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לא יעלה על השכר המרבי לפי התוספת הראשונה.</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12</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עדכון סכומים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תקנה זו מבהירה כי הסכומים הנקובים בתוספת הראשונה והשנייה לתקנות יעודכנו אוטומטית בהתאם לשינוי המדד החדש לעומת המדד היסודי. עדכון הסכומים יפורסם בהודעת מנכ"ל משרד המשפטים ברשומות.</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13</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תחילה והוראות מעבר- תחילת תוקף התקנות היא תשעה חודשים מיום פרסומן, למעט מינוי והקמת הוועדה המייעצת.</w:t>
      </w:r>
    </w:p>
    <w:p w:rsidR="007D6D45" w:rsidRPr="007D6D45" w:rsidRDefault="007D6D45" w:rsidP="007D6D45">
      <w:p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מוצע להסדיר את ההוראות שיחולו על מגשר שעבר קורס גישור או הוכשר בהתנסות מודרכת בגישור לפני יום התחילה של הוראות אלה . לגבי מגשר כאמור, הוא ייכלל ברשימת המגשרים אם נכלל ברשימה לפי תקנות בתי המשפט (רשימת המגשרים), התשנ"ו-1996 או שהוא עמד בתנאי ההכשרה לעניין גישור או גישור במשפחה לפי העניין, בהתאם לאותן התקנות ובהתאם לכללים שקבעה הוועדה המייעצת בשעתו,  כמו כן, ההוראות יחולו גם על מגשרים שלא השתתפו בתכנית התנסות מודרכת בגישור כללי או בגישור במשפחה כנדרש בתנאי הסף, אם הוא סיים תכנית התנסות מודרכת בגישור וקיבל תעודה מהמרכז הארצי לגישור כהגדרתו בתקנות בתי המשפט (רשימת מגשרים) או מהנהלת בתי המשפט. ממועד הקמתו של המרכז הארצי לגישור ועד היום, הונפקו תעודות למי שסיים תכנית כאמור על ידי המרכז הארצי לגישור או הנהלת בתי המשפט ולכן ניתן להכיר בתעודה שניתנה על ידי גורמים אלה. </w:t>
      </w:r>
    </w:p>
    <w:p w:rsidR="007D6D45" w:rsidRPr="007D6D45" w:rsidRDefault="007D6D45" w:rsidP="007D6D45">
      <w:pPr>
        <w:spacing w:line="240" w:lineRule="auto"/>
        <w:rPr>
          <w:rFonts w:ascii="Calibri" w:eastAsia="Calibri" w:hAnsi="Calibri" w:cs="David"/>
          <w:sz w:val="24"/>
          <w:szCs w:val="24"/>
          <w:rtl/>
        </w:rPr>
      </w:pPr>
    </w:p>
    <w:p w:rsidR="0022692B" w:rsidRPr="007D6D45" w:rsidRDefault="0022692B" w:rsidP="007D6D45"/>
    <w:sectPr w:rsidR="0022692B" w:rsidRPr="007D6D45" w:rsidSect="0093042E">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9BB" w:rsidRDefault="003459BB" w:rsidP="007D6D45">
      <w:pPr>
        <w:spacing w:after="0" w:line="240" w:lineRule="auto"/>
      </w:pPr>
      <w:r>
        <w:separator/>
      </w:r>
    </w:p>
  </w:endnote>
  <w:endnote w:type="continuationSeparator" w:id="0">
    <w:p w:rsidR="003459BB" w:rsidRDefault="003459BB" w:rsidP="007D6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9BB" w:rsidRDefault="003459BB" w:rsidP="007D6D45">
      <w:pPr>
        <w:spacing w:after="0" w:line="240" w:lineRule="auto"/>
      </w:pPr>
      <w:r>
        <w:separator/>
      </w:r>
    </w:p>
  </w:footnote>
  <w:footnote w:type="continuationSeparator" w:id="0">
    <w:p w:rsidR="003459BB" w:rsidRDefault="003459BB" w:rsidP="007D6D45">
      <w:pPr>
        <w:spacing w:after="0" w:line="240" w:lineRule="auto"/>
      </w:pPr>
      <w:r>
        <w:continuationSeparator/>
      </w:r>
    </w:p>
  </w:footnote>
  <w:footnote w:id="1">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התשמ"ד</w:t>
      </w:r>
      <w:proofErr w:type="spellEnd"/>
      <w:r>
        <w:rPr>
          <w:rFonts w:hint="cs"/>
          <w:rtl/>
        </w:rPr>
        <w:t xml:space="preserve">, עמ' 198; </w:t>
      </w:r>
      <w:proofErr w:type="spellStart"/>
      <w:r>
        <w:rPr>
          <w:rFonts w:hint="cs"/>
          <w:rtl/>
        </w:rPr>
        <w:t>התשס"א</w:t>
      </w:r>
      <w:proofErr w:type="spellEnd"/>
      <w:r>
        <w:rPr>
          <w:rFonts w:hint="cs"/>
          <w:rtl/>
        </w:rPr>
        <w:t>, עמ' 498.</w:t>
      </w:r>
    </w:p>
  </w:footnote>
  <w:footnote w:id="2">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התשנ"ה</w:t>
      </w:r>
      <w:proofErr w:type="spellEnd"/>
      <w:r>
        <w:rPr>
          <w:rFonts w:hint="cs"/>
          <w:rtl/>
        </w:rPr>
        <w:t>, עמ' 393.</w:t>
      </w:r>
    </w:p>
  </w:footnote>
  <w:footnote w:id="3">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התשכ"ט</w:t>
      </w:r>
      <w:proofErr w:type="spellEnd"/>
      <w:r>
        <w:rPr>
          <w:rFonts w:hint="cs"/>
          <w:rtl/>
        </w:rPr>
        <w:t>, עמ' 70</w:t>
      </w:r>
    </w:p>
  </w:footnote>
  <w:footnote w:id="4">
    <w:p w:rsidR="007D6D45" w:rsidRDefault="007D6D45" w:rsidP="007D6D45">
      <w:pPr>
        <w:pStyle w:val="a3"/>
      </w:pPr>
      <w:r>
        <w:rPr>
          <w:rStyle w:val="a5"/>
        </w:rPr>
        <w:footnoteRef/>
      </w:r>
      <w:r>
        <w:rPr>
          <w:rtl/>
        </w:rPr>
        <w:t xml:space="preserve"> </w:t>
      </w:r>
      <w:r>
        <w:rPr>
          <w:rFonts w:hint="cs"/>
          <w:rtl/>
        </w:rPr>
        <w:t xml:space="preserve">ס"ח </w:t>
      </w:r>
      <w:proofErr w:type="spellStart"/>
      <w:r>
        <w:rPr>
          <w:rFonts w:hint="cs"/>
          <w:rtl/>
        </w:rPr>
        <w:t>התשמ"ח</w:t>
      </w:r>
      <w:proofErr w:type="spellEnd"/>
      <w:r>
        <w:rPr>
          <w:rFonts w:hint="cs"/>
          <w:rtl/>
        </w:rPr>
        <w:t>, עמ' 60.</w:t>
      </w:r>
    </w:p>
  </w:footnote>
  <w:footnote w:id="5">
    <w:p w:rsidR="007D6D45" w:rsidRDefault="007D6D45" w:rsidP="007D6D45">
      <w:pPr>
        <w:pStyle w:val="a3"/>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התשמ"ד</w:t>
      </w:r>
      <w:proofErr w:type="spellEnd"/>
      <w:r>
        <w:rPr>
          <w:rFonts w:hint="cs"/>
          <w:rtl/>
        </w:rPr>
        <w:t>, עמ' 2220.</w:t>
      </w:r>
    </w:p>
  </w:footnote>
  <w:footnote w:id="6">
    <w:p w:rsidR="007D6D45" w:rsidRDefault="007D6D45" w:rsidP="007D6D45">
      <w:pPr>
        <w:pStyle w:val="a3"/>
      </w:pPr>
      <w:r>
        <w:rPr>
          <w:rStyle w:val="a5"/>
        </w:rPr>
        <w:footnoteRef/>
      </w:r>
      <w:r>
        <w:rPr>
          <w:rtl/>
        </w:rPr>
        <w:t xml:space="preserve"> </w:t>
      </w:r>
      <w:r w:rsidRPr="00A46FEA">
        <w:rPr>
          <w:rFonts w:hint="cs"/>
          <w:rtl/>
        </w:rPr>
        <w:t xml:space="preserve"> </w:t>
      </w:r>
      <w:r>
        <w:rPr>
          <w:rFonts w:hint="cs"/>
          <w:rtl/>
        </w:rPr>
        <w:t xml:space="preserve">ס"ח </w:t>
      </w:r>
      <w:proofErr w:type="spellStart"/>
      <w:r>
        <w:rPr>
          <w:rFonts w:hint="cs"/>
          <w:rtl/>
        </w:rPr>
        <w:t>התשע"ה</w:t>
      </w:r>
      <w:proofErr w:type="spellEnd"/>
      <w:r>
        <w:rPr>
          <w:rFonts w:hint="cs"/>
          <w:rtl/>
        </w:rPr>
        <w:t>, עמ' 116</w:t>
      </w:r>
    </w:p>
  </w:footnote>
  <w:footnote w:id="7">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xml:space="preserve">, עמ' 191; </w:t>
      </w:r>
      <w:proofErr w:type="spellStart"/>
      <w:r>
        <w:rPr>
          <w:rFonts w:hint="cs"/>
          <w:rtl/>
        </w:rPr>
        <w:t>התשנ"ה</w:t>
      </w:r>
      <w:proofErr w:type="spellEnd"/>
      <w:r>
        <w:rPr>
          <w:rFonts w:hint="cs"/>
          <w:rtl/>
        </w:rPr>
        <w:t>, עמ' 134.</w:t>
      </w:r>
    </w:p>
  </w:footnote>
  <w:footnote w:id="8">
    <w:p w:rsidR="007D6D45" w:rsidRDefault="007D6D45" w:rsidP="007D6D45">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התשנ"ג</w:t>
      </w:r>
      <w:proofErr w:type="spellEnd"/>
      <w:r>
        <w:rPr>
          <w:rFonts w:hint="cs"/>
          <w:rtl/>
        </w:rPr>
        <w:t>, עמ' 1042.</w:t>
      </w:r>
    </w:p>
  </w:footnote>
  <w:footnote w:id="9">
    <w:p w:rsidR="007D6D45" w:rsidRDefault="007D6D45" w:rsidP="007D6D45">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התשנ"ו</w:t>
      </w:r>
      <w:proofErr w:type="spellEnd"/>
      <w:r>
        <w:rPr>
          <w:rFonts w:hint="cs"/>
          <w:rtl/>
        </w:rPr>
        <w:t>, עמ' 1325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044A8"/>
    <w:multiLevelType w:val="hybridMultilevel"/>
    <w:tmpl w:val="178CABF4"/>
    <w:lvl w:ilvl="0" w:tplc="6BB0D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86C16"/>
    <w:multiLevelType w:val="hybridMultilevel"/>
    <w:tmpl w:val="9C4A2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1453AB"/>
    <w:multiLevelType w:val="hybridMultilevel"/>
    <w:tmpl w:val="20409C88"/>
    <w:lvl w:ilvl="0" w:tplc="ED8C9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153B2"/>
    <w:multiLevelType w:val="hybridMultilevel"/>
    <w:tmpl w:val="954AB3AE"/>
    <w:lvl w:ilvl="0" w:tplc="09CE91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751B0"/>
    <w:multiLevelType w:val="hybridMultilevel"/>
    <w:tmpl w:val="9932A2B4"/>
    <w:lvl w:ilvl="0" w:tplc="43E039B8">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F47C2F"/>
    <w:multiLevelType w:val="hybridMultilevel"/>
    <w:tmpl w:val="D90E8BFE"/>
    <w:lvl w:ilvl="0" w:tplc="AF32A5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17AFD"/>
    <w:multiLevelType w:val="hybridMultilevel"/>
    <w:tmpl w:val="08CE2F56"/>
    <w:lvl w:ilvl="0" w:tplc="3FC4B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CD1C45"/>
    <w:multiLevelType w:val="hybridMultilevel"/>
    <w:tmpl w:val="1130DF1A"/>
    <w:lvl w:ilvl="0" w:tplc="3AC068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92877"/>
    <w:multiLevelType w:val="hybridMultilevel"/>
    <w:tmpl w:val="8D66F308"/>
    <w:lvl w:ilvl="0" w:tplc="F86CCE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5F3677"/>
    <w:multiLevelType w:val="hybridMultilevel"/>
    <w:tmpl w:val="4DA89694"/>
    <w:lvl w:ilvl="0" w:tplc="6BF87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FF18CE"/>
    <w:multiLevelType w:val="hybridMultilevel"/>
    <w:tmpl w:val="931C0056"/>
    <w:lvl w:ilvl="0" w:tplc="41B07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080AED"/>
    <w:multiLevelType w:val="hybridMultilevel"/>
    <w:tmpl w:val="9F68C0C6"/>
    <w:lvl w:ilvl="0" w:tplc="322076DE">
      <w:start w:val="1"/>
      <w:numFmt w:val="hebrew1"/>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12" w15:restartNumberingAfterBreak="0">
    <w:nsid w:val="511D1E2E"/>
    <w:multiLevelType w:val="hybridMultilevel"/>
    <w:tmpl w:val="97482BFC"/>
    <w:lvl w:ilvl="0" w:tplc="D83C1D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2C49CC"/>
    <w:multiLevelType w:val="hybridMultilevel"/>
    <w:tmpl w:val="C10681B4"/>
    <w:lvl w:ilvl="0" w:tplc="64AC84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95113"/>
    <w:multiLevelType w:val="hybridMultilevel"/>
    <w:tmpl w:val="8C5891E4"/>
    <w:lvl w:ilvl="0" w:tplc="BBDEE6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1A489E"/>
    <w:multiLevelType w:val="hybridMultilevel"/>
    <w:tmpl w:val="D62AAC30"/>
    <w:lvl w:ilvl="0" w:tplc="08FC05DA">
      <w:start w:val="1"/>
      <w:numFmt w:val="hebrew1"/>
      <w:lvlText w:val="(%1)"/>
      <w:lvlJc w:val="left"/>
      <w:pPr>
        <w:ind w:left="1470" w:hanging="39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A1C2581"/>
    <w:multiLevelType w:val="hybridMultilevel"/>
    <w:tmpl w:val="DA44FA9E"/>
    <w:lvl w:ilvl="0" w:tplc="1A220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D42A50"/>
    <w:multiLevelType w:val="hybridMultilevel"/>
    <w:tmpl w:val="554EEF3A"/>
    <w:lvl w:ilvl="0" w:tplc="FD0410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01594"/>
    <w:multiLevelType w:val="hybridMultilevel"/>
    <w:tmpl w:val="04569158"/>
    <w:lvl w:ilvl="0" w:tplc="F8687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CD37D2"/>
    <w:multiLevelType w:val="hybridMultilevel"/>
    <w:tmpl w:val="FB021654"/>
    <w:lvl w:ilvl="0" w:tplc="4D8A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CC2D3E"/>
    <w:multiLevelType w:val="hybridMultilevel"/>
    <w:tmpl w:val="EF681BB4"/>
    <w:lvl w:ilvl="0" w:tplc="02F85B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820BBF"/>
    <w:multiLevelType w:val="hybridMultilevel"/>
    <w:tmpl w:val="E3468CC0"/>
    <w:lvl w:ilvl="0" w:tplc="3424A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B112B5"/>
    <w:multiLevelType w:val="hybridMultilevel"/>
    <w:tmpl w:val="2F5436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B76598"/>
    <w:multiLevelType w:val="hybridMultilevel"/>
    <w:tmpl w:val="0BEE0F1E"/>
    <w:lvl w:ilvl="0" w:tplc="A5CE49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B24AD9"/>
    <w:multiLevelType w:val="hybridMultilevel"/>
    <w:tmpl w:val="1D6C3EA8"/>
    <w:lvl w:ilvl="0" w:tplc="24ECB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696C39"/>
    <w:multiLevelType w:val="hybridMultilevel"/>
    <w:tmpl w:val="95148D9E"/>
    <w:lvl w:ilvl="0" w:tplc="3EB28B52">
      <w:start w:val="1"/>
      <w:numFmt w:val="decimal"/>
      <w:lvlText w:val="(%1)"/>
      <w:lvlJc w:val="left"/>
      <w:pPr>
        <w:ind w:left="1165" w:hanging="564"/>
      </w:pPr>
      <w:rPr>
        <w:rFonts w:hint="default"/>
      </w:rPr>
    </w:lvl>
    <w:lvl w:ilvl="1" w:tplc="6D2E050E">
      <w:start w:val="1"/>
      <w:numFmt w:val="decimal"/>
      <w:lvlText w:val="%2."/>
      <w:lvlJc w:val="left"/>
      <w:pPr>
        <w:ind w:left="1440" w:hanging="360"/>
      </w:pPr>
      <w:rPr>
        <w:rFonts w:ascii="Calibri" w:eastAsia="Calibri" w:hAnsi="Calibri" w:cs="David"/>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2D6B5D"/>
    <w:multiLevelType w:val="hybridMultilevel"/>
    <w:tmpl w:val="A7305D8A"/>
    <w:lvl w:ilvl="0" w:tplc="067AE9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627DFA"/>
    <w:multiLevelType w:val="hybridMultilevel"/>
    <w:tmpl w:val="BBA062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FEB3CA8"/>
    <w:multiLevelType w:val="hybridMultilevel"/>
    <w:tmpl w:val="87AA2128"/>
    <w:lvl w:ilvl="0" w:tplc="62D01D3A">
      <w:start w:val="1"/>
      <w:numFmt w:val="decimal"/>
      <w:lvlText w:val="(%1)"/>
      <w:lvlJc w:val="left"/>
      <w:pPr>
        <w:ind w:left="1187"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5"/>
  </w:num>
  <w:num w:numId="3">
    <w:abstractNumId w:val="24"/>
  </w:num>
  <w:num w:numId="4">
    <w:abstractNumId w:val="4"/>
  </w:num>
  <w:num w:numId="5">
    <w:abstractNumId w:val="28"/>
  </w:num>
  <w:num w:numId="6">
    <w:abstractNumId w:val="5"/>
  </w:num>
  <w:num w:numId="7">
    <w:abstractNumId w:val="19"/>
  </w:num>
  <w:num w:numId="8">
    <w:abstractNumId w:val="12"/>
  </w:num>
  <w:num w:numId="9">
    <w:abstractNumId w:val="10"/>
  </w:num>
  <w:num w:numId="10">
    <w:abstractNumId w:val="27"/>
  </w:num>
  <w:num w:numId="11">
    <w:abstractNumId w:val="17"/>
  </w:num>
  <w:num w:numId="12">
    <w:abstractNumId w:val="16"/>
  </w:num>
  <w:num w:numId="13">
    <w:abstractNumId w:val="9"/>
  </w:num>
  <w:num w:numId="14">
    <w:abstractNumId w:val="7"/>
  </w:num>
  <w:num w:numId="15">
    <w:abstractNumId w:val="13"/>
  </w:num>
  <w:num w:numId="16">
    <w:abstractNumId w:val="14"/>
  </w:num>
  <w:num w:numId="17">
    <w:abstractNumId w:val="11"/>
  </w:num>
  <w:num w:numId="18">
    <w:abstractNumId w:val="8"/>
  </w:num>
  <w:num w:numId="19">
    <w:abstractNumId w:val="22"/>
  </w:num>
  <w:num w:numId="20">
    <w:abstractNumId w:val="26"/>
  </w:num>
  <w:num w:numId="21">
    <w:abstractNumId w:val="2"/>
  </w:num>
  <w:num w:numId="22">
    <w:abstractNumId w:val="18"/>
  </w:num>
  <w:num w:numId="23">
    <w:abstractNumId w:val="15"/>
  </w:num>
  <w:num w:numId="24">
    <w:abstractNumId w:val="20"/>
  </w:num>
  <w:num w:numId="25">
    <w:abstractNumId w:val="1"/>
  </w:num>
  <w:num w:numId="26">
    <w:abstractNumId w:val="6"/>
  </w:num>
  <w:num w:numId="27">
    <w:abstractNumId w:val="21"/>
  </w:num>
  <w:num w:numId="28">
    <w:abstractNumId w:val="3"/>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D45"/>
    <w:rsid w:val="001B58F1"/>
    <w:rsid w:val="0022692B"/>
    <w:rsid w:val="003459BB"/>
    <w:rsid w:val="007D6D45"/>
    <w:rsid w:val="0093042E"/>
    <w:rsid w:val="00BB734F"/>
    <w:rsid w:val="00EC53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BFFA05-0342-435B-BE42-1071C9DAB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7D6D45"/>
    <w:rPr>
      <w:color w:val="0000FF"/>
      <w:u w:val="single"/>
    </w:rPr>
  </w:style>
  <w:style w:type="paragraph" w:customStyle="1" w:styleId="P00">
    <w:name w:val="P00"/>
    <w:rsid w:val="007D6D4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header-2">
    <w:name w:val="header-2"/>
    <w:basedOn w:val="P00"/>
    <w:rsid w:val="007D6D45"/>
    <w:pPr>
      <w:keepNext/>
      <w:keepLines/>
      <w:tabs>
        <w:tab w:val="clear" w:pos="6259"/>
      </w:tabs>
      <w:spacing w:before="240"/>
      <w:jc w:val="center"/>
    </w:pPr>
    <w:rPr>
      <w:szCs w:val="20"/>
    </w:rPr>
  </w:style>
  <w:style w:type="character" w:customStyle="1" w:styleId="default">
    <w:name w:val="default"/>
    <w:basedOn w:val="a0"/>
    <w:rsid w:val="007D6D45"/>
    <w:rPr>
      <w:rFonts w:ascii="Times New Roman" w:hAnsi="Times New Roman" w:cs="Times New Roman" w:hint="default"/>
      <w:sz w:val="26"/>
      <w:szCs w:val="26"/>
    </w:rPr>
  </w:style>
  <w:style w:type="character" w:customStyle="1" w:styleId="big-number">
    <w:name w:val="big-number"/>
    <w:basedOn w:val="default"/>
    <w:rsid w:val="007D6D45"/>
    <w:rPr>
      <w:rFonts w:ascii="Times New Roman" w:hAnsi="Times New Roman" w:cs="Times New Roman" w:hint="default"/>
      <w:sz w:val="32"/>
      <w:szCs w:val="32"/>
    </w:rPr>
  </w:style>
  <w:style w:type="paragraph" w:customStyle="1" w:styleId="medium2-header">
    <w:name w:val="medium2-header"/>
    <w:basedOn w:val="a"/>
    <w:rsid w:val="007D6D45"/>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numbering" w:customStyle="1" w:styleId="1">
    <w:name w:val="ללא רשימה1"/>
    <w:next w:val="a2"/>
    <w:uiPriority w:val="99"/>
    <w:semiHidden/>
    <w:unhideWhenUsed/>
    <w:rsid w:val="007D6D45"/>
  </w:style>
  <w:style w:type="paragraph" w:styleId="a3">
    <w:name w:val="footnote text"/>
    <w:basedOn w:val="a"/>
    <w:link w:val="a4"/>
    <w:uiPriority w:val="99"/>
    <w:semiHidden/>
    <w:unhideWhenUsed/>
    <w:rsid w:val="007D6D45"/>
    <w:rPr>
      <w:rFonts w:ascii="Calibri" w:eastAsia="Calibri" w:hAnsi="Calibri" w:cs="Arial"/>
      <w:sz w:val="20"/>
      <w:szCs w:val="20"/>
    </w:rPr>
  </w:style>
  <w:style w:type="character" w:customStyle="1" w:styleId="a4">
    <w:name w:val="טקסט הערת שוליים תו"/>
    <w:basedOn w:val="a0"/>
    <w:link w:val="a3"/>
    <w:uiPriority w:val="99"/>
    <w:semiHidden/>
    <w:rsid w:val="007D6D45"/>
    <w:rPr>
      <w:rFonts w:ascii="Calibri" w:eastAsia="Calibri" w:hAnsi="Calibri" w:cs="Arial"/>
      <w:sz w:val="20"/>
      <w:szCs w:val="20"/>
    </w:rPr>
  </w:style>
  <w:style w:type="character" w:styleId="a5">
    <w:name w:val="footnote reference"/>
    <w:semiHidden/>
    <w:rsid w:val="007D6D45"/>
    <w:rPr>
      <w:vertAlign w:val="superscript"/>
    </w:rPr>
  </w:style>
  <w:style w:type="character" w:styleId="a6">
    <w:name w:val="annotation reference"/>
    <w:uiPriority w:val="99"/>
    <w:semiHidden/>
    <w:unhideWhenUsed/>
    <w:rsid w:val="007D6D45"/>
    <w:rPr>
      <w:sz w:val="16"/>
      <w:szCs w:val="16"/>
    </w:rPr>
  </w:style>
  <w:style w:type="paragraph" w:styleId="a7">
    <w:name w:val="annotation text"/>
    <w:basedOn w:val="a"/>
    <w:link w:val="a8"/>
    <w:uiPriority w:val="99"/>
    <w:semiHidden/>
    <w:unhideWhenUsed/>
    <w:rsid w:val="007D6D45"/>
    <w:rPr>
      <w:rFonts w:ascii="Calibri" w:eastAsia="Calibri" w:hAnsi="Calibri" w:cs="Arial"/>
      <w:sz w:val="20"/>
      <w:szCs w:val="20"/>
    </w:rPr>
  </w:style>
  <w:style w:type="character" w:customStyle="1" w:styleId="a8">
    <w:name w:val="טקסט הערה תו"/>
    <w:basedOn w:val="a0"/>
    <w:link w:val="a7"/>
    <w:uiPriority w:val="99"/>
    <w:semiHidden/>
    <w:rsid w:val="007D6D45"/>
    <w:rPr>
      <w:rFonts w:ascii="Calibri" w:eastAsia="Calibri" w:hAnsi="Calibri" w:cs="Arial"/>
      <w:sz w:val="20"/>
      <w:szCs w:val="20"/>
    </w:rPr>
  </w:style>
  <w:style w:type="paragraph" w:styleId="a9">
    <w:name w:val="Balloon Text"/>
    <w:basedOn w:val="a"/>
    <w:link w:val="aa"/>
    <w:uiPriority w:val="99"/>
    <w:semiHidden/>
    <w:unhideWhenUsed/>
    <w:rsid w:val="007D6D45"/>
    <w:pPr>
      <w:spacing w:after="0" w:line="240" w:lineRule="auto"/>
    </w:pPr>
    <w:rPr>
      <w:rFonts w:ascii="Tahoma" w:eastAsia="Calibri" w:hAnsi="Tahoma" w:cs="Tahoma"/>
      <w:sz w:val="16"/>
      <w:szCs w:val="16"/>
    </w:rPr>
  </w:style>
  <w:style w:type="character" w:customStyle="1" w:styleId="aa">
    <w:name w:val="טקסט בלונים תו"/>
    <w:basedOn w:val="a0"/>
    <w:link w:val="a9"/>
    <w:uiPriority w:val="99"/>
    <w:semiHidden/>
    <w:rsid w:val="007D6D45"/>
    <w:rPr>
      <w:rFonts w:ascii="Tahoma" w:eastAsia="Calibri" w:hAnsi="Tahoma" w:cs="Tahoma"/>
      <w:sz w:val="16"/>
      <w:szCs w:val="16"/>
    </w:rPr>
  </w:style>
  <w:style w:type="paragraph" w:styleId="ab">
    <w:name w:val="annotation subject"/>
    <w:basedOn w:val="a7"/>
    <w:next w:val="a7"/>
    <w:link w:val="ac"/>
    <w:uiPriority w:val="99"/>
    <w:semiHidden/>
    <w:unhideWhenUsed/>
    <w:rsid w:val="007D6D45"/>
    <w:rPr>
      <w:b/>
      <w:bCs/>
    </w:rPr>
  </w:style>
  <w:style w:type="character" w:customStyle="1" w:styleId="ac">
    <w:name w:val="נושא הערה תו"/>
    <w:basedOn w:val="a8"/>
    <w:link w:val="ab"/>
    <w:uiPriority w:val="99"/>
    <w:semiHidden/>
    <w:rsid w:val="007D6D45"/>
    <w:rPr>
      <w:rFonts w:ascii="Calibri" w:eastAsia="Calibri" w:hAnsi="Calibri" w:cs="Arial"/>
      <w:b/>
      <w:bCs/>
      <w:sz w:val="20"/>
      <w:szCs w:val="20"/>
    </w:rPr>
  </w:style>
  <w:style w:type="paragraph" w:styleId="ad">
    <w:name w:val="Revision"/>
    <w:hidden/>
    <w:uiPriority w:val="99"/>
    <w:semiHidden/>
    <w:rsid w:val="007D6D45"/>
    <w:pPr>
      <w:spacing w:after="0" w:line="240" w:lineRule="auto"/>
    </w:pPr>
    <w:rPr>
      <w:rFonts w:ascii="Calibri" w:eastAsia="Calibri" w:hAnsi="Calibri" w:cs="Arial"/>
    </w:rPr>
  </w:style>
  <w:style w:type="character" w:customStyle="1" w:styleId="MessageHeaderLabel">
    <w:name w:val="Message Header Label"/>
    <w:rsid w:val="007D6D45"/>
    <w:rPr>
      <w:b/>
      <w:spacing w:val="0"/>
      <w:sz w:val="18"/>
      <w:lang w:bidi="he-IL"/>
    </w:rPr>
  </w:style>
  <w:style w:type="paragraph" w:styleId="ae">
    <w:name w:val="Message Header"/>
    <w:basedOn w:val="af"/>
    <w:link w:val="af0"/>
    <w:rsid w:val="007D6D45"/>
    <w:pPr>
      <w:keepLines/>
      <w:spacing w:line="240" w:lineRule="atLeast"/>
      <w:ind w:left="1080" w:hanging="1080"/>
    </w:pPr>
    <w:rPr>
      <w:rFonts w:ascii="Times New Roman" w:eastAsia="Times New Roman" w:hAnsi="Times New Roman" w:cs="Times New Roman"/>
      <w:caps/>
      <w:sz w:val="18"/>
    </w:rPr>
  </w:style>
  <w:style w:type="character" w:customStyle="1" w:styleId="af0">
    <w:name w:val="כותרת עליונה של הודעה תו"/>
    <w:basedOn w:val="a0"/>
    <w:link w:val="ae"/>
    <w:rsid w:val="007D6D45"/>
    <w:rPr>
      <w:rFonts w:ascii="Times New Roman" w:eastAsia="Times New Roman" w:hAnsi="Times New Roman" w:cs="Times New Roman"/>
      <w:caps/>
      <w:sz w:val="18"/>
    </w:rPr>
  </w:style>
  <w:style w:type="paragraph" w:styleId="af">
    <w:name w:val="Body Text"/>
    <w:basedOn w:val="a"/>
    <w:link w:val="af1"/>
    <w:uiPriority w:val="99"/>
    <w:semiHidden/>
    <w:unhideWhenUsed/>
    <w:rsid w:val="007D6D45"/>
    <w:pPr>
      <w:spacing w:after="120"/>
    </w:pPr>
    <w:rPr>
      <w:rFonts w:ascii="Calibri" w:eastAsia="Calibri" w:hAnsi="Calibri" w:cs="Arial"/>
    </w:rPr>
  </w:style>
  <w:style w:type="character" w:customStyle="1" w:styleId="af1">
    <w:name w:val="גוף טקסט תו"/>
    <w:basedOn w:val="a0"/>
    <w:link w:val="af"/>
    <w:uiPriority w:val="99"/>
    <w:semiHidden/>
    <w:rsid w:val="007D6D45"/>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71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377AA-44A5-4047-B2FF-5FAF2D377A6F}"/>
</file>

<file path=customXml/itemProps2.xml><?xml version="1.0" encoding="utf-8"?>
<ds:datastoreItem xmlns:ds="http://schemas.openxmlformats.org/officeDocument/2006/customXml" ds:itemID="{23D098E4-13FB-4446-9A5A-69BF8FE12DC7}"/>
</file>

<file path=customXml/itemProps3.xml><?xml version="1.0" encoding="utf-8"?>
<ds:datastoreItem xmlns:ds="http://schemas.openxmlformats.org/officeDocument/2006/customXml" ds:itemID="{D485A891-281D-4691-8B9C-BC01861E23B0}"/>
</file>

<file path=docProps/app.xml><?xml version="1.0" encoding="utf-8"?>
<Properties xmlns="http://schemas.openxmlformats.org/officeDocument/2006/extended-properties" xmlns:vt="http://schemas.openxmlformats.org/officeDocument/2006/docPropsVTypes">
  <Template>Normal</Template>
  <TotalTime>0</TotalTime>
  <Pages>18</Pages>
  <Words>4839</Words>
  <Characters>24200</Characters>
  <Application>Microsoft Office Word</Application>
  <DocSecurity>4</DocSecurity>
  <Lines>201</Lines>
  <Paragraphs>57</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28982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Liron Banit Sasson</dc:creator>
  <cp:lastModifiedBy>נטלי שלף</cp:lastModifiedBy>
  <cp:revision>2</cp:revision>
  <dcterms:created xsi:type="dcterms:W3CDTF">2017-03-02T11:14:00Z</dcterms:created>
  <dcterms:modified xsi:type="dcterms:W3CDTF">2017-03-02T11:14:00Z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2017959</vt:r8>
  </property>
</Properties>
</file>