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2016845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1ED69E2B" w:rsidR="00E13C27" w:rsidRPr="00CF1AA2" w:rsidRDefault="008F6665" w:rsidP="00B9170C">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דוד ביטן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פ/4244/20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4630C698" w:rsidR="00E13C27" w:rsidRDefault="00A443CF" w:rsidP="003D3091">
      <w:pPr>
        <w:pStyle w:val="HeadHatzaotHok"/>
        <w:rPr>
          <w:rtl/>
        </w:rPr>
      </w:pPr>
      <w:bookmarkStart w:id="8" w:name="LGS_Subject"/>
      <w:r>
        <w:rPr>
          <w:rFonts w:hint="cs"/>
          <w:rtl/>
        </w:rPr>
        <w:t xml:space="preserve">הצעת חוק חופשה שנתית (תיקון </w:t>
      </w:r>
      <w:r w:rsidR="003D3091">
        <w:rPr>
          <w:rFonts w:hint="eastAsia"/>
          <w:rtl/>
        </w:rPr>
        <w:t>–</w:t>
      </w:r>
      <w:r>
        <w:rPr>
          <w:rFonts w:hint="cs"/>
          <w:rtl/>
        </w:rPr>
        <w:t xml:space="preserve"> חופשה ביום שבו מתקיימות בחירות מקדימות במפלגה שבה חבר העובד), </w:t>
      </w:r>
      <w:proofErr w:type="spellStart"/>
      <w:r>
        <w:rPr>
          <w:rFonts w:hint="cs"/>
          <w:rtl/>
        </w:rPr>
        <w:t>התשע"ז</w:t>
      </w:r>
      <w:proofErr w:type="spellEnd"/>
      <w:r>
        <w:rPr>
          <w:rFonts w:hint="cs"/>
          <w:rtl/>
        </w:rPr>
        <w:t>–2017</w:t>
      </w:r>
      <w:bookmarkEnd w:id="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7458B6" w14:paraId="4E8D9610" w14:textId="77777777" w:rsidTr="00CA168A">
        <w:trPr>
          <w:cantSplit/>
        </w:trPr>
        <w:tc>
          <w:tcPr>
            <w:tcW w:w="1871" w:type="dxa"/>
          </w:tcPr>
          <w:p w14:paraId="498EB192" w14:textId="0F6469A6" w:rsidR="007458B6" w:rsidRDefault="007458B6" w:rsidP="00CA168A">
            <w:pPr>
              <w:pStyle w:val="TableSideHeading"/>
              <w:keepLines w:val="0"/>
            </w:pPr>
            <w:r>
              <w:rPr>
                <w:rFonts w:hint="cs"/>
                <w:rtl/>
              </w:rPr>
              <w:t>תיקון סעיף 6</w:t>
            </w:r>
          </w:p>
        </w:tc>
        <w:tc>
          <w:tcPr>
            <w:tcW w:w="624" w:type="dxa"/>
          </w:tcPr>
          <w:p w14:paraId="023F020A" w14:textId="77777777" w:rsidR="007458B6" w:rsidRDefault="007458B6" w:rsidP="00CA168A">
            <w:pPr>
              <w:pStyle w:val="TableText"/>
              <w:keepLines w:val="0"/>
            </w:pPr>
            <w:r>
              <w:rPr>
                <w:rFonts w:hint="cs"/>
                <w:rtl/>
              </w:rPr>
              <w:t>1.</w:t>
            </w:r>
          </w:p>
        </w:tc>
        <w:tc>
          <w:tcPr>
            <w:tcW w:w="7143" w:type="dxa"/>
          </w:tcPr>
          <w:p w14:paraId="463DDE7F" w14:textId="77777777" w:rsidR="007458B6" w:rsidRPr="00C34DE2" w:rsidRDefault="007458B6" w:rsidP="00CA168A">
            <w:pPr>
              <w:pStyle w:val="TableBlock"/>
            </w:pPr>
            <w:r>
              <w:rPr>
                <w:rFonts w:hint="cs"/>
                <w:rtl/>
              </w:rPr>
              <w:t xml:space="preserve">בחוק חופשה שנתית, </w:t>
            </w:r>
            <w:proofErr w:type="spellStart"/>
            <w:r>
              <w:rPr>
                <w:rFonts w:hint="cs"/>
                <w:rtl/>
              </w:rPr>
              <w:t>התשי"א</w:t>
            </w:r>
            <w:proofErr w:type="spellEnd"/>
            <w:r>
              <w:rPr>
                <w:rFonts w:hint="eastAsia"/>
                <w:rtl/>
              </w:rPr>
              <w:t>–</w:t>
            </w:r>
            <w:r>
              <w:rPr>
                <w:rFonts w:hint="cs"/>
                <w:rtl/>
              </w:rPr>
              <w:t>1951</w:t>
            </w:r>
            <w:r>
              <w:rPr>
                <w:rStyle w:val="a5"/>
                <w:rtl/>
              </w:rPr>
              <w:footnoteReference w:id="2"/>
            </w:r>
            <w:r>
              <w:rPr>
                <w:rFonts w:hint="cs"/>
                <w:rtl/>
              </w:rPr>
              <w:t xml:space="preserve"> (להלן </w:t>
            </w:r>
            <w:r>
              <w:rPr>
                <w:rtl/>
              </w:rPr>
              <w:t>–</w:t>
            </w:r>
            <w:r>
              <w:rPr>
                <w:rFonts w:hint="cs"/>
                <w:rtl/>
              </w:rPr>
              <w:t xml:space="preserve"> החוק העיקרי), בסעיף 6(ב) </w:t>
            </w:r>
            <w:r>
              <w:rPr>
                <w:rFonts w:hint="eastAsia"/>
                <w:rtl/>
              </w:rPr>
              <w:t>–</w:t>
            </w:r>
            <w:r>
              <w:rPr>
                <w:rFonts w:hint="cs"/>
                <w:rtl/>
              </w:rPr>
              <w:t xml:space="preserve"> </w:t>
            </w:r>
          </w:p>
        </w:tc>
      </w:tr>
      <w:tr w:rsidR="007458B6" w14:paraId="72783F6B" w14:textId="77777777" w:rsidTr="00CA168A">
        <w:trPr>
          <w:cantSplit/>
        </w:trPr>
        <w:tc>
          <w:tcPr>
            <w:tcW w:w="1871" w:type="dxa"/>
          </w:tcPr>
          <w:p w14:paraId="28C2D22F" w14:textId="77777777" w:rsidR="007458B6" w:rsidRDefault="007458B6" w:rsidP="00CA168A">
            <w:pPr>
              <w:pStyle w:val="TableSideHeading"/>
              <w:keepLines w:val="0"/>
              <w:rPr>
                <w:rtl/>
              </w:rPr>
            </w:pPr>
          </w:p>
        </w:tc>
        <w:tc>
          <w:tcPr>
            <w:tcW w:w="624" w:type="dxa"/>
          </w:tcPr>
          <w:p w14:paraId="55061DE7" w14:textId="77777777" w:rsidR="007458B6" w:rsidRDefault="007458B6" w:rsidP="00CA168A">
            <w:pPr>
              <w:pStyle w:val="TableText"/>
              <w:keepLines w:val="0"/>
              <w:rPr>
                <w:rtl/>
              </w:rPr>
            </w:pPr>
          </w:p>
        </w:tc>
        <w:tc>
          <w:tcPr>
            <w:tcW w:w="7143" w:type="dxa"/>
          </w:tcPr>
          <w:p w14:paraId="66B61609" w14:textId="77777777" w:rsidR="007458B6" w:rsidRDefault="007458B6" w:rsidP="00CA168A">
            <w:pPr>
              <w:pStyle w:val="TableBlock"/>
              <w:rPr>
                <w:rtl/>
              </w:rPr>
            </w:pPr>
            <w:r>
              <w:rPr>
                <w:rFonts w:hint="cs"/>
                <w:rtl/>
              </w:rPr>
              <w:t>(1)</w:t>
            </w:r>
            <w:r>
              <w:rPr>
                <w:rtl/>
              </w:rPr>
              <w:tab/>
            </w:r>
            <w:r>
              <w:rPr>
                <w:rFonts w:hint="cs"/>
                <w:rtl/>
              </w:rPr>
              <w:t xml:space="preserve">אחרי "המנויים בתוספת" יבוא "ולעניין פרט 9 שבתוספת </w:t>
            </w:r>
            <w:r>
              <w:rPr>
                <w:rtl/>
              </w:rPr>
              <w:t>–</w:t>
            </w:r>
            <w:r>
              <w:rPr>
                <w:rFonts w:hint="cs"/>
                <w:rtl/>
              </w:rPr>
              <w:t xml:space="preserve"> חצי יום";</w:t>
            </w:r>
          </w:p>
        </w:tc>
      </w:tr>
      <w:tr w:rsidR="007458B6" w14:paraId="21FDC3EE" w14:textId="77777777" w:rsidTr="00CA168A">
        <w:trPr>
          <w:cantSplit/>
        </w:trPr>
        <w:tc>
          <w:tcPr>
            <w:tcW w:w="1871" w:type="dxa"/>
          </w:tcPr>
          <w:p w14:paraId="0A25D825" w14:textId="77777777" w:rsidR="007458B6" w:rsidRDefault="007458B6" w:rsidP="00CA168A">
            <w:pPr>
              <w:pStyle w:val="TableSideHeading"/>
              <w:keepLines w:val="0"/>
              <w:rPr>
                <w:rtl/>
              </w:rPr>
            </w:pPr>
          </w:p>
        </w:tc>
        <w:tc>
          <w:tcPr>
            <w:tcW w:w="624" w:type="dxa"/>
          </w:tcPr>
          <w:p w14:paraId="68E1C90C" w14:textId="77777777" w:rsidR="007458B6" w:rsidRDefault="007458B6" w:rsidP="00CA168A">
            <w:pPr>
              <w:pStyle w:val="TableText"/>
              <w:keepLines w:val="0"/>
              <w:rPr>
                <w:rtl/>
              </w:rPr>
            </w:pPr>
          </w:p>
        </w:tc>
        <w:tc>
          <w:tcPr>
            <w:tcW w:w="7143" w:type="dxa"/>
          </w:tcPr>
          <w:p w14:paraId="38EAC7BF" w14:textId="2C7C5C92" w:rsidR="007458B6" w:rsidRDefault="007458B6" w:rsidP="00CA168A">
            <w:pPr>
              <w:pStyle w:val="TableBlock"/>
              <w:rPr>
                <w:rtl/>
              </w:rPr>
            </w:pPr>
            <w:r>
              <w:rPr>
                <w:rFonts w:hint="cs"/>
                <w:rtl/>
              </w:rPr>
              <w:t>(2)</w:t>
            </w:r>
            <w:r>
              <w:rPr>
                <w:rtl/>
              </w:rPr>
              <w:tab/>
            </w:r>
            <w:r>
              <w:rPr>
                <w:rFonts w:hint="cs"/>
                <w:rtl/>
              </w:rPr>
              <w:t xml:space="preserve">אחרי "מראש לפחות" יבוא "ולעניין פרט 9 שבתוספת </w:t>
            </w:r>
            <w:r>
              <w:rPr>
                <w:rtl/>
              </w:rPr>
              <w:t>–</w:t>
            </w:r>
            <w:r>
              <w:rPr>
                <w:rFonts w:hint="cs"/>
                <w:rtl/>
              </w:rPr>
              <w:t xml:space="preserve"> 14 ימים</w:t>
            </w:r>
            <w:r w:rsidR="003D3091">
              <w:rPr>
                <w:rFonts w:hint="cs"/>
                <w:rtl/>
              </w:rPr>
              <w:t xml:space="preserve"> מראש לפחות</w:t>
            </w:r>
            <w:r>
              <w:rPr>
                <w:rFonts w:hint="cs"/>
                <w:rtl/>
              </w:rPr>
              <w:t>".</w:t>
            </w:r>
          </w:p>
        </w:tc>
      </w:tr>
      <w:tr w:rsidR="007458B6" w14:paraId="74317A92" w14:textId="77777777" w:rsidTr="00CA168A">
        <w:trPr>
          <w:cantSplit/>
        </w:trPr>
        <w:tc>
          <w:tcPr>
            <w:tcW w:w="1871" w:type="dxa"/>
          </w:tcPr>
          <w:p w14:paraId="1F523743" w14:textId="77777777" w:rsidR="007458B6" w:rsidRPr="0065717D" w:rsidRDefault="007458B6" w:rsidP="00CA168A">
            <w:pPr>
              <w:pStyle w:val="TableSideHeading"/>
              <w:keepLines w:val="0"/>
            </w:pPr>
            <w:r>
              <w:rPr>
                <w:rFonts w:hint="cs"/>
                <w:rtl/>
              </w:rPr>
              <w:t>תיקון התוספת</w:t>
            </w:r>
          </w:p>
        </w:tc>
        <w:tc>
          <w:tcPr>
            <w:tcW w:w="624" w:type="dxa"/>
          </w:tcPr>
          <w:p w14:paraId="301EC8DA" w14:textId="77777777" w:rsidR="007458B6" w:rsidRDefault="007458B6" w:rsidP="00CA168A">
            <w:pPr>
              <w:pStyle w:val="TableText"/>
              <w:keepLines w:val="0"/>
            </w:pPr>
            <w:r>
              <w:rPr>
                <w:rFonts w:hint="cs"/>
                <w:rtl/>
              </w:rPr>
              <w:t>2.</w:t>
            </w:r>
          </w:p>
        </w:tc>
        <w:tc>
          <w:tcPr>
            <w:tcW w:w="7143" w:type="dxa"/>
          </w:tcPr>
          <w:p w14:paraId="280C1FEC" w14:textId="77777777" w:rsidR="007458B6" w:rsidRPr="00C34DE2" w:rsidRDefault="007458B6" w:rsidP="00CA168A">
            <w:pPr>
              <w:pStyle w:val="TableBlock"/>
            </w:pPr>
            <w:r>
              <w:rPr>
                <w:rFonts w:hint="cs"/>
                <w:rtl/>
              </w:rPr>
              <w:t>בתוספת לחוק העיקרי, אחרי פרט 8 יבוא:</w:t>
            </w:r>
          </w:p>
        </w:tc>
      </w:tr>
      <w:tr w:rsidR="007458B6" w14:paraId="257759A5" w14:textId="77777777" w:rsidTr="00CA168A">
        <w:trPr>
          <w:cantSplit/>
        </w:trPr>
        <w:tc>
          <w:tcPr>
            <w:tcW w:w="1871" w:type="dxa"/>
          </w:tcPr>
          <w:p w14:paraId="29382B13" w14:textId="77777777" w:rsidR="007458B6" w:rsidRDefault="007458B6" w:rsidP="00CA168A">
            <w:pPr>
              <w:pStyle w:val="TableSideHeading"/>
              <w:keepLines w:val="0"/>
              <w:rPr>
                <w:rtl/>
              </w:rPr>
            </w:pPr>
          </w:p>
        </w:tc>
        <w:tc>
          <w:tcPr>
            <w:tcW w:w="624" w:type="dxa"/>
          </w:tcPr>
          <w:p w14:paraId="6AD95170" w14:textId="77777777" w:rsidR="007458B6" w:rsidRDefault="007458B6" w:rsidP="00CA168A">
            <w:pPr>
              <w:pStyle w:val="TableText"/>
              <w:rPr>
                <w:rtl/>
              </w:rPr>
            </w:pPr>
          </w:p>
        </w:tc>
        <w:tc>
          <w:tcPr>
            <w:tcW w:w="7143" w:type="dxa"/>
          </w:tcPr>
          <w:p w14:paraId="2E163837" w14:textId="6B98566D" w:rsidR="007458B6" w:rsidRDefault="007458B6" w:rsidP="00CA168A">
            <w:pPr>
              <w:pStyle w:val="TableBlock"/>
              <w:rPr>
                <w:rtl/>
              </w:rPr>
            </w:pPr>
            <w:r>
              <w:rPr>
                <w:rFonts w:hint="cs"/>
                <w:rtl/>
              </w:rPr>
              <w:t>"(9)</w:t>
            </w:r>
            <w:r>
              <w:rPr>
                <w:rtl/>
              </w:rPr>
              <w:tab/>
            </w:r>
            <w:r>
              <w:rPr>
                <w:rFonts w:hint="cs"/>
                <w:rtl/>
              </w:rPr>
              <w:t xml:space="preserve">יום שבו מתקיימות בחירות מקדימות במפלגה שבה חבר העובד, שבהן הוא זכאי להשתתף; לעניין זה, "בחירות מקדימות" </w:t>
            </w:r>
            <w:r>
              <w:rPr>
                <w:rtl/>
              </w:rPr>
              <w:t>–</w:t>
            </w:r>
            <w:r>
              <w:rPr>
                <w:rFonts w:hint="cs"/>
                <w:rtl/>
              </w:rPr>
              <w:t xml:space="preserve"> כהגדרתן בסעיף 28א לחוק המפלגות, </w:t>
            </w:r>
            <w:proofErr w:type="spellStart"/>
            <w:r>
              <w:rPr>
                <w:rFonts w:hint="cs"/>
                <w:rtl/>
              </w:rPr>
              <w:t>התשנ"ב</w:t>
            </w:r>
            <w:proofErr w:type="spellEnd"/>
            <w:r>
              <w:rPr>
                <w:rFonts w:hint="eastAsia"/>
                <w:rtl/>
              </w:rPr>
              <w:t>–</w:t>
            </w:r>
            <w:r>
              <w:rPr>
                <w:rFonts w:hint="cs"/>
                <w:rtl/>
              </w:rPr>
              <w:t>1992</w:t>
            </w:r>
            <w:r>
              <w:rPr>
                <w:rStyle w:val="a5"/>
                <w:rtl/>
              </w:rPr>
              <w:footnoteReference w:id="3"/>
            </w:r>
            <w:r>
              <w:rPr>
                <w:rFonts w:hint="cs"/>
                <w:rtl/>
              </w:rPr>
              <w:t>.</w:t>
            </w:r>
            <w:r w:rsidR="003D3091">
              <w:rPr>
                <w:rFonts w:hint="cs"/>
                <w:rtl/>
              </w:rPr>
              <w:t>"</w:t>
            </w:r>
          </w:p>
        </w:tc>
      </w:tr>
    </w:tbl>
    <w:p w14:paraId="6EB6C33D" w14:textId="77777777" w:rsidR="007458B6" w:rsidRDefault="007458B6" w:rsidP="007458B6">
      <w:pPr>
        <w:pStyle w:val="HeadDivreiHesber"/>
        <w:rPr>
          <w:rtl/>
        </w:rPr>
      </w:pPr>
      <w:r>
        <w:rPr>
          <w:rFonts w:hint="cs"/>
          <w:rtl/>
        </w:rPr>
        <w:t>דברי הסבר</w:t>
      </w:r>
    </w:p>
    <w:p w14:paraId="746CF31E" w14:textId="7CE2116E" w:rsidR="007458B6" w:rsidRDefault="007458B6" w:rsidP="00B9170C">
      <w:pPr>
        <w:pStyle w:val="Hesber"/>
        <w:ind w:firstLine="0"/>
        <w:rPr>
          <w:rtl/>
        </w:rPr>
      </w:pPr>
      <w:r>
        <w:rPr>
          <w:rFonts w:hint="cs"/>
          <w:rtl/>
        </w:rPr>
        <w:t xml:space="preserve">חוק חופשה שנתית, </w:t>
      </w:r>
      <w:proofErr w:type="spellStart"/>
      <w:r>
        <w:rPr>
          <w:rFonts w:hint="cs"/>
          <w:rtl/>
        </w:rPr>
        <w:t>התשי"א</w:t>
      </w:r>
      <w:proofErr w:type="spellEnd"/>
      <w:r>
        <w:rPr>
          <w:rFonts w:hint="eastAsia"/>
          <w:rtl/>
        </w:rPr>
        <w:t>–</w:t>
      </w:r>
      <w:r>
        <w:rPr>
          <w:rFonts w:hint="cs"/>
          <w:rtl/>
        </w:rPr>
        <w:t>1951</w:t>
      </w:r>
      <w:r w:rsidR="00B9170C">
        <w:rPr>
          <w:rFonts w:hint="cs"/>
          <w:rtl/>
        </w:rPr>
        <w:t xml:space="preserve"> (להלן </w:t>
      </w:r>
      <w:r w:rsidR="00B9170C">
        <w:rPr>
          <w:rFonts w:hint="eastAsia"/>
          <w:rtl/>
        </w:rPr>
        <w:t>–</w:t>
      </w:r>
      <w:r w:rsidR="00B9170C">
        <w:rPr>
          <w:rFonts w:hint="cs"/>
          <w:rtl/>
        </w:rPr>
        <w:t xml:space="preserve"> החוק)</w:t>
      </w:r>
      <w:r>
        <w:rPr>
          <w:rFonts w:hint="cs"/>
          <w:rtl/>
        </w:rPr>
        <w:t xml:space="preserve">, קובע בסעיף 6(ב) כי עובד רשאי לקחת יום אחד מהחופשה השנתית שלו במועד שיבחר, ויום אחד נוסף באחד הימים המנויים בתוספת, ובלבד שנמסרה על כך הודעה מראש למעסיק כמפורט בחוק. </w:t>
      </w:r>
    </w:p>
    <w:p w14:paraId="12B7BEC3" w14:textId="77777777" w:rsidR="007458B6" w:rsidRDefault="007458B6" w:rsidP="003D3091">
      <w:pPr>
        <w:pStyle w:val="Hesber"/>
        <w:ind w:firstLine="0"/>
        <w:rPr>
          <w:rtl/>
        </w:rPr>
      </w:pPr>
      <w:r>
        <w:rPr>
          <w:rFonts w:hint="cs"/>
          <w:rtl/>
        </w:rPr>
        <w:t>מוצע להוסיף לתוספת לחוק פרט נוסף, שהוא יום שבו מתקיימות בחירות מקדימות (</w:t>
      </w:r>
      <w:proofErr w:type="spellStart"/>
      <w:r>
        <w:rPr>
          <w:rFonts w:hint="cs"/>
          <w:rtl/>
        </w:rPr>
        <w:t>פריימריס</w:t>
      </w:r>
      <w:proofErr w:type="spellEnd"/>
      <w:r>
        <w:rPr>
          <w:rFonts w:hint="cs"/>
          <w:rtl/>
        </w:rPr>
        <w:t>) במפלגה שבה חבר העובד, ולקבוע כי ביום זה יוכל עובד שהוא בעל זכות בחירה בבחירות המקדימות לנצל חצי יום חופשה, על חשבון ימי החופשה השנתית שלו, ובלבד שהודיע על כך לפחות 14 ימים מראש.</w:t>
      </w:r>
    </w:p>
    <w:p w14:paraId="12AA41D8" w14:textId="77777777" w:rsidR="00B9170C" w:rsidRPr="00D73212" w:rsidRDefault="00B9170C" w:rsidP="00B9170C">
      <w:pPr>
        <w:pStyle w:val="Hesber"/>
        <w:rPr>
          <w:color w:val="auto"/>
          <w:rtl/>
          <w:lang w:eastAsia="en-US"/>
        </w:rPr>
      </w:pPr>
      <w:r w:rsidRPr="00D73212">
        <w:rPr>
          <w:color w:val="auto"/>
          <w:rtl/>
          <w:lang w:eastAsia="en-US"/>
        </w:rPr>
        <w:t>---------------------------------</w:t>
      </w:r>
    </w:p>
    <w:p w14:paraId="28ACA50E" w14:textId="77777777" w:rsidR="00B9170C" w:rsidRPr="00D73212" w:rsidRDefault="00B9170C" w:rsidP="00B9170C">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244DCA9" w14:textId="77777777" w:rsidR="00B9170C" w:rsidRPr="00D73212" w:rsidRDefault="00B9170C" w:rsidP="00B9170C">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6D1F951" w14:textId="77777777" w:rsidR="00B9170C" w:rsidRPr="00317312" w:rsidRDefault="00B9170C" w:rsidP="00B9170C">
      <w:pPr>
        <w:pStyle w:val="Hesber"/>
      </w:pPr>
      <w:r>
        <w:rPr>
          <w:rFonts w:hint="cs"/>
          <w:color w:val="auto"/>
          <w:rtl/>
          <w:lang w:eastAsia="en-US"/>
        </w:rPr>
        <w:t>כ"ו באייר</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22.5</w:t>
      </w:r>
      <w:r w:rsidRPr="00D73212">
        <w:rPr>
          <w:color w:val="auto"/>
          <w:rtl/>
          <w:lang w:eastAsia="en-US"/>
        </w:rPr>
        <w:t>.</w:t>
      </w:r>
      <w:r>
        <w:rPr>
          <w:rFonts w:hint="cs"/>
          <w:color w:val="auto"/>
          <w:rtl/>
          <w:lang w:eastAsia="en-US"/>
        </w:rPr>
        <w:t>17</w:t>
      </w:r>
    </w:p>
    <w:p w14:paraId="07C3A891" w14:textId="77777777" w:rsidR="00B9170C" w:rsidRDefault="00B9170C" w:rsidP="003D3091">
      <w:pPr>
        <w:pStyle w:val="Hesber"/>
        <w:ind w:firstLine="0"/>
        <w:rPr>
          <w:rtl/>
        </w:rPr>
      </w:pPr>
    </w:p>
    <w:sectPr w:rsidR="00B9170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62125" w14:textId="77777777" w:rsidR="00890CA0" w:rsidRDefault="00890CA0">
      <w:r>
        <w:separator/>
      </w:r>
    </w:p>
  </w:endnote>
  <w:endnote w:type="continuationSeparator" w:id="0">
    <w:p w14:paraId="5F7EACFA" w14:textId="77777777" w:rsidR="00890CA0" w:rsidRDefault="00890CA0">
      <w:r>
        <w:continuationSeparator/>
      </w:r>
    </w:p>
  </w:endnote>
  <w:endnote w:type="continuationNotice" w:id="1">
    <w:p w14:paraId="48FD52B6" w14:textId="77777777" w:rsidR="00890CA0" w:rsidRDefault="00890CA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D3091">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76E64" w14:textId="77777777" w:rsidR="00890CA0" w:rsidRDefault="00890CA0">
      <w:r>
        <w:separator/>
      </w:r>
    </w:p>
  </w:footnote>
  <w:footnote w:type="continuationSeparator" w:id="0">
    <w:p w14:paraId="7FDE72D5" w14:textId="77777777" w:rsidR="00890CA0" w:rsidRDefault="00890CA0">
      <w:r>
        <w:continuationSeparator/>
      </w:r>
    </w:p>
  </w:footnote>
  <w:footnote w:type="continuationNotice" w:id="1">
    <w:p w14:paraId="555B6D87" w14:textId="77777777" w:rsidR="00890CA0" w:rsidRDefault="00890CA0"/>
  </w:footnote>
  <w:footnote w:id="2">
    <w:p w14:paraId="45E69FEB" w14:textId="77777777" w:rsidR="007458B6" w:rsidRDefault="007458B6" w:rsidP="007458B6">
      <w:pPr>
        <w:pStyle w:val="a4"/>
        <w:rPr>
          <w:rtl/>
        </w:rPr>
      </w:pPr>
      <w:r>
        <w:rPr>
          <w:rStyle w:val="a5"/>
        </w:rPr>
        <w:footnoteRef/>
      </w:r>
      <w:r>
        <w:rPr>
          <w:rtl/>
        </w:rPr>
        <w:t xml:space="preserve"> </w:t>
      </w:r>
      <w:r>
        <w:rPr>
          <w:rFonts w:hint="cs"/>
          <w:rtl/>
        </w:rPr>
        <w:t xml:space="preserve">ס"ח </w:t>
      </w:r>
      <w:proofErr w:type="spellStart"/>
      <w:r>
        <w:rPr>
          <w:rFonts w:hint="cs"/>
          <w:rtl/>
        </w:rPr>
        <w:t>התשי"א</w:t>
      </w:r>
      <w:proofErr w:type="spellEnd"/>
      <w:r>
        <w:rPr>
          <w:rFonts w:hint="cs"/>
          <w:rtl/>
        </w:rPr>
        <w:t>, עמ' 234.</w:t>
      </w:r>
    </w:p>
  </w:footnote>
  <w:footnote w:id="3">
    <w:p w14:paraId="3B91CD51" w14:textId="77777777" w:rsidR="007458B6" w:rsidRDefault="007458B6" w:rsidP="007458B6">
      <w:pPr>
        <w:pStyle w:val="a4"/>
        <w:rPr>
          <w:rtl/>
        </w:rPr>
      </w:pPr>
      <w:r>
        <w:rPr>
          <w:rStyle w:val="a5"/>
        </w:rPr>
        <w:footnoteRef/>
      </w:r>
      <w:r>
        <w:rPr>
          <w:rtl/>
        </w:rPr>
        <w:t xml:space="preserve"> </w:t>
      </w:r>
      <w:r>
        <w:rPr>
          <w:rFonts w:hint="cs"/>
          <w:rtl/>
        </w:rPr>
        <w:t xml:space="preserve">ס"ח </w:t>
      </w:r>
      <w:proofErr w:type="spellStart"/>
      <w:r>
        <w:rPr>
          <w:rFonts w:hint="cs"/>
          <w:rtl/>
        </w:rPr>
        <w:t>התשנ"ב</w:t>
      </w:r>
      <w:proofErr w:type="spellEnd"/>
      <w:r>
        <w:rPr>
          <w:rFonts w:hint="cs"/>
          <w:rtl/>
        </w:rPr>
        <w:t>,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3337"/>
    <w:rsid w:val="00292712"/>
    <w:rsid w:val="002A487D"/>
    <w:rsid w:val="002C2E29"/>
    <w:rsid w:val="002C3041"/>
    <w:rsid w:val="002D1EE3"/>
    <w:rsid w:val="002F1D80"/>
    <w:rsid w:val="003232A2"/>
    <w:rsid w:val="00325C14"/>
    <w:rsid w:val="0036422C"/>
    <w:rsid w:val="003710F6"/>
    <w:rsid w:val="00386E88"/>
    <w:rsid w:val="00396585"/>
    <w:rsid w:val="003D3091"/>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458B6"/>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0CA0"/>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170C"/>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96D26-9A78-40FB-8671-F18A9060E466}"/>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1656E9CE-29EB-45C9-AB80-5AF236F3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224</Words>
  <Characters>1121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2017-05-17T11:19:00Z</cp:lastPrinted>
  <dcterms:created xsi:type="dcterms:W3CDTF">2017-06-13T14:07:00Z</dcterms:created>
  <dcterms:modified xsi:type="dcterms:W3CDTF">2017-06-13T14:07:00Z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2018364</vt:r8>
  </property>
</Properties>
</file>