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B637E8" w14:textId="77777777" w:rsidR="00D44311" w:rsidRPr="0000131B" w:rsidRDefault="00D44311" w:rsidP="00D44311">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577172</w:t>
      </w:r>
      <w:bookmarkEnd w:id="0"/>
    </w:p>
    <w:p w14:paraId="1F8B7FF2" w14:textId="77777777" w:rsidR="00D44311" w:rsidRPr="00DB7060" w:rsidRDefault="00D44311" w:rsidP="00D44311">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45B83763" w14:textId="77777777" w:rsidR="00D44311" w:rsidRPr="00F67051" w:rsidRDefault="00D44311" w:rsidP="00D44311">
      <w:pPr>
        <w:rPr>
          <w:rFonts w:cs="David"/>
          <w:b/>
          <w:bCs/>
          <w:sz w:val="26"/>
          <w:szCs w:val="26"/>
          <w:rtl/>
        </w:rPr>
      </w:pPr>
    </w:p>
    <w:p w14:paraId="4731ADF3" w14:textId="77777777" w:rsidR="00D44311" w:rsidRDefault="00D44311" w:rsidP="00D44311">
      <w:pPr>
        <w:pStyle w:val="David"/>
        <w:spacing w:line="360" w:lineRule="auto"/>
        <w:ind w:left="3544"/>
        <w:rPr>
          <w:b/>
          <w:bCs/>
          <w:rtl/>
        </w:rPr>
      </w:pPr>
      <w:bookmarkStart w:id="2" w:name="LGS_Initiators_List"/>
      <w:r>
        <w:rPr>
          <w:b/>
          <w:bCs/>
          <w:rtl/>
        </w:rPr>
        <w:t>יוזמות:      חברות הכנסת</w:t>
      </w:r>
      <w:bookmarkEnd w:id="2"/>
      <w:r w:rsidRPr="00F67051">
        <w:rPr>
          <w:b/>
          <w:bCs/>
        </w:rPr>
        <w:tab/>
      </w:r>
      <w:bookmarkStart w:id="3" w:name="LGS_PM_Names"/>
      <w:r>
        <w:rPr>
          <w:rFonts w:hint="cs"/>
          <w:b/>
          <w:bCs/>
          <w:rtl/>
        </w:rPr>
        <w:t>שולי מועלם-רפאלי</w:t>
      </w:r>
      <w:r>
        <w:br/>
      </w:r>
      <w:r>
        <w:rPr>
          <w:rFonts w:hint="cs"/>
          <w:b/>
          <w:bCs/>
          <w:rtl/>
        </w:rPr>
        <w:t xml:space="preserve"> </w:t>
      </w:r>
      <w:r>
        <w:tab/>
      </w:r>
      <w:r>
        <w:tab/>
      </w:r>
      <w:r>
        <w:tab/>
      </w:r>
      <w:r>
        <w:tab/>
      </w:r>
      <w:r>
        <w:rPr>
          <w:rFonts w:hint="cs"/>
          <w:b/>
          <w:bCs/>
          <w:rtl/>
        </w:rPr>
        <w:t>מרב מיכאלי</w:t>
      </w:r>
      <w:r>
        <w:br/>
      </w:r>
      <w:r>
        <w:rPr>
          <w:rFonts w:hint="cs"/>
          <w:b/>
          <w:bCs/>
          <w:rtl/>
        </w:rPr>
        <w:t xml:space="preserve"> </w:t>
      </w:r>
      <w:r>
        <w:tab/>
      </w:r>
      <w:r>
        <w:tab/>
      </w:r>
      <w:r>
        <w:tab/>
      </w:r>
      <w:r>
        <w:tab/>
      </w:r>
      <w:r>
        <w:rPr>
          <w:rFonts w:hint="cs"/>
          <w:b/>
          <w:bCs/>
          <w:rtl/>
        </w:rPr>
        <w:t>אורלי לוי אבקסיס</w:t>
      </w:r>
      <w:bookmarkEnd w:id="3"/>
    </w:p>
    <w:p w14:paraId="57EB2D13" w14:textId="77777777" w:rsidR="00D44311" w:rsidRPr="00CF1AA2" w:rsidRDefault="00D44311" w:rsidP="00D44311">
      <w:pPr>
        <w:pStyle w:val="David"/>
        <w:spacing w:before="0" w:line="360" w:lineRule="auto"/>
        <w:ind w:left="3544"/>
        <w:rPr>
          <w:b/>
          <w:bCs/>
          <w:sz w:val="16"/>
          <w:szCs w:val="16"/>
          <w:rtl/>
        </w:rPr>
      </w:pPr>
      <w:bookmarkStart w:id="4" w:name="LGS_Join_List"/>
      <w:r>
        <w:rPr>
          <w:rtl/>
        </w:rPr>
        <w:t xml:space="preserve"> </w:t>
      </w:r>
      <w:bookmarkEnd w:id="4"/>
      <w:r w:rsidRPr="00CF1AA2">
        <w:rPr>
          <w:rFonts w:hint="cs"/>
          <w:rtl/>
        </w:rPr>
        <w:tab/>
      </w:r>
      <w:bookmarkStart w:id="5" w:name="LGS_PM_NamesJoin"/>
      <w:r>
        <w:rPr>
          <w:rFonts w:hint="cs"/>
          <w:rtl/>
        </w:rPr>
        <w:t xml:space="preserve"> </w:t>
      </w:r>
      <w:bookmarkEnd w:id="5"/>
    </w:p>
    <w:p w14:paraId="742D1E05" w14:textId="77777777" w:rsidR="00D44311" w:rsidRPr="00904591" w:rsidRDefault="00D44311" w:rsidP="00D44311">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01E5AA25" w14:textId="77777777" w:rsidR="00D44311" w:rsidRPr="00E06736" w:rsidRDefault="00D44311" w:rsidP="00D44311">
      <w:pPr>
        <w:pStyle w:val="David"/>
        <w:spacing w:before="0" w:line="240" w:lineRule="auto"/>
        <w:ind w:left="3544"/>
        <w:rPr>
          <w:rtl/>
        </w:rPr>
      </w:pPr>
      <w:r>
        <w:t xml:space="preserve">                                             </w:t>
      </w:r>
      <w:bookmarkStart w:id="6" w:name="Private_Number"/>
      <w:r>
        <w:rPr>
          <w:rFonts w:hint="cs"/>
          <w:rtl/>
        </w:rPr>
        <w:t>פ/3295/20</w:t>
      </w:r>
      <w:bookmarkEnd w:id="6"/>
    </w:p>
    <w:p w14:paraId="62BCF886" w14:textId="77777777" w:rsidR="00D44311" w:rsidRDefault="00D44311" w:rsidP="00D44311">
      <w:pPr>
        <w:spacing w:before="0" w:line="360" w:lineRule="auto"/>
        <w:ind w:left="2880" w:firstLine="720"/>
        <w:rPr>
          <w:rFonts w:cs="David"/>
          <w:sz w:val="26"/>
          <w:szCs w:val="26"/>
          <w:rtl/>
        </w:rPr>
      </w:pPr>
    </w:p>
    <w:p w14:paraId="06971789" w14:textId="77777777" w:rsidR="00D44311" w:rsidRPr="00F67051" w:rsidRDefault="00D44311" w:rsidP="00D44311">
      <w:pPr>
        <w:pStyle w:val="HeadHatzaotHok"/>
        <w:rPr>
          <w:rtl/>
        </w:rPr>
      </w:pPr>
      <w:bookmarkStart w:id="7" w:name="LGS_Subject"/>
      <w:r>
        <w:rPr>
          <w:rFonts w:hint="cs"/>
          <w:rtl/>
        </w:rPr>
        <w:t>הצעת חוק הסיוע המשפטי (תיקון – נפגעי עבירות מין), התשע"ו–2016</w:t>
      </w:r>
      <w:bookmarkEnd w:id="7"/>
    </w:p>
    <w:p w14:paraId="6D6E87A2" w14:textId="77777777" w:rsidR="00D44311" w:rsidRDefault="00D44311" w:rsidP="00D44311">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4958F7" w14:paraId="68163F16" w14:textId="77777777" w:rsidTr="00B423CC">
        <w:trPr>
          <w:cantSplit/>
        </w:trPr>
        <w:tc>
          <w:tcPr>
            <w:tcW w:w="1871" w:type="dxa"/>
          </w:tcPr>
          <w:p w14:paraId="2AF6CE39" w14:textId="773E82AD" w:rsidR="004958F7" w:rsidRDefault="004958F7" w:rsidP="004958F7">
            <w:pPr>
              <w:pStyle w:val="TableSideHeading"/>
              <w:rPr>
                <w:rFonts w:hint="cs"/>
                <w:rtl/>
              </w:rPr>
            </w:pPr>
            <w:r>
              <w:rPr>
                <w:rFonts w:hint="cs"/>
                <w:rtl/>
              </w:rPr>
              <w:t>הוספת פרט לתוספת</w:t>
            </w:r>
          </w:p>
        </w:tc>
        <w:tc>
          <w:tcPr>
            <w:tcW w:w="624" w:type="dxa"/>
          </w:tcPr>
          <w:p w14:paraId="59522F61" w14:textId="0FA36939" w:rsidR="004958F7" w:rsidRDefault="004958F7" w:rsidP="004958F7">
            <w:pPr>
              <w:pStyle w:val="TableText"/>
              <w:rPr>
                <w:rtl/>
              </w:rPr>
            </w:pPr>
            <w:r>
              <w:rPr>
                <w:rFonts w:hint="cs"/>
                <w:rtl/>
              </w:rPr>
              <w:t>19.</w:t>
            </w:r>
          </w:p>
        </w:tc>
        <w:tc>
          <w:tcPr>
            <w:tcW w:w="7143" w:type="dxa"/>
            <w:gridSpan w:val="2"/>
          </w:tcPr>
          <w:p w14:paraId="40F091CD" w14:textId="07D9AD97" w:rsidR="004958F7" w:rsidRPr="00E8377F" w:rsidRDefault="004958F7" w:rsidP="00B423CC">
            <w:pPr>
              <w:pStyle w:val="TableBlock"/>
              <w:rPr>
                <w:rFonts w:hint="cs"/>
                <w:rtl/>
              </w:rPr>
            </w:pPr>
            <w:r w:rsidRPr="00E8377F">
              <w:rPr>
                <w:rFonts w:hint="cs"/>
                <w:rtl/>
              </w:rPr>
              <w:t>בחוק הסיוע המשפטי, התשל"ב</w:t>
            </w:r>
            <w:r w:rsidRPr="00E8377F">
              <w:rPr>
                <w:rtl/>
              </w:rPr>
              <w:t>–</w:t>
            </w:r>
            <w:r>
              <w:rPr>
                <w:rFonts w:hint="cs"/>
                <w:rtl/>
              </w:rPr>
              <w:t>1972</w:t>
            </w:r>
            <w:r>
              <w:rPr>
                <w:rStyle w:val="a5"/>
                <w:rtl/>
              </w:rPr>
              <w:footnoteReference w:id="2"/>
            </w:r>
            <w:r w:rsidRPr="00E8377F">
              <w:rPr>
                <w:rFonts w:hint="cs"/>
                <w:rtl/>
              </w:rPr>
              <w:t>, אחרי פרט (8) יבוא:</w:t>
            </w:r>
          </w:p>
        </w:tc>
      </w:tr>
      <w:tr w:rsidR="00D44311" w14:paraId="58951F9F" w14:textId="77777777" w:rsidTr="00B423CC">
        <w:trPr>
          <w:cantSplit/>
        </w:trPr>
        <w:tc>
          <w:tcPr>
            <w:tcW w:w="1871" w:type="dxa"/>
          </w:tcPr>
          <w:p w14:paraId="5E4CAAC6" w14:textId="77777777" w:rsidR="00D44311" w:rsidRDefault="00D44311" w:rsidP="00B423CC">
            <w:pPr>
              <w:pStyle w:val="TableSideHeading"/>
              <w:keepLines w:val="0"/>
              <w:rPr>
                <w:rtl/>
              </w:rPr>
            </w:pPr>
          </w:p>
        </w:tc>
        <w:tc>
          <w:tcPr>
            <w:tcW w:w="624" w:type="dxa"/>
          </w:tcPr>
          <w:p w14:paraId="3E405DA6" w14:textId="77777777" w:rsidR="00D44311" w:rsidRDefault="00D44311" w:rsidP="00B423CC">
            <w:pPr>
              <w:pStyle w:val="TableText"/>
              <w:keepLines w:val="0"/>
              <w:rPr>
                <w:rtl/>
              </w:rPr>
            </w:pPr>
          </w:p>
        </w:tc>
        <w:tc>
          <w:tcPr>
            <w:tcW w:w="7143" w:type="dxa"/>
            <w:gridSpan w:val="2"/>
          </w:tcPr>
          <w:p w14:paraId="46557C7A" w14:textId="77777777" w:rsidR="00D44311" w:rsidRPr="005A3764" w:rsidRDefault="00D44311" w:rsidP="00B423CC">
            <w:pPr>
              <w:pStyle w:val="TableBlock"/>
              <w:rPr>
                <w:rtl/>
              </w:rPr>
            </w:pPr>
            <w:r>
              <w:rPr>
                <w:rFonts w:hint="cs"/>
                <w:rtl/>
              </w:rPr>
              <w:t>"(9)</w:t>
            </w:r>
            <w:r>
              <w:rPr>
                <w:rtl/>
              </w:rPr>
              <w:tab/>
            </w:r>
            <w:r>
              <w:rPr>
                <w:rFonts w:hint="cs"/>
                <w:rtl/>
              </w:rPr>
              <w:t>לנפגע עבירת מין שנעברה נגדו עבירה לפי סעיפים 345, 347 ו-351 לחוק העונשין, התשל"ז</w:t>
            </w:r>
            <w:r>
              <w:rPr>
                <w:rtl/>
              </w:rPr>
              <w:t>–</w:t>
            </w:r>
            <w:r>
              <w:rPr>
                <w:rFonts w:hint="cs"/>
                <w:rtl/>
              </w:rPr>
              <w:t>1977</w:t>
            </w:r>
            <w:r>
              <w:rPr>
                <w:rStyle w:val="a5"/>
                <w:rtl/>
              </w:rPr>
              <w:footnoteReference w:id="3"/>
            </w:r>
            <w:r>
              <w:rPr>
                <w:rFonts w:hint="cs"/>
                <w:rtl/>
              </w:rPr>
              <w:t xml:space="preserve">, בכל הנוגע </w:t>
            </w:r>
            <w:r>
              <w:rPr>
                <w:rtl/>
              </w:rPr>
              <w:t>–</w:t>
            </w:r>
          </w:p>
        </w:tc>
      </w:tr>
      <w:tr w:rsidR="00D44311" w14:paraId="47038301" w14:textId="77777777" w:rsidTr="00B423CC">
        <w:trPr>
          <w:cantSplit/>
        </w:trPr>
        <w:tc>
          <w:tcPr>
            <w:tcW w:w="1871" w:type="dxa"/>
          </w:tcPr>
          <w:p w14:paraId="6BEB05A7" w14:textId="3043EEB0" w:rsidR="00D44311" w:rsidRDefault="00D44311" w:rsidP="004958F7">
            <w:pPr>
              <w:pStyle w:val="TableSideHeading"/>
            </w:pPr>
          </w:p>
        </w:tc>
        <w:tc>
          <w:tcPr>
            <w:tcW w:w="624" w:type="dxa"/>
          </w:tcPr>
          <w:p w14:paraId="3244D147" w14:textId="77777777" w:rsidR="00D44311" w:rsidRDefault="00D44311" w:rsidP="00B423CC">
            <w:pPr>
              <w:pStyle w:val="TableText"/>
            </w:pPr>
          </w:p>
        </w:tc>
        <w:tc>
          <w:tcPr>
            <w:tcW w:w="624" w:type="dxa"/>
          </w:tcPr>
          <w:p w14:paraId="151D6324" w14:textId="77777777" w:rsidR="00D44311" w:rsidRDefault="00D44311" w:rsidP="00B423CC">
            <w:pPr>
              <w:pStyle w:val="TableText"/>
            </w:pPr>
          </w:p>
        </w:tc>
        <w:tc>
          <w:tcPr>
            <w:tcW w:w="6519" w:type="dxa"/>
          </w:tcPr>
          <w:p w14:paraId="23712775" w14:textId="56FBFB5B" w:rsidR="00D44311" w:rsidRDefault="00D44311" w:rsidP="00B423CC">
            <w:pPr>
              <w:pStyle w:val="TableBlock"/>
            </w:pPr>
            <w:r>
              <w:rPr>
                <w:rFonts w:hint="cs"/>
                <w:rtl/>
              </w:rPr>
              <w:t>(א)</w:t>
            </w:r>
            <w:r>
              <w:rPr>
                <w:rtl/>
              </w:rPr>
              <w:tab/>
            </w:r>
            <w:r>
              <w:rPr>
                <w:rFonts w:hint="cs"/>
                <w:rtl/>
              </w:rPr>
              <w:t>לקבלת ייעוץ וסיוע במימוש זכויותיו לפי חוק זכויות נפגעי עבירה, התשס"א</w:t>
            </w:r>
            <w:r>
              <w:rPr>
                <w:rtl/>
              </w:rPr>
              <w:t>–</w:t>
            </w:r>
            <w:r>
              <w:rPr>
                <w:rFonts w:hint="cs"/>
                <w:rtl/>
              </w:rPr>
              <w:t>2001</w:t>
            </w:r>
            <w:r w:rsidR="001E70A5">
              <w:rPr>
                <w:rStyle w:val="a5"/>
                <w:rtl/>
              </w:rPr>
              <w:footnoteReference w:id="4"/>
            </w:r>
            <w:r>
              <w:rPr>
                <w:rFonts w:hint="cs"/>
                <w:rtl/>
              </w:rPr>
              <w:t xml:space="preserve"> וסעיף 3 לא יחול;</w:t>
            </w:r>
          </w:p>
        </w:tc>
      </w:tr>
      <w:tr w:rsidR="00D44311" w14:paraId="086BA826" w14:textId="77777777" w:rsidTr="00B423CC">
        <w:trPr>
          <w:cantSplit/>
        </w:trPr>
        <w:tc>
          <w:tcPr>
            <w:tcW w:w="1871" w:type="dxa"/>
          </w:tcPr>
          <w:p w14:paraId="6CC58C7C" w14:textId="77777777" w:rsidR="00D44311" w:rsidRDefault="00D44311" w:rsidP="00B423CC">
            <w:pPr>
              <w:pStyle w:val="TableSideHeading"/>
            </w:pPr>
          </w:p>
        </w:tc>
        <w:tc>
          <w:tcPr>
            <w:tcW w:w="624" w:type="dxa"/>
          </w:tcPr>
          <w:p w14:paraId="71AB6A0E" w14:textId="77777777" w:rsidR="00D44311" w:rsidRDefault="00D44311" w:rsidP="00B423CC">
            <w:pPr>
              <w:pStyle w:val="TableText"/>
            </w:pPr>
          </w:p>
        </w:tc>
        <w:tc>
          <w:tcPr>
            <w:tcW w:w="624" w:type="dxa"/>
          </w:tcPr>
          <w:p w14:paraId="58108269" w14:textId="77777777" w:rsidR="00D44311" w:rsidRDefault="00D44311" w:rsidP="00B423CC">
            <w:pPr>
              <w:pStyle w:val="TableText"/>
            </w:pPr>
          </w:p>
        </w:tc>
        <w:tc>
          <w:tcPr>
            <w:tcW w:w="6519" w:type="dxa"/>
          </w:tcPr>
          <w:p w14:paraId="0C67E292" w14:textId="77777777" w:rsidR="00D44311" w:rsidRDefault="00D44311" w:rsidP="00B423CC">
            <w:pPr>
              <w:pStyle w:val="TableBlock"/>
              <w:rPr>
                <w:rtl/>
              </w:rPr>
            </w:pPr>
            <w:r>
              <w:rPr>
                <w:rFonts w:hint="cs"/>
                <w:rtl/>
              </w:rPr>
              <w:t>(ב)</w:t>
            </w:r>
            <w:r>
              <w:rPr>
                <w:rtl/>
              </w:rPr>
              <w:tab/>
            </w:r>
            <w:r>
              <w:rPr>
                <w:rFonts w:hint="cs"/>
                <w:rtl/>
              </w:rPr>
              <w:t>לייצוג בהליכים אזרחיים שהגיש נגד הפוגע בו שהוגש נגדו כתב אישום בעבירה כאמור וסעיף 3 לא יחול."</w:t>
            </w:r>
          </w:p>
        </w:tc>
      </w:tr>
    </w:tbl>
    <w:p w14:paraId="251E7A9F" w14:textId="77777777" w:rsidR="00D44311" w:rsidRDefault="00D44311" w:rsidP="00D44311">
      <w:pPr>
        <w:pStyle w:val="HeadDivreiHesber"/>
        <w:rPr>
          <w:rtl/>
        </w:rPr>
      </w:pPr>
      <w:r w:rsidRPr="0027450A">
        <w:rPr>
          <w:rFonts w:hint="cs"/>
          <w:rtl/>
        </w:rPr>
        <w:t>דברי הסבר</w:t>
      </w:r>
    </w:p>
    <w:p w14:paraId="1D52DDCF" w14:textId="77777777" w:rsidR="00D44311" w:rsidRPr="00E8377F" w:rsidRDefault="00D44311" w:rsidP="00D44311">
      <w:pPr>
        <w:pStyle w:val="Hesber"/>
        <w:rPr>
          <w:rtl/>
        </w:rPr>
      </w:pPr>
      <w:r w:rsidRPr="00E8377F">
        <w:rPr>
          <w:rFonts w:hint="cs"/>
          <w:rtl/>
        </w:rPr>
        <w:t xml:space="preserve">מכשולים רבים ניצבים בפני אדם שנעברו כנגדו עבירות מין בעת פתיחה בהליך משפטי נגד מבצע העבירה. לרוב, מדובר באנשים המצויים במצוקה נפשית גדולה והזקוקים לאומץ רב כדי לפתוח בהליך משפטי שבו יהיה עליהם לגולל את הטראומה הקשה שעברו. </w:t>
      </w:r>
    </w:p>
    <w:p w14:paraId="0F1422F2" w14:textId="761D56D1" w:rsidR="00D44311" w:rsidRPr="00E8377F" w:rsidRDefault="00D44311" w:rsidP="004958F7">
      <w:pPr>
        <w:pStyle w:val="Hesber"/>
        <w:rPr>
          <w:rtl/>
        </w:rPr>
      </w:pPr>
      <w:r w:rsidRPr="00E8377F">
        <w:rPr>
          <w:rFonts w:hint="cs"/>
          <w:rtl/>
        </w:rPr>
        <w:t>ל</w:t>
      </w:r>
      <w:r w:rsidR="004958F7">
        <w:rPr>
          <w:rFonts w:hint="cs"/>
          <w:rtl/>
        </w:rPr>
        <w:t>א</w:t>
      </w:r>
      <w:r w:rsidRPr="00E8377F">
        <w:rPr>
          <w:rFonts w:hint="cs"/>
          <w:rtl/>
        </w:rPr>
        <w:t xml:space="preserve"> זו אף זו, הנפגעים נאלצים להתמודד עם מערכת משפטית אשר שמה במרכזה את הנאשם. הם אינם בעלי דין בהליך הפלילי, והזכויות הניתנות להם בהליך, ניתנות בכפוף לזכויות המוקנות לנאשם עצמו </w:t>
      </w:r>
      <w:r w:rsidRPr="00E8377F">
        <w:rPr>
          <w:rtl/>
        </w:rPr>
        <w:t>–</w:t>
      </w:r>
      <w:r w:rsidRPr="00E8377F">
        <w:rPr>
          <w:rFonts w:hint="cs"/>
          <w:rtl/>
        </w:rPr>
        <w:t xml:space="preserve"> "לקבוע את זכויותיו של נפגע העבירה ולהגן על כבודו כאדם, בלי לפגוע בזכויותיהם על פי דין של חשודים, נאשמים ונדונים." (סעיף 1 לחוק זכויות נפגעי עבירה, התשס"א</w:t>
      </w:r>
      <w:r w:rsidRPr="00E8377F">
        <w:rPr>
          <w:rtl/>
        </w:rPr>
        <w:t>–</w:t>
      </w:r>
      <w:r w:rsidRPr="00E8377F">
        <w:rPr>
          <w:rFonts w:hint="cs"/>
          <w:rtl/>
        </w:rPr>
        <w:t xml:space="preserve">2001 (להלן </w:t>
      </w:r>
      <w:r w:rsidRPr="00E8377F">
        <w:rPr>
          <w:rtl/>
        </w:rPr>
        <w:t>–</w:t>
      </w:r>
      <w:r w:rsidRPr="00E8377F">
        <w:rPr>
          <w:rFonts w:hint="cs"/>
          <w:rtl/>
        </w:rPr>
        <w:t xml:space="preserve"> חוק זכויות נפגעי עבירה)). </w:t>
      </w:r>
    </w:p>
    <w:p w14:paraId="128D621A" w14:textId="7A82251B" w:rsidR="00D44311" w:rsidRPr="00E8377F" w:rsidRDefault="00D44311" w:rsidP="004958F7">
      <w:pPr>
        <w:pStyle w:val="Hesber"/>
        <w:rPr>
          <w:rtl/>
        </w:rPr>
      </w:pPr>
      <w:r w:rsidRPr="00E8377F">
        <w:rPr>
          <w:rFonts w:hint="cs"/>
          <w:rtl/>
        </w:rPr>
        <w:t xml:space="preserve">על פי חוק זכויות נפגעי עבירה, הנפגעים זכאים לקבל מידע והסבר על ההליך המשפטי, על הצפוי להם במהלכו ועל תוצאותיו האפשריות </w:t>
      </w:r>
      <w:r w:rsidRPr="00E8377F">
        <w:rPr>
          <w:rtl/>
        </w:rPr>
        <w:t>–</w:t>
      </w:r>
      <w:r w:rsidRPr="00E8377F">
        <w:rPr>
          <w:rFonts w:hint="cs"/>
          <w:rtl/>
        </w:rPr>
        <w:t xml:space="preserve"> בעיקר זכויות לקבלת מידע והבעת עמדה בשלבים שונים בהליך </w:t>
      </w:r>
      <w:r w:rsidRPr="00E8377F">
        <w:rPr>
          <w:rFonts w:hint="cs"/>
          <w:rtl/>
        </w:rPr>
        <w:lastRenderedPageBreak/>
        <w:t>הפלילי (לרבות הסדר טיעון, בקשות חנינה וכיו</w:t>
      </w:r>
      <w:r w:rsidR="004958F7">
        <w:rPr>
          <w:rFonts w:hint="cs"/>
          <w:rtl/>
        </w:rPr>
        <w:t>צא בזה</w:t>
      </w:r>
      <w:r w:rsidRPr="00E8377F">
        <w:rPr>
          <w:rFonts w:hint="cs"/>
          <w:rtl/>
        </w:rPr>
        <w:t xml:space="preserve">). </w:t>
      </w:r>
    </w:p>
    <w:p w14:paraId="54F93E29" w14:textId="46A9CE21" w:rsidR="00D44311" w:rsidRPr="00E8377F" w:rsidRDefault="00D44311" w:rsidP="004958F7">
      <w:pPr>
        <w:pStyle w:val="Hesber"/>
        <w:rPr>
          <w:rtl/>
        </w:rPr>
      </w:pPr>
      <w:r w:rsidRPr="00E8377F">
        <w:rPr>
          <w:rFonts w:hint="cs"/>
          <w:rtl/>
        </w:rPr>
        <w:t>למרבית נפגעי העבירה אין היכרות עם ההליך הפלילי. האדם "מן היישוב" אינו מצוי בנבכי ההליך, אינו יודע מהם השלבים השונים של ההליך (מעצר</w:t>
      </w:r>
      <w:r w:rsidR="004958F7">
        <w:rPr>
          <w:rFonts w:hint="cs"/>
          <w:rtl/>
        </w:rPr>
        <w:t xml:space="preserve"> ימים, מעצר עד תום ההליכים וכיוצא </w:t>
      </w:r>
      <w:r w:rsidRPr="00E8377F">
        <w:rPr>
          <w:rFonts w:hint="cs"/>
          <w:rtl/>
        </w:rPr>
        <w:t>ב</w:t>
      </w:r>
      <w:r w:rsidR="004958F7">
        <w:rPr>
          <w:rFonts w:hint="cs"/>
          <w:rtl/>
        </w:rPr>
        <w:t>זה</w:t>
      </w:r>
      <w:r w:rsidRPr="00E8377F">
        <w:rPr>
          <w:rFonts w:hint="cs"/>
          <w:rtl/>
        </w:rPr>
        <w:t>), מי הם הגורמים הנמצאים בתפקידים השונים לאורכו, מה הם זכויותיו, זכויות</w:t>
      </w:r>
      <w:r>
        <w:rPr>
          <w:rFonts w:hint="cs"/>
          <w:rtl/>
        </w:rPr>
        <w:t>יו של</w:t>
      </w:r>
      <w:r w:rsidRPr="00E8377F">
        <w:rPr>
          <w:rFonts w:hint="cs"/>
          <w:rtl/>
        </w:rPr>
        <w:t xml:space="preserve"> החשוד והנאשם או כמה זמן ההליך עשוי להימשך. נפגעי העבירה אינם יודעים לאן לפנות בחיפושיהם אחר מידע וכיצד לפנות לרשויות בבקשות ובשאלות שונות. </w:t>
      </w:r>
      <w:r w:rsidR="004958F7">
        <w:rPr>
          <w:rFonts w:hint="cs"/>
          <w:rtl/>
        </w:rPr>
        <w:t>נוכח</w:t>
      </w:r>
      <w:r w:rsidRPr="00E8377F">
        <w:rPr>
          <w:rFonts w:hint="cs"/>
          <w:rtl/>
        </w:rPr>
        <w:t xml:space="preserve"> האמור, מוצע לקבוע זכות לסיוע משפטי לנפגעי עבירות מין חמורות (על פי נתונים מדוח אי</w:t>
      </w:r>
      <w:r w:rsidR="004958F7">
        <w:rPr>
          <w:rFonts w:hint="cs"/>
          <w:rtl/>
        </w:rPr>
        <w:t>גוד מרכזי הסיוע בשנים 2014-2015</w:t>
      </w:r>
      <w:r w:rsidRPr="00E8377F">
        <w:rPr>
          <w:rFonts w:hint="cs"/>
          <w:rtl/>
        </w:rPr>
        <w:t xml:space="preserve"> מידי שנה מוגשים כ-200 כתבי אישום בתיקים אלו)</w:t>
      </w:r>
      <w:r w:rsidR="004958F7">
        <w:rPr>
          <w:rFonts w:hint="cs"/>
          <w:rtl/>
        </w:rPr>
        <w:t xml:space="preserve"> </w:t>
      </w:r>
      <w:r w:rsidRPr="00E8377F">
        <w:rPr>
          <w:rtl/>
        </w:rPr>
        <w:t>–</w:t>
      </w:r>
      <w:r w:rsidRPr="00E8377F">
        <w:rPr>
          <w:rFonts w:hint="cs"/>
          <w:rtl/>
        </w:rPr>
        <w:t xml:space="preserve"> עבירת אינוס לפי סעיף 345, לחוק העונשין, התשל"ז</w:t>
      </w:r>
      <w:r w:rsidR="004958F7">
        <w:rPr>
          <w:rFonts w:hint="eastAsia"/>
          <w:rtl/>
        </w:rPr>
        <w:t>–</w:t>
      </w:r>
      <w:r w:rsidRPr="00E8377F">
        <w:rPr>
          <w:rFonts w:hint="cs"/>
          <w:rtl/>
        </w:rPr>
        <w:t xml:space="preserve">1977, מעשה סדום לפי סעיף 347 לחוק ועבירות מין במשפחה ובידי אחראי על חסר ישע לפי סעיף 351 לחוק.  </w:t>
      </w:r>
    </w:p>
    <w:p w14:paraId="78D28601" w14:textId="77777777" w:rsidR="00D44311" w:rsidRPr="00E8377F" w:rsidRDefault="00D44311" w:rsidP="00D44311">
      <w:pPr>
        <w:pStyle w:val="Hesber"/>
        <w:rPr>
          <w:rtl/>
        </w:rPr>
      </w:pPr>
      <w:r w:rsidRPr="00E8377F">
        <w:rPr>
          <w:rFonts w:hint="cs"/>
          <w:rtl/>
        </w:rPr>
        <w:t xml:space="preserve">מוצע לקבוע כי הזכות לסיוע תהיה הן במישור הפלילי (ליווי בהליך הפלילי המתנהל נגד הפוגע) והן במישור האזרחי בתביעות פיצויים כנגד התובע, וזאת ללא מבחן הכנסה. </w:t>
      </w:r>
    </w:p>
    <w:p w14:paraId="3F6BCFC5" w14:textId="77777777" w:rsidR="00D44311" w:rsidRPr="00E8377F" w:rsidRDefault="00D44311" w:rsidP="00D44311">
      <w:pPr>
        <w:pStyle w:val="Hesber"/>
        <w:rPr>
          <w:rtl/>
        </w:rPr>
      </w:pPr>
      <w:r w:rsidRPr="00E8377F">
        <w:rPr>
          <w:rFonts w:hint="cs"/>
          <w:rtl/>
        </w:rPr>
        <w:t>מטרת הייצוג המשפטי והליווי הטיפולי לנפגעים היא להמעיט ככל שניתן את חוסר האונים שלהם מול המערכות המוסדיות, ולצמצם את התחושה כי ההליך הפלילי אינו בשליטתם וכי אין להן יכולת להשפיע על תהליך מיצוי הדין עם הפוגע. עורך דין המייצג ומלווה את המשפחות אמור לשמש "קול" עבורם, ולאפשר קשר ישיר ורציף עם הגורמים האמונים על מערכת אכיפת החוק, כמו גם לסייע להם לפני מתן עדות.</w:t>
      </w:r>
    </w:p>
    <w:p w14:paraId="260E98B4" w14:textId="77777777" w:rsidR="00D44311" w:rsidRPr="00E8377F" w:rsidRDefault="00D44311" w:rsidP="00D44311">
      <w:pPr>
        <w:pStyle w:val="Hesber"/>
        <w:rPr>
          <w:rtl/>
        </w:rPr>
      </w:pPr>
    </w:p>
    <w:p w14:paraId="1904E698" w14:textId="77777777" w:rsidR="00D44311" w:rsidRDefault="00D44311" w:rsidP="00D44311">
      <w:pPr>
        <w:pStyle w:val="Hesber"/>
      </w:pPr>
      <w:bookmarkStart w:id="8" w:name="_GoBack"/>
    </w:p>
    <w:p w14:paraId="7BCE61FA" w14:textId="77777777" w:rsidR="004958F7" w:rsidRPr="00D73212" w:rsidRDefault="004958F7" w:rsidP="004958F7">
      <w:pPr>
        <w:pStyle w:val="Hesber"/>
        <w:rPr>
          <w:color w:val="auto"/>
          <w:rtl/>
          <w:lang w:eastAsia="en-US"/>
        </w:rPr>
      </w:pPr>
      <w:r w:rsidRPr="00D73212">
        <w:rPr>
          <w:color w:val="auto"/>
          <w:rtl/>
          <w:lang w:eastAsia="en-US"/>
        </w:rPr>
        <w:t>---------------------------------</w:t>
      </w:r>
    </w:p>
    <w:p w14:paraId="3791B8E5" w14:textId="77777777" w:rsidR="004958F7" w:rsidRPr="00D73212" w:rsidRDefault="004958F7" w:rsidP="004958F7">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C6EF371" w14:textId="77777777" w:rsidR="004958F7" w:rsidRPr="00D73212" w:rsidRDefault="004958F7" w:rsidP="004958F7">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77E367A" w14:textId="35F86622" w:rsidR="004958F7" w:rsidRPr="00317312" w:rsidRDefault="004958F7" w:rsidP="004958F7">
      <w:pPr>
        <w:pStyle w:val="Hesber"/>
      </w:pPr>
      <w:r>
        <w:rPr>
          <w:rFonts w:hint="cs"/>
          <w:color w:val="auto"/>
          <w:rtl/>
          <w:lang w:eastAsia="en-US"/>
        </w:rPr>
        <w:t>כ"</w:t>
      </w:r>
      <w:r>
        <w:rPr>
          <w:rFonts w:hint="cs"/>
          <w:color w:val="auto"/>
          <w:rtl/>
          <w:lang w:eastAsia="en-US"/>
        </w:rPr>
        <w:t>ח</w:t>
      </w:r>
      <w:r>
        <w:rPr>
          <w:rFonts w:hint="cs"/>
          <w:color w:val="auto"/>
          <w:rtl/>
          <w:lang w:eastAsia="en-US"/>
        </w:rPr>
        <w:t xml:space="preserve"> בתמוז</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3</w:t>
      </w:r>
      <w:r>
        <w:rPr>
          <w:rFonts w:hint="cs"/>
          <w:color w:val="auto"/>
          <w:rtl/>
          <w:lang w:eastAsia="en-US"/>
        </w:rPr>
        <w:t>.8</w:t>
      </w:r>
      <w:r w:rsidRPr="00D73212">
        <w:rPr>
          <w:color w:val="auto"/>
          <w:rtl/>
          <w:lang w:eastAsia="en-US"/>
        </w:rPr>
        <w:t>.1</w:t>
      </w:r>
      <w:r>
        <w:rPr>
          <w:rFonts w:hint="cs"/>
          <w:color w:val="auto"/>
          <w:rtl/>
          <w:lang w:eastAsia="en-US"/>
        </w:rPr>
        <w:t>6</w:t>
      </w:r>
    </w:p>
    <w:bookmarkEnd w:id="8"/>
    <w:p w14:paraId="0514D6A0" w14:textId="77777777" w:rsidR="004069DA" w:rsidRPr="004958F7" w:rsidRDefault="004069DA" w:rsidP="00D44311"/>
    <w:sectPr w:rsidR="004069DA" w:rsidRPr="004958F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4958F7">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44E53CD7" w14:textId="77777777" w:rsidR="004958F7" w:rsidRDefault="004958F7" w:rsidP="004958F7">
      <w:pPr>
        <w:pStyle w:val="a4"/>
        <w:rPr>
          <w:rtl/>
        </w:rPr>
      </w:pPr>
      <w:r>
        <w:rPr>
          <w:rStyle w:val="a5"/>
        </w:rPr>
        <w:footnoteRef/>
      </w:r>
      <w:r>
        <w:rPr>
          <w:rtl/>
        </w:rPr>
        <w:t xml:space="preserve"> </w:t>
      </w:r>
      <w:r>
        <w:rPr>
          <w:rFonts w:hint="cs"/>
          <w:rtl/>
        </w:rPr>
        <w:t>ס"ח התשל"ב, עמ' 95.</w:t>
      </w:r>
    </w:p>
  </w:footnote>
  <w:footnote w:id="3">
    <w:p w14:paraId="1799A8AB" w14:textId="77777777" w:rsidR="00D44311" w:rsidRDefault="00D44311" w:rsidP="00D44311">
      <w:pPr>
        <w:pStyle w:val="a4"/>
        <w:rPr>
          <w:rtl/>
        </w:rPr>
      </w:pPr>
      <w:r>
        <w:rPr>
          <w:rStyle w:val="a5"/>
        </w:rPr>
        <w:footnoteRef/>
      </w:r>
      <w:r>
        <w:rPr>
          <w:rtl/>
        </w:rPr>
        <w:t xml:space="preserve"> </w:t>
      </w:r>
      <w:r>
        <w:rPr>
          <w:rFonts w:hint="cs"/>
          <w:rtl/>
        </w:rPr>
        <w:t>ס"ח התשל"ז, עמ' 226.</w:t>
      </w:r>
    </w:p>
  </w:footnote>
  <w:footnote w:id="4">
    <w:p w14:paraId="1BE6B38B" w14:textId="215AC1A4" w:rsidR="001E70A5" w:rsidRDefault="001E70A5">
      <w:pPr>
        <w:pStyle w:val="a4"/>
      </w:pPr>
      <w:r>
        <w:rPr>
          <w:rStyle w:val="a5"/>
        </w:rPr>
        <w:footnoteRef/>
      </w:r>
      <w:r>
        <w:rPr>
          <w:rtl/>
        </w:rPr>
        <w:t xml:space="preserve"> </w:t>
      </w:r>
      <w:r>
        <w:rPr>
          <w:rFonts w:hint="cs"/>
          <w:rtl/>
        </w:rPr>
        <w:t>ס"ח התשס"א, עמ'</w:t>
      </w:r>
      <w:r w:rsidR="00DF16F6">
        <w:rPr>
          <w:rFonts w:hint="cs"/>
          <w:rtl/>
        </w:rPr>
        <w:t xml:space="preserve"> </w:t>
      </w:r>
      <w:r>
        <w:rPr>
          <w:rFonts w:hint="cs"/>
          <w:rtl/>
        </w:rPr>
        <w:t>183.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036"/>
    <w:rsid w:val="001052D4"/>
    <w:rsid w:val="0010644B"/>
    <w:rsid w:val="001207F8"/>
    <w:rsid w:val="00121924"/>
    <w:rsid w:val="001279A8"/>
    <w:rsid w:val="0014195F"/>
    <w:rsid w:val="00152609"/>
    <w:rsid w:val="00153E1B"/>
    <w:rsid w:val="001A0623"/>
    <w:rsid w:val="001C23B0"/>
    <w:rsid w:val="001D7AAF"/>
    <w:rsid w:val="001E70A5"/>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69DA"/>
    <w:rsid w:val="004073F0"/>
    <w:rsid w:val="00412A7D"/>
    <w:rsid w:val="00416B4D"/>
    <w:rsid w:val="00417CFC"/>
    <w:rsid w:val="004958F7"/>
    <w:rsid w:val="004A06DC"/>
    <w:rsid w:val="004A19C6"/>
    <w:rsid w:val="004B24ED"/>
    <w:rsid w:val="004B6625"/>
    <w:rsid w:val="004D2D82"/>
    <w:rsid w:val="004D3876"/>
    <w:rsid w:val="004E4552"/>
    <w:rsid w:val="004E5CCC"/>
    <w:rsid w:val="004E6CDF"/>
    <w:rsid w:val="00553C9D"/>
    <w:rsid w:val="00562A66"/>
    <w:rsid w:val="00580C14"/>
    <w:rsid w:val="005A0CE3"/>
    <w:rsid w:val="005B03C2"/>
    <w:rsid w:val="005B064E"/>
    <w:rsid w:val="005C3A14"/>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36BB7"/>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44311"/>
    <w:rsid w:val="00D63620"/>
    <w:rsid w:val="00D8410D"/>
    <w:rsid w:val="00D867D7"/>
    <w:rsid w:val="00DB7060"/>
    <w:rsid w:val="00DE3153"/>
    <w:rsid w:val="00DF16F6"/>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382C"/>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CA4BE1F4-8796-4800-9924-E010E3A00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purl.org/dc/dcmitype/"/>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125DEB1-2AEB-4A5E-8B9C-1F0B30A14C47}"/>
</file>

<file path=customXml/itemProps4.xml><?xml version="1.0" encoding="utf-8"?>
<ds:datastoreItem xmlns:ds="http://schemas.openxmlformats.org/officeDocument/2006/customXml" ds:itemID="{8BC902C2-F944-41CB-B68F-AED06E03C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472</Words>
  <Characters>2362</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שירן משולמי</cp:lastModifiedBy>
  <cp:revision>9</cp:revision>
  <cp:lastPrinted>2013-07-04T08:25:00Z</cp:lastPrinted>
  <dcterms:created xsi:type="dcterms:W3CDTF">2015-04-20T09:58:00Z</dcterms:created>
  <dcterms:modified xsi:type="dcterms:W3CDTF">2016-08-01T14:46:00Z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2018182</vt:r8>
  </property>
</Properties>
</file>