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84DB73" w14:textId="77777777" w:rsidR="00857E03" w:rsidRPr="00BC0297" w:rsidRDefault="00857E03">
      <w:pPr>
        <w:rPr>
          <w:rFonts w:asciiTheme="minorHAnsi" w:hAnsiTheme="minorHAnsi" w:hint="cs"/>
          <w:rtl/>
        </w:rPr>
      </w:pPr>
      <w:bookmarkStart w:id="0" w:name="_GoBack"/>
      <w:bookmarkEnd w:id="0"/>
    </w:p>
    <w:tbl>
      <w:tblPr>
        <w:bidiVisual/>
        <w:tblW w:w="8867" w:type="dxa"/>
        <w:tblLayout w:type="fixed"/>
        <w:tblLook w:val="0000" w:firstRow="0" w:lastRow="0" w:firstColumn="0" w:lastColumn="0" w:noHBand="0" w:noVBand="0"/>
      </w:tblPr>
      <w:tblGrid>
        <w:gridCol w:w="4897"/>
        <w:gridCol w:w="965"/>
        <w:gridCol w:w="2296"/>
        <w:gridCol w:w="709"/>
      </w:tblGrid>
      <w:tr w:rsidR="00122A60" w:rsidRPr="00A55997" w14:paraId="1D941CF9" w14:textId="77777777" w:rsidTr="00276BE8">
        <w:tc>
          <w:tcPr>
            <w:tcW w:w="4897" w:type="dxa"/>
          </w:tcPr>
          <w:p w14:paraId="2AD13054" w14:textId="77777777" w:rsidR="00122A60" w:rsidRPr="00A55997" w:rsidRDefault="00122A60" w:rsidP="00276BE8">
            <w:pPr>
              <w:spacing w:after="0" w:line="264" w:lineRule="auto"/>
              <w:ind w:right="-360"/>
            </w:pPr>
          </w:p>
        </w:tc>
        <w:tc>
          <w:tcPr>
            <w:tcW w:w="965" w:type="dxa"/>
          </w:tcPr>
          <w:p w14:paraId="3637BFB0" w14:textId="77777777" w:rsidR="00122A60" w:rsidRPr="00A55997" w:rsidRDefault="00122A60" w:rsidP="00276BE8">
            <w:pPr>
              <w:spacing w:after="0" w:line="264" w:lineRule="auto"/>
            </w:pPr>
          </w:p>
        </w:tc>
        <w:tc>
          <w:tcPr>
            <w:tcW w:w="2296" w:type="dxa"/>
          </w:tcPr>
          <w:p w14:paraId="13C18D1F" w14:textId="09C842C6" w:rsidR="00122A60" w:rsidRPr="00A55997" w:rsidRDefault="00122A60" w:rsidP="00276BE8">
            <w:pPr>
              <w:spacing w:after="0" w:line="264" w:lineRule="auto"/>
              <w:jc w:val="right"/>
              <w:rPr>
                <w:rtl/>
              </w:rPr>
            </w:pPr>
            <w:r>
              <w:rPr>
                <w:rFonts w:hint="cs"/>
                <w:rtl/>
              </w:rPr>
              <w:t>15 ביוני</w:t>
            </w:r>
          </w:p>
        </w:tc>
        <w:tc>
          <w:tcPr>
            <w:tcW w:w="709" w:type="dxa"/>
          </w:tcPr>
          <w:p w14:paraId="034F8AFF" w14:textId="77777777" w:rsidR="00122A60" w:rsidRPr="00A55997" w:rsidRDefault="00122A60" w:rsidP="00276BE8">
            <w:pPr>
              <w:spacing w:after="0" w:line="264" w:lineRule="auto"/>
              <w:jc w:val="right"/>
            </w:pPr>
            <w:r>
              <w:rPr>
                <w:rFonts w:hint="cs"/>
                <w:rtl/>
              </w:rPr>
              <w:t>2017</w:t>
            </w:r>
          </w:p>
        </w:tc>
      </w:tr>
      <w:tr w:rsidR="00122A60" w:rsidRPr="00A55997" w14:paraId="604FF01C" w14:textId="77777777" w:rsidTr="00276BE8">
        <w:trPr>
          <w:cantSplit/>
        </w:trPr>
        <w:tc>
          <w:tcPr>
            <w:tcW w:w="4897" w:type="dxa"/>
          </w:tcPr>
          <w:p w14:paraId="5628491C" w14:textId="77777777" w:rsidR="00122A60" w:rsidRDefault="00122A60" w:rsidP="00276BE8">
            <w:pPr>
              <w:spacing w:after="0" w:line="264" w:lineRule="auto"/>
              <w:rPr>
                <w:rtl/>
              </w:rPr>
            </w:pPr>
            <w:r>
              <w:rPr>
                <w:rtl/>
              </w:rPr>
              <w:t xml:space="preserve">לכבוד </w:t>
            </w:r>
          </w:p>
          <w:p w14:paraId="6289A10B" w14:textId="77777777" w:rsidR="00122A60" w:rsidRDefault="00122A60" w:rsidP="00276BE8">
            <w:pPr>
              <w:spacing w:after="0" w:line="264" w:lineRule="auto"/>
              <w:rPr>
                <w:rtl/>
              </w:rPr>
            </w:pPr>
            <w:r>
              <w:rPr>
                <w:rtl/>
              </w:rPr>
              <w:t>יו"ר, חברות וחברי ועדת חוקה, חוק ומשפט</w:t>
            </w:r>
          </w:p>
          <w:p w14:paraId="54F41616" w14:textId="77777777" w:rsidR="00122A60" w:rsidRDefault="00122A60" w:rsidP="00276BE8">
            <w:pPr>
              <w:spacing w:after="0" w:line="264" w:lineRule="auto"/>
              <w:rPr>
                <w:u w:val="single"/>
                <w:rtl/>
              </w:rPr>
            </w:pPr>
            <w:r>
              <w:rPr>
                <w:rtl/>
              </w:rPr>
              <w:t xml:space="preserve">הכנסת </w:t>
            </w:r>
          </w:p>
          <w:p w14:paraId="3F1F89BD" w14:textId="77777777" w:rsidR="00122A60" w:rsidRDefault="00122A60" w:rsidP="00276BE8">
            <w:pPr>
              <w:spacing w:after="0" w:line="264" w:lineRule="auto"/>
              <w:rPr>
                <w:u w:val="single"/>
                <w:rtl/>
              </w:rPr>
            </w:pPr>
            <w:r>
              <w:rPr>
                <w:rFonts w:hint="cs"/>
                <w:u w:val="single"/>
                <w:rtl/>
              </w:rPr>
              <w:t>ירושלים</w:t>
            </w:r>
          </w:p>
          <w:p w14:paraId="37F3F925" w14:textId="77777777" w:rsidR="00E147BB" w:rsidRDefault="00E147BB" w:rsidP="00276BE8">
            <w:pPr>
              <w:spacing w:after="0" w:line="264" w:lineRule="auto"/>
              <w:rPr>
                <w:u w:val="single"/>
                <w:rtl/>
              </w:rPr>
            </w:pPr>
          </w:p>
          <w:p w14:paraId="330023D5" w14:textId="77777777" w:rsidR="00E147BB" w:rsidRPr="0066766F" w:rsidRDefault="00E147BB" w:rsidP="00276BE8">
            <w:pPr>
              <w:spacing w:after="0" w:line="264" w:lineRule="auto"/>
              <w:rPr>
                <w:u w:val="single"/>
              </w:rPr>
            </w:pPr>
          </w:p>
        </w:tc>
        <w:tc>
          <w:tcPr>
            <w:tcW w:w="3970" w:type="dxa"/>
            <w:gridSpan w:val="3"/>
          </w:tcPr>
          <w:p w14:paraId="276B740D" w14:textId="77777777" w:rsidR="00122A60" w:rsidRPr="00A55997" w:rsidRDefault="00122A60" w:rsidP="00276BE8">
            <w:pPr>
              <w:spacing w:after="0" w:line="264" w:lineRule="auto"/>
              <w:jc w:val="center"/>
            </w:pPr>
          </w:p>
        </w:tc>
      </w:tr>
    </w:tbl>
    <w:p w14:paraId="75BB56C2" w14:textId="77777777" w:rsidR="00122A60" w:rsidRDefault="00122A60" w:rsidP="00122A60">
      <w:pPr>
        <w:spacing w:before="240"/>
        <w:rPr>
          <w:rtl/>
        </w:rPr>
      </w:pPr>
      <w:r w:rsidRPr="00A55997">
        <w:rPr>
          <w:rFonts w:hint="cs"/>
          <w:rtl/>
        </w:rPr>
        <w:t xml:space="preserve">שלום רב, </w:t>
      </w:r>
    </w:p>
    <w:p w14:paraId="30265101" w14:textId="0ED0F32F" w:rsidR="00595F14" w:rsidRDefault="00922219" w:rsidP="00922219">
      <w:pPr>
        <w:jc w:val="center"/>
        <w:rPr>
          <w:b/>
          <w:bCs/>
          <w:u w:val="single"/>
          <w:rtl/>
        </w:rPr>
      </w:pPr>
      <w:r w:rsidRPr="00922219">
        <w:rPr>
          <w:rFonts w:hint="cs"/>
          <w:b/>
          <w:bCs/>
          <w:rtl/>
        </w:rPr>
        <w:t xml:space="preserve">הנדון: </w:t>
      </w:r>
      <w:r w:rsidR="00595F14" w:rsidRPr="00922219">
        <w:rPr>
          <w:rFonts w:hint="cs"/>
          <w:b/>
          <w:bCs/>
          <w:u w:val="single"/>
          <w:rtl/>
        </w:rPr>
        <w:t>הצ"ח הגבלת גישה לאתר אינטרנט לשם מניעת ביצוע עבירות</w:t>
      </w:r>
      <w:r w:rsidR="003C0641" w:rsidRPr="00922219">
        <w:rPr>
          <w:rFonts w:hint="cs"/>
          <w:b/>
          <w:bCs/>
          <w:u w:val="single"/>
          <w:rtl/>
        </w:rPr>
        <w:t>, התשע"ז-2017</w:t>
      </w:r>
    </w:p>
    <w:p w14:paraId="010E0435" w14:textId="408EF708" w:rsidR="00922219" w:rsidRDefault="00922219" w:rsidP="00501FA2">
      <w:pPr>
        <w:rPr>
          <w:rtl/>
        </w:rPr>
      </w:pPr>
      <w:r>
        <w:rPr>
          <w:rFonts w:hint="cs"/>
          <w:rtl/>
        </w:rPr>
        <w:t>לקראת ה</w:t>
      </w:r>
      <w:r>
        <w:rPr>
          <w:rtl/>
        </w:rPr>
        <w:t xml:space="preserve">דיון של </w:t>
      </w:r>
      <w:r w:rsidR="00C66C40">
        <w:rPr>
          <w:rFonts w:hint="cs"/>
          <w:rtl/>
        </w:rPr>
        <w:t>הוועדה</w:t>
      </w:r>
      <w:r>
        <w:rPr>
          <w:rtl/>
        </w:rPr>
        <w:t xml:space="preserve"> ב-19 </w:t>
      </w:r>
      <w:r>
        <w:rPr>
          <w:rFonts w:hint="cs"/>
          <w:rtl/>
        </w:rPr>
        <w:t xml:space="preserve">ביוני 017, בהצעת החוק שבנדון, אנו </w:t>
      </w:r>
      <w:r w:rsidR="00C66C40">
        <w:rPr>
          <w:rFonts w:hint="cs"/>
          <w:rtl/>
        </w:rPr>
        <w:t xml:space="preserve">מתכבדים </w:t>
      </w:r>
      <w:r w:rsidR="00E555A9">
        <w:rPr>
          <w:rFonts w:hint="cs"/>
          <w:rtl/>
        </w:rPr>
        <w:t>להציג בפניכם נייר עמדה מטעם איגוד האינטרנט הישראלי, האגודה לזכויות האזרח בישראל, התנועה לחופש המידע והקליניקה למשפט וטכנולוגיה</w:t>
      </w:r>
      <w:r w:rsidR="00C66C40">
        <w:rPr>
          <w:rFonts w:hint="cs"/>
          <w:rtl/>
        </w:rPr>
        <w:t>:</w:t>
      </w:r>
    </w:p>
    <w:p w14:paraId="48B5012C" w14:textId="6CE83BAA" w:rsidR="00A74A54" w:rsidRPr="00A20032" w:rsidRDefault="00A74A54" w:rsidP="00A20032">
      <w:pPr>
        <w:rPr>
          <w:b/>
          <w:bCs/>
          <w:u w:val="single"/>
        </w:rPr>
      </w:pPr>
      <w:r>
        <w:rPr>
          <w:rFonts w:hint="cs"/>
          <w:b/>
          <w:bCs/>
          <w:u w:val="single"/>
          <w:rtl/>
        </w:rPr>
        <w:t xml:space="preserve">כללי </w:t>
      </w:r>
    </w:p>
    <w:p w14:paraId="4E30958D" w14:textId="414B2030" w:rsidR="00A74A54" w:rsidRDefault="002A0D66" w:rsidP="005E39F9">
      <w:pPr>
        <w:pStyle w:val="ac"/>
        <w:numPr>
          <w:ilvl w:val="0"/>
          <w:numId w:val="3"/>
        </w:numPr>
      </w:pPr>
      <w:r>
        <w:rPr>
          <w:rFonts w:hint="cs"/>
          <w:rtl/>
        </w:rPr>
        <w:t xml:space="preserve">ועדת </w:t>
      </w:r>
      <w:r w:rsidR="009F7E81">
        <w:rPr>
          <w:rFonts w:hint="cs"/>
          <w:rtl/>
        </w:rPr>
        <w:t>ה</w:t>
      </w:r>
      <w:r>
        <w:rPr>
          <w:rFonts w:hint="cs"/>
          <w:rtl/>
        </w:rPr>
        <w:t xml:space="preserve">חוקה, חוק ומשפט של הכנסת דנה בחודשים האחרונים בהצ"ח שבנדון, בהכנתה לקריאה שנייה ושלישית. </w:t>
      </w:r>
      <w:r w:rsidRPr="00631718">
        <w:rPr>
          <w:rFonts w:hint="eastAsia"/>
          <w:b/>
          <w:bCs/>
          <w:rtl/>
        </w:rPr>
        <w:t>הצעת</w:t>
      </w:r>
      <w:r w:rsidRPr="00631718">
        <w:rPr>
          <w:b/>
          <w:bCs/>
          <w:rtl/>
        </w:rPr>
        <w:t xml:space="preserve"> החוק כוללת הסדר משפטי חדש, </w:t>
      </w:r>
      <w:r w:rsidR="0080033E" w:rsidRPr="00631718">
        <w:rPr>
          <w:rFonts w:hint="eastAsia"/>
          <w:b/>
          <w:bCs/>
          <w:rtl/>
        </w:rPr>
        <w:t>שיאפשר</w:t>
      </w:r>
      <w:r w:rsidR="0080033E" w:rsidRPr="00631718">
        <w:rPr>
          <w:b/>
          <w:bCs/>
          <w:rtl/>
        </w:rPr>
        <w:t xml:space="preserve"> </w:t>
      </w:r>
      <w:r w:rsidRPr="00631718">
        <w:rPr>
          <w:rFonts w:hint="eastAsia"/>
          <w:b/>
          <w:bCs/>
          <w:rtl/>
        </w:rPr>
        <w:t>לחסום</w:t>
      </w:r>
      <w:r w:rsidRPr="00631718">
        <w:rPr>
          <w:b/>
          <w:bCs/>
          <w:rtl/>
        </w:rPr>
        <w:t xml:space="preserve"> </w:t>
      </w:r>
      <w:r w:rsidRPr="00631718">
        <w:rPr>
          <w:rFonts w:hint="eastAsia"/>
          <w:b/>
          <w:bCs/>
          <w:rtl/>
        </w:rPr>
        <w:t>גישה</w:t>
      </w:r>
      <w:r w:rsidRPr="00631718">
        <w:rPr>
          <w:b/>
          <w:bCs/>
          <w:rtl/>
        </w:rPr>
        <w:t xml:space="preserve"> </w:t>
      </w:r>
      <w:r w:rsidRPr="00631718">
        <w:rPr>
          <w:rFonts w:hint="eastAsia"/>
          <w:b/>
          <w:bCs/>
          <w:rtl/>
        </w:rPr>
        <w:t>לאתר</w:t>
      </w:r>
      <w:r w:rsidRPr="00631718">
        <w:rPr>
          <w:b/>
          <w:bCs/>
          <w:rtl/>
        </w:rPr>
        <w:t xml:space="preserve"> </w:t>
      </w:r>
      <w:r w:rsidRPr="00631718">
        <w:rPr>
          <w:rFonts w:hint="eastAsia"/>
          <w:b/>
          <w:bCs/>
          <w:rtl/>
        </w:rPr>
        <w:t>אינטרנט</w:t>
      </w:r>
      <w:r>
        <w:rPr>
          <w:rFonts w:hint="cs"/>
          <w:rtl/>
        </w:rPr>
        <w:t xml:space="preserve">, אם חסימת הגישה חיונית </w:t>
      </w:r>
      <w:r w:rsidR="00530071">
        <w:rPr>
          <w:rFonts w:hint="cs"/>
          <w:rtl/>
        </w:rPr>
        <w:t>להמשך ביצועה של עבירה.</w:t>
      </w:r>
      <w:r w:rsidR="00530071">
        <w:rPr>
          <w:rStyle w:val="ab"/>
          <w:rtl/>
        </w:rPr>
        <w:footnoteReference w:id="1"/>
      </w:r>
      <w:r w:rsidR="00530071">
        <w:rPr>
          <w:rFonts w:hint="cs"/>
          <w:rtl/>
        </w:rPr>
        <w:t xml:space="preserve"> </w:t>
      </w:r>
    </w:p>
    <w:p w14:paraId="7A1EA6C7" w14:textId="76FE155D" w:rsidR="00631718" w:rsidRDefault="00631718" w:rsidP="00E50C36">
      <w:pPr>
        <w:pStyle w:val="ac"/>
        <w:numPr>
          <w:ilvl w:val="0"/>
          <w:numId w:val="3"/>
        </w:numPr>
      </w:pPr>
      <w:r>
        <w:rPr>
          <w:rFonts w:hint="cs"/>
          <w:rtl/>
        </w:rPr>
        <w:t xml:space="preserve">הוועדה קיימה כבר מספר דיונים עניינים ומקצועיים בהצעת החוק, </w:t>
      </w:r>
      <w:r w:rsidR="00E50C36">
        <w:rPr>
          <w:rFonts w:hint="cs"/>
          <w:rtl/>
        </w:rPr>
        <w:t xml:space="preserve">בהשתתפות אנשי מקצוע ממשרדי הממשלה, מהאקדמיה, מארגוני החברה האזרחית ומהייעוץ המשפטי של הוועדה. כמה </w:t>
      </w:r>
      <w:r>
        <w:rPr>
          <w:rFonts w:hint="cs"/>
          <w:rtl/>
        </w:rPr>
        <w:t>שינויים חשובים</w:t>
      </w:r>
      <w:r w:rsidR="00E50C36">
        <w:rPr>
          <w:rFonts w:hint="cs"/>
          <w:rtl/>
        </w:rPr>
        <w:t xml:space="preserve"> כבר הוכנסו להצעת החוק המקורית, ו</w:t>
      </w:r>
      <w:r>
        <w:rPr>
          <w:rFonts w:hint="cs"/>
          <w:rtl/>
        </w:rPr>
        <w:t xml:space="preserve">בנייר עמדה זה </w:t>
      </w:r>
      <w:r w:rsidR="00E50C36">
        <w:rPr>
          <w:rFonts w:hint="cs"/>
          <w:rtl/>
        </w:rPr>
        <w:t xml:space="preserve">אנו מבקשים להעיר </w:t>
      </w:r>
      <w:r>
        <w:rPr>
          <w:rFonts w:hint="cs"/>
          <w:rtl/>
        </w:rPr>
        <w:t>כמה נקודות חשובות להמשך הדיון. נתייחס לנוסח המעודכן האחרון של הצעת החוק, שפורסם לקראת הדיון שערכה הוועדה בנושא ב-22 במאי 2017.</w:t>
      </w:r>
      <w:bookmarkStart w:id="1" w:name="_Ref485042228"/>
      <w:r>
        <w:rPr>
          <w:rStyle w:val="ab"/>
          <w:rtl/>
        </w:rPr>
        <w:footnoteReference w:id="2"/>
      </w:r>
      <w:bookmarkEnd w:id="1"/>
      <w:r>
        <w:rPr>
          <w:rFonts w:hint="cs"/>
          <w:rtl/>
        </w:rPr>
        <w:t xml:space="preserve"> </w:t>
      </w:r>
    </w:p>
    <w:p w14:paraId="053B03B0" w14:textId="77777777" w:rsidR="00A74A54" w:rsidRDefault="00A74A54" w:rsidP="00A20032">
      <w:pPr>
        <w:rPr>
          <w:b/>
          <w:bCs/>
          <w:u w:val="single"/>
          <w:rtl/>
        </w:rPr>
      </w:pPr>
    </w:p>
    <w:p w14:paraId="3E19E9D7" w14:textId="1B05976D" w:rsidR="00A74A54" w:rsidRPr="00A20032" w:rsidRDefault="00A74A54" w:rsidP="00A20032">
      <w:pPr>
        <w:rPr>
          <w:b/>
          <w:bCs/>
          <w:u w:val="single"/>
        </w:rPr>
      </w:pPr>
      <w:r>
        <w:rPr>
          <w:rFonts w:hint="cs"/>
          <w:b/>
          <w:bCs/>
          <w:u w:val="single"/>
          <w:rtl/>
        </w:rPr>
        <w:t>חופש הגישה למידע, חופש הביטוי, פגיעה בפרטיות ופגיעה כלכלית</w:t>
      </w:r>
    </w:p>
    <w:p w14:paraId="48FE5B98" w14:textId="66BD21B7" w:rsidR="002A0D66" w:rsidRDefault="0080033E" w:rsidP="00A74A54">
      <w:pPr>
        <w:pStyle w:val="ac"/>
        <w:numPr>
          <w:ilvl w:val="0"/>
          <w:numId w:val="3"/>
        </w:numPr>
        <w:rPr>
          <w:rtl/>
        </w:rPr>
      </w:pPr>
      <w:r>
        <w:rPr>
          <w:rFonts w:hint="cs"/>
          <w:rtl/>
        </w:rPr>
        <w:t>מדובר בהסדר חדשני, שלא נוסה עדיין בישראל</w:t>
      </w:r>
      <w:r w:rsidR="006F6360">
        <w:rPr>
          <w:rFonts w:hint="cs"/>
          <w:rtl/>
        </w:rPr>
        <w:t>, אשר</w:t>
      </w:r>
      <w:r>
        <w:rPr>
          <w:rFonts w:hint="cs"/>
          <w:rtl/>
        </w:rPr>
        <w:t xml:space="preserve"> </w:t>
      </w:r>
      <w:r w:rsidR="00A74A54" w:rsidRPr="00A20032">
        <w:rPr>
          <w:rFonts w:hint="eastAsia"/>
          <w:b/>
          <w:bCs/>
          <w:rtl/>
        </w:rPr>
        <w:t>עלול</w:t>
      </w:r>
      <w:r w:rsidR="00A74A54" w:rsidRPr="00A20032">
        <w:rPr>
          <w:b/>
          <w:bCs/>
          <w:rtl/>
        </w:rPr>
        <w:t xml:space="preserve"> </w:t>
      </w:r>
      <w:r w:rsidRPr="00A20032">
        <w:rPr>
          <w:rFonts w:hint="eastAsia"/>
          <w:b/>
          <w:bCs/>
          <w:rtl/>
        </w:rPr>
        <w:t>לפגוע</w:t>
      </w:r>
      <w:r w:rsidRPr="00A20032">
        <w:rPr>
          <w:b/>
          <w:bCs/>
          <w:rtl/>
        </w:rPr>
        <w:t xml:space="preserve"> </w:t>
      </w:r>
      <w:r w:rsidRPr="00A20032">
        <w:rPr>
          <w:rFonts w:hint="eastAsia"/>
          <w:b/>
          <w:bCs/>
          <w:rtl/>
        </w:rPr>
        <w:t>בזכויות</w:t>
      </w:r>
      <w:r w:rsidRPr="00A20032">
        <w:rPr>
          <w:b/>
          <w:bCs/>
          <w:rtl/>
        </w:rPr>
        <w:t xml:space="preserve"> </w:t>
      </w:r>
      <w:r w:rsidRPr="00A20032">
        <w:rPr>
          <w:rFonts w:hint="eastAsia"/>
          <w:b/>
          <w:bCs/>
          <w:rtl/>
        </w:rPr>
        <w:t>יסוד</w:t>
      </w:r>
      <w:r w:rsidRPr="00A20032">
        <w:rPr>
          <w:b/>
          <w:bCs/>
          <w:rtl/>
        </w:rPr>
        <w:t xml:space="preserve"> </w:t>
      </w:r>
      <w:r w:rsidRPr="00A20032">
        <w:rPr>
          <w:rFonts w:hint="eastAsia"/>
          <w:b/>
          <w:bCs/>
          <w:rtl/>
        </w:rPr>
        <w:t>של</w:t>
      </w:r>
      <w:r w:rsidRPr="00A20032">
        <w:rPr>
          <w:b/>
          <w:bCs/>
          <w:rtl/>
        </w:rPr>
        <w:t xml:space="preserve"> </w:t>
      </w:r>
      <w:r w:rsidRPr="00A20032">
        <w:rPr>
          <w:rFonts w:hint="eastAsia"/>
          <w:b/>
          <w:bCs/>
          <w:rtl/>
        </w:rPr>
        <w:t>משתמשי</w:t>
      </w:r>
      <w:r w:rsidRPr="00A20032">
        <w:rPr>
          <w:b/>
          <w:bCs/>
          <w:rtl/>
        </w:rPr>
        <w:t xml:space="preserve"> </w:t>
      </w:r>
      <w:r w:rsidRPr="00A20032">
        <w:rPr>
          <w:rFonts w:hint="eastAsia"/>
          <w:b/>
          <w:bCs/>
          <w:rtl/>
        </w:rPr>
        <w:t>האינטרנט</w:t>
      </w:r>
      <w:r w:rsidR="006F6360" w:rsidRPr="00A20032">
        <w:rPr>
          <w:b/>
          <w:bCs/>
          <w:rtl/>
        </w:rPr>
        <w:t xml:space="preserve"> ו</w:t>
      </w:r>
      <w:r w:rsidRPr="00A20032">
        <w:rPr>
          <w:rFonts w:hint="eastAsia"/>
          <w:b/>
          <w:bCs/>
          <w:rtl/>
        </w:rPr>
        <w:t>של</w:t>
      </w:r>
      <w:r w:rsidRPr="00A20032">
        <w:rPr>
          <w:b/>
          <w:bCs/>
          <w:rtl/>
        </w:rPr>
        <w:t xml:space="preserve"> </w:t>
      </w:r>
      <w:r w:rsidRPr="00A20032">
        <w:rPr>
          <w:rFonts w:hint="eastAsia"/>
          <w:b/>
          <w:bCs/>
          <w:rtl/>
        </w:rPr>
        <w:t>ספק</w:t>
      </w:r>
      <w:r w:rsidR="00A30FEB" w:rsidRPr="00A20032">
        <w:rPr>
          <w:rFonts w:hint="eastAsia"/>
          <w:b/>
          <w:bCs/>
          <w:rtl/>
        </w:rPr>
        <w:t>י</w:t>
      </w:r>
      <w:r w:rsidR="00A30FEB" w:rsidRPr="00A20032">
        <w:rPr>
          <w:b/>
          <w:bCs/>
          <w:rtl/>
        </w:rPr>
        <w:t xml:space="preserve"> </w:t>
      </w:r>
      <w:r w:rsidR="00A30FEB" w:rsidRPr="00A20032">
        <w:rPr>
          <w:rFonts w:hint="eastAsia"/>
          <w:b/>
          <w:bCs/>
          <w:rtl/>
        </w:rPr>
        <w:t>הגישה</w:t>
      </w:r>
      <w:r w:rsidR="00A30FEB" w:rsidRPr="00A20032">
        <w:rPr>
          <w:b/>
          <w:bCs/>
          <w:rtl/>
        </w:rPr>
        <w:t xml:space="preserve"> </w:t>
      </w:r>
      <w:r w:rsidR="00A30FEB" w:rsidRPr="00A20032">
        <w:rPr>
          <w:rFonts w:hint="eastAsia"/>
          <w:b/>
          <w:bCs/>
          <w:rtl/>
        </w:rPr>
        <w:t>לאינטרנט</w:t>
      </w:r>
      <w:r w:rsidR="00A30FEB" w:rsidRPr="00A20032">
        <w:rPr>
          <w:b/>
          <w:bCs/>
          <w:rtl/>
        </w:rPr>
        <w:t>.</w:t>
      </w:r>
      <w:r w:rsidR="00D57DAB">
        <w:rPr>
          <w:rFonts w:hint="cs"/>
          <w:rtl/>
        </w:rPr>
        <w:t xml:space="preserve"> כך צוין </w:t>
      </w:r>
      <w:r w:rsidR="006F6360">
        <w:rPr>
          <w:rFonts w:hint="cs"/>
          <w:rtl/>
        </w:rPr>
        <w:t xml:space="preserve">גם </w:t>
      </w:r>
      <w:r w:rsidR="00D57DAB">
        <w:rPr>
          <w:rFonts w:hint="cs"/>
          <w:rtl/>
        </w:rPr>
        <w:t>בהערות של הייעוץ המשפטי של הוועדה לנוסח המעודכן של הצעת החוק.</w:t>
      </w:r>
      <w:r w:rsidR="00D57DAB">
        <w:rPr>
          <w:rStyle w:val="ab"/>
          <w:rtl/>
        </w:rPr>
        <w:footnoteReference w:id="3"/>
      </w:r>
      <w:r w:rsidR="006F6360">
        <w:rPr>
          <w:rFonts w:hint="cs"/>
          <w:rtl/>
        </w:rPr>
        <w:t xml:space="preserve"> בפרט, בין הנזקים הצפויים מהצעת החוק ניתן למנות:</w:t>
      </w:r>
    </w:p>
    <w:p w14:paraId="610CB3F4" w14:textId="77777777" w:rsidR="006F6360" w:rsidRDefault="00CA4485" w:rsidP="006F6360">
      <w:pPr>
        <w:pStyle w:val="ac"/>
        <w:numPr>
          <w:ilvl w:val="0"/>
          <w:numId w:val="2"/>
        </w:numPr>
      </w:pPr>
      <w:r w:rsidRPr="00A20032">
        <w:rPr>
          <w:rFonts w:hint="eastAsia"/>
          <w:b/>
          <w:bCs/>
          <w:u w:val="single"/>
          <w:rtl/>
        </w:rPr>
        <w:lastRenderedPageBreak/>
        <w:t>פגיעה</w:t>
      </w:r>
      <w:r w:rsidRPr="00A20032">
        <w:rPr>
          <w:b/>
          <w:bCs/>
          <w:u w:val="single"/>
          <w:rtl/>
        </w:rPr>
        <w:t xml:space="preserve"> </w:t>
      </w:r>
      <w:r w:rsidRPr="00A20032">
        <w:rPr>
          <w:rFonts w:hint="eastAsia"/>
          <w:b/>
          <w:bCs/>
          <w:u w:val="single"/>
          <w:rtl/>
        </w:rPr>
        <w:t>בחופש</w:t>
      </w:r>
      <w:r w:rsidRPr="00A20032">
        <w:rPr>
          <w:b/>
          <w:bCs/>
          <w:u w:val="single"/>
          <w:rtl/>
        </w:rPr>
        <w:t xml:space="preserve"> </w:t>
      </w:r>
      <w:r w:rsidRPr="00A20032">
        <w:rPr>
          <w:rFonts w:hint="eastAsia"/>
          <w:b/>
          <w:bCs/>
          <w:u w:val="single"/>
          <w:rtl/>
        </w:rPr>
        <w:t>הגישה</w:t>
      </w:r>
      <w:r w:rsidRPr="00A20032">
        <w:rPr>
          <w:b/>
          <w:bCs/>
          <w:u w:val="single"/>
          <w:rtl/>
        </w:rPr>
        <w:t xml:space="preserve"> </w:t>
      </w:r>
      <w:r w:rsidRPr="00A20032">
        <w:rPr>
          <w:rFonts w:hint="eastAsia"/>
          <w:b/>
          <w:bCs/>
          <w:u w:val="single"/>
          <w:rtl/>
        </w:rPr>
        <w:t>למידע</w:t>
      </w:r>
      <w:r>
        <w:rPr>
          <w:rFonts w:hint="cs"/>
          <w:rtl/>
        </w:rPr>
        <w:t xml:space="preserve">, אם אתרים לגיטימיים ייפגעו גם הם בשל חסימת גישה לאתרים בעייתיים. הדבר </w:t>
      </w:r>
      <w:r w:rsidR="001A73CE">
        <w:rPr>
          <w:rFonts w:hint="cs"/>
          <w:rtl/>
        </w:rPr>
        <w:t>עלול לקרות כאשר כמה אתרים מאוחסנים במשותף לפי כתובת אינטרנט זהה.</w:t>
      </w:r>
    </w:p>
    <w:p w14:paraId="3F607A65" w14:textId="77777777" w:rsidR="00723986" w:rsidRDefault="00723986" w:rsidP="00276998">
      <w:pPr>
        <w:pStyle w:val="ac"/>
        <w:numPr>
          <w:ilvl w:val="0"/>
          <w:numId w:val="2"/>
        </w:numPr>
      </w:pPr>
      <w:r w:rsidRPr="00A20032">
        <w:rPr>
          <w:rFonts w:hint="eastAsia"/>
          <w:b/>
          <w:bCs/>
          <w:u w:val="single"/>
          <w:rtl/>
        </w:rPr>
        <w:t>פגיעה</w:t>
      </w:r>
      <w:r w:rsidRPr="00A20032">
        <w:rPr>
          <w:b/>
          <w:bCs/>
          <w:u w:val="single"/>
          <w:rtl/>
        </w:rPr>
        <w:t xml:space="preserve"> </w:t>
      </w:r>
      <w:r w:rsidR="001765E7" w:rsidRPr="00A20032">
        <w:rPr>
          <w:rFonts w:hint="eastAsia"/>
          <w:b/>
          <w:bCs/>
          <w:u w:val="single"/>
          <w:rtl/>
        </w:rPr>
        <w:t>בזכות</w:t>
      </w:r>
      <w:r w:rsidR="001765E7" w:rsidRPr="00A20032">
        <w:rPr>
          <w:b/>
          <w:bCs/>
          <w:u w:val="single"/>
          <w:rtl/>
        </w:rPr>
        <w:t xml:space="preserve"> </w:t>
      </w:r>
      <w:r w:rsidR="001765E7" w:rsidRPr="00A20032">
        <w:rPr>
          <w:rFonts w:hint="eastAsia"/>
          <w:b/>
          <w:bCs/>
          <w:u w:val="single"/>
          <w:rtl/>
        </w:rPr>
        <w:t>לפרטיות</w:t>
      </w:r>
      <w:r w:rsidR="001765E7" w:rsidRPr="00A20032">
        <w:rPr>
          <w:b/>
          <w:bCs/>
          <w:u w:val="single"/>
          <w:rtl/>
        </w:rPr>
        <w:t xml:space="preserve"> </w:t>
      </w:r>
      <w:r w:rsidR="001765E7" w:rsidRPr="00A20032">
        <w:rPr>
          <w:rFonts w:hint="eastAsia"/>
          <w:b/>
          <w:bCs/>
          <w:u w:val="single"/>
          <w:rtl/>
        </w:rPr>
        <w:t>של</w:t>
      </w:r>
      <w:r w:rsidR="001765E7" w:rsidRPr="00A20032">
        <w:rPr>
          <w:b/>
          <w:bCs/>
          <w:u w:val="single"/>
          <w:rtl/>
        </w:rPr>
        <w:t xml:space="preserve"> </w:t>
      </w:r>
      <w:r w:rsidR="001765E7" w:rsidRPr="00A20032">
        <w:rPr>
          <w:rFonts w:hint="eastAsia"/>
          <w:b/>
          <w:bCs/>
          <w:u w:val="single"/>
          <w:rtl/>
        </w:rPr>
        <w:t>משתמשי</w:t>
      </w:r>
      <w:r w:rsidR="001765E7" w:rsidRPr="00A20032">
        <w:rPr>
          <w:b/>
          <w:bCs/>
          <w:u w:val="single"/>
          <w:rtl/>
        </w:rPr>
        <w:t xml:space="preserve"> </w:t>
      </w:r>
      <w:r w:rsidR="001765E7" w:rsidRPr="00A20032">
        <w:rPr>
          <w:rFonts w:hint="eastAsia"/>
          <w:b/>
          <w:bCs/>
          <w:u w:val="single"/>
          <w:rtl/>
        </w:rPr>
        <w:t>האינטרנט</w:t>
      </w:r>
      <w:r w:rsidR="001765E7">
        <w:rPr>
          <w:rFonts w:hint="cs"/>
          <w:rtl/>
        </w:rPr>
        <w:t xml:space="preserve">, אם הסינון וחסימת הגישה לאתרים תתבצע באופן </w:t>
      </w:r>
      <w:r w:rsidR="00276998">
        <w:rPr>
          <w:rFonts w:hint="cs"/>
          <w:rtl/>
        </w:rPr>
        <w:t>שיהיה בו לחשוף פרטים של משתמשי האינטרנט.</w:t>
      </w:r>
      <w:r w:rsidR="00276998">
        <w:rPr>
          <w:rStyle w:val="ab"/>
          <w:rtl/>
        </w:rPr>
        <w:footnoteReference w:id="4"/>
      </w:r>
    </w:p>
    <w:p w14:paraId="7FE13F3F" w14:textId="013B1A1B" w:rsidR="0019227A" w:rsidRDefault="0019227A" w:rsidP="0074699E">
      <w:pPr>
        <w:pStyle w:val="ac"/>
        <w:numPr>
          <w:ilvl w:val="0"/>
          <w:numId w:val="2"/>
        </w:numPr>
      </w:pPr>
      <w:r w:rsidRPr="00A20032">
        <w:rPr>
          <w:rFonts w:hint="eastAsia"/>
          <w:b/>
          <w:bCs/>
          <w:u w:val="single"/>
          <w:rtl/>
        </w:rPr>
        <w:t>אפקט</w:t>
      </w:r>
      <w:r w:rsidRPr="00A20032">
        <w:rPr>
          <w:b/>
          <w:bCs/>
          <w:u w:val="single"/>
          <w:rtl/>
        </w:rPr>
        <w:t xml:space="preserve"> </w:t>
      </w:r>
      <w:r w:rsidRPr="00A20032">
        <w:rPr>
          <w:rFonts w:hint="eastAsia"/>
          <w:b/>
          <w:bCs/>
          <w:u w:val="single"/>
          <w:rtl/>
        </w:rPr>
        <w:t>מצנן</w:t>
      </w:r>
      <w:r w:rsidRPr="00A20032">
        <w:rPr>
          <w:b/>
          <w:bCs/>
          <w:u w:val="single"/>
          <w:rtl/>
        </w:rPr>
        <w:t xml:space="preserve"> </w:t>
      </w:r>
      <w:r w:rsidRPr="00A20032">
        <w:rPr>
          <w:rFonts w:hint="eastAsia"/>
          <w:b/>
          <w:bCs/>
          <w:u w:val="single"/>
          <w:rtl/>
        </w:rPr>
        <w:t>על</w:t>
      </w:r>
      <w:r w:rsidRPr="00A20032">
        <w:rPr>
          <w:b/>
          <w:bCs/>
          <w:u w:val="single"/>
          <w:rtl/>
        </w:rPr>
        <w:t xml:space="preserve"> </w:t>
      </w:r>
      <w:r w:rsidRPr="00A20032">
        <w:rPr>
          <w:rFonts w:hint="eastAsia"/>
          <w:b/>
          <w:bCs/>
          <w:u w:val="single"/>
          <w:rtl/>
        </w:rPr>
        <w:t>חופש</w:t>
      </w:r>
      <w:r w:rsidRPr="00A20032">
        <w:rPr>
          <w:b/>
          <w:bCs/>
          <w:u w:val="single"/>
          <w:rtl/>
        </w:rPr>
        <w:t xml:space="preserve"> </w:t>
      </w:r>
      <w:r w:rsidRPr="00A20032">
        <w:rPr>
          <w:rFonts w:hint="eastAsia"/>
          <w:b/>
          <w:bCs/>
          <w:u w:val="single"/>
          <w:rtl/>
        </w:rPr>
        <w:t>הביטוי</w:t>
      </w:r>
      <w:r>
        <w:rPr>
          <w:rFonts w:hint="cs"/>
          <w:rtl/>
        </w:rPr>
        <w:t xml:space="preserve">, </w:t>
      </w:r>
      <w:r w:rsidR="0074699E">
        <w:rPr>
          <w:rFonts w:hint="cs"/>
          <w:rtl/>
        </w:rPr>
        <w:t>בשל עצם</w:t>
      </w:r>
      <w:r>
        <w:rPr>
          <w:rFonts w:hint="cs"/>
          <w:rtl/>
        </w:rPr>
        <w:t xml:space="preserve"> השימוש בכלים למניעת גישה </w:t>
      </w:r>
      <w:r w:rsidR="0074699E">
        <w:rPr>
          <w:rFonts w:hint="cs"/>
          <w:rtl/>
        </w:rPr>
        <w:t xml:space="preserve">למידע </w:t>
      </w:r>
      <w:r>
        <w:rPr>
          <w:rFonts w:hint="cs"/>
          <w:rtl/>
        </w:rPr>
        <w:t xml:space="preserve">ולמניעת פרסום. כפי שציין נשיא בית המשפט העליון </w:t>
      </w:r>
      <w:r w:rsidR="0059640B">
        <w:rPr>
          <w:rFonts w:hint="cs"/>
          <w:rtl/>
        </w:rPr>
        <w:t xml:space="preserve">אגרנט בעניין </w:t>
      </w:r>
      <w:r>
        <w:rPr>
          <w:rFonts w:hint="cs"/>
          <w:b/>
          <w:bCs/>
          <w:rtl/>
        </w:rPr>
        <w:t>קול העם</w:t>
      </w:r>
      <w:r w:rsidR="0059640B">
        <w:rPr>
          <w:rFonts w:hint="cs"/>
          <w:rtl/>
        </w:rPr>
        <w:t xml:space="preserve"> וצנזורה נגד עיתון</w:t>
      </w:r>
      <w:r>
        <w:rPr>
          <w:rFonts w:hint="cs"/>
          <w:rtl/>
        </w:rPr>
        <w:t xml:space="preserve">: </w:t>
      </w:r>
    </w:p>
    <w:p w14:paraId="6BC3B2DA" w14:textId="560B40F9" w:rsidR="0019227A" w:rsidRDefault="0019227A" w:rsidP="0019227A">
      <w:pPr>
        <w:pStyle w:val="af5"/>
        <w:spacing w:line="276" w:lineRule="auto"/>
      </w:pPr>
      <w:r>
        <w:rPr>
          <w:rFonts w:hint="cs"/>
          <w:rtl/>
        </w:rPr>
        <w:t>"כל מעשה דיכוי של הופעת עתון מביא בעטיו, בלאו הכי, נזק לאינטרס הציבורי, דהיינו: לאותו אינטרס חשוב הקשור בחופש הביטוי. הטעם הוא, כי כל דיכוי כנ"ל מטיל בהכרח אימה ופחד לא רק על בעל העתון ועורכו, שהופעתו הופסקה, אלא גם על אחרים; כי אימה ופחד אלה גוררים מצדם של האחרונים צנזורה עצמית; וכי בדרך זו מסתתמות גם אותן הטענות אשר דוקא רצוי היה, לשם בירור האמת וקידום התהליך הדמוקרטי, שיצאו לאור העולם".</w:t>
      </w:r>
      <w:r w:rsidR="0059640B">
        <w:rPr>
          <w:rStyle w:val="ab"/>
          <w:rtl/>
        </w:rPr>
        <w:footnoteReference w:id="5"/>
      </w:r>
      <w:r>
        <w:rPr>
          <w:rFonts w:hint="cs"/>
          <w:rtl/>
        </w:rPr>
        <w:t xml:space="preserve"> </w:t>
      </w:r>
    </w:p>
    <w:p w14:paraId="73445DF6" w14:textId="79FA406C" w:rsidR="00F85822" w:rsidRDefault="00A74A54" w:rsidP="00AF3D05">
      <w:pPr>
        <w:pStyle w:val="ac"/>
        <w:numPr>
          <w:ilvl w:val="0"/>
          <w:numId w:val="2"/>
        </w:numPr>
      </w:pPr>
      <w:r w:rsidRPr="00A20032">
        <w:rPr>
          <w:rFonts w:hint="eastAsia"/>
          <w:b/>
          <w:bCs/>
          <w:u w:val="single"/>
          <w:rtl/>
        </w:rPr>
        <w:t>עלויות</w:t>
      </w:r>
      <w:r w:rsidRPr="00A20032">
        <w:rPr>
          <w:b/>
          <w:bCs/>
          <w:u w:val="single"/>
          <w:rtl/>
        </w:rPr>
        <w:t xml:space="preserve"> </w:t>
      </w:r>
      <w:r w:rsidRPr="00A20032">
        <w:rPr>
          <w:rFonts w:hint="eastAsia"/>
          <w:b/>
          <w:bCs/>
          <w:u w:val="single"/>
          <w:rtl/>
        </w:rPr>
        <w:t>רבות</w:t>
      </w:r>
      <w:r w:rsidRPr="00A20032">
        <w:rPr>
          <w:b/>
          <w:bCs/>
          <w:u w:val="single"/>
          <w:rtl/>
        </w:rPr>
        <w:t xml:space="preserve"> </w:t>
      </w:r>
      <w:r w:rsidRPr="00A20032">
        <w:rPr>
          <w:rFonts w:hint="eastAsia"/>
          <w:b/>
          <w:bCs/>
          <w:u w:val="single"/>
          <w:rtl/>
        </w:rPr>
        <w:t>לספקי</w:t>
      </w:r>
      <w:r w:rsidRPr="00A20032">
        <w:rPr>
          <w:b/>
          <w:bCs/>
          <w:u w:val="single"/>
          <w:rtl/>
        </w:rPr>
        <w:t xml:space="preserve"> </w:t>
      </w:r>
      <w:r w:rsidRPr="00A20032">
        <w:rPr>
          <w:rFonts w:hint="eastAsia"/>
          <w:b/>
          <w:bCs/>
          <w:u w:val="single"/>
          <w:rtl/>
        </w:rPr>
        <w:t>הגישה</w:t>
      </w:r>
      <w:r w:rsidRPr="00A20032">
        <w:rPr>
          <w:b/>
          <w:bCs/>
          <w:u w:val="single"/>
          <w:rtl/>
        </w:rPr>
        <w:t xml:space="preserve"> </w:t>
      </w:r>
      <w:r w:rsidRPr="00A20032">
        <w:rPr>
          <w:rFonts w:hint="eastAsia"/>
          <w:b/>
          <w:bCs/>
          <w:u w:val="single"/>
          <w:rtl/>
        </w:rPr>
        <w:t>לאינטרנט</w:t>
      </w:r>
      <w:r w:rsidRPr="00A20032">
        <w:rPr>
          <w:b/>
          <w:bCs/>
          <w:u w:val="single"/>
          <w:rtl/>
        </w:rPr>
        <w:t xml:space="preserve"> </w:t>
      </w:r>
      <w:r w:rsidRPr="00A20032">
        <w:rPr>
          <w:rFonts w:hint="eastAsia"/>
          <w:b/>
          <w:bCs/>
          <w:u w:val="single"/>
          <w:rtl/>
        </w:rPr>
        <w:t>שעלולות</w:t>
      </w:r>
      <w:r w:rsidRPr="00A20032">
        <w:rPr>
          <w:b/>
          <w:bCs/>
          <w:u w:val="single"/>
          <w:rtl/>
        </w:rPr>
        <w:t xml:space="preserve"> </w:t>
      </w:r>
      <w:r w:rsidRPr="00A20032">
        <w:rPr>
          <w:rFonts w:hint="eastAsia"/>
          <w:b/>
          <w:bCs/>
          <w:u w:val="single"/>
          <w:rtl/>
        </w:rPr>
        <w:t>לייקר</w:t>
      </w:r>
      <w:r w:rsidRPr="00A20032">
        <w:rPr>
          <w:b/>
          <w:bCs/>
          <w:u w:val="single"/>
          <w:rtl/>
        </w:rPr>
        <w:t xml:space="preserve"> </w:t>
      </w:r>
      <w:r w:rsidRPr="00A20032">
        <w:rPr>
          <w:rFonts w:hint="eastAsia"/>
          <w:b/>
          <w:bCs/>
          <w:u w:val="single"/>
          <w:rtl/>
        </w:rPr>
        <w:t>את</w:t>
      </w:r>
      <w:r w:rsidRPr="00A20032">
        <w:rPr>
          <w:b/>
          <w:bCs/>
          <w:u w:val="single"/>
          <w:rtl/>
        </w:rPr>
        <w:t xml:space="preserve"> </w:t>
      </w:r>
      <w:r w:rsidRPr="00A20032">
        <w:rPr>
          <w:rFonts w:hint="eastAsia"/>
          <w:b/>
          <w:bCs/>
          <w:u w:val="single"/>
          <w:rtl/>
        </w:rPr>
        <w:t>החיבור</w:t>
      </w:r>
      <w:r w:rsidRPr="00A20032">
        <w:rPr>
          <w:b/>
          <w:bCs/>
          <w:u w:val="single"/>
          <w:rtl/>
        </w:rPr>
        <w:t xml:space="preserve"> </w:t>
      </w:r>
      <w:r w:rsidRPr="00A20032">
        <w:rPr>
          <w:rFonts w:hint="eastAsia"/>
          <w:b/>
          <w:bCs/>
          <w:u w:val="single"/>
          <w:rtl/>
        </w:rPr>
        <w:t>לאינטרנט</w:t>
      </w:r>
      <w:r>
        <w:rPr>
          <w:rFonts w:hint="cs"/>
          <w:rtl/>
        </w:rPr>
        <w:t xml:space="preserve"> </w:t>
      </w:r>
      <w:r w:rsidR="00241F14">
        <w:rPr>
          <w:rtl/>
        </w:rPr>
        <w:t>–</w:t>
      </w:r>
      <w:r>
        <w:rPr>
          <w:rFonts w:hint="cs"/>
          <w:rtl/>
        </w:rPr>
        <w:t xml:space="preserve"> </w:t>
      </w:r>
      <w:r w:rsidR="00F85822">
        <w:rPr>
          <w:rFonts w:hint="cs"/>
          <w:rtl/>
        </w:rPr>
        <w:t xml:space="preserve">ספקי הגישה לאינטרנט </w:t>
      </w:r>
      <w:r w:rsidR="00AF3D05">
        <w:rPr>
          <w:rFonts w:hint="cs"/>
          <w:rtl/>
        </w:rPr>
        <w:t>יצטרכו להשקיע בתחזוקה של שרתים נוספים ושל מנגנון שיאפשר סינון וחסימת גישה לאתרים מסוימים. הדבר עלול לייקר את שירותי הגישה לאינטרנט המוצעים לכלל הציבור, אם לא יקבע מנגנון מסודר של החזר הוצאות לספקים.</w:t>
      </w:r>
      <w:r w:rsidR="00AF3D05">
        <w:rPr>
          <w:rStyle w:val="ab"/>
          <w:rtl/>
        </w:rPr>
        <w:footnoteReference w:id="6"/>
      </w:r>
    </w:p>
    <w:p w14:paraId="20D5AE70" w14:textId="08697943" w:rsidR="00311FA9" w:rsidRDefault="00A74A54" w:rsidP="00BB0A0B">
      <w:pPr>
        <w:pStyle w:val="ac"/>
        <w:numPr>
          <w:ilvl w:val="0"/>
          <w:numId w:val="3"/>
        </w:numPr>
      </w:pPr>
      <w:r w:rsidRPr="00A20032">
        <w:rPr>
          <w:rFonts w:hint="eastAsia"/>
          <w:b/>
          <w:bCs/>
          <w:rtl/>
        </w:rPr>
        <w:t>המדובר</w:t>
      </w:r>
      <w:r w:rsidRPr="00A20032">
        <w:rPr>
          <w:b/>
          <w:bCs/>
          <w:rtl/>
        </w:rPr>
        <w:t xml:space="preserve"> בחסימת גישה לאזרחי ישראל ולא בהסרת תכנים </w:t>
      </w:r>
      <w:r w:rsidR="00241F14">
        <w:rPr>
          <w:b/>
          <w:bCs/>
          <w:rtl/>
        </w:rPr>
        <w:t>–</w:t>
      </w:r>
      <w:r w:rsidRPr="00A20032">
        <w:rPr>
          <w:b/>
          <w:bCs/>
          <w:rtl/>
        </w:rPr>
        <w:t xml:space="preserve"> </w:t>
      </w:r>
      <w:r w:rsidR="001B24AE">
        <w:rPr>
          <w:rFonts w:hint="cs"/>
          <w:rtl/>
        </w:rPr>
        <w:t>מכיוון שההסדר המוצע עוסק בעיקרו באתרים הפועלים מחוץ לישראל, הכוונה אינה להסיר את הפרסום, אלא למנוע את הגישה של ציבור משתמשי האינטרנט בישראל לתכנים הבעייתיים.</w:t>
      </w:r>
      <w:r w:rsidR="001B24AE">
        <w:rPr>
          <w:rStyle w:val="ab"/>
          <w:rtl/>
        </w:rPr>
        <w:footnoteReference w:id="7"/>
      </w:r>
      <w:r w:rsidR="001B24AE">
        <w:rPr>
          <w:rFonts w:hint="cs"/>
          <w:rtl/>
        </w:rPr>
        <w:t xml:space="preserve"> כלומר, </w:t>
      </w:r>
      <w:r w:rsidR="001B24AE" w:rsidRPr="00A20032">
        <w:rPr>
          <w:rFonts w:hint="eastAsia"/>
          <w:b/>
          <w:bCs/>
          <w:rtl/>
        </w:rPr>
        <w:t>מדובר</w:t>
      </w:r>
      <w:r w:rsidR="001B24AE" w:rsidRPr="00A20032">
        <w:rPr>
          <w:b/>
          <w:bCs/>
          <w:rtl/>
        </w:rPr>
        <w:t xml:space="preserve"> </w:t>
      </w:r>
      <w:r w:rsidR="001B24AE" w:rsidRPr="00A20032">
        <w:rPr>
          <w:rFonts w:hint="eastAsia"/>
          <w:b/>
          <w:bCs/>
          <w:rtl/>
        </w:rPr>
        <w:t>בכלי</w:t>
      </w:r>
      <w:r w:rsidR="001B24AE" w:rsidRPr="00A20032">
        <w:rPr>
          <w:b/>
          <w:bCs/>
          <w:rtl/>
        </w:rPr>
        <w:t xml:space="preserve"> </w:t>
      </w:r>
      <w:r w:rsidR="001B24AE" w:rsidRPr="00A20032">
        <w:rPr>
          <w:rFonts w:hint="eastAsia"/>
          <w:b/>
          <w:bCs/>
          <w:rtl/>
        </w:rPr>
        <w:t>משמעותי</w:t>
      </w:r>
      <w:r w:rsidR="001B24AE" w:rsidRPr="00A20032">
        <w:rPr>
          <w:b/>
          <w:bCs/>
          <w:rtl/>
        </w:rPr>
        <w:t xml:space="preserve"> </w:t>
      </w:r>
      <w:r w:rsidR="001B24AE" w:rsidRPr="00A20032">
        <w:rPr>
          <w:rFonts w:hint="eastAsia"/>
          <w:b/>
          <w:bCs/>
          <w:rtl/>
        </w:rPr>
        <w:t>של</w:t>
      </w:r>
      <w:r w:rsidR="001B24AE" w:rsidRPr="00A20032">
        <w:rPr>
          <w:b/>
          <w:bCs/>
          <w:rtl/>
        </w:rPr>
        <w:t xml:space="preserve"> </w:t>
      </w:r>
      <w:r w:rsidR="001B24AE" w:rsidRPr="00A20032">
        <w:rPr>
          <w:rFonts w:hint="eastAsia"/>
          <w:b/>
          <w:bCs/>
          <w:rtl/>
        </w:rPr>
        <w:t>צנזורה</w:t>
      </w:r>
      <w:r w:rsidR="001B24AE">
        <w:rPr>
          <w:rFonts w:hint="cs"/>
          <w:rtl/>
        </w:rPr>
        <w:t xml:space="preserve">. צנזורה זו תופעל על סמך פעילות בעבר, אך מטרתה היא </w:t>
      </w:r>
      <w:r w:rsidR="001B24AE" w:rsidRPr="008865A5">
        <w:rPr>
          <w:rFonts w:hint="cs"/>
          <w:b/>
          <w:bCs/>
          <w:rtl/>
        </w:rPr>
        <w:t>מניעתית</w:t>
      </w:r>
      <w:r w:rsidR="001B24AE">
        <w:rPr>
          <w:rFonts w:hint="cs"/>
          <w:rtl/>
        </w:rPr>
        <w:t xml:space="preserve">, היא </w:t>
      </w:r>
      <w:r w:rsidR="001B24AE" w:rsidRPr="008865A5">
        <w:rPr>
          <w:rFonts w:hint="cs"/>
          <w:b/>
          <w:bCs/>
          <w:rtl/>
        </w:rPr>
        <w:t>צופה פני עתיד</w:t>
      </w:r>
      <w:r w:rsidR="001B24AE">
        <w:rPr>
          <w:rFonts w:hint="cs"/>
          <w:rtl/>
        </w:rPr>
        <w:t xml:space="preserve"> וכוונתה למנוע ביצוע עבירות</w:t>
      </w:r>
      <w:r w:rsidR="0069377D">
        <w:rPr>
          <w:rFonts w:hint="cs"/>
          <w:rtl/>
        </w:rPr>
        <w:t xml:space="preserve"> בעתיד</w:t>
      </w:r>
      <w:r>
        <w:rPr>
          <w:rFonts w:hint="cs"/>
          <w:rtl/>
        </w:rPr>
        <w:t>, הגם שייתכן כי האתר ישנה את תכניו ויחזור למוטב</w:t>
      </w:r>
      <w:r w:rsidR="001B24AE">
        <w:rPr>
          <w:rFonts w:hint="cs"/>
          <w:rtl/>
        </w:rPr>
        <w:t>.</w:t>
      </w:r>
      <w:r w:rsidR="0069377D">
        <w:rPr>
          <w:rStyle w:val="ab"/>
          <w:rtl/>
        </w:rPr>
        <w:footnoteReference w:id="8"/>
      </w:r>
      <w:r>
        <w:rPr>
          <w:rFonts w:hint="cs"/>
          <w:rtl/>
        </w:rPr>
        <w:t xml:space="preserve"> על כן יש לאפשר הליך אף להסרת החסימה כאמור, אם יוכח כי אופי האתר החסום שונה וכי אין בו עוד תכנים בעייתיים. </w:t>
      </w:r>
      <w:r w:rsidR="0069377D">
        <w:rPr>
          <w:rFonts w:hint="cs"/>
          <w:rtl/>
        </w:rPr>
        <w:t xml:space="preserve"> </w:t>
      </w:r>
      <w:r w:rsidR="001B24AE">
        <w:rPr>
          <w:rFonts w:hint="cs"/>
          <w:rtl/>
        </w:rPr>
        <w:t xml:space="preserve"> </w:t>
      </w:r>
    </w:p>
    <w:p w14:paraId="4091D322" w14:textId="38198955" w:rsidR="00BB0A0B" w:rsidRDefault="00BB0A0B" w:rsidP="00862D9C">
      <w:pPr>
        <w:pStyle w:val="ac"/>
        <w:numPr>
          <w:ilvl w:val="0"/>
          <w:numId w:val="3"/>
        </w:numPr>
      </w:pPr>
      <w:r>
        <w:rPr>
          <w:rFonts w:hint="cs"/>
          <w:rtl/>
        </w:rPr>
        <w:t>מדובר אמנם בצנזורה שנועדה למנוע ביצוע עבירות שאינן קשורות לחו</w:t>
      </w:r>
      <w:r w:rsidR="001A524B">
        <w:rPr>
          <w:rFonts w:hint="cs"/>
          <w:rtl/>
        </w:rPr>
        <w:t xml:space="preserve">פש הביטוי במהותן, כגון </w:t>
      </w:r>
      <w:r w:rsidR="00A74A54">
        <w:rPr>
          <w:rFonts w:hint="cs"/>
          <w:rtl/>
        </w:rPr>
        <w:t xml:space="preserve">פדופיליה, </w:t>
      </w:r>
      <w:r w:rsidR="001A524B">
        <w:rPr>
          <w:rFonts w:hint="cs"/>
          <w:rtl/>
        </w:rPr>
        <w:t>הימורים או</w:t>
      </w:r>
      <w:r>
        <w:rPr>
          <w:rFonts w:hint="cs"/>
          <w:rtl/>
        </w:rPr>
        <w:t xml:space="preserve"> סחר בסמים</w:t>
      </w:r>
      <w:r w:rsidR="000E300E">
        <w:rPr>
          <w:rFonts w:hint="cs"/>
          <w:rtl/>
        </w:rPr>
        <w:t>.</w:t>
      </w:r>
      <w:r>
        <w:rPr>
          <w:rFonts w:hint="cs"/>
          <w:rtl/>
        </w:rPr>
        <w:t xml:space="preserve"> </w:t>
      </w:r>
      <w:r w:rsidR="00A74A54">
        <w:rPr>
          <w:rFonts w:hint="cs"/>
          <w:rtl/>
        </w:rPr>
        <w:t xml:space="preserve">יובהר כי אנו מתנגדים מכל וכל לתכנים המעודדים לעבור עבירה או המציעים דבר מה שיש בו עבירה. </w:t>
      </w:r>
      <w:r>
        <w:rPr>
          <w:rFonts w:hint="cs"/>
          <w:rtl/>
        </w:rPr>
        <w:t xml:space="preserve">עם זאת, </w:t>
      </w:r>
      <w:r w:rsidR="00A74A54">
        <w:rPr>
          <w:rFonts w:hint="cs"/>
          <w:rtl/>
        </w:rPr>
        <w:t>הדרך בה נוקטת הצעת החוק ו</w:t>
      </w:r>
      <w:r>
        <w:rPr>
          <w:rFonts w:hint="cs"/>
          <w:rtl/>
        </w:rPr>
        <w:t xml:space="preserve">תכליתו של ההסדר היא למנוע ממשתמשי האינטרנט בישראל גישה לאתרי אינטרנט, כלומר </w:t>
      </w:r>
      <w:r w:rsidRPr="00A20032">
        <w:rPr>
          <w:rFonts w:hint="eastAsia"/>
          <w:b/>
          <w:bCs/>
          <w:rtl/>
        </w:rPr>
        <w:t>למנוע</w:t>
      </w:r>
      <w:r w:rsidRPr="00A20032">
        <w:rPr>
          <w:b/>
          <w:bCs/>
          <w:rtl/>
        </w:rPr>
        <w:t xml:space="preserve"> </w:t>
      </w:r>
      <w:r w:rsidRPr="00A20032">
        <w:rPr>
          <w:rFonts w:hint="eastAsia"/>
          <w:b/>
          <w:bCs/>
          <w:rtl/>
        </w:rPr>
        <w:t>מתושבי</w:t>
      </w:r>
      <w:r w:rsidRPr="00A20032">
        <w:rPr>
          <w:b/>
          <w:bCs/>
          <w:rtl/>
        </w:rPr>
        <w:t xml:space="preserve"> </w:t>
      </w:r>
      <w:r w:rsidRPr="00A20032">
        <w:rPr>
          <w:rFonts w:hint="eastAsia"/>
          <w:b/>
          <w:bCs/>
          <w:rtl/>
        </w:rPr>
        <w:t>ישראל</w:t>
      </w:r>
      <w:r w:rsidRPr="00A20032">
        <w:rPr>
          <w:b/>
          <w:bCs/>
          <w:rtl/>
        </w:rPr>
        <w:t xml:space="preserve"> </w:t>
      </w:r>
      <w:r w:rsidRPr="00A20032">
        <w:rPr>
          <w:rFonts w:hint="eastAsia"/>
          <w:b/>
          <w:bCs/>
          <w:rtl/>
        </w:rPr>
        <w:t>את</w:t>
      </w:r>
      <w:r w:rsidRPr="00A20032">
        <w:rPr>
          <w:b/>
          <w:bCs/>
          <w:rtl/>
        </w:rPr>
        <w:t xml:space="preserve"> </w:t>
      </w:r>
      <w:r w:rsidRPr="00A20032">
        <w:rPr>
          <w:rFonts w:hint="eastAsia"/>
          <w:b/>
          <w:bCs/>
          <w:rtl/>
        </w:rPr>
        <w:t>היכולת</w:t>
      </w:r>
      <w:r w:rsidRPr="00A20032">
        <w:rPr>
          <w:b/>
          <w:bCs/>
          <w:rtl/>
        </w:rPr>
        <w:t xml:space="preserve"> </w:t>
      </w:r>
      <w:r w:rsidRPr="00A20032">
        <w:rPr>
          <w:rFonts w:hint="eastAsia"/>
          <w:b/>
          <w:bCs/>
          <w:rtl/>
        </w:rPr>
        <w:t>לקבל</w:t>
      </w:r>
      <w:r w:rsidRPr="00A20032">
        <w:rPr>
          <w:b/>
          <w:bCs/>
          <w:rtl/>
        </w:rPr>
        <w:t xml:space="preserve"> </w:t>
      </w:r>
      <w:r w:rsidRPr="00A20032">
        <w:rPr>
          <w:rFonts w:hint="eastAsia"/>
          <w:b/>
          <w:bCs/>
          <w:rtl/>
        </w:rPr>
        <w:t>מידע</w:t>
      </w:r>
      <w:r w:rsidRPr="00A20032">
        <w:rPr>
          <w:b/>
          <w:bCs/>
          <w:rtl/>
        </w:rPr>
        <w:t xml:space="preserve"> </w:t>
      </w:r>
      <w:r w:rsidRPr="00A20032">
        <w:rPr>
          <w:rFonts w:hint="eastAsia"/>
          <w:b/>
          <w:bCs/>
          <w:rtl/>
        </w:rPr>
        <w:t>מסוים</w:t>
      </w:r>
      <w:r>
        <w:rPr>
          <w:rFonts w:hint="cs"/>
          <w:rtl/>
        </w:rPr>
        <w:t>.</w:t>
      </w:r>
    </w:p>
    <w:p w14:paraId="355D8E07" w14:textId="5E9B6B38" w:rsidR="00AB63C8" w:rsidRDefault="00AB63C8" w:rsidP="00A74A54">
      <w:pPr>
        <w:pStyle w:val="ac"/>
        <w:numPr>
          <w:ilvl w:val="0"/>
          <w:numId w:val="3"/>
        </w:numPr>
      </w:pPr>
      <w:r>
        <w:rPr>
          <w:rFonts w:hint="cs"/>
          <w:rtl/>
        </w:rPr>
        <w:lastRenderedPageBreak/>
        <w:t>במדינות אחרות, נ</w:t>
      </w:r>
      <w:r w:rsidR="0082299A">
        <w:rPr>
          <w:rFonts w:hint="cs"/>
          <w:rtl/>
        </w:rPr>
        <w:t>י</w:t>
      </w:r>
      <w:r>
        <w:rPr>
          <w:rFonts w:hint="cs"/>
          <w:rtl/>
        </w:rPr>
        <w:t xml:space="preserve">סיונות לחסום </w:t>
      </w:r>
      <w:r w:rsidR="0082299A">
        <w:rPr>
          <w:rFonts w:hint="cs"/>
          <w:rtl/>
        </w:rPr>
        <w:t>גישה ל</w:t>
      </w:r>
      <w:r>
        <w:rPr>
          <w:rFonts w:hint="cs"/>
          <w:rtl/>
        </w:rPr>
        <w:t xml:space="preserve">אתרים בעייתיים </w:t>
      </w:r>
      <w:r w:rsidR="0082299A">
        <w:rPr>
          <w:rFonts w:hint="cs"/>
          <w:rtl/>
        </w:rPr>
        <w:t xml:space="preserve">הביאו לתקלות בגישה לאינטרנט </w:t>
      </w:r>
      <w:r w:rsidR="00800B76">
        <w:rPr>
          <w:rFonts w:hint="cs"/>
          <w:rtl/>
        </w:rPr>
        <w:t xml:space="preserve">באופן כללי, </w:t>
      </w:r>
      <w:r w:rsidR="00A74A54">
        <w:rPr>
          <w:rFonts w:hint="cs"/>
          <w:rtl/>
        </w:rPr>
        <w:t xml:space="preserve">לרבות </w:t>
      </w:r>
      <w:r w:rsidR="00800B76">
        <w:rPr>
          <w:rFonts w:hint="cs"/>
          <w:rtl/>
        </w:rPr>
        <w:t>בגישה לאתרים גדולים, כמו ויקיפדיה,</w:t>
      </w:r>
      <w:r w:rsidR="00800B76">
        <w:rPr>
          <w:rStyle w:val="ab"/>
          <w:rtl/>
        </w:rPr>
        <w:footnoteReference w:id="9"/>
      </w:r>
      <w:r w:rsidR="00800B76">
        <w:rPr>
          <w:rFonts w:hint="cs"/>
          <w:rtl/>
        </w:rPr>
        <w:t xml:space="preserve"> יוטיוב,</w:t>
      </w:r>
      <w:r w:rsidR="003C2F5A">
        <w:rPr>
          <w:rStyle w:val="ab"/>
          <w:rtl/>
        </w:rPr>
        <w:footnoteReference w:id="10"/>
      </w:r>
      <w:r w:rsidR="00800B76">
        <w:rPr>
          <w:rFonts w:hint="cs"/>
          <w:rtl/>
        </w:rPr>
        <w:t xml:space="preserve"> אתרי חדשות,</w:t>
      </w:r>
      <w:r w:rsidR="00800B76">
        <w:rPr>
          <w:rStyle w:val="ab"/>
          <w:rtl/>
        </w:rPr>
        <w:footnoteReference w:id="11"/>
      </w:r>
      <w:r w:rsidR="00800B76">
        <w:rPr>
          <w:rFonts w:hint="cs"/>
          <w:rtl/>
        </w:rPr>
        <w:t xml:space="preserve"> וכדומה</w:t>
      </w:r>
      <w:r w:rsidR="0082299A">
        <w:rPr>
          <w:rFonts w:hint="cs"/>
          <w:rtl/>
        </w:rPr>
        <w:t>.</w:t>
      </w:r>
      <w:r w:rsidR="00A74A54">
        <w:rPr>
          <w:rFonts w:hint="cs"/>
          <w:rtl/>
        </w:rPr>
        <w:t xml:space="preserve"> מיותר לציין כי הדבר פגע באופן ניכר בשיח הציבורי הלגיטימי ובחופש הביטוי.</w:t>
      </w:r>
      <w:r w:rsidR="0082299A">
        <w:rPr>
          <w:rFonts w:hint="cs"/>
          <w:rtl/>
        </w:rPr>
        <w:t xml:space="preserve"> </w:t>
      </w:r>
      <w:r w:rsidR="00A74A54">
        <w:rPr>
          <w:rFonts w:hint="cs"/>
          <w:rtl/>
        </w:rPr>
        <w:t xml:space="preserve">בעת כתיבת החוק יש לתת את הדעת אף לנסות ולמזער פגיעה זו ככל הניתן. </w:t>
      </w:r>
    </w:p>
    <w:p w14:paraId="170DBDE7" w14:textId="77777777" w:rsidR="00A74A54" w:rsidRDefault="00A74A54" w:rsidP="00A20032">
      <w:pPr>
        <w:ind w:left="360"/>
        <w:rPr>
          <w:b/>
          <w:bCs/>
          <w:u w:val="single"/>
          <w:rtl/>
        </w:rPr>
      </w:pPr>
    </w:p>
    <w:p w14:paraId="7EC6B71E" w14:textId="41167EDD" w:rsidR="00A74A54" w:rsidRPr="00A20032" w:rsidRDefault="00A74A54" w:rsidP="00A20032">
      <w:pPr>
        <w:ind w:left="360"/>
        <w:rPr>
          <w:b/>
          <w:bCs/>
          <w:u w:val="single"/>
        </w:rPr>
      </w:pPr>
      <w:r w:rsidRPr="00A20032">
        <w:rPr>
          <w:rFonts w:hint="eastAsia"/>
          <w:b/>
          <w:bCs/>
          <w:u w:val="single"/>
          <w:rtl/>
        </w:rPr>
        <w:t>פתרון</w:t>
      </w:r>
      <w:r w:rsidRPr="00A20032">
        <w:rPr>
          <w:b/>
          <w:bCs/>
          <w:u w:val="single"/>
          <w:rtl/>
        </w:rPr>
        <w:t xml:space="preserve"> </w:t>
      </w:r>
      <w:r>
        <w:rPr>
          <w:rFonts w:hint="cs"/>
          <w:b/>
          <w:bCs/>
          <w:u w:val="single"/>
          <w:rtl/>
        </w:rPr>
        <w:t>מוצע</w:t>
      </w:r>
      <w:r w:rsidRPr="00A20032">
        <w:rPr>
          <w:b/>
          <w:bCs/>
          <w:u w:val="single"/>
          <w:rtl/>
        </w:rPr>
        <w:t xml:space="preserve"> – מודל משולש של שקיפות, פיקוח משפטי ופיקוח ציבורי</w:t>
      </w:r>
    </w:p>
    <w:p w14:paraId="79D69314" w14:textId="49AD872F" w:rsidR="00FA4B20" w:rsidRDefault="00AB63C8" w:rsidP="00CA19C5">
      <w:pPr>
        <w:pStyle w:val="ac"/>
        <w:numPr>
          <w:ilvl w:val="0"/>
          <w:numId w:val="3"/>
        </w:numPr>
      </w:pPr>
      <w:r>
        <w:rPr>
          <w:rFonts w:hint="cs"/>
          <w:rtl/>
        </w:rPr>
        <w:t>הבעיות שנסקרו לעיל מעידות ע</w:t>
      </w:r>
      <w:r w:rsidR="00FA4B20">
        <w:rPr>
          <w:rFonts w:hint="cs"/>
          <w:rtl/>
        </w:rPr>
        <w:t xml:space="preserve">ל הקשיים בהסדר המוצע, והדבר מחייב </w:t>
      </w:r>
      <w:r>
        <w:rPr>
          <w:rFonts w:hint="cs"/>
          <w:rtl/>
        </w:rPr>
        <w:t xml:space="preserve">זהירות מופלגת בשימוש באמצעי </w:t>
      </w:r>
      <w:r w:rsidR="00FA4B20">
        <w:rPr>
          <w:rFonts w:hint="cs"/>
          <w:rtl/>
        </w:rPr>
        <w:t xml:space="preserve">של חסימת גישה לאתרים. במיוחד מכיוון שמדובר בהליך שיפגע באופן מהותי בזכות לחופש הביטוי, יש לוודא כי ההליכים וההסדרים </w:t>
      </w:r>
      <w:r w:rsidR="00606E7F">
        <w:rPr>
          <w:rFonts w:hint="cs"/>
          <w:rtl/>
        </w:rPr>
        <w:t>הקשורים להפעלת מנגנון חסימת הגישה יופעלו באופן שקוף ופומבי ככל שניתן.</w:t>
      </w:r>
    </w:p>
    <w:p w14:paraId="6FEE37B8" w14:textId="1EC18648" w:rsidR="00A74A54" w:rsidRDefault="00A74A54" w:rsidP="00A74A54">
      <w:pPr>
        <w:pStyle w:val="ac"/>
        <w:numPr>
          <w:ilvl w:val="0"/>
          <w:numId w:val="3"/>
        </w:numPr>
      </w:pPr>
      <w:r>
        <w:rPr>
          <w:rFonts w:hint="cs"/>
          <w:rtl/>
        </w:rPr>
        <w:t xml:space="preserve">מודל השקיפות המוצע יאפשר את קיומם של אותם איזונים ובלמים הנדרשים על מנת לאפשר את השמירה על חופש המידע הלגיטימי ואת חופש הביטוי. המודל בנוי משלושה נדבכים </w:t>
      </w:r>
      <w:r>
        <w:rPr>
          <w:rtl/>
        </w:rPr>
        <w:t>–</w:t>
      </w:r>
      <w:r>
        <w:rPr>
          <w:rFonts w:hint="cs"/>
          <w:rtl/>
        </w:rPr>
        <w:t xml:space="preserve"> שקיפות, בחינה ציבורית של הדברים המתאפשרת לאור עקרון השקיפות וכן ביקורת שיפוטית על הנעשה.</w:t>
      </w:r>
      <w:r>
        <w:rPr>
          <w:rtl/>
        </w:rPr>
        <w:br/>
      </w:r>
      <w:r>
        <w:rPr>
          <w:rFonts w:hint="cs"/>
          <w:rtl/>
        </w:rPr>
        <w:t>המודל המשולש הוצע גם על ידי החוקרות פרופ' ניבה אלקין-קורן וד"ר מעיין פרל בעניין חסימות אתרים בגין הפרות זכות יוצרים.</w:t>
      </w:r>
      <w:r w:rsidR="00BD08FD">
        <w:rPr>
          <w:rStyle w:val="ab"/>
          <w:rtl/>
        </w:rPr>
        <w:footnoteReference w:id="12"/>
      </w:r>
      <w:r>
        <w:rPr>
          <w:rFonts w:hint="cs"/>
          <w:rtl/>
        </w:rPr>
        <w:t xml:space="preserve">  </w:t>
      </w:r>
    </w:p>
    <w:p w14:paraId="0B3A01A6" w14:textId="77777777" w:rsidR="00A74A54" w:rsidRDefault="00AB63C8" w:rsidP="00675AA7">
      <w:pPr>
        <w:pStyle w:val="ac"/>
        <w:numPr>
          <w:ilvl w:val="0"/>
          <w:numId w:val="3"/>
        </w:numPr>
      </w:pPr>
      <w:r>
        <w:rPr>
          <w:rFonts w:hint="cs"/>
          <w:rtl/>
        </w:rPr>
        <w:t xml:space="preserve">אחד הכלים </w:t>
      </w:r>
      <w:r w:rsidR="00D759E5">
        <w:rPr>
          <w:rFonts w:hint="cs"/>
          <w:rtl/>
        </w:rPr>
        <w:t>החשובים ל</w:t>
      </w:r>
      <w:r w:rsidR="0037750F">
        <w:rPr>
          <w:rFonts w:hint="cs"/>
          <w:rtl/>
        </w:rPr>
        <w:t>צמצום הפגיעה בזכויות הכרוכה בהסדר המוצע הוא האפשרות לבקר באופן רציף את</w:t>
      </w:r>
      <w:r w:rsidR="00A74A54">
        <w:rPr>
          <w:rFonts w:hint="cs"/>
          <w:rtl/>
        </w:rPr>
        <w:t>:</w:t>
      </w:r>
      <w:r w:rsidR="0037750F">
        <w:rPr>
          <w:rFonts w:hint="cs"/>
          <w:rtl/>
        </w:rPr>
        <w:t xml:space="preserve"> </w:t>
      </w:r>
    </w:p>
    <w:p w14:paraId="70F03789" w14:textId="77777777" w:rsidR="00A74A54" w:rsidRDefault="0037750F" w:rsidP="00A20032">
      <w:pPr>
        <w:pStyle w:val="ac"/>
        <w:numPr>
          <w:ilvl w:val="1"/>
          <w:numId w:val="5"/>
        </w:numPr>
      </w:pPr>
      <w:r>
        <w:rPr>
          <w:rFonts w:hint="cs"/>
          <w:rtl/>
        </w:rPr>
        <w:t xml:space="preserve">השיקולים שישקלו גורמי האכיפה בבואם לבקש הוצאת צווים לחסימת גישה, </w:t>
      </w:r>
    </w:p>
    <w:p w14:paraId="7F277632" w14:textId="77777777" w:rsidR="00A74A54" w:rsidRDefault="0037750F" w:rsidP="00A20032">
      <w:pPr>
        <w:pStyle w:val="ac"/>
        <w:numPr>
          <w:ilvl w:val="1"/>
          <w:numId w:val="5"/>
        </w:numPr>
      </w:pPr>
      <w:r>
        <w:rPr>
          <w:rFonts w:hint="cs"/>
          <w:rtl/>
        </w:rPr>
        <w:t xml:space="preserve">את ההליכים להוצאת צווים לחסימת גישה, ואת התוצאות של הליכים אלה. </w:t>
      </w:r>
    </w:p>
    <w:p w14:paraId="397DCA05" w14:textId="77777777" w:rsidR="00A74A54" w:rsidRDefault="003A1B6B" w:rsidP="00A20032">
      <w:pPr>
        <w:ind w:left="746"/>
        <w:rPr>
          <w:rtl/>
        </w:rPr>
      </w:pPr>
      <w:r>
        <w:rPr>
          <w:rFonts w:hint="cs"/>
          <w:rtl/>
        </w:rPr>
        <w:t>ניתן יהיה לעשות זאת אם</w:t>
      </w:r>
      <w:r w:rsidR="00A74A54">
        <w:rPr>
          <w:rFonts w:hint="cs"/>
          <w:rtl/>
        </w:rPr>
        <w:t>:</w:t>
      </w:r>
      <w:r>
        <w:rPr>
          <w:rFonts w:hint="cs"/>
          <w:rtl/>
        </w:rPr>
        <w:t xml:space="preserve"> </w:t>
      </w:r>
    </w:p>
    <w:p w14:paraId="27DB19EF" w14:textId="74999B6B" w:rsidR="00A74A54" w:rsidRDefault="00CA4D87" w:rsidP="00A20032">
      <w:pPr>
        <w:pStyle w:val="ac"/>
        <w:numPr>
          <w:ilvl w:val="0"/>
          <w:numId w:val="4"/>
        </w:numPr>
        <w:rPr>
          <w:rtl/>
        </w:rPr>
      </w:pPr>
      <w:r>
        <w:rPr>
          <w:rFonts w:hint="cs"/>
          <w:rtl/>
        </w:rPr>
        <w:t>ההליכים יתנהלו באופן פומבי;</w:t>
      </w:r>
      <w:r w:rsidR="003A1B6B">
        <w:rPr>
          <w:rFonts w:hint="cs"/>
          <w:rtl/>
        </w:rPr>
        <w:t xml:space="preserve"> </w:t>
      </w:r>
    </w:p>
    <w:p w14:paraId="66F94089" w14:textId="4D3C1127" w:rsidR="00A74A54" w:rsidRDefault="003A1B6B" w:rsidP="00A20032">
      <w:pPr>
        <w:pStyle w:val="ac"/>
        <w:numPr>
          <w:ilvl w:val="0"/>
          <w:numId w:val="4"/>
        </w:numPr>
        <w:rPr>
          <w:rtl/>
        </w:rPr>
      </w:pPr>
      <w:r>
        <w:rPr>
          <w:rFonts w:hint="cs"/>
          <w:rtl/>
        </w:rPr>
        <w:t>השימוש בחומרי</w:t>
      </w:r>
      <w:r w:rsidR="00CA4D87">
        <w:rPr>
          <w:rFonts w:hint="cs"/>
          <w:rtl/>
        </w:rPr>
        <w:t>ם חסויים יהיה מצומצם ככל שניתן;</w:t>
      </w:r>
    </w:p>
    <w:p w14:paraId="275BDC09" w14:textId="32B3133E" w:rsidR="00A74A54" w:rsidRDefault="003A1B6B" w:rsidP="00A20032">
      <w:pPr>
        <w:pStyle w:val="ac"/>
        <w:numPr>
          <w:ilvl w:val="0"/>
          <w:numId w:val="4"/>
        </w:numPr>
      </w:pPr>
      <w:r>
        <w:rPr>
          <w:rFonts w:hint="cs"/>
          <w:rtl/>
        </w:rPr>
        <w:t xml:space="preserve">יפורסם מידע מסודר ומלא </w:t>
      </w:r>
      <w:r w:rsidR="00544678">
        <w:rPr>
          <w:rFonts w:hint="cs"/>
          <w:rtl/>
        </w:rPr>
        <w:t xml:space="preserve">לככל שניתן, לציבור ולוועדה, </w:t>
      </w:r>
      <w:r>
        <w:rPr>
          <w:rFonts w:hint="cs"/>
          <w:rtl/>
        </w:rPr>
        <w:t>על הבקשות שיוגשו להוצאת צווים ועל הצווים עצמם</w:t>
      </w:r>
      <w:r w:rsidR="00CA4D87">
        <w:rPr>
          <w:rFonts w:hint="cs"/>
          <w:rtl/>
        </w:rPr>
        <w:t>;</w:t>
      </w:r>
    </w:p>
    <w:p w14:paraId="2572B02F" w14:textId="123782CE" w:rsidR="00EA3C27" w:rsidRDefault="00675AA7" w:rsidP="00A20032">
      <w:pPr>
        <w:pStyle w:val="ac"/>
        <w:numPr>
          <w:ilvl w:val="0"/>
          <w:numId w:val="4"/>
        </w:numPr>
      </w:pPr>
      <w:r>
        <w:rPr>
          <w:rFonts w:hint="cs"/>
          <w:rtl/>
        </w:rPr>
        <w:t>הליכים בדיונים להוצאת צו</w:t>
      </w:r>
      <w:r w:rsidR="00CA4D87">
        <w:rPr>
          <w:rFonts w:hint="cs"/>
          <w:rtl/>
        </w:rPr>
        <w:t xml:space="preserve"> </w:t>
      </w:r>
      <w:r w:rsidR="00EA3C27">
        <w:rPr>
          <w:rFonts w:hint="cs"/>
          <w:rtl/>
        </w:rPr>
        <w:t xml:space="preserve">יתקיימו בנוכחות "עותר ציבורי", </w:t>
      </w:r>
      <w:r w:rsidR="00A74A54">
        <w:rPr>
          <w:rFonts w:hint="cs"/>
          <w:rtl/>
        </w:rPr>
        <w:t xml:space="preserve">גוף ציבורי ניטראלי כדוגמת איגוד האינטרנט הישראלי, שיוכל לייצג אף את </w:t>
      </w:r>
      <w:r>
        <w:rPr>
          <w:rFonts w:hint="cs"/>
          <w:rtl/>
        </w:rPr>
        <w:t>כלל משתמשי האינטרנט שזכויותיהם עלולות להיפגע</w:t>
      </w:r>
      <w:r w:rsidR="00AD36E9">
        <w:rPr>
          <w:rFonts w:hint="cs"/>
          <w:rtl/>
        </w:rPr>
        <w:t>.</w:t>
      </w:r>
    </w:p>
    <w:p w14:paraId="76A1E197" w14:textId="386FD429" w:rsidR="00544678" w:rsidRDefault="00544678" w:rsidP="00A20032">
      <w:pPr>
        <w:pStyle w:val="ac"/>
        <w:numPr>
          <w:ilvl w:val="0"/>
          <w:numId w:val="4"/>
        </w:numPr>
      </w:pPr>
      <w:r>
        <w:rPr>
          <w:rFonts w:hint="cs"/>
          <w:rtl/>
        </w:rPr>
        <w:lastRenderedPageBreak/>
        <w:t>תתאפשר זכות ערעור על ההחלטה בתוך פרק זמן סביר, ואף תתאפשר בקשה לעיון מחדש אם יוכח שהאתר שינה את תכניו הבעייתיים.</w:t>
      </w:r>
    </w:p>
    <w:p w14:paraId="56B29200" w14:textId="13C91D38" w:rsidR="0037750F" w:rsidRDefault="00EA3C27" w:rsidP="00A20032">
      <w:r>
        <w:rPr>
          <w:rFonts w:hint="cs"/>
          <w:b/>
          <w:bCs/>
          <w:u w:val="single"/>
          <w:rtl/>
        </w:rPr>
        <w:t xml:space="preserve">מן הכלל אל הפרט </w:t>
      </w:r>
      <w:r>
        <w:rPr>
          <w:b/>
          <w:bCs/>
          <w:u w:val="single"/>
          <w:rtl/>
        </w:rPr>
        <w:t>–</w:t>
      </w:r>
      <w:r>
        <w:rPr>
          <w:rFonts w:hint="cs"/>
          <w:b/>
          <w:bCs/>
          <w:u w:val="single"/>
          <w:rtl/>
        </w:rPr>
        <w:t xml:space="preserve"> הצעה לתיקון נוסח החקיקה הקיים על פי המודל המוצע</w:t>
      </w:r>
      <w:r w:rsidR="00675AA7">
        <w:rPr>
          <w:rFonts w:hint="cs"/>
          <w:rtl/>
        </w:rPr>
        <w:t xml:space="preserve"> </w:t>
      </w:r>
    </w:p>
    <w:p w14:paraId="24A7D359" w14:textId="008A75EC" w:rsidR="00FF64BF" w:rsidRDefault="00A35CCE" w:rsidP="002737F3">
      <w:pPr>
        <w:pStyle w:val="ac"/>
        <w:numPr>
          <w:ilvl w:val="0"/>
          <w:numId w:val="3"/>
        </w:numPr>
        <w:rPr>
          <w:rtl/>
        </w:rPr>
      </w:pPr>
      <w:r>
        <w:rPr>
          <w:rFonts w:hint="cs"/>
          <w:rtl/>
        </w:rPr>
        <w:t>להלן נפרט את עיקרי הצעותינו לניסוח מיטבי של הצעת החוק, ובמיוחד של ההסדרים הדיוניים והסדרי חופש המידע והשקיפות הנדרשים. זאת, ככל שיוחלט להמשיך לקדם את ההצעה.</w:t>
      </w:r>
      <w:r>
        <w:rPr>
          <w:rStyle w:val="ab"/>
          <w:rtl/>
        </w:rPr>
        <w:footnoteReference w:id="13"/>
      </w:r>
    </w:p>
    <w:p w14:paraId="6E4BD24E" w14:textId="3C339E49" w:rsidR="00C43D7F" w:rsidRDefault="00C43D7F" w:rsidP="006C3785">
      <w:pPr>
        <w:pStyle w:val="3"/>
        <w:bidi w:val="0"/>
        <w:rPr>
          <w:rtl/>
        </w:rPr>
      </w:pPr>
      <w:r>
        <w:rPr>
          <w:rFonts w:hint="cs"/>
          <w:rtl/>
        </w:rPr>
        <w:t xml:space="preserve">השתתפות של נציג ציבור, </w:t>
      </w:r>
      <w:r w:rsidR="00917ACA">
        <w:rPr>
          <w:rFonts w:hint="cs"/>
          <w:rtl/>
        </w:rPr>
        <w:t>או תאגיד רשום העוסק בהגנה על אינטרס ציבור המשתמשים באינטרנט בדיון</w:t>
      </w:r>
    </w:p>
    <w:p w14:paraId="5332B6C2" w14:textId="3FEE8EA8" w:rsidR="000D3D0F" w:rsidRDefault="00917ACA" w:rsidP="00985FAE">
      <w:pPr>
        <w:pStyle w:val="ac"/>
        <w:numPr>
          <w:ilvl w:val="0"/>
          <w:numId w:val="3"/>
        </w:numPr>
      </w:pPr>
      <w:r>
        <w:rPr>
          <w:rFonts w:hint="cs"/>
          <w:rtl/>
        </w:rPr>
        <w:t>סעיף 3 לנוסח המעודכן להצעת החוק עוסק בסדרי הדין להוצאת צו.</w:t>
      </w:r>
      <w:r w:rsidR="004A1433">
        <w:rPr>
          <w:rFonts w:hint="cs"/>
          <w:rtl/>
        </w:rPr>
        <w:t xml:space="preserve"> </w:t>
      </w:r>
      <w:r w:rsidR="000D3D0F">
        <w:rPr>
          <w:rFonts w:hint="cs"/>
          <w:rtl/>
        </w:rPr>
        <w:t>מוצע להוסיף לסעיף 3(א) התייחסות לאפשרות שלא ניתן לאתר את הבעלים או המפעיל של אתר האינטרנט. במקרה כזה, יזומן נציג של תאגיד רשום שעוסק בהגנה על אינטרס ציבור המשתמשים באינטרנט</w:t>
      </w:r>
      <w:r w:rsidR="00985FAE">
        <w:rPr>
          <w:rFonts w:hint="cs"/>
          <w:rtl/>
        </w:rPr>
        <w:t>. ניתן לקבוע בחוק, בתוספת לחוק, או בתקנות את זהות התאגידים או הגופים הרלבנ</w:t>
      </w:r>
      <w:r w:rsidR="004A1433">
        <w:rPr>
          <w:rFonts w:hint="cs"/>
          <w:rtl/>
        </w:rPr>
        <w:t>טים, כדוגמת איגוד האינטרנט:</w:t>
      </w:r>
    </w:p>
    <w:p w14:paraId="7569ED41" w14:textId="2B6FAD09" w:rsidR="0022101A" w:rsidRDefault="00185FFC" w:rsidP="00D93740">
      <w:pPr>
        <w:pStyle w:val="af5"/>
        <w:rPr>
          <w:rtl/>
        </w:rPr>
      </w:pPr>
      <w:r>
        <w:rPr>
          <w:rFonts w:hint="cs"/>
          <w:rtl/>
        </w:rPr>
        <w:t xml:space="preserve">3. (א) </w:t>
      </w:r>
      <w:r w:rsidR="000D3D0F">
        <w:rPr>
          <w:rtl/>
        </w:rPr>
        <w:t xml:space="preserve">לדיון בבקשת </w:t>
      </w:r>
      <w:r w:rsidR="000D3D0F" w:rsidRPr="004A1433">
        <w:rPr>
          <w:rtl/>
        </w:rPr>
        <w:t>תובע</w:t>
      </w:r>
      <w:r w:rsidR="000D3D0F">
        <w:rPr>
          <w:rtl/>
        </w:rPr>
        <w:t xml:space="preserve"> להוצאת צו הגבלת גישה להוצאת צו לפי חוק זה</w:t>
      </w:r>
      <w:r w:rsidR="000D3D0F">
        <w:rPr>
          <w:rFonts w:hint="cs"/>
          <w:rtl/>
        </w:rPr>
        <w:t xml:space="preserve"> </w:t>
      </w:r>
      <w:r w:rsidR="000D3D0F">
        <w:rPr>
          <w:rtl/>
        </w:rPr>
        <w:t>יזומנו הבעלים או המפעיל של אתר האינטרנט אם ניתן לאתרם בשקידה סבירה</w:t>
      </w:r>
      <w:r w:rsidR="00D93740" w:rsidRPr="00836ADC">
        <w:rPr>
          <w:rFonts w:hint="cs"/>
          <w:rtl/>
        </w:rPr>
        <w:t xml:space="preserve">, וכן </w:t>
      </w:r>
      <w:r w:rsidR="000D3D0F" w:rsidRPr="00836ADC">
        <w:rPr>
          <w:rtl/>
        </w:rPr>
        <w:t>ספק</w:t>
      </w:r>
      <w:r w:rsidR="000D3D0F">
        <w:rPr>
          <w:rtl/>
        </w:rPr>
        <w:t xml:space="preserve"> הגישה לאינטרנט או ספק שירות האיתור האינטרנטי הנוגעים בדבר</w:t>
      </w:r>
      <w:r w:rsidR="000D3D0F">
        <w:rPr>
          <w:rFonts w:hint="cs"/>
          <w:rtl/>
        </w:rPr>
        <w:t xml:space="preserve"> </w:t>
      </w:r>
      <w:r w:rsidR="000D3D0F">
        <w:rPr>
          <w:rtl/>
        </w:rPr>
        <w:t>והבעלים או המפעיל של השרת שבו מאוחסן האתר נושא הבקשה, ככל שהשרת</w:t>
      </w:r>
      <w:r w:rsidR="000D3D0F">
        <w:rPr>
          <w:rFonts w:hint="cs"/>
          <w:rtl/>
        </w:rPr>
        <w:t xml:space="preserve"> </w:t>
      </w:r>
      <w:r w:rsidR="000D3D0F">
        <w:rPr>
          <w:rtl/>
        </w:rPr>
        <w:t>נמצא בישראל.</w:t>
      </w:r>
      <w:r w:rsidR="00DB3B94">
        <w:rPr>
          <w:rFonts w:hint="cs"/>
          <w:rtl/>
        </w:rPr>
        <w:t xml:space="preserve"> </w:t>
      </w:r>
      <w:r w:rsidR="00DB3B94" w:rsidRPr="002158F0">
        <w:rPr>
          <w:rFonts w:hint="cs"/>
          <w:highlight w:val="yellow"/>
          <w:rtl/>
        </w:rPr>
        <w:t>אם לא ניתן לאתר</w:t>
      </w:r>
      <w:r w:rsidR="00DB3B94">
        <w:rPr>
          <w:rFonts w:hint="cs"/>
          <w:highlight w:val="yellow"/>
          <w:rtl/>
        </w:rPr>
        <w:t xml:space="preserve"> את הבעלים או המפעיל כאמור, ויוכח לבית המשפט כי היה ניסיון לאתרם כאמור, יוזמן לדיון העותר הציבורי. "עותר ציבורי" בסעיף זה </w:t>
      </w:r>
      <w:r w:rsidR="00DB3B94">
        <w:rPr>
          <w:highlight w:val="yellow"/>
          <w:rtl/>
        </w:rPr>
        <w:t>–</w:t>
      </w:r>
      <w:r w:rsidR="00DB3B94">
        <w:rPr>
          <w:rFonts w:hint="cs"/>
          <w:highlight w:val="yellow"/>
          <w:rtl/>
        </w:rPr>
        <w:t xml:space="preserve"> איגוד האינטרנט הישראלי שהוקם מכוח ______</w:t>
      </w:r>
      <w:r w:rsidR="00DB3B94">
        <w:rPr>
          <w:rFonts w:hint="cs"/>
          <w:rtl/>
        </w:rPr>
        <w:t>.</w:t>
      </w:r>
    </w:p>
    <w:p w14:paraId="7A79BAFD" w14:textId="77777777" w:rsidR="00081B16" w:rsidRDefault="00081B16" w:rsidP="00081B16">
      <w:pPr>
        <w:pStyle w:val="3"/>
        <w:rPr>
          <w:rtl/>
        </w:rPr>
      </w:pPr>
      <w:r>
        <w:rPr>
          <w:rFonts w:hint="cs"/>
          <w:rtl/>
        </w:rPr>
        <w:t xml:space="preserve">הגבלת השימוש בראיות שאינן קבילות וראיות חסויות </w:t>
      </w:r>
    </w:p>
    <w:p w14:paraId="59591572" w14:textId="77777777" w:rsidR="00A02F09" w:rsidRDefault="00081B16" w:rsidP="00A02F09">
      <w:pPr>
        <w:pStyle w:val="ac"/>
        <w:numPr>
          <w:ilvl w:val="0"/>
          <w:numId w:val="3"/>
        </w:numPr>
      </w:pPr>
      <w:r>
        <w:rPr>
          <w:rFonts w:hint="cs"/>
          <w:rtl/>
        </w:rPr>
        <w:t xml:space="preserve">לא ברור מדוע נדרש שימוש בראיות שאינן קבילות במשפט </w:t>
      </w:r>
      <w:r w:rsidR="00847114">
        <w:rPr>
          <w:rFonts w:hint="cs"/>
          <w:rtl/>
        </w:rPr>
        <w:t xml:space="preserve">או בראיות חסויות, </w:t>
      </w:r>
      <w:r>
        <w:rPr>
          <w:rFonts w:hint="cs"/>
          <w:rtl/>
        </w:rPr>
        <w:t xml:space="preserve">לשם החלטה בדיון על הוצאת צו. ככל שמדובר בראיות מודיעיניות, </w:t>
      </w:r>
      <w:r w:rsidR="00D76DF7">
        <w:rPr>
          <w:rFonts w:hint="cs"/>
          <w:rtl/>
        </w:rPr>
        <w:t xml:space="preserve">בעדויות שמיעה, או בעדויות ממקורות חסויים, </w:t>
      </w:r>
      <w:r>
        <w:rPr>
          <w:rFonts w:hint="cs"/>
          <w:rtl/>
        </w:rPr>
        <w:t>הרי שלא ראוי להגביל את הזכות לחופש הביטוי ולחופש הגישה למידע בשל ראיות מודיעיניות חסויות שאינן מוצגות באופן פומבי</w:t>
      </w:r>
      <w:r w:rsidR="00180FBA">
        <w:rPr>
          <w:rFonts w:hint="cs"/>
          <w:rtl/>
        </w:rPr>
        <w:t xml:space="preserve"> לציבור</w:t>
      </w:r>
      <w:r>
        <w:rPr>
          <w:rFonts w:hint="cs"/>
          <w:rtl/>
        </w:rPr>
        <w:t>. ייתכן שניתן להשתמש בראיות מסוג זה כאשר מדובר ב</w:t>
      </w:r>
      <w:r w:rsidR="007F26F1">
        <w:rPr>
          <w:rFonts w:hint="cs"/>
          <w:rtl/>
        </w:rPr>
        <w:t xml:space="preserve">צו </w:t>
      </w:r>
      <w:r>
        <w:rPr>
          <w:rFonts w:hint="cs"/>
          <w:rtl/>
        </w:rPr>
        <w:t>מעצר,</w:t>
      </w:r>
      <w:r w:rsidR="00180FBA">
        <w:rPr>
          <w:rStyle w:val="ab"/>
          <w:rtl/>
        </w:rPr>
        <w:footnoteReference w:id="14"/>
      </w:r>
      <w:r>
        <w:rPr>
          <w:rFonts w:hint="cs"/>
          <w:rtl/>
        </w:rPr>
        <w:t xml:space="preserve"> </w:t>
      </w:r>
      <w:r w:rsidR="00BB2DF2">
        <w:rPr>
          <w:rFonts w:hint="cs"/>
          <w:rtl/>
        </w:rPr>
        <w:t xml:space="preserve">או </w:t>
      </w:r>
      <w:r>
        <w:rPr>
          <w:rFonts w:hint="cs"/>
          <w:rtl/>
        </w:rPr>
        <w:t xml:space="preserve"> </w:t>
      </w:r>
      <w:r w:rsidR="00BB2DF2">
        <w:rPr>
          <w:rFonts w:hint="cs"/>
          <w:rtl/>
        </w:rPr>
        <w:t xml:space="preserve">בדיון להוצאת </w:t>
      </w:r>
      <w:r>
        <w:rPr>
          <w:rFonts w:hint="cs"/>
          <w:rtl/>
        </w:rPr>
        <w:t>צו להגבלת שימוש במקום (פיזי).</w:t>
      </w:r>
      <w:r>
        <w:rPr>
          <w:rStyle w:val="ab"/>
          <w:rtl/>
        </w:rPr>
        <w:footnoteReference w:id="15"/>
      </w:r>
      <w:r w:rsidR="00A203C3">
        <w:rPr>
          <w:rFonts w:hint="cs"/>
          <w:rtl/>
        </w:rPr>
        <w:t xml:space="preserve"> צווים </w:t>
      </w:r>
      <w:r w:rsidR="007F26F1">
        <w:rPr>
          <w:rFonts w:hint="cs"/>
          <w:rtl/>
        </w:rPr>
        <w:t xml:space="preserve">אלה </w:t>
      </w:r>
      <w:r w:rsidR="00A203C3">
        <w:rPr>
          <w:rFonts w:hint="cs"/>
          <w:rtl/>
        </w:rPr>
        <w:t>מוגבלים מעצם טבעם בזמן</w:t>
      </w:r>
      <w:r w:rsidR="007F26F1">
        <w:rPr>
          <w:rFonts w:hint="cs"/>
          <w:rtl/>
        </w:rPr>
        <w:t xml:space="preserve">, והם קשורים בדרך כלל </w:t>
      </w:r>
      <w:r w:rsidR="00DB748D">
        <w:rPr>
          <w:rFonts w:hint="cs"/>
          <w:rtl/>
        </w:rPr>
        <w:t>ל</w:t>
      </w:r>
      <w:r w:rsidR="007F26F1">
        <w:rPr>
          <w:rFonts w:hint="cs"/>
          <w:rtl/>
        </w:rPr>
        <w:t>חקירה פלילית מתנהלת</w:t>
      </w:r>
      <w:r w:rsidR="00A203C3">
        <w:rPr>
          <w:rFonts w:hint="cs"/>
          <w:rtl/>
        </w:rPr>
        <w:t>.</w:t>
      </w:r>
      <w:r w:rsidR="007F26F1">
        <w:rPr>
          <w:rStyle w:val="ab"/>
          <w:rtl/>
        </w:rPr>
        <w:footnoteReference w:id="16"/>
      </w:r>
      <w:r w:rsidR="00A203C3">
        <w:rPr>
          <w:rFonts w:hint="cs"/>
          <w:rtl/>
        </w:rPr>
        <w:t xml:space="preserve"> </w:t>
      </w:r>
      <w:r w:rsidR="00DB748D">
        <w:rPr>
          <w:rFonts w:hint="cs"/>
          <w:rtl/>
        </w:rPr>
        <w:t xml:space="preserve">לפיכך, ניתן לטעון שחשיפתן של ראיות מסוימות עשוי לפגוע בהמשך החקירה. לעומת זאת, </w:t>
      </w:r>
      <w:r w:rsidR="00A203C3">
        <w:rPr>
          <w:rFonts w:hint="cs"/>
          <w:rtl/>
        </w:rPr>
        <w:t>כאשר מדובר בחסימת גישה לאתר</w:t>
      </w:r>
      <w:r w:rsidR="00DB748D">
        <w:rPr>
          <w:rFonts w:hint="cs"/>
          <w:rtl/>
        </w:rPr>
        <w:t>, לא מתקיימת בהכרח חקירה פלילית הנוגעת לאתר האינטרנט.</w:t>
      </w:r>
    </w:p>
    <w:p w14:paraId="5164AAE1" w14:textId="0A37AC66" w:rsidR="00DB748D" w:rsidRDefault="00A02F09" w:rsidP="00A02F09">
      <w:pPr>
        <w:pStyle w:val="ac"/>
        <w:numPr>
          <w:ilvl w:val="0"/>
          <w:numId w:val="3"/>
        </w:numPr>
      </w:pPr>
      <w:r>
        <w:rPr>
          <w:rFonts w:hint="cs"/>
          <w:rtl/>
        </w:rPr>
        <w:t>לפיכך, מוצע לשנות את סעיף 3(ה) לנוסח המעודכן של הצעת החוק:</w:t>
      </w:r>
    </w:p>
    <w:p w14:paraId="14DD6F78" w14:textId="6946B814" w:rsidR="00A02F09" w:rsidRDefault="00A02F09" w:rsidP="00D93740">
      <w:pPr>
        <w:pStyle w:val="af5"/>
      </w:pPr>
      <w:r>
        <w:rPr>
          <w:rFonts w:hint="cs"/>
          <w:rtl/>
        </w:rPr>
        <w:lastRenderedPageBreak/>
        <w:t>3. (ה) לשם החלטתו בבקשה רשאי השופט להיזקק לראיות אף אם אינן קבילות במשפט</w:t>
      </w:r>
      <w:r w:rsidR="00D93740" w:rsidRPr="001B71A9">
        <w:rPr>
          <w:rFonts w:hint="cs"/>
          <w:highlight w:val="yellow"/>
          <w:rtl/>
        </w:rPr>
        <w:t>, אם הדבר נחוץ לצרכי חקירה</w:t>
      </w:r>
      <w:r w:rsidR="00D93740">
        <w:rPr>
          <w:rFonts w:hint="cs"/>
          <w:highlight w:val="yellow"/>
          <w:rtl/>
        </w:rPr>
        <w:t xml:space="preserve"> המתנהלת בנוגע ל</w:t>
      </w:r>
      <w:r w:rsidR="00E1194A">
        <w:rPr>
          <w:rFonts w:hint="cs"/>
          <w:highlight w:val="yellow"/>
          <w:rtl/>
        </w:rPr>
        <w:t xml:space="preserve">חשד לקיום </w:t>
      </w:r>
      <w:r w:rsidR="00D93740">
        <w:rPr>
          <w:rFonts w:hint="cs"/>
          <w:highlight w:val="yellow"/>
          <w:rtl/>
        </w:rPr>
        <w:t>עבירה המתבצעת באמצעות פעילות האתר</w:t>
      </w:r>
      <w:r w:rsidR="00D93740" w:rsidRPr="001B71A9">
        <w:rPr>
          <w:rFonts w:hint="cs"/>
          <w:highlight w:val="yellow"/>
          <w:rtl/>
        </w:rPr>
        <w:t xml:space="preserve"> / </w:t>
      </w:r>
      <w:r w:rsidR="00E1194A">
        <w:rPr>
          <w:rFonts w:hint="cs"/>
          <w:highlight w:val="yellow"/>
          <w:rtl/>
        </w:rPr>
        <w:t>מטעמים מיוחדים</w:t>
      </w:r>
      <w:r w:rsidR="00D93740" w:rsidRPr="001B71A9">
        <w:rPr>
          <w:rFonts w:hint="cs"/>
          <w:highlight w:val="yellow"/>
          <w:rtl/>
        </w:rPr>
        <w:t xml:space="preserve"> שיפורטו בהחלטה</w:t>
      </w:r>
      <w:r>
        <w:rPr>
          <w:rFonts w:hint="cs"/>
          <w:rtl/>
        </w:rPr>
        <w:t>.</w:t>
      </w:r>
    </w:p>
    <w:p w14:paraId="0E09FABB" w14:textId="1464544D" w:rsidR="00A02F09" w:rsidRDefault="003F27D1" w:rsidP="00B342DC">
      <w:pPr>
        <w:pStyle w:val="ac"/>
        <w:numPr>
          <w:ilvl w:val="0"/>
          <w:numId w:val="3"/>
        </w:numPr>
      </w:pPr>
      <w:r>
        <w:rPr>
          <w:rFonts w:hint="cs"/>
          <w:rtl/>
        </w:rPr>
        <w:t>באופן דומה, מוצע לשנות את סעיף 5(ב) לנוסח המוצע של הצעת החוק</w:t>
      </w:r>
      <w:r w:rsidR="00DA5826">
        <w:rPr>
          <w:rFonts w:hint="cs"/>
          <w:rtl/>
        </w:rPr>
        <w:t>, ולשנות את ההתייחסות ל"אינטרס ציבורי חשוב". מניעת פרסום או מניעת גישה לאתר אינטרנט אמורה להתבצע רק במקרים של ודאות קרובה לפגיעה ב</w:t>
      </w:r>
      <w:r w:rsidR="00B342DC">
        <w:rPr>
          <w:rFonts w:hint="cs"/>
          <w:rtl/>
        </w:rPr>
        <w:t>שלום הציבור</w:t>
      </w:r>
      <w:r>
        <w:rPr>
          <w:rFonts w:hint="cs"/>
          <w:rtl/>
        </w:rPr>
        <w:t>:</w:t>
      </w:r>
      <w:r w:rsidR="00B342DC">
        <w:rPr>
          <w:rStyle w:val="ab"/>
          <w:rtl/>
        </w:rPr>
        <w:footnoteReference w:id="17"/>
      </w:r>
    </w:p>
    <w:p w14:paraId="66C30F16" w14:textId="4AEBB928" w:rsidR="00081B16" w:rsidRPr="00917ACA" w:rsidRDefault="003F27D1" w:rsidP="00D93740">
      <w:pPr>
        <w:pStyle w:val="af5"/>
        <w:rPr>
          <w:rtl/>
        </w:rPr>
      </w:pPr>
      <w:r>
        <w:rPr>
          <w:rFonts w:hint="cs"/>
          <w:rtl/>
        </w:rPr>
        <w:t>5. (ב)</w:t>
      </w:r>
      <w:r>
        <w:rPr>
          <w:rtl/>
        </w:rPr>
        <w:t xml:space="preserve"> בית המשפט רשאי להיענות לבקשה כאמור בסעיף קטן (א) ולהסתמך על</w:t>
      </w:r>
      <w:r>
        <w:rPr>
          <w:rFonts w:hint="cs"/>
          <w:rtl/>
        </w:rPr>
        <w:t xml:space="preserve"> </w:t>
      </w:r>
      <w:r>
        <w:rPr>
          <w:rtl/>
        </w:rPr>
        <w:t>החומר החסוי, אם מצא כי גילויו בנוכחות המשיבים עלול לפגוע בחקירה</w:t>
      </w:r>
      <w:r w:rsidR="00D93740">
        <w:rPr>
          <w:rFonts w:hint="cs"/>
          <w:rtl/>
        </w:rPr>
        <w:t xml:space="preserve"> </w:t>
      </w:r>
      <w:r w:rsidR="00D93740" w:rsidRPr="00DA5826">
        <w:rPr>
          <w:rFonts w:hint="cs"/>
          <w:highlight w:val="yellow"/>
          <w:rtl/>
        </w:rPr>
        <w:t xml:space="preserve">[אפשר: או עלול להביא בוודאות קרובה לפגיעה חמורה </w:t>
      </w:r>
      <w:r w:rsidR="00D93740">
        <w:rPr>
          <w:rFonts w:hint="cs"/>
          <w:highlight w:val="yellow"/>
          <w:rtl/>
        </w:rPr>
        <w:t>בשלום</w:t>
      </w:r>
      <w:r w:rsidR="00D93740" w:rsidRPr="00DA5826">
        <w:rPr>
          <w:rFonts w:hint="cs"/>
          <w:highlight w:val="yellow"/>
          <w:rtl/>
        </w:rPr>
        <w:t xml:space="preserve"> הציבור]</w:t>
      </w:r>
      <w:r>
        <w:rPr>
          <w:rtl/>
        </w:rPr>
        <w:t>; החומר החסוי יסומן, יוחזר למבקש לאחר העיון</w:t>
      </w:r>
      <w:r>
        <w:rPr>
          <w:rFonts w:hint="cs"/>
          <w:rtl/>
        </w:rPr>
        <w:t xml:space="preserve"> </w:t>
      </w:r>
      <w:r>
        <w:rPr>
          <w:rtl/>
        </w:rPr>
        <w:t>והדבר יירשם בפרוטוקול.</w:t>
      </w:r>
    </w:p>
    <w:p w14:paraId="6DCFF704" w14:textId="65F631E1" w:rsidR="00C43D7F" w:rsidRDefault="00C43D7F" w:rsidP="00B30B93">
      <w:pPr>
        <w:pStyle w:val="3"/>
        <w:rPr>
          <w:rtl/>
        </w:rPr>
      </w:pPr>
      <w:r>
        <w:rPr>
          <w:rFonts w:hint="cs"/>
          <w:rtl/>
        </w:rPr>
        <w:t>הסדרים להחזר הוצאות לספקי גישה לאינטרנט</w:t>
      </w:r>
      <w:r w:rsidR="00CE600E">
        <w:rPr>
          <w:rFonts w:hint="cs"/>
          <w:rtl/>
        </w:rPr>
        <w:t xml:space="preserve"> ולתאגיד שיתייצב לדיון</w:t>
      </w:r>
    </w:p>
    <w:p w14:paraId="30E46001" w14:textId="32A86AA3" w:rsidR="00CE600E" w:rsidRDefault="00CE600E" w:rsidP="00CE600E">
      <w:pPr>
        <w:pStyle w:val="ac"/>
        <w:numPr>
          <w:ilvl w:val="0"/>
          <w:numId w:val="3"/>
        </w:numPr>
      </w:pPr>
      <w:r>
        <w:rPr>
          <w:rFonts w:hint="cs"/>
          <w:rtl/>
        </w:rPr>
        <w:t xml:space="preserve">מוצע לקבוע </w:t>
      </w:r>
      <w:r w:rsidR="00FB3A47">
        <w:rPr>
          <w:rFonts w:hint="cs"/>
          <w:rtl/>
        </w:rPr>
        <w:t xml:space="preserve">בסעיף 8 לנוסח הצ"ח </w:t>
      </w:r>
      <w:r>
        <w:rPr>
          <w:rFonts w:hint="cs"/>
          <w:rtl/>
        </w:rPr>
        <w:t xml:space="preserve">החזר הוצאות גם לתאגיד העוסק בהגנה על אינטרס ציבור המשתמשים באינטרנט </w:t>
      </w:r>
      <w:r w:rsidR="003A543B">
        <w:rPr>
          <w:rFonts w:hint="cs"/>
          <w:rtl/>
        </w:rPr>
        <w:t xml:space="preserve">וכן לעותר הציבורי </w:t>
      </w:r>
      <w:r>
        <w:rPr>
          <w:rFonts w:hint="cs"/>
          <w:rtl/>
        </w:rPr>
        <w:t>שיתייצב</w:t>
      </w:r>
      <w:r w:rsidR="003A543B">
        <w:rPr>
          <w:rFonts w:hint="cs"/>
          <w:rtl/>
        </w:rPr>
        <w:t>ו</w:t>
      </w:r>
      <w:r>
        <w:rPr>
          <w:rFonts w:hint="cs"/>
          <w:rtl/>
        </w:rPr>
        <w:t xml:space="preserve"> לדיון בעניין צו</w:t>
      </w:r>
      <w:r w:rsidR="00FB3A47">
        <w:rPr>
          <w:rFonts w:hint="cs"/>
          <w:rtl/>
        </w:rPr>
        <w:t>:</w:t>
      </w:r>
    </w:p>
    <w:p w14:paraId="15FEAF7A" w14:textId="77777777" w:rsidR="004D42F0" w:rsidRDefault="00FB3A47" w:rsidP="004D42F0">
      <w:pPr>
        <w:pStyle w:val="af5"/>
        <w:rPr>
          <w:rtl/>
        </w:rPr>
      </w:pPr>
      <w:r>
        <w:rPr>
          <w:rFonts w:hint="cs"/>
          <w:rtl/>
        </w:rPr>
        <w:t xml:space="preserve">8. </w:t>
      </w:r>
      <w:r w:rsidR="004D42F0">
        <w:rPr>
          <w:rFonts w:hint="cs"/>
          <w:rtl/>
        </w:rPr>
        <w:t>(א) ספק גישה לאינטרנט זכאי להחזר הוצאות סבירות בעד ביצוע צו הגבלת גישה לאינטרנט בשיעור שיקבע.</w:t>
      </w:r>
    </w:p>
    <w:p w14:paraId="0B13020C" w14:textId="016D3A3B" w:rsidR="00D943D7" w:rsidRPr="00D943D7" w:rsidRDefault="004D42F0" w:rsidP="004D42F0">
      <w:pPr>
        <w:pStyle w:val="af5"/>
        <w:rPr>
          <w:rtl/>
        </w:rPr>
      </w:pPr>
      <w:r w:rsidRPr="00CD5BDE">
        <w:rPr>
          <w:rFonts w:hint="cs"/>
          <w:highlight w:val="yellow"/>
          <w:rtl/>
        </w:rPr>
        <w:t>(ב) תאגיד רשום שעוסק בהגנה על אינטרס ציבור המשתמשים באינטרנט</w:t>
      </w:r>
      <w:r w:rsidR="009632CA" w:rsidRPr="00CD5BDE">
        <w:rPr>
          <w:rFonts w:hint="cs"/>
          <w:highlight w:val="yellow"/>
          <w:rtl/>
        </w:rPr>
        <w:t>, לרבות העותר הציבורי,</w:t>
      </w:r>
      <w:r w:rsidRPr="00CD5BDE">
        <w:rPr>
          <w:rFonts w:hint="cs"/>
          <w:highlight w:val="yellow"/>
          <w:rtl/>
        </w:rPr>
        <w:t xml:space="preserve"> זכאי להחזר הוצאות משפט, אם התייצב לדיון בעניין צו, לפי </w:t>
      </w:r>
      <w:r w:rsidR="009632CA" w:rsidRPr="00CD5BDE">
        <w:rPr>
          <w:rFonts w:hint="cs"/>
          <w:highlight w:val="yellow"/>
          <w:rtl/>
        </w:rPr>
        <w:t>חוק זה</w:t>
      </w:r>
      <w:r w:rsidRPr="00CD5BDE">
        <w:rPr>
          <w:rFonts w:hint="cs"/>
          <w:highlight w:val="yellow"/>
          <w:rtl/>
        </w:rPr>
        <w:t>.</w:t>
      </w:r>
    </w:p>
    <w:p w14:paraId="706E74A6" w14:textId="57CE9323" w:rsidR="0070318B" w:rsidRDefault="0070318B" w:rsidP="00776520">
      <w:pPr>
        <w:pStyle w:val="3"/>
        <w:rPr>
          <w:rtl/>
        </w:rPr>
      </w:pPr>
      <w:r>
        <w:rPr>
          <w:rFonts w:hint="cs"/>
          <w:rtl/>
        </w:rPr>
        <w:t xml:space="preserve">פרסום </w:t>
      </w:r>
      <w:r w:rsidR="00776520">
        <w:rPr>
          <w:rFonts w:hint="cs"/>
          <w:rtl/>
        </w:rPr>
        <w:t>הבקשה למתן צו, והחלטת בית המשפט</w:t>
      </w:r>
    </w:p>
    <w:p w14:paraId="06AA4B96" w14:textId="29F3F7AD" w:rsidR="00D35B2D" w:rsidRDefault="00B30B93" w:rsidP="00735055">
      <w:pPr>
        <w:rPr>
          <w:rtl/>
        </w:rPr>
      </w:pPr>
      <w:r>
        <w:rPr>
          <w:rFonts w:hint="cs"/>
          <w:rtl/>
        </w:rPr>
        <w:t>בנוסח הצעת החוק נקבע כי תפורסם הודעה בדבר הגשת בקשה למתן צו,</w:t>
      </w:r>
      <w:r w:rsidR="00EA2B5B">
        <w:rPr>
          <w:rStyle w:val="ab"/>
          <w:rtl/>
        </w:rPr>
        <w:footnoteReference w:id="18"/>
      </w:r>
      <w:r>
        <w:rPr>
          <w:rFonts w:hint="cs"/>
          <w:rtl/>
        </w:rPr>
        <w:t xml:space="preserve"> אך לא נקבע </w:t>
      </w:r>
      <w:r w:rsidR="00776520">
        <w:rPr>
          <w:rFonts w:hint="cs"/>
          <w:rtl/>
        </w:rPr>
        <w:t xml:space="preserve">איזה פרטים יפורסמו בהודעה. כמו כן, לא נקבע כי </w:t>
      </w:r>
      <w:r>
        <w:rPr>
          <w:rFonts w:hint="cs"/>
          <w:rtl/>
        </w:rPr>
        <w:t xml:space="preserve">החלטת בית המשפט </w:t>
      </w:r>
      <w:r w:rsidR="00776520">
        <w:rPr>
          <w:rFonts w:hint="cs"/>
          <w:rtl/>
        </w:rPr>
        <w:t>והצו עצמו יפורסמו, אלא רק כי תפורסם הודעה בדבר הגבלת הגישה או הורדת האתר.</w:t>
      </w:r>
      <w:r w:rsidR="00776520">
        <w:rPr>
          <w:rStyle w:val="ab"/>
          <w:rtl/>
        </w:rPr>
        <w:footnoteReference w:id="19"/>
      </w:r>
      <w:r w:rsidR="00A005AF">
        <w:rPr>
          <w:rFonts w:hint="cs"/>
          <w:rtl/>
        </w:rPr>
        <w:t xml:space="preserve"> מוצע לקבוע כי הנימוקים לבקשה יפורסמו לצד ההודעה על הגשת הבקשה. כמו כן, מוצע לקבוע כי נוסח הצו יפורסם, וכי החלטת בית המשפט בנושא תפורסם</w:t>
      </w:r>
      <w:r w:rsidR="00D35B2D">
        <w:rPr>
          <w:rFonts w:hint="cs"/>
          <w:rtl/>
        </w:rPr>
        <w:t>, על נימוקיה</w:t>
      </w:r>
      <w:r w:rsidR="00735055">
        <w:rPr>
          <w:rFonts w:hint="cs"/>
          <w:rtl/>
        </w:rPr>
        <w:t>. כמו כן, יש לוודא כי יפורסמו הודעות גם בעניין צווים להגבלת איתור של אתר (לפי סעיף 2(ג) לנוסח המעודכן של הצעת החוק)</w:t>
      </w:r>
      <w:r w:rsidR="00D35B2D">
        <w:rPr>
          <w:rFonts w:hint="cs"/>
          <w:rtl/>
        </w:rPr>
        <w:t>:</w:t>
      </w:r>
    </w:p>
    <w:p w14:paraId="5C91111A" w14:textId="45481179" w:rsidR="00095216" w:rsidRDefault="00095216" w:rsidP="00317C7E">
      <w:pPr>
        <w:pStyle w:val="af5"/>
        <w:rPr>
          <w:rtl/>
        </w:rPr>
      </w:pPr>
      <w:r>
        <w:rPr>
          <w:rFonts w:hint="cs"/>
          <w:rtl/>
        </w:rPr>
        <w:t xml:space="preserve">3. (ב) </w:t>
      </w:r>
      <w:r>
        <w:rPr>
          <w:rtl/>
        </w:rPr>
        <w:t>הודעה בדבר הגשת בקשה למתן צו</w:t>
      </w:r>
      <w:r w:rsidRPr="00D35B2D">
        <w:rPr>
          <w:rFonts w:hint="cs"/>
          <w:highlight w:val="yellow"/>
          <w:rtl/>
        </w:rPr>
        <w:t>, הנימוקים לבקשה</w:t>
      </w:r>
      <w:r w:rsidR="00317C7E">
        <w:rPr>
          <w:rFonts w:hint="cs"/>
          <w:rtl/>
        </w:rPr>
        <w:t>,</w:t>
      </w:r>
      <w:r>
        <w:rPr>
          <w:rtl/>
        </w:rPr>
        <w:t xml:space="preserve"> ומועד הדיון בו תפורסם</w:t>
      </w:r>
      <w:r>
        <w:rPr>
          <w:rFonts w:hint="cs"/>
          <w:rtl/>
        </w:rPr>
        <w:t xml:space="preserve"> </w:t>
      </w:r>
      <w:r>
        <w:rPr>
          <w:rtl/>
        </w:rPr>
        <w:t>באתרי האינטרנט של משרד המשפטים ומשטרת ישראל;</w:t>
      </w:r>
    </w:p>
    <w:p w14:paraId="1B57F956" w14:textId="502B0521" w:rsidR="00D35B2D" w:rsidRPr="00D35B2D" w:rsidRDefault="00095216" w:rsidP="00317C7E">
      <w:pPr>
        <w:pStyle w:val="af5"/>
        <w:rPr>
          <w:rtl/>
        </w:rPr>
      </w:pPr>
      <w:r>
        <w:rPr>
          <w:rFonts w:hint="cs"/>
          <w:rtl/>
        </w:rPr>
        <w:t xml:space="preserve">3. (ז) </w:t>
      </w:r>
      <w:r>
        <w:rPr>
          <w:rtl/>
        </w:rPr>
        <w:t>הודעה בדבר הגבלת הגישה</w:t>
      </w:r>
      <w:r w:rsidR="00317C7E">
        <w:rPr>
          <w:rFonts w:hint="cs"/>
          <w:rtl/>
        </w:rPr>
        <w:t>,</w:t>
      </w:r>
      <w:r>
        <w:rPr>
          <w:rtl/>
        </w:rPr>
        <w:t xml:space="preserve"> הורדת האתר, </w:t>
      </w:r>
      <w:r w:rsidR="00317C7E" w:rsidRPr="00317C7E">
        <w:rPr>
          <w:rFonts w:hint="cs"/>
          <w:highlight w:val="yellow"/>
          <w:rtl/>
        </w:rPr>
        <w:t>או הגבלת האיתור,</w:t>
      </w:r>
      <w:r w:rsidR="00317C7E">
        <w:rPr>
          <w:rFonts w:hint="cs"/>
          <w:rtl/>
        </w:rPr>
        <w:t xml:space="preserve"> </w:t>
      </w:r>
      <w:r>
        <w:rPr>
          <w:rtl/>
        </w:rPr>
        <w:t>לפי העניין, תפורסם באתרי</w:t>
      </w:r>
      <w:r>
        <w:rPr>
          <w:rFonts w:hint="cs"/>
          <w:rtl/>
        </w:rPr>
        <w:t xml:space="preserve"> </w:t>
      </w:r>
      <w:r>
        <w:rPr>
          <w:rtl/>
        </w:rPr>
        <w:t>האינטרנט של משרד המשפטים ושל משטרת ישראל</w:t>
      </w:r>
      <w:r w:rsidRPr="00527AEE">
        <w:rPr>
          <w:rFonts w:hint="cs"/>
          <w:highlight w:val="yellow"/>
          <w:rtl/>
        </w:rPr>
        <w:t>, בצמוד לנוסח הצו ולהחלטת בית המשפט בנושא הצו</w:t>
      </w:r>
      <w:r>
        <w:rPr>
          <w:rtl/>
        </w:rPr>
        <w:t>; ספק הגישה לאינטרנט יציג</w:t>
      </w:r>
      <w:r>
        <w:rPr>
          <w:rFonts w:hint="cs"/>
          <w:rtl/>
        </w:rPr>
        <w:t xml:space="preserve"> </w:t>
      </w:r>
      <w:r>
        <w:rPr>
          <w:rtl/>
        </w:rPr>
        <w:t>בכתובת האתר שהגישה אליו הוגבלה כאמור את דבר ההגבלה</w:t>
      </w:r>
      <w:r>
        <w:rPr>
          <w:rFonts w:hint="cs"/>
          <w:rtl/>
        </w:rPr>
        <w:t xml:space="preserve"> </w:t>
      </w:r>
      <w:r w:rsidRPr="00527AEE">
        <w:rPr>
          <w:rFonts w:hint="cs"/>
          <w:highlight w:val="yellow"/>
          <w:rtl/>
        </w:rPr>
        <w:t>וקישור לנוסח הצו ולהחלטת בית המשפט</w:t>
      </w:r>
      <w:r>
        <w:rPr>
          <w:rFonts w:hint="cs"/>
          <w:rtl/>
        </w:rPr>
        <w:t>.</w:t>
      </w:r>
    </w:p>
    <w:p w14:paraId="46D5153E" w14:textId="77777777" w:rsidR="00857E03" w:rsidRDefault="00857E03" w:rsidP="00471B5C">
      <w:pPr>
        <w:pStyle w:val="3"/>
      </w:pPr>
    </w:p>
    <w:p w14:paraId="3191D4D2" w14:textId="77777777" w:rsidR="00471B5C" w:rsidRDefault="00471B5C" w:rsidP="00471B5C">
      <w:pPr>
        <w:pStyle w:val="3"/>
        <w:rPr>
          <w:rtl/>
        </w:rPr>
      </w:pPr>
      <w:r>
        <w:rPr>
          <w:rFonts w:hint="cs"/>
          <w:rtl/>
        </w:rPr>
        <w:t>הסרת החסימה לאור שינוי תוכן האתר</w:t>
      </w:r>
    </w:p>
    <w:p w14:paraId="429E55E7" w14:textId="62D88F9E" w:rsidR="00471B5C" w:rsidRDefault="00471B5C" w:rsidP="00471B5C">
      <w:pPr>
        <w:rPr>
          <w:rtl/>
        </w:rPr>
      </w:pPr>
      <w:r>
        <w:rPr>
          <w:rFonts w:hint="cs"/>
          <w:rtl/>
        </w:rPr>
        <w:t xml:space="preserve">ייתכן מצב בו אתר, לאחר שהוגבלה הגישה אליו, יסיר את התכנים הבעייתיים לכאורה, או מצב בו תימכר כתובת האתר לאחר, שיעלה אליו תכנים אחרים. נראה שיש לאפשר גם במצב זה את הסרת החסימה על מנת שלא ייווצר גם מצב בו כתובות אינטרנט רבות לא </w:t>
      </w:r>
      <w:r w:rsidR="00F930E4">
        <w:rPr>
          <w:rFonts w:hint="cs"/>
          <w:rtl/>
        </w:rPr>
        <w:t xml:space="preserve">תהיינה זמינות </w:t>
      </w:r>
      <w:r>
        <w:rPr>
          <w:rFonts w:hint="cs"/>
          <w:rtl/>
        </w:rPr>
        <w:t>עוד</w:t>
      </w:r>
      <w:r w:rsidR="00F930E4">
        <w:rPr>
          <w:rFonts w:hint="cs"/>
          <w:rtl/>
        </w:rPr>
        <w:t>,</w:t>
      </w:r>
      <w:r>
        <w:rPr>
          <w:rFonts w:hint="cs"/>
          <w:rtl/>
        </w:rPr>
        <w:t xml:space="preserve"> גם אם הבעלים של שם המתחם לא חידש את הרישום עליו. על כן נציע כי בסעיף 4 לחוק יתוסף:</w:t>
      </w:r>
    </w:p>
    <w:p w14:paraId="704E876F" w14:textId="77777777" w:rsidR="00745941" w:rsidRPr="00A865D6" w:rsidRDefault="00745941" w:rsidP="00745941">
      <w:pPr>
        <w:pStyle w:val="af5"/>
        <w:rPr>
          <w:rtl/>
        </w:rPr>
      </w:pPr>
      <w:r w:rsidRPr="00745941">
        <w:rPr>
          <w:rFonts w:hint="cs"/>
          <w:highlight w:val="yellow"/>
          <w:rtl/>
        </w:rPr>
        <w:t>4. (ג) בית המשפט שנתן צו לפי חוק זה רשאי לשנות את תנאי הצו או לבטלו לבקשת תובע או מי שרואה עצמו נפגע מן הצו אם יוכח כי הסיבות בגינן ניתן הצו אינן מתקיימות עוד.</w:t>
      </w:r>
      <w:r>
        <w:rPr>
          <w:rFonts w:hint="cs"/>
          <w:rtl/>
        </w:rPr>
        <w:t xml:space="preserve">   </w:t>
      </w:r>
    </w:p>
    <w:p w14:paraId="290A8B8C" w14:textId="77777777" w:rsidR="00745941" w:rsidRDefault="00745941" w:rsidP="00471B5C">
      <w:pPr>
        <w:rPr>
          <w:rtl/>
        </w:rPr>
      </w:pPr>
    </w:p>
    <w:p w14:paraId="755D4286" w14:textId="2D96E93D" w:rsidR="004F65A4" w:rsidRDefault="004F65A4" w:rsidP="007E3EB3">
      <w:pPr>
        <w:pStyle w:val="3"/>
        <w:rPr>
          <w:rtl/>
        </w:rPr>
      </w:pPr>
      <w:r>
        <w:rPr>
          <w:rFonts w:hint="cs"/>
          <w:rtl/>
        </w:rPr>
        <w:t xml:space="preserve">דיווח </w:t>
      </w:r>
      <w:r w:rsidR="007E3EB3">
        <w:rPr>
          <w:rFonts w:hint="cs"/>
          <w:rtl/>
        </w:rPr>
        <w:t xml:space="preserve">שנתי </w:t>
      </w:r>
      <w:r>
        <w:rPr>
          <w:rFonts w:hint="cs"/>
          <w:rtl/>
        </w:rPr>
        <w:t>לוועדה</w:t>
      </w:r>
      <w:r w:rsidR="009E0825">
        <w:rPr>
          <w:rFonts w:hint="cs"/>
          <w:rtl/>
        </w:rPr>
        <w:t xml:space="preserve"> ודיווח יזום שוטף לציבור</w:t>
      </w:r>
    </w:p>
    <w:p w14:paraId="15CDFA21" w14:textId="34523F2C" w:rsidR="004F65A4" w:rsidRDefault="007E3EB3" w:rsidP="00166D07">
      <w:pPr>
        <w:rPr>
          <w:rtl/>
        </w:rPr>
      </w:pPr>
      <w:r>
        <w:rPr>
          <w:rFonts w:hint="cs"/>
          <w:rtl/>
        </w:rPr>
        <w:t>בנוסח המעודכן להצעת החוק מוצע לבקש דיווח לוועדה אחת לשנה אודות הבקשות שהוגשו</w:t>
      </w:r>
      <w:r w:rsidR="004F65A4">
        <w:rPr>
          <w:rFonts w:hint="cs"/>
          <w:rtl/>
        </w:rPr>
        <w:t>.</w:t>
      </w:r>
      <w:r w:rsidR="00FD549B">
        <w:rPr>
          <w:rFonts w:hint="cs"/>
          <w:rtl/>
        </w:rPr>
        <w:t xml:space="preserve"> אנו מציעים ל</w:t>
      </w:r>
      <w:r w:rsidR="00BE7694">
        <w:rPr>
          <w:rFonts w:hint="cs"/>
          <w:rtl/>
        </w:rPr>
        <w:t>פרט מה נדרש במסגרת הדיווח</w:t>
      </w:r>
      <w:r w:rsidR="00166D07">
        <w:rPr>
          <w:rFonts w:hint="cs"/>
          <w:rtl/>
        </w:rPr>
        <w:t xml:space="preserve"> </w:t>
      </w:r>
      <w:r w:rsidR="00166D07">
        <w:rPr>
          <w:rtl/>
        </w:rPr>
        <w:t>–</w:t>
      </w:r>
      <w:r w:rsidR="00166D07">
        <w:rPr>
          <w:rFonts w:hint="cs"/>
          <w:rtl/>
        </w:rPr>
        <w:t xml:space="preserve"> פירוט מלא של הבקשות שהוגשו, נימוקיהן, </w:t>
      </w:r>
      <w:r w:rsidR="007C7C93">
        <w:rPr>
          <w:rFonts w:hint="cs"/>
          <w:rtl/>
        </w:rPr>
        <w:t>והחלטות בית המשפט בעניינן.</w:t>
      </w:r>
    </w:p>
    <w:p w14:paraId="524E40F7" w14:textId="73BACF76" w:rsidR="009E0825" w:rsidRDefault="009E0825" w:rsidP="00E53236">
      <w:pPr>
        <w:rPr>
          <w:rtl/>
        </w:rPr>
      </w:pPr>
      <w:r>
        <w:rPr>
          <w:rFonts w:hint="cs"/>
          <w:rtl/>
        </w:rPr>
        <w:t xml:space="preserve">כמו כן </w:t>
      </w:r>
      <w:r w:rsidR="00E53236">
        <w:rPr>
          <w:rFonts w:hint="cs"/>
          <w:rtl/>
        </w:rPr>
        <w:t xml:space="preserve">אנו מציעים </w:t>
      </w:r>
      <w:r w:rsidR="00C3673A">
        <w:rPr>
          <w:rFonts w:hint="cs"/>
          <w:rtl/>
        </w:rPr>
        <w:t xml:space="preserve">לקבוע </w:t>
      </w:r>
      <w:r w:rsidR="00E53236">
        <w:rPr>
          <w:rFonts w:hint="cs"/>
          <w:rtl/>
        </w:rPr>
        <w:t xml:space="preserve">חובת </w:t>
      </w:r>
      <w:r w:rsidR="00C3673A">
        <w:rPr>
          <w:rFonts w:hint="cs"/>
          <w:rtl/>
        </w:rPr>
        <w:t xml:space="preserve">דיווח </w:t>
      </w:r>
      <w:r w:rsidR="00C3673A" w:rsidRPr="00C3673A">
        <w:rPr>
          <w:rtl/>
        </w:rPr>
        <w:t xml:space="preserve">שוטף </w:t>
      </w:r>
      <w:r w:rsidR="00E53236">
        <w:rPr>
          <w:rFonts w:hint="cs"/>
          <w:rtl/>
        </w:rPr>
        <w:t xml:space="preserve">פומבי לכלל הציבור, אחת לחודש, </w:t>
      </w:r>
      <w:r w:rsidR="00C3673A">
        <w:rPr>
          <w:rFonts w:hint="cs"/>
          <w:rtl/>
        </w:rPr>
        <w:t>ע</w:t>
      </w:r>
      <w:r w:rsidR="00C3673A" w:rsidRPr="00C3673A">
        <w:rPr>
          <w:rtl/>
        </w:rPr>
        <w:t>ל הצווים הניתנים</w:t>
      </w:r>
      <w:r w:rsidR="00E53236">
        <w:rPr>
          <w:rFonts w:hint="cs"/>
          <w:rtl/>
        </w:rPr>
        <w:t xml:space="preserve"> </w:t>
      </w:r>
      <w:r w:rsidR="00E53236">
        <w:rPr>
          <w:rtl/>
        </w:rPr>
        <w:t>–</w:t>
      </w:r>
      <w:r w:rsidR="00E53236">
        <w:rPr>
          <w:rFonts w:hint="cs"/>
          <w:rtl/>
        </w:rPr>
        <w:t xml:space="preserve"> </w:t>
      </w:r>
      <w:r w:rsidR="00C3673A" w:rsidRPr="00C3673A">
        <w:rPr>
          <w:rtl/>
        </w:rPr>
        <w:t xml:space="preserve">על </w:t>
      </w:r>
      <w:r w:rsidR="00E53236">
        <w:rPr>
          <w:rFonts w:hint="cs"/>
          <w:rtl/>
        </w:rPr>
        <w:t xml:space="preserve">הבקשות שהוגשו ונימוקיהן, החלטות בית המשפט וצווים שהוצאו. </w:t>
      </w:r>
    </w:p>
    <w:p w14:paraId="006DC327" w14:textId="280CE23B" w:rsidR="00C3673A" w:rsidRDefault="00C3673A" w:rsidP="00C3673A">
      <w:pPr>
        <w:pStyle w:val="3"/>
      </w:pPr>
      <w:r>
        <w:rPr>
          <w:rFonts w:hint="cs"/>
          <w:rtl/>
        </w:rPr>
        <w:t>הערות כלליות</w:t>
      </w:r>
    </w:p>
    <w:p w14:paraId="0DE46199" w14:textId="06DEBBF6" w:rsidR="00C3673A" w:rsidRDefault="00C3673A" w:rsidP="000B4DE7">
      <w:pPr>
        <w:rPr>
          <w:rtl/>
        </w:rPr>
      </w:pPr>
      <w:r>
        <w:rPr>
          <w:rFonts w:hint="cs"/>
          <w:rtl/>
        </w:rPr>
        <w:t xml:space="preserve">נעיר כי בכל הנוגע להגדרת </w:t>
      </w:r>
      <w:r w:rsidR="000B4DE7">
        <w:rPr>
          <w:rFonts w:hint="cs"/>
          <w:rtl/>
        </w:rPr>
        <w:t xml:space="preserve">ארגון </w:t>
      </w:r>
      <w:r>
        <w:rPr>
          <w:rFonts w:hint="cs"/>
          <w:rtl/>
        </w:rPr>
        <w:t xml:space="preserve">טרור מוכרז – אנו בעד להשאיר את המילה "מוכרז" בייחוד נוכח העובדה כי ניתן להכריז על ארגון טרור הכרזה זמנית לאור סעיף 4 לחוק המאבק בטרור, ובכך לשמור על האיזון המתבקש והפיקוח הנדרש בעת חסימת האתר. </w:t>
      </w:r>
    </w:p>
    <w:p w14:paraId="0D80E76E" w14:textId="77777777" w:rsidR="00C3673A" w:rsidRDefault="00C3673A" w:rsidP="00C3673A">
      <w:pPr>
        <w:rPr>
          <w:rtl/>
        </w:rPr>
      </w:pPr>
      <w:r>
        <w:rPr>
          <w:rFonts w:hint="cs"/>
          <w:rtl/>
        </w:rPr>
        <w:t xml:space="preserve">כך גם נעיר כי לגבי סעיף 2(ו) המוצע – אנו בעד ביקורת שיפוטית בתוך פרק זמן סביר ולא יאוחר משבוע ימים – על מנת שאם אכן הצו ניתן באופן מגביל מדי – הגבלה זו לא תפגע יתר על המידה באותו האתר. </w:t>
      </w:r>
    </w:p>
    <w:p w14:paraId="253B1275" w14:textId="77777777" w:rsidR="00C3673A" w:rsidRDefault="00C3673A" w:rsidP="00C3673A">
      <w:pPr>
        <w:rPr>
          <w:rtl/>
        </w:rPr>
      </w:pPr>
      <w:r>
        <w:rPr>
          <w:rFonts w:hint="cs"/>
          <w:rtl/>
        </w:rPr>
        <w:t xml:space="preserve">בסעיף 9 להצעת החוק הצענו בדיון האחרון להבהיר כי רק מקבל הצו שלא יקיימו ייחשב בבחינת מפר ולא אדם מן השורה שגולש באינטרנט ומגיע לאתר שהגישה אליו נחסמה לגולשים בישראל. </w:t>
      </w:r>
    </w:p>
    <w:p w14:paraId="663FEA21" w14:textId="77777777" w:rsidR="00C3673A" w:rsidRDefault="00C3673A" w:rsidP="00C3673A">
      <w:pPr>
        <w:rPr>
          <w:rtl/>
        </w:rPr>
      </w:pPr>
      <w:r>
        <w:rPr>
          <w:rFonts w:hint="cs"/>
          <w:rtl/>
        </w:rPr>
        <w:t xml:space="preserve">אנו מקווים כי ההערות שהוערו במהלך הדיון לגבי הסעיפים שנדונו כבר על ידי כבוד הוועדה יילקחו בחשבון ויוכנסו להצעת החוק. </w:t>
      </w:r>
    </w:p>
    <w:p w14:paraId="6493DA6F" w14:textId="77777777" w:rsidR="009B5057" w:rsidRDefault="009B5057" w:rsidP="00166D07">
      <w:pPr>
        <w:rPr>
          <w:rtl/>
        </w:rPr>
      </w:pPr>
    </w:p>
    <w:p w14:paraId="7C36DB38" w14:textId="61C2E1A1" w:rsidR="00E147BB" w:rsidRDefault="00E147BB" w:rsidP="006E36B0">
      <w:pPr>
        <w:ind w:left="3600"/>
        <w:rPr>
          <w:rtl/>
        </w:rPr>
      </w:pPr>
      <w:r>
        <w:rPr>
          <w:rFonts w:hint="cs"/>
          <w:rtl/>
        </w:rPr>
        <w:t>בכבוד רב,</w:t>
      </w:r>
    </w:p>
    <w:p w14:paraId="2F54C2D3" w14:textId="77777777" w:rsidR="00E147BB" w:rsidRDefault="00E147BB" w:rsidP="006E36B0">
      <w:pPr>
        <w:ind w:left="3600"/>
        <w:rPr>
          <w:rtl/>
        </w:rPr>
      </w:pPr>
    </w:p>
    <w:p w14:paraId="0D950569" w14:textId="181D747F" w:rsidR="00E555A9" w:rsidRDefault="00E555A9" w:rsidP="006E36B0">
      <w:pPr>
        <w:ind w:left="3600"/>
        <w:rPr>
          <w:rtl/>
        </w:rPr>
      </w:pPr>
      <w:r>
        <w:rPr>
          <w:rFonts w:hint="cs"/>
          <w:rtl/>
        </w:rPr>
        <w:t>איגוד האינטרנט הישראלי</w:t>
      </w:r>
    </w:p>
    <w:p w14:paraId="352F0148" w14:textId="568CCF45" w:rsidR="00E147BB" w:rsidRDefault="00E147BB" w:rsidP="006E36B0">
      <w:pPr>
        <w:ind w:left="3600"/>
        <w:rPr>
          <w:rtl/>
        </w:rPr>
      </w:pPr>
      <w:r>
        <w:rPr>
          <w:rFonts w:hint="cs"/>
          <w:rtl/>
        </w:rPr>
        <w:t>האגודה לזכויות האזרח בישראל</w:t>
      </w:r>
    </w:p>
    <w:p w14:paraId="327F3E7B" w14:textId="566C1DA8" w:rsidR="00E147BB" w:rsidRDefault="00E147BB" w:rsidP="006E36B0">
      <w:pPr>
        <w:ind w:left="3600"/>
        <w:rPr>
          <w:rtl/>
        </w:rPr>
      </w:pPr>
      <w:r>
        <w:rPr>
          <w:rFonts w:hint="cs"/>
          <w:rtl/>
        </w:rPr>
        <w:t>התנועה לחופש המידע</w:t>
      </w:r>
    </w:p>
    <w:p w14:paraId="29B31652" w14:textId="076E58E3" w:rsidR="00E147BB" w:rsidRPr="004F65A4" w:rsidRDefault="00E147BB" w:rsidP="006E36B0">
      <w:pPr>
        <w:ind w:left="3600"/>
      </w:pPr>
      <w:r>
        <w:rPr>
          <w:rFonts w:hint="cs"/>
          <w:rtl/>
        </w:rPr>
        <w:lastRenderedPageBreak/>
        <w:t xml:space="preserve">הקליניקה למשפט וטכנולוגיה </w:t>
      </w:r>
      <w:r>
        <w:rPr>
          <w:rtl/>
        </w:rPr>
        <w:t>–</w:t>
      </w:r>
      <w:r>
        <w:rPr>
          <w:rFonts w:hint="cs"/>
          <w:rtl/>
        </w:rPr>
        <w:t xml:space="preserve"> אוניברסיטת חיפה</w:t>
      </w:r>
    </w:p>
    <w:sectPr w:rsidR="00E147BB" w:rsidRPr="004F65A4" w:rsidSect="00730203">
      <w:footerReference w:type="default" r:id="rId7"/>
      <w:headerReference w:type="first" r:id="rId8"/>
      <w:pgSz w:w="11906" w:h="16838"/>
      <w:pgMar w:top="1440" w:right="1440" w:bottom="1440" w:left="1440" w:header="1134"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DCEDFB" w14:textId="77777777" w:rsidR="0060087C" w:rsidRDefault="0060087C" w:rsidP="002A0D66">
      <w:pPr>
        <w:spacing w:after="0" w:line="240" w:lineRule="auto"/>
      </w:pPr>
      <w:r>
        <w:separator/>
      </w:r>
    </w:p>
  </w:endnote>
  <w:endnote w:type="continuationSeparator" w:id="0">
    <w:p w14:paraId="1C25A039" w14:textId="77777777" w:rsidR="0060087C" w:rsidRDefault="0060087C" w:rsidP="002A0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72321373"/>
      <w:docPartObj>
        <w:docPartGallery w:val="Page Numbers (Bottom of Page)"/>
        <w:docPartUnique/>
      </w:docPartObj>
    </w:sdtPr>
    <w:sdtEndPr>
      <w:rPr>
        <w:noProof/>
      </w:rPr>
    </w:sdtEndPr>
    <w:sdtContent>
      <w:p w14:paraId="0C00CE78" w14:textId="6B105E6D" w:rsidR="002A0D66" w:rsidRDefault="002A0D66">
        <w:pPr>
          <w:pStyle w:val="a9"/>
          <w:jc w:val="center"/>
        </w:pPr>
        <w:r>
          <w:fldChar w:fldCharType="begin"/>
        </w:r>
        <w:r>
          <w:instrText xml:space="preserve"> PAGE   \* MERGEFORMAT </w:instrText>
        </w:r>
        <w:r>
          <w:fldChar w:fldCharType="separate"/>
        </w:r>
        <w:r w:rsidR="00BC0297">
          <w:rPr>
            <w:noProof/>
            <w:rtl/>
          </w:rPr>
          <w:t>7</w:t>
        </w:r>
        <w:r>
          <w:rPr>
            <w:noProof/>
          </w:rPr>
          <w:fldChar w:fldCharType="end"/>
        </w:r>
      </w:p>
    </w:sdtContent>
  </w:sdt>
  <w:p w14:paraId="15FD84B3" w14:textId="77777777" w:rsidR="002A0D66" w:rsidRDefault="002A0D6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DFD979" w14:textId="77777777" w:rsidR="0060087C" w:rsidRDefault="0060087C" w:rsidP="002A0D66">
      <w:pPr>
        <w:spacing w:after="0" w:line="240" w:lineRule="auto"/>
      </w:pPr>
      <w:r>
        <w:separator/>
      </w:r>
    </w:p>
  </w:footnote>
  <w:footnote w:type="continuationSeparator" w:id="0">
    <w:p w14:paraId="73710A99" w14:textId="77777777" w:rsidR="0060087C" w:rsidRDefault="0060087C" w:rsidP="002A0D66">
      <w:pPr>
        <w:spacing w:after="0" w:line="240" w:lineRule="auto"/>
      </w:pPr>
      <w:r>
        <w:continuationSeparator/>
      </w:r>
    </w:p>
  </w:footnote>
  <w:footnote w:id="1">
    <w:p w14:paraId="4EF3FB8C" w14:textId="77777777" w:rsidR="00530071" w:rsidRDefault="00530071" w:rsidP="009F7E81">
      <w:pPr>
        <w:pStyle w:val="a5"/>
        <w:rPr>
          <w:rtl/>
        </w:rPr>
      </w:pPr>
      <w:r>
        <w:rPr>
          <w:rStyle w:val="ab"/>
        </w:rPr>
        <w:footnoteRef/>
      </w:r>
      <w:r>
        <w:rPr>
          <w:rtl/>
        </w:rPr>
        <w:t xml:space="preserve"> </w:t>
      </w:r>
      <w:r>
        <w:rPr>
          <w:rtl/>
        </w:rPr>
        <w:tab/>
      </w:r>
      <w:r>
        <w:rPr>
          <w:rFonts w:hint="cs"/>
          <w:rtl/>
        </w:rPr>
        <w:t>העבירות המוגדרות ככאלה שניתן לחסום גישה לאתר אינטרנט כדי למנוע את המשך ביצוען הן</w:t>
      </w:r>
      <w:r w:rsidR="009F7E81">
        <w:rPr>
          <w:rFonts w:hint="cs"/>
          <w:rtl/>
        </w:rPr>
        <w:t>:</w:t>
      </w:r>
      <w:r>
        <w:rPr>
          <w:rFonts w:hint="cs"/>
          <w:rtl/>
        </w:rPr>
        <w:t xml:space="preserve"> פרסום חומר תועבה </w:t>
      </w:r>
      <w:proofErr w:type="spellStart"/>
      <w:r>
        <w:rPr>
          <w:rFonts w:hint="cs"/>
          <w:rtl/>
        </w:rPr>
        <w:t>פדופילי</w:t>
      </w:r>
      <w:proofErr w:type="spellEnd"/>
      <w:r>
        <w:rPr>
          <w:rFonts w:hint="cs"/>
          <w:rtl/>
        </w:rPr>
        <w:t>, ארגון הימורים</w:t>
      </w:r>
      <w:r w:rsidR="00BC705B">
        <w:rPr>
          <w:rFonts w:hint="cs"/>
          <w:rtl/>
        </w:rPr>
        <w:t>, סחר בסמים מסוכנים או בחומרים מסכנים, עבירות של פרסום שירותי זנות והבאת אדם לידי עיסוק בזנות.</w:t>
      </w:r>
      <w:r w:rsidR="000450A5">
        <w:rPr>
          <w:rFonts w:hint="cs"/>
          <w:rtl/>
        </w:rPr>
        <w:t xml:space="preserve"> כמו כן, ניתן יהיה לחסום גישה לאתר אינטרנט של ארגון טרור מוכרז.</w:t>
      </w:r>
      <w:r w:rsidR="004D7790">
        <w:rPr>
          <w:rFonts w:hint="cs"/>
          <w:rtl/>
        </w:rPr>
        <w:t xml:space="preserve"> סעיף 1 לנוסח </w:t>
      </w:r>
      <w:r w:rsidR="009F7E81">
        <w:rPr>
          <w:rFonts w:hint="cs"/>
          <w:rtl/>
        </w:rPr>
        <w:t>המעודכן</w:t>
      </w:r>
      <w:r w:rsidR="004D7790">
        <w:rPr>
          <w:rFonts w:hint="cs"/>
          <w:rtl/>
        </w:rPr>
        <w:t xml:space="preserve"> של הצעת החוק.</w:t>
      </w:r>
    </w:p>
  </w:footnote>
  <w:footnote w:id="2">
    <w:p w14:paraId="30D4A155" w14:textId="77777777" w:rsidR="00631718" w:rsidRDefault="00631718" w:rsidP="00631718">
      <w:pPr>
        <w:pStyle w:val="a5"/>
      </w:pPr>
      <w:r>
        <w:rPr>
          <w:rStyle w:val="ab"/>
        </w:rPr>
        <w:footnoteRef/>
      </w:r>
      <w:r>
        <w:rPr>
          <w:rtl/>
        </w:rPr>
        <w:t xml:space="preserve"> </w:t>
      </w:r>
      <w:r>
        <w:rPr>
          <w:rtl/>
        </w:rPr>
        <w:tab/>
      </w:r>
      <w:r>
        <w:rPr>
          <w:rFonts w:hint="cs"/>
          <w:rtl/>
        </w:rPr>
        <w:t xml:space="preserve">הצעת חוק הגבלת גישה לאתר אינטרנט לשם מניעת ביצוע עבירות, התשע"ז-2017, נוסח מעודכן לקראת הדיון הקבוע ליום 22.5.2017, באתר הכנסת: </w:t>
      </w:r>
      <w:hyperlink r:id="rId1" w:history="1">
        <w:r w:rsidRPr="006A49A7">
          <w:rPr>
            <w:rStyle w:val="Hyperlink"/>
          </w:rPr>
          <w:t>http://fs.knesset.gov.il//20/Committees/20_cs_bg_384084.pdf</w:t>
        </w:r>
      </w:hyperlink>
      <w:r>
        <w:rPr>
          <w:rFonts w:hint="cs"/>
          <w:rtl/>
        </w:rPr>
        <w:t>. להלן: "הנוסח המעודכן של הצעת החוק".</w:t>
      </w:r>
    </w:p>
  </w:footnote>
  <w:footnote w:id="3">
    <w:p w14:paraId="01061024" w14:textId="13DCAB8C" w:rsidR="00D57DAB" w:rsidRPr="00D57DAB" w:rsidRDefault="00D57DAB">
      <w:pPr>
        <w:pStyle w:val="a5"/>
      </w:pPr>
      <w:r>
        <w:rPr>
          <w:rStyle w:val="ab"/>
        </w:rPr>
        <w:footnoteRef/>
      </w:r>
      <w:r>
        <w:rPr>
          <w:rtl/>
        </w:rPr>
        <w:t xml:space="preserve"> </w:t>
      </w:r>
      <w:r>
        <w:rPr>
          <w:rtl/>
        </w:rPr>
        <w:tab/>
      </w:r>
      <w:r>
        <w:rPr>
          <w:rFonts w:hint="cs"/>
          <w:rtl/>
        </w:rPr>
        <w:t xml:space="preserve">"נזכיר כי לאור הפוטנציאל לפגיעה בחופש הביטוי של אתרים "תמימים", ולאור החשיבות הרבה של היכולת של הפרט לקבל מידע דרך האינטרנט ללא סינון תכנים על-ידי המדינה, </w:t>
      </w:r>
      <w:r>
        <w:rPr>
          <w:rFonts w:hint="cs"/>
          <w:u w:val="single"/>
          <w:rtl/>
        </w:rPr>
        <w:t>קביעת מסגרת להגבלות על האינטרנט צריכה להיעשות בזהירות רבה</w:t>
      </w:r>
      <w:r>
        <w:rPr>
          <w:rFonts w:hint="cs"/>
          <w:rtl/>
        </w:rPr>
        <w:t xml:space="preserve">, ועל הוועדה לשקול את התועלת שיש בהגבלה המוצעת אל מול הנזקים הפוטנציאליים" (ההדגשה במקור). </w:t>
      </w:r>
      <w:r>
        <w:rPr>
          <w:rFonts w:hint="cs"/>
          <w:rtl/>
        </w:rPr>
        <w:t xml:space="preserve">נוסח מעודכן של הצעת החוק, לעיל </w:t>
      </w:r>
      <w:proofErr w:type="spellStart"/>
      <w:r>
        <w:rPr>
          <w:rFonts w:hint="cs"/>
          <w:rtl/>
        </w:rPr>
        <w:t>ה"ש</w:t>
      </w:r>
      <w:proofErr w:type="spellEnd"/>
      <w:r>
        <w:rPr>
          <w:rFonts w:hint="cs"/>
          <w:rtl/>
        </w:rPr>
        <w:t xml:space="preserve"> </w:t>
      </w:r>
      <w:r>
        <w:rPr>
          <w:rtl/>
        </w:rPr>
        <w:fldChar w:fldCharType="begin"/>
      </w:r>
      <w:r>
        <w:rPr>
          <w:rtl/>
        </w:rPr>
        <w:instrText xml:space="preserve"> </w:instrText>
      </w:r>
      <w:r>
        <w:rPr>
          <w:rFonts w:hint="cs"/>
        </w:rPr>
        <w:instrText>NOTEREF</w:instrText>
      </w:r>
      <w:r>
        <w:rPr>
          <w:rFonts w:hint="cs"/>
          <w:rtl/>
        </w:rPr>
        <w:instrText xml:space="preserve"> _</w:instrText>
      </w:r>
      <w:r>
        <w:rPr>
          <w:rFonts w:hint="cs"/>
        </w:rPr>
        <w:instrText>Ref485042228 \h</w:instrText>
      </w:r>
      <w:r>
        <w:rPr>
          <w:rtl/>
        </w:rPr>
        <w:instrText xml:space="preserve"> </w:instrText>
      </w:r>
      <w:r>
        <w:rPr>
          <w:rtl/>
        </w:rPr>
      </w:r>
      <w:r>
        <w:rPr>
          <w:rtl/>
        </w:rPr>
        <w:fldChar w:fldCharType="separate"/>
      </w:r>
      <w:r w:rsidR="00857E03">
        <w:rPr>
          <w:rtl/>
        </w:rPr>
        <w:t>2</w:t>
      </w:r>
      <w:r>
        <w:rPr>
          <w:rtl/>
        </w:rPr>
        <w:fldChar w:fldCharType="end"/>
      </w:r>
      <w:r>
        <w:rPr>
          <w:rFonts w:hint="cs"/>
          <w:rtl/>
        </w:rPr>
        <w:t>.</w:t>
      </w:r>
    </w:p>
  </w:footnote>
  <w:footnote w:id="4">
    <w:p w14:paraId="60A5E63B" w14:textId="77777777" w:rsidR="00276998" w:rsidRDefault="00276998" w:rsidP="00101C09">
      <w:pPr>
        <w:pStyle w:val="a5"/>
      </w:pPr>
      <w:r>
        <w:rPr>
          <w:rStyle w:val="ab"/>
        </w:rPr>
        <w:footnoteRef/>
      </w:r>
      <w:r>
        <w:rPr>
          <w:rtl/>
        </w:rPr>
        <w:t xml:space="preserve"> </w:t>
      </w:r>
      <w:r>
        <w:rPr>
          <w:rtl/>
        </w:rPr>
        <w:tab/>
      </w:r>
      <w:r>
        <w:rPr>
          <w:rFonts w:hint="cs"/>
          <w:rtl/>
        </w:rPr>
        <w:t xml:space="preserve">סעיף 2(ב)(2) לנוסח המעודכן של הצעת החוק קובע, למשל: "לא יינתן צו לפי חוק זה המחייב בחינה/סריקה של תוכן/חומר גולשים". זאת, כדי למנוע מצב שבו תתבצע בחינה </w:t>
      </w:r>
      <w:r w:rsidR="00F5475B">
        <w:rPr>
          <w:rFonts w:hint="cs"/>
          <w:rtl/>
        </w:rPr>
        <w:t xml:space="preserve">פרטנית ומקיפה </w:t>
      </w:r>
      <w:r>
        <w:rPr>
          <w:rFonts w:hint="cs"/>
          <w:rtl/>
        </w:rPr>
        <w:t xml:space="preserve">של פרסומים של הגולשים עצמם, או של כתובות האינטרנט </w:t>
      </w:r>
      <w:r w:rsidR="00101C09">
        <w:rPr>
          <w:rFonts w:hint="cs"/>
          <w:rtl/>
        </w:rPr>
        <w:t xml:space="preserve">ודפי האינטרנט </w:t>
      </w:r>
      <w:r>
        <w:rPr>
          <w:rFonts w:hint="cs"/>
          <w:rtl/>
        </w:rPr>
        <w:t>שהם מבקשים לגשת אליהם</w:t>
      </w:r>
      <w:r w:rsidR="00101C09">
        <w:rPr>
          <w:rFonts w:hint="cs"/>
          <w:rtl/>
        </w:rPr>
        <w:t>. ייתכן כי בעתיד יהיו שיטות סינון אחרות, שיפגעו בדרך אחרת בזכות לפרטיות של הגולשים.</w:t>
      </w:r>
    </w:p>
  </w:footnote>
  <w:footnote w:id="5">
    <w:p w14:paraId="08C87D55" w14:textId="797454D9" w:rsidR="0059640B" w:rsidRDefault="0059640B" w:rsidP="0059640B">
      <w:pPr>
        <w:pStyle w:val="a5"/>
        <w:rPr>
          <w:rtl/>
        </w:rPr>
      </w:pPr>
      <w:r>
        <w:rPr>
          <w:rStyle w:val="ab"/>
        </w:rPr>
        <w:footnoteRef/>
      </w:r>
      <w:r>
        <w:rPr>
          <w:rtl/>
        </w:rPr>
        <w:t xml:space="preserve"> </w:t>
      </w:r>
      <w:r>
        <w:rPr>
          <w:rtl/>
        </w:rPr>
        <w:tab/>
      </w:r>
      <w:r w:rsidRPr="0069377D">
        <w:rPr>
          <w:rtl/>
        </w:rPr>
        <w:t>בג</w:t>
      </w:r>
      <w:r>
        <w:rPr>
          <w:rFonts w:hint="cs"/>
          <w:rtl/>
        </w:rPr>
        <w:t>"ץ</w:t>
      </w:r>
      <w:r w:rsidRPr="0069377D">
        <w:rPr>
          <w:rtl/>
        </w:rPr>
        <w:t xml:space="preserve"> 73/53 </w:t>
      </w:r>
      <w:r w:rsidRPr="0069377D">
        <w:rPr>
          <w:b/>
          <w:bCs/>
          <w:rtl/>
        </w:rPr>
        <w:t>חברת "קול העם" בע"מ נ' שר-הפנים</w:t>
      </w:r>
      <w:r>
        <w:rPr>
          <w:rFonts w:hint="cs"/>
          <w:rtl/>
        </w:rPr>
        <w:t xml:space="preserve">, פ"ד </w:t>
      </w:r>
      <w:r w:rsidRPr="0069377D">
        <w:rPr>
          <w:rtl/>
        </w:rPr>
        <w:t>ז(1) 871</w:t>
      </w:r>
      <w:r>
        <w:rPr>
          <w:rFonts w:hint="cs"/>
          <w:rtl/>
        </w:rPr>
        <w:t>, 892</w:t>
      </w:r>
      <w:r w:rsidR="00E3015E">
        <w:rPr>
          <w:rFonts w:hint="cs"/>
          <w:rtl/>
        </w:rPr>
        <w:t xml:space="preserve"> (1953)</w:t>
      </w:r>
      <w:r>
        <w:rPr>
          <w:rFonts w:hint="cs"/>
          <w:rtl/>
        </w:rPr>
        <w:t>.</w:t>
      </w:r>
    </w:p>
  </w:footnote>
  <w:footnote w:id="6">
    <w:p w14:paraId="577E4544" w14:textId="77777777" w:rsidR="00AF3D05" w:rsidRDefault="00AF3D05">
      <w:pPr>
        <w:pStyle w:val="a5"/>
        <w:rPr>
          <w:rtl/>
        </w:rPr>
      </w:pPr>
      <w:r>
        <w:rPr>
          <w:rStyle w:val="ab"/>
        </w:rPr>
        <w:footnoteRef/>
      </w:r>
      <w:r>
        <w:rPr>
          <w:rtl/>
        </w:rPr>
        <w:t xml:space="preserve"> </w:t>
      </w:r>
      <w:r>
        <w:tab/>
      </w:r>
      <w:r>
        <w:rPr>
          <w:rFonts w:hint="cs"/>
          <w:rtl/>
        </w:rPr>
        <w:t>ראו סעיף 8 לנוסח המעודכן של הצעת החוק, המציע לקבוע החזר הוצאות סבירות בעד ביצוע צו הגבלת גישה לאינטרנט. נראה שיש לדאוג גם להחזר הוצאות לספקי הגישה לאינטרנט עבור עצם תחזוקת המערכת שתאפשר את ביצוע הצווים.</w:t>
      </w:r>
    </w:p>
  </w:footnote>
  <w:footnote w:id="7">
    <w:p w14:paraId="22343339" w14:textId="77777777" w:rsidR="001B24AE" w:rsidRDefault="001B24AE" w:rsidP="00A35CCE">
      <w:pPr>
        <w:pStyle w:val="a5"/>
      </w:pPr>
      <w:r>
        <w:rPr>
          <w:rStyle w:val="ab"/>
        </w:rPr>
        <w:footnoteRef/>
      </w:r>
      <w:r>
        <w:rPr>
          <w:rtl/>
        </w:rPr>
        <w:t xml:space="preserve"> </w:t>
      </w:r>
      <w:r>
        <w:rPr>
          <w:rtl/>
        </w:rPr>
        <w:tab/>
      </w:r>
      <w:r>
        <w:rPr>
          <w:rFonts w:hint="cs"/>
          <w:rtl/>
        </w:rPr>
        <w:t xml:space="preserve">ישנה התייחסות בהצעת החוק להסרת אתרי אינטרנט משרת אחסון, אם שרת האחסון ממוקם בישראל. </w:t>
      </w:r>
      <w:r w:rsidR="00587EFF">
        <w:rPr>
          <w:rFonts w:hint="cs"/>
          <w:rtl/>
        </w:rPr>
        <w:t>סעיף 2(ד).</w:t>
      </w:r>
    </w:p>
  </w:footnote>
  <w:footnote w:id="8">
    <w:p w14:paraId="3B58D63E" w14:textId="77391BFA" w:rsidR="0069377D" w:rsidRDefault="0069377D" w:rsidP="003534F6">
      <w:pPr>
        <w:pStyle w:val="a5"/>
        <w:rPr>
          <w:rtl/>
        </w:rPr>
      </w:pPr>
      <w:r>
        <w:rPr>
          <w:rStyle w:val="ab"/>
        </w:rPr>
        <w:footnoteRef/>
      </w:r>
      <w:r>
        <w:rPr>
          <w:rtl/>
        </w:rPr>
        <w:t xml:space="preserve"> </w:t>
      </w:r>
      <w:r>
        <w:rPr>
          <w:rtl/>
        </w:rPr>
        <w:tab/>
      </w:r>
      <w:r>
        <w:rPr>
          <w:rFonts w:hint="cs"/>
          <w:rtl/>
        </w:rPr>
        <w:t xml:space="preserve">על הבעייתיות הגלומה בהפעלת צנזורה מניעתית ראו </w:t>
      </w:r>
      <w:r w:rsidR="003534F6">
        <w:rPr>
          <w:rFonts w:hint="cs"/>
          <w:rtl/>
        </w:rPr>
        <w:t>בג"ץ 73/53</w:t>
      </w:r>
      <w:r w:rsidR="008F3A38">
        <w:rPr>
          <w:rFonts w:hint="cs"/>
          <w:rtl/>
        </w:rPr>
        <w:t xml:space="preserve"> </w:t>
      </w:r>
      <w:r w:rsidRPr="0069377D">
        <w:rPr>
          <w:b/>
          <w:bCs/>
          <w:rtl/>
        </w:rPr>
        <w:t>קול העם</w:t>
      </w:r>
      <w:r w:rsidR="003534F6">
        <w:rPr>
          <w:rFonts w:hint="cs"/>
          <w:rtl/>
        </w:rPr>
        <w:t>,</w:t>
      </w:r>
      <w:r w:rsidR="008F3A38">
        <w:rPr>
          <w:rFonts w:hint="cs"/>
          <w:rtl/>
        </w:rPr>
        <w:t xml:space="preserve"> בעמ' </w:t>
      </w:r>
      <w:r>
        <w:rPr>
          <w:rFonts w:hint="cs"/>
          <w:rtl/>
        </w:rPr>
        <w:t>885.</w:t>
      </w:r>
    </w:p>
  </w:footnote>
  <w:footnote w:id="9">
    <w:p w14:paraId="0BB38177" w14:textId="1573947A" w:rsidR="00800B76" w:rsidRPr="00D67A78" w:rsidRDefault="00800B76" w:rsidP="00D67A78">
      <w:pPr>
        <w:pStyle w:val="a5"/>
        <w:rPr>
          <w:i/>
          <w:iCs/>
          <w:rtl/>
        </w:rPr>
      </w:pPr>
      <w:r>
        <w:rPr>
          <w:rStyle w:val="ab"/>
        </w:rPr>
        <w:footnoteRef/>
      </w:r>
      <w:r>
        <w:rPr>
          <w:rtl/>
        </w:rPr>
        <w:t xml:space="preserve"> </w:t>
      </w:r>
      <w:r>
        <w:tab/>
      </w:r>
      <w:r w:rsidR="00D67A78" w:rsidRPr="00D67A78">
        <w:t xml:space="preserve">Can </w:t>
      </w:r>
      <w:proofErr w:type="spellStart"/>
      <w:r w:rsidR="00D67A78" w:rsidRPr="00D67A78">
        <w:t>Sezer</w:t>
      </w:r>
      <w:proofErr w:type="spellEnd"/>
      <w:r w:rsidR="00D67A78" w:rsidRPr="00D67A78">
        <w:t xml:space="preserve"> </w:t>
      </w:r>
      <w:r w:rsidR="00D67A78">
        <w:t xml:space="preserve">&amp; </w:t>
      </w:r>
      <w:r w:rsidR="00D67A78" w:rsidRPr="00D67A78">
        <w:t>David Dolan</w:t>
      </w:r>
      <w:r w:rsidR="00D67A78">
        <w:t xml:space="preserve">, </w:t>
      </w:r>
      <w:r w:rsidR="00D67A78" w:rsidRPr="00D67A78">
        <w:rPr>
          <w:i/>
          <w:iCs/>
        </w:rPr>
        <w:t>Turkey blocks access to Wikipedia</w:t>
      </w:r>
      <w:r w:rsidR="00D67A78">
        <w:t xml:space="preserve">, </w:t>
      </w:r>
      <w:r w:rsidR="00D67A78">
        <w:rPr>
          <w:smallCaps/>
        </w:rPr>
        <w:t>Reuters</w:t>
      </w:r>
      <w:r w:rsidR="00D67A78">
        <w:t xml:space="preserve">, 29/4/2017, </w:t>
      </w:r>
      <w:hyperlink r:id="rId2" w:history="1">
        <w:r w:rsidR="00D67A78" w:rsidRPr="006A49A7">
          <w:rPr>
            <w:rStyle w:val="Hyperlink"/>
          </w:rPr>
          <w:t>http://www.reuters.com/article/us-turkey-security-internet-wikipedia-idUSKBN17V06Q</w:t>
        </w:r>
      </w:hyperlink>
      <w:proofErr w:type="gramStart"/>
      <w:r w:rsidR="00D67A78">
        <w:rPr>
          <w:rFonts w:hint="cs"/>
          <w:rtl/>
        </w:rPr>
        <w:t>.</w:t>
      </w:r>
      <w:proofErr w:type="gramEnd"/>
      <w:r w:rsidR="00D67A78">
        <w:rPr>
          <w:rFonts w:hint="cs"/>
          <w:rtl/>
        </w:rPr>
        <w:t xml:space="preserve"> </w:t>
      </w:r>
    </w:p>
  </w:footnote>
  <w:footnote w:id="10">
    <w:p w14:paraId="0EFCB9FE" w14:textId="67DD5AC8" w:rsidR="003C2F5A" w:rsidRDefault="003C2F5A" w:rsidP="00ED7669">
      <w:pPr>
        <w:pStyle w:val="a5"/>
        <w:rPr>
          <w:rtl/>
        </w:rPr>
      </w:pPr>
      <w:r>
        <w:rPr>
          <w:rStyle w:val="ab"/>
        </w:rPr>
        <w:footnoteRef/>
      </w:r>
      <w:r>
        <w:rPr>
          <w:rtl/>
        </w:rPr>
        <w:t xml:space="preserve"> </w:t>
      </w:r>
      <w:r>
        <w:rPr>
          <w:rtl/>
        </w:rPr>
        <w:tab/>
      </w:r>
      <w:r>
        <w:rPr>
          <w:rFonts w:hint="cs"/>
          <w:rtl/>
        </w:rPr>
        <w:t xml:space="preserve">ראו </w:t>
      </w:r>
      <w:r w:rsidR="00681DAB">
        <w:rPr>
          <w:rFonts w:hint="cs"/>
          <w:rtl/>
        </w:rPr>
        <w:t>למשל דוגמאות למקרים שבהם נחסמה הגישה לאתר יוטיוב או לתכנים מסוימים בו:</w:t>
      </w:r>
    </w:p>
    <w:p w14:paraId="3946E840" w14:textId="3CEF0D94" w:rsidR="00681DAB" w:rsidRPr="00ED7669" w:rsidRDefault="00ED7669" w:rsidP="00ED7669">
      <w:pPr>
        <w:pStyle w:val="a5"/>
        <w:rPr>
          <w:rtl/>
        </w:rPr>
      </w:pPr>
      <w:r>
        <w:rPr>
          <w:rtl/>
        </w:rPr>
        <w:tab/>
      </w:r>
      <w:proofErr w:type="spellStart"/>
      <w:r w:rsidR="00681DAB">
        <w:t>OpenNet</w:t>
      </w:r>
      <w:proofErr w:type="spellEnd"/>
      <w:r w:rsidR="00681DAB">
        <w:t xml:space="preserve"> </w:t>
      </w:r>
      <w:proofErr w:type="spellStart"/>
      <w:r w:rsidR="00681DAB">
        <w:t>Intiative</w:t>
      </w:r>
      <w:proofErr w:type="spellEnd"/>
      <w:r w:rsidR="00681DAB">
        <w:t xml:space="preserve">, </w:t>
      </w:r>
      <w:r w:rsidR="00681DAB" w:rsidRPr="00681DAB">
        <w:rPr>
          <w:i/>
          <w:iCs/>
        </w:rPr>
        <w:t>YouTube Censored: A Recent History</w:t>
      </w:r>
      <w:r>
        <w:t xml:space="preserve">, </w:t>
      </w:r>
      <w:hyperlink r:id="rId3" w:history="1">
        <w:r w:rsidRPr="0023107A">
          <w:rPr>
            <w:rStyle w:val="Hyperlink"/>
          </w:rPr>
          <w:t>https://opennet.net/youtube-censored-a-recent-history</w:t>
        </w:r>
        <w:r w:rsidRPr="0023107A">
          <w:rPr>
            <w:rStyle w:val="Hyperlink"/>
            <w:rFonts w:hint="cs"/>
            <w:rtl/>
          </w:rPr>
          <w:t>/</w:t>
        </w:r>
      </w:hyperlink>
      <w:r>
        <w:rPr>
          <w:rFonts w:hint="cs"/>
          <w:rtl/>
        </w:rPr>
        <w:t xml:space="preserve"> </w:t>
      </w:r>
    </w:p>
  </w:footnote>
  <w:footnote w:id="11">
    <w:p w14:paraId="715D90C7" w14:textId="318C61B9" w:rsidR="00800B76" w:rsidRPr="003B30F6" w:rsidRDefault="00800B76" w:rsidP="003B30F6">
      <w:pPr>
        <w:pStyle w:val="a5"/>
        <w:rPr>
          <w:rtl/>
        </w:rPr>
      </w:pPr>
      <w:r>
        <w:rPr>
          <w:rStyle w:val="ab"/>
        </w:rPr>
        <w:footnoteRef/>
      </w:r>
      <w:r>
        <w:rPr>
          <w:rtl/>
        </w:rPr>
        <w:t xml:space="preserve"> </w:t>
      </w:r>
      <w:r>
        <w:rPr>
          <w:rtl/>
        </w:rPr>
        <w:tab/>
      </w:r>
      <w:r w:rsidR="003B30F6">
        <w:t xml:space="preserve">Ruth Michaelson, </w:t>
      </w:r>
      <w:r w:rsidR="003B30F6" w:rsidRPr="003B30F6">
        <w:rPr>
          <w:i/>
          <w:iCs/>
        </w:rPr>
        <w:t xml:space="preserve">Egypt blocks access to news websites including Al-Jazeera and </w:t>
      </w:r>
      <w:proofErr w:type="spellStart"/>
      <w:r w:rsidR="003B30F6" w:rsidRPr="003B30F6">
        <w:rPr>
          <w:i/>
          <w:iCs/>
        </w:rPr>
        <w:t>Mada</w:t>
      </w:r>
      <w:proofErr w:type="spellEnd"/>
      <w:r w:rsidR="003B30F6" w:rsidRPr="003B30F6">
        <w:rPr>
          <w:i/>
          <w:iCs/>
        </w:rPr>
        <w:t xml:space="preserve"> Masr</w:t>
      </w:r>
      <w:r w:rsidR="003B30F6">
        <w:t xml:space="preserve">, </w:t>
      </w:r>
      <w:r w:rsidR="003B30F6">
        <w:rPr>
          <w:smallCaps/>
        </w:rPr>
        <w:t>The Guardian, 25</w:t>
      </w:r>
      <w:r w:rsidR="003B30F6">
        <w:t xml:space="preserve">/5/2017, </w:t>
      </w:r>
      <w:hyperlink r:id="rId4" w:history="1">
        <w:r w:rsidR="003B30F6" w:rsidRPr="006A49A7">
          <w:rPr>
            <w:rStyle w:val="Hyperlink"/>
          </w:rPr>
          <w:t>https://www.theguardian.com/world/2017/may/25/egypt-blocks-access-news-websites-al-jazeera-mada-masr-press-freedom</w:t>
        </w:r>
        <w:r w:rsidR="003B30F6" w:rsidRPr="006A49A7">
          <w:rPr>
            <w:rStyle w:val="Hyperlink"/>
            <w:rFonts w:hint="cs"/>
            <w:rtl/>
          </w:rPr>
          <w:t>/</w:t>
        </w:r>
      </w:hyperlink>
      <w:r w:rsidR="003B30F6">
        <w:rPr>
          <w:rFonts w:hint="cs"/>
          <w:rtl/>
        </w:rPr>
        <w:t xml:space="preserve"> </w:t>
      </w:r>
    </w:p>
  </w:footnote>
  <w:footnote w:id="12">
    <w:p w14:paraId="0562B1D4" w14:textId="16CEE749" w:rsidR="00BD08FD" w:rsidRPr="00BD08FD" w:rsidRDefault="00BD08FD" w:rsidP="00AC3928">
      <w:pPr>
        <w:pStyle w:val="a5"/>
        <w:rPr>
          <w:rtl/>
        </w:rPr>
      </w:pPr>
      <w:r>
        <w:rPr>
          <w:rStyle w:val="ab"/>
        </w:rPr>
        <w:footnoteRef/>
      </w:r>
      <w:r>
        <w:rPr>
          <w:rtl/>
        </w:rPr>
        <w:t xml:space="preserve"> </w:t>
      </w:r>
      <w:r>
        <w:rPr>
          <w:rtl/>
        </w:rPr>
        <w:tab/>
      </w:r>
      <w:proofErr w:type="spellStart"/>
      <w:r>
        <w:t>Maayan</w:t>
      </w:r>
      <w:proofErr w:type="spellEnd"/>
      <w:r>
        <w:t xml:space="preserve"> </w:t>
      </w:r>
      <w:proofErr w:type="spellStart"/>
      <w:r>
        <w:t>Perel</w:t>
      </w:r>
      <w:proofErr w:type="spellEnd"/>
      <w:r>
        <w:t xml:space="preserve"> &amp; </w:t>
      </w:r>
      <w:proofErr w:type="spellStart"/>
      <w:r>
        <w:t>Niva</w:t>
      </w:r>
      <w:proofErr w:type="spellEnd"/>
      <w:r>
        <w:t xml:space="preserve"> Elkin-</w:t>
      </w:r>
      <w:proofErr w:type="spellStart"/>
      <w:r>
        <w:t>Koren</w:t>
      </w:r>
      <w:proofErr w:type="spellEnd"/>
      <w:r>
        <w:t xml:space="preserve">, </w:t>
      </w:r>
      <w:r>
        <w:rPr>
          <w:i/>
          <w:iCs/>
        </w:rPr>
        <w:t>Accountability in Algorithmic Copyright Enforcement</w:t>
      </w:r>
      <w:r>
        <w:t xml:space="preserve">, </w:t>
      </w:r>
      <w:r w:rsidRPr="00BD08FD">
        <w:t xml:space="preserve">19 </w:t>
      </w:r>
      <w:r>
        <w:t>S</w:t>
      </w:r>
      <w:r w:rsidRPr="00BD08FD">
        <w:rPr>
          <w:smallCaps/>
        </w:rPr>
        <w:t>tan. Tech. L. Rev.</w:t>
      </w:r>
      <w:r w:rsidRPr="00BD08FD">
        <w:t xml:space="preserve"> 473 (2016)</w:t>
      </w:r>
      <w:r w:rsidR="00AC3928">
        <w:rPr>
          <w:rFonts w:hint="cs"/>
          <w:rtl/>
        </w:rPr>
        <w:t>; מעיין פרל וניבה אלקין-קורן "</w:t>
      </w:r>
      <w:r w:rsidR="00AC3928">
        <w:rPr>
          <w:rtl/>
        </w:rPr>
        <w:t>צווי חסימה: אכיפה מאחורי המסך האלגוריתמי בעקבות תזכיר חוק זכויות יוצרים, התשע"ו – 2016</w:t>
      </w:r>
      <w:r w:rsidR="00AC3928">
        <w:rPr>
          <w:rFonts w:hint="cs"/>
          <w:rtl/>
        </w:rPr>
        <w:t xml:space="preserve">: </w:t>
      </w:r>
      <w:r w:rsidR="00AC3928">
        <w:rPr>
          <w:rtl/>
        </w:rPr>
        <w:t>האם ההסדר המוצע ויישומו הצפוי עתידים לאפשר פיקוח ציבורי מספק?</w:t>
      </w:r>
      <w:r w:rsidR="00AC3928">
        <w:rPr>
          <w:rFonts w:hint="cs"/>
          <w:rtl/>
        </w:rPr>
        <w:t>" (עתיד להתפרסם).</w:t>
      </w:r>
    </w:p>
  </w:footnote>
  <w:footnote w:id="13">
    <w:p w14:paraId="1378163A" w14:textId="77777777" w:rsidR="00CC7D8A" w:rsidRDefault="00A35CCE" w:rsidP="00A00410">
      <w:pPr>
        <w:pStyle w:val="a5"/>
        <w:rPr>
          <w:rtl/>
        </w:rPr>
      </w:pPr>
      <w:r>
        <w:rPr>
          <w:rStyle w:val="ab"/>
        </w:rPr>
        <w:footnoteRef/>
      </w:r>
      <w:r>
        <w:rPr>
          <w:rtl/>
        </w:rPr>
        <w:t xml:space="preserve"> </w:t>
      </w:r>
      <w:r>
        <w:rPr>
          <w:rtl/>
        </w:rPr>
        <w:tab/>
      </w:r>
      <w:r>
        <w:rPr>
          <w:rFonts w:hint="cs"/>
          <w:rtl/>
        </w:rPr>
        <w:t>באופן עקרוני, עמדת</w:t>
      </w:r>
      <w:r w:rsidR="003C058F">
        <w:rPr>
          <w:rFonts w:hint="cs"/>
          <w:rtl/>
        </w:rPr>
        <w:t xml:space="preserve">נו </w:t>
      </w:r>
      <w:r>
        <w:rPr>
          <w:rFonts w:hint="cs"/>
          <w:rtl/>
        </w:rPr>
        <w:t>היא שההסדר המוצע אינו יעיל מבחינה טכנית, ובכך הוא אינו עומד בדרישות המינימום של בחינת המידתיות לפי חוק יסוד: כבוד האדם וחירותו</w:t>
      </w:r>
      <w:r w:rsidR="009452E0">
        <w:rPr>
          <w:rFonts w:hint="cs"/>
          <w:rtl/>
        </w:rPr>
        <w:t>,</w:t>
      </w:r>
      <w:r>
        <w:rPr>
          <w:rFonts w:hint="cs"/>
          <w:rtl/>
        </w:rPr>
        <w:t xml:space="preserve"> מכיוון שהתועלת שתעלה מיישום ההצעה אינה קיימת, או שהיא </w:t>
      </w:r>
      <w:r w:rsidR="005A62DB">
        <w:rPr>
          <w:rFonts w:hint="cs"/>
          <w:rtl/>
        </w:rPr>
        <w:t>שולית, בעוד שהפגיעה בזכויות עלולה להיות רבה</w:t>
      </w:r>
      <w:r>
        <w:rPr>
          <w:rFonts w:hint="cs"/>
          <w:rtl/>
        </w:rPr>
        <w:t xml:space="preserve">. עמדה דומה פורטה בניירות עמדה </w:t>
      </w:r>
      <w:r w:rsidR="009452E0">
        <w:rPr>
          <w:rFonts w:hint="cs"/>
          <w:rtl/>
        </w:rPr>
        <w:t xml:space="preserve">של </w:t>
      </w:r>
      <w:r>
        <w:rPr>
          <w:rFonts w:hint="cs"/>
          <w:rtl/>
        </w:rPr>
        <w:t>ארגוני</w:t>
      </w:r>
      <w:r w:rsidR="009452E0">
        <w:rPr>
          <w:rFonts w:hint="cs"/>
          <w:rtl/>
        </w:rPr>
        <w:t>ם העוסקים בהגנה על חופש הביטוי, למשל:</w:t>
      </w:r>
    </w:p>
    <w:p w14:paraId="5EE676BA" w14:textId="25F61EC6" w:rsidR="00CC7D8A" w:rsidRDefault="009452E0" w:rsidP="00CC7D8A">
      <w:pPr>
        <w:pStyle w:val="a5"/>
        <w:bidi w:val="0"/>
        <w:ind w:right="226"/>
        <w:rPr>
          <w:rtl/>
        </w:rPr>
      </w:pPr>
      <w:r>
        <w:t xml:space="preserve">Article 19, </w:t>
      </w:r>
      <w:r w:rsidRPr="00A00410">
        <w:rPr>
          <w:i/>
          <w:iCs/>
        </w:rPr>
        <w:t>Freedom of Expression Unf</w:t>
      </w:r>
      <w:r w:rsidR="00E9215E" w:rsidRPr="00A00410">
        <w:rPr>
          <w:i/>
          <w:iCs/>
        </w:rPr>
        <w:t>iltered:</w:t>
      </w:r>
      <w:r w:rsidRPr="00A00410">
        <w:rPr>
          <w:i/>
          <w:iCs/>
        </w:rPr>
        <w:t xml:space="preserve"> How blocking and</w:t>
      </w:r>
      <w:r w:rsidR="00E9215E" w:rsidRPr="00A00410">
        <w:rPr>
          <w:i/>
          <w:iCs/>
        </w:rPr>
        <w:t xml:space="preserve"> </w:t>
      </w:r>
      <w:r w:rsidRPr="00A00410">
        <w:rPr>
          <w:i/>
          <w:iCs/>
        </w:rPr>
        <w:t>f</w:t>
      </w:r>
      <w:r w:rsidR="00E9215E" w:rsidRPr="00A00410">
        <w:rPr>
          <w:i/>
          <w:iCs/>
        </w:rPr>
        <w:t xml:space="preserve">iltering affect </w:t>
      </w:r>
      <w:r w:rsidRPr="00A00410">
        <w:rPr>
          <w:i/>
          <w:iCs/>
        </w:rPr>
        <w:t>free speech</w:t>
      </w:r>
      <w:r w:rsidR="00E9215E">
        <w:t>, Dec</w:t>
      </w:r>
      <w:r w:rsidR="00CC7D8A">
        <w:t>.</w:t>
      </w:r>
      <w:r w:rsidR="00E9215E">
        <w:t xml:space="preserve"> 2016, </w:t>
      </w:r>
      <w:hyperlink r:id="rId5" w:history="1">
        <w:r w:rsidR="00E9215E" w:rsidRPr="0023107A">
          <w:rPr>
            <w:rStyle w:val="Hyperlink"/>
          </w:rPr>
          <w:t>https://www.article19.org/data/files/medialibrary/38586/Blocking_and_filtering_final.pdf</w:t>
        </w:r>
      </w:hyperlink>
      <w:r w:rsidR="00E9215E">
        <w:rPr>
          <w:rFonts w:hint="cs"/>
          <w:rtl/>
        </w:rPr>
        <w:t xml:space="preserve">. </w:t>
      </w:r>
    </w:p>
    <w:p w14:paraId="5A1EE52A" w14:textId="6F0C76A0" w:rsidR="00A35CCE" w:rsidRDefault="00CC7D8A" w:rsidP="009B1857">
      <w:pPr>
        <w:pStyle w:val="a5"/>
        <w:rPr>
          <w:rtl/>
        </w:rPr>
      </w:pPr>
      <w:r>
        <w:rPr>
          <w:rtl/>
        </w:rPr>
        <w:tab/>
      </w:r>
      <w:r w:rsidR="00A35CCE">
        <w:rPr>
          <w:rFonts w:hint="cs"/>
          <w:rtl/>
        </w:rPr>
        <w:t>פיר</w:t>
      </w:r>
      <w:r w:rsidR="002377C8">
        <w:rPr>
          <w:rFonts w:hint="cs"/>
          <w:rtl/>
        </w:rPr>
        <w:t>ו</w:t>
      </w:r>
      <w:r w:rsidR="00A35CCE">
        <w:rPr>
          <w:rFonts w:hint="cs"/>
          <w:rtl/>
        </w:rPr>
        <w:t>ט</w:t>
      </w:r>
      <w:r w:rsidR="002377C8">
        <w:rPr>
          <w:rFonts w:hint="cs"/>
          <w:rtl/>
        </w:rPr>
        <w:t xml:space="preserve"> על הקשיים שבהסדר המוצע הוצגו בניירות עמדה </w:t>
      </w:r>
      <w:r w:rsidR="0060259E" w:rsidRPr="009B1857">
        <w:rPr>
          <w:rFonts w:hint="cs"/>
          <w:rtl/>
        </w:rPr>
        <w:t>שהוגשו</w:t>
      </w:r>
      <w:r w:rsidR="00B05320">
        <w:rPr>
          <w:rFonts w:hint="cs"/>
          <w:rtl/>
        </w:rPr>
        <w:t xml:space="preserve"> בעבר</w:t>
      </w:r>
      <w:r w:rsidR="0060259E" w:rsidRPr="009B1857">
        <w:rPr>
          <w:rFonts w:hint="cs"/>
          <w:rtl/>
        </w:rPr>
        <w:t xml:space="preserve"> לוועדה על ידי</w:t>
      </w:r>
      <w:r w:rsidR="009B1857">
        <w:rPr>
          <w:rFonts w:hint="cs"/>
          <w:rtl/>
        </w:rPr>
        <w:t xml:space="preserve"> איגוד האינטרנט הישראלי, מר דורון שקמוני, פרופ' מיכאל בירנהק, הקליניקה למשפט וטכנולוגיה באוניברסיטת חיפה.</w:t>
      </w:r>
    </w:p>
  </w:footnote>
  <w:footnote w:id="14">
    <w:p w14:paraId="35E6DD19" w14:textId="2E2B8D52" w:rsidR="00180FBA" w:rsidRDefault="00180FBA" w:rsidP="00093311">
      <w:pPr>
        <w:pStyle w:val="a5"/>
        <w:rPr>
          <w:rtl/>
        </w:rPr>
      </w:pPr>
      <w:r>
        <w:rPr>
          <w:rStyle w:val="ab"/>
        </w:rPr>
        <w:footnoteRef/>
      </w:r>
      <w:r>
        <w:rPr>
          <w:rtl/>
        </w:rPr>
        <w:t xml:space="preserve"> </w:t>
      </w:r>
      <w:r>
        <w:rPr>
          <w:rtl/>
        </w:rPr>
        <w:tab/>
      </w:r>
      <w:r w:rsidR="009B55C4">
        <w:rPr>
          <w:rFonts w:hint="cs"/>
          <w:rtl/>
        </w:rPr>
        <w:t>סעיפים 15(ה),</w:t>
      </w:r>
      <w:r>
        <w:rPr>
          <w:rFonts w:hint="cs"/>
          <w:rtl/>
        </w:rPr>
        <w:t xml:space="preserve"> 15(ו) ל</w:t>
      </w:r>
      <w:hyperlink r:id="rId6" w:anchor="Seif9" w:history="1">
        <w:r w:rsidRPr="00093311">
          <w:rPr>
            <w:rStyle w:val="Hyperlink"/>
            <w:rFonts w:hint="cs"/>
            <w:rtl/>
          </w:rPr>
          <w:t xml:space="preserve">חוק </w:t>
        </w:r>
        <w:r w:rsidR="00093311" w:rsidRPr="00093311">
          <w:rPr>
            <w:rStyle w:val="Hyperlink"/>
            <w:rtl/>
          </w:rPr>
          <w:t xml:space="preserve">סדר </w:t>
        </w:r>
        <w:r w:rsidR="00093311" w:rsidRPr="00BB2DF2">
          <w:rPr>
            <w:rStyle w:val="Hyperlink"/>
            <w:rtl/>
          </w:rPr>
          <w:t>הדין</w:t>
        </w:r>
        <w:r w:rsidR="00093311" w:rsidRPr="00093311">
          <w:rPr>
            <w:rStyle w:val="Hyperlink"/>
            <w:rtl/>
          </w:rPr>
          <w:t xml:space="preserve"> הפלילי (סמכויות אכיפה – מעצרים)</w:t>
        </w:r>
      </w:hyperlink>
      <w:r w:rsidR="00093311" w:rsidRPr="00093311">
        <w:rPr>
          <w:rtl/>
        </w:rPr>
        <w:t xml:space="preserve">, </w:t>
      </w:r>
      <w:r w:rsidR="00093311">
        <w:rPr>
          <w:rFonts w:hint="cs"/>
          <w:rtl/>
        </w:rPr>
        <w:t>ה</w:t>
      </w:r>
      <w:r w:rsidR="00093311" w:rsidRPr="00093311">
        <w:rPr>
          <w:rtl/>
        </w:rPr>
        <w:t>תשנ"ו-1996</w:t>
      </w:r>
      <w:r w:rsidR="00093311">
        <w:rPr>
          <w:rFonts w:hint="cs"/>
          <w:rtl/>
        </w:rPr>
        <w:t>.</w:t>
      </w:r>
    </w:p>
  </w:footnote>
  <w:footnote w:id="15">
    <w:p w14:paraId="021D0A58" w14:textId="437BFA5A" w:rsidR="00081B16" w:rsidRDefault="00081B16" w:rsidP="007D2D42">
      <w:pPr>
        <w:pStyle w:val="a5"/>
      </w:pPr>
      <w:r>
        <w:rPr>
          <w:rStyle w:val="ab"/>
        </w:rPr>
        <w:footnoteRef/>
      </w:r>
      <w:r>
        <w:rPr>
          <w:rtl/>
        </w:rPr>
        <w:t xml:space="preserve"> </w:t>
      </w:r>
      <w:r>
        <w:tab/>
      </w:r>
      <w:r w:rsidR="00BB2DF2">
        <w:rPr>
          <w:rFonts w:hint="cs"/>
          <w:rtl/>
        </w:rPr>
        <w:t>סעי</w:t>
      </w:r>
      <w:r w:rsidR="007D2D42">
        <w:rPr>
          <w:rFonts w:hint="cs"/>
          <w:rtl/>
        </w:rPr>
        <w:t>פים</w:t>
      </w:r>
      <w:r w:rsidR="00BB2DF2">
        <w:rPr>
          <w:rFonts w:hint="cs"/>
          <w:rtl/>
        </w:rPr>
        <w:t xml:space="preserve"> 5ב(4)</w:t>
      </w:r>
      <w:r w:rsidR="007D2D42">
        <w:rPr>
          <w:rFonts w:hint="cs"/>
          <w:rtl/>
        </w:rPr>
        <w:t>, 5ג</w:t>
      </w:r>
      <w:r w:rsidR="00BB2DF2">
        <w:rPr>
          <w:rFonts w:hint="cs"/>
          <w:rtl/>
        </w:rPr>
        <w:t xml:space="preserve"> ל</w:t>
      </w:r>
      <w:hyperlink r:id="rId7" w:history="1">
        <w:r w:rsidR="00BB2DF2" w:rsidRPr="00BB2DF2">
          <w:rPr>
            <w:rStyle w:val="Hyperlink"/>
            <w:rtl/>
          </w:rPr>
          <w:t>חוק הגבלת שימוש במקום לשם מניעת ביצוע עבירות</w:t>
        </w:r>
      </w:hyperlink>
      <w:r w:rsidR="00BB2DF2" w:rsidRPr="00BB2DF2">
        <w:rPr>
          <w:rtl/>
        </w:rPr>
        <w:t xml:space="preserve">, </w:t>
      </w:r>
      <w:r w:rsidR="00BB2DF2">
        <w:rPr>
          <w:rFonts w:hint="cs"/>
          <w:rtl/>
        </w:rPr>
        <w:t>ה</w:t>
      </w:r>
      <w:r w:rsidR="00BB2DF2" w:rsidRPr="00BB2DF2">
        <w:rPr>
          <w:rtl/>
        </w:rPr>
        <w:t>תשס"ה-2005</w:t>
      </w:r>
      <w:r w:rsidR="00BB2DF2">
        <w:rPr>
          <w:rFonts w:hint="cs"/>
          <w:rtl/>
        </w:rPr>
        <w:t>.</w:t>
      </w:r>
    </w:p>
  </w:footnote>
  <w:footnote w:id="16">
    <w:p w14:paraId="2852D1DE" w14:textId="210E612C" w:rsidR="007F26F1" w:rsidRDefault="007F26F1" w:rsidP="007F26F1">
      <w:pPr>
        <w:pStyle w:val="a5"/>
        <w:rPr>
          <w:rtl/>
        </w:rPr>
      </w:pPr>
      <w:r>
        <w:rPr>
          <w:rStyle w:val="ab"/>
        </w:rPr>
        <w:footnoteRef/>
      </w:r>
      <w:r>
        <w:rPr>
          <w:rtl/>
        </w:rPr>
        <w:t xml:space="preserve"> </w:t>
      </w:r>
      <w:r>
        <w:rPr>
          <w:rtl/>
        </w:rPr>
        <w:tab/>
      </w:r>
      <w:r>
        <w:rPr>
          <w:rFonts w:hint="cs"/>
          <w:rtl/>
        </w:rPr>
        <w:t xml:space="preserve">ראו סעיף 3א(ב) </w:t>
      </w:r>
      <w:r w:rsidRPr="007F26F1">
        <w:rPr>
          <w:rtl/>
        </w:rPr>
        <w:t>ל</w:t>
      </w:r>
      <w:hyperlink r:id="rId8" w:anchor="Seif7" w:history="1">
        <w:r w:rsidRPr="007F26F1">
          <w:rPr>
            <w:rStyle w:val="Hyperlink"/>
            <w:rtl/>
          </w:rPr>
          <w:t>חוק הגבלת שימוש במקום לשם מניעת ביצוע עבירות</w:t>
        </w:r>
      </w:hyperlink>
      <w:r>
        <w:rPr>
          <w:rFonts w:hint="cs"/>
          <w:rtl/>
        </w:rPr>
        <w:t>.</w:t>
      </w:r>
    </w:p>
  </w:footnote>
  <w:footnote w:id="17">
    <w:p w14:paraId="6802BB3A" w14:textId="7B40C65E" w:rsidR="00B342DC" w:rsidRDefault="00B342DC" w:rsidP="00B342DC">
      <w:pPr>
        <w:pStyle w:val="a5"/>
      </w:pPr>
      <w:r>
        <w:rPr>
          <w:rStyle w:val="ab"/>
        </w:rPr>
        <w:footnoteRef/>
      </w:r>
      <w:r>
        <w:rPr>
          <w:rtl/>
        </w:rPr>
        <w:t xml:space="preserve"> </w:t>
      </w:r>
      <w:r>
        <w:rPr>
          <w:rtl/>
        </w:rPr>
        <w:tab/>
      </w:r>
      <w:r>
        <w:rPr>
          <w:rFonts w:hint="cs"/>
          <w:rtl/>
        </w:rPr>
        <w:t xml:space="preserve">ראו </w:t>
      </w:r>
      <w:r w:rsidRPr="0069377D">
        <w:rPr>
          <w:rtl/>
        </w:rPr>
        <w:t>בג</w:t>
      </w:r>
      <w:r>
        <w:rPr>
          <w:rFonts w:hint="cs"/>
          <w:rtl/>
        </w:rPr>
        <w:t>"ץ</w:t>
      </w:r>
      <w:r w:rsidRPr="0069377D">
        <w:rPr>
          <w:rtl/>
        </w:rPr>
        <w:t xml:space="preserve"> 73/53 </w:t>
      </w:r>
      <w:r w:rsidRPr="0069377D">
        <w:rPr>
          <w:b/>
          <w:bCs/>
          <w:rtl/>
        </w:rPr>
        <w:t>חברת "קול העם" בע"מ נ' שר-הפנים</w:t>
      </w:r>
      <w:r>
        <w:rPr>
          <w:rFonts w:hint="cs"/>
          <w:rtl/>
        </w:rPr>
        <w:t xml:space="preserve">, פ"ד </w:t>
      </w:r>
      <w:r w:rsidRPr="0069377D">
        <w:rPr>
          <w:rtl/>
        </w:rPr>
        <w:t>ז(1) 871</w:t>
      </w:r>
      <w:r>
        <w:rPr>
          <w:rFonts w:hint="cs"/>
          <w:rtl/>
        </w:rPr>
        <w:t>, 892-889.</w:t>
      </w:r>
    </w:p>
  </w:footnote>
  <w:footnote w:id="18">
    <w:p w14:paraId="522D11D4" w14:textId="77777777" w:rsidR="00EA2B5B" w:rsidRDefault="00EA2B5B">
      <w:pPr>
        <w:pStyle w:val="a5"/>
        <w:rPr>
          <w:rtl/>
        </w:rPr>
      </w:pPr>
      <w:r>
        <w:rPr>
          <w:rStyle w:val="ab"/>
        </w:rPr>
        <w:footnoteRef/>
      </w:r>
      <w:r>
        <w:rPr>
          <w:rtl/>
        </w:rPr>
        <w:t xml:space="preserve"> </w:t>
      </w:r>
      <w:r>
        <w:tab/>
      </w:r>
      <w:r>
        <w:rPr>
          <w:rFonts w:hint="cs"/>
          <w:rtl/>
        </w:rPr>
        <w:t>סעיף 3(ב) לנוסח המעודכן של הצעת החוק.</w:t>
      </w:r>
    </w:p>
  </w:footnote>
  <w:footnote w:id="19">
    <w:p w14:paraId="2611D9F1" w14:textId="77777777" w:rsidR="00776520" w:rsidRDefault="00776520">
      <w:pPr>
        <w:pStyle w:val="a5"/>
      </w:pPr>
      <w:r>
        <w:rPr>
          <w:rStyle w:val="ab"/>
        </w:rPr>
        <w:footnoteRef/>
      </w:r>
      <w:r>
        <w:rPr>
          <w:rtl/>
        </w:rPr>
        <w:t xml:space="preserve"> </w:t>
      </w:r>
      <w:r>
        <w:rPr>
          <w:rtl/>
        </w:rPr>
        <w:tab/>
      </w:r>
      <w:r>
        <w:rPr>
          <w:rFonts w:hint="cs"/>
          <w:rtl/>
        </w:rPr>
        <w:t>סעיף 3(ז) לנוסח המעודכן של הצעת החוק.</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3CA294" w14:textId="3CB3AA30" w:rsidR="00836374" w:rsidRDefault="00857E03" w:rsidP="00E147BB">
    <w:pPr>
      <w:pStyle w:val="a7"/>
    </w:pPr>
    <w:r>
      <w:rPr>
        <w:noProof/>
      </w:rPr>
      <w:drawing>
        <wp:anchor distT="0" distB="0" distL="114300" distR="114300" simplePos="0" relativeHeight="251657728" behindDoc="0" locked="0" layoutInCell="1" allowOverlap="1" wp14:anchorId="54CB9250" wp14:editId="75BF4C0A">
          <wp:simplePos x="0" y="0"/>
          <wp:positionH relativeFrom="column">
            <wp:posOffset>4376224</wp:posOffset>
          </wp:positionH>
          <wp:positionV relativeFrom="paragraph">
            <wp:posOffset>-131592</wp:posOffset>
          </wp:positionV>
          <wp:extent cx="1284022" cy="4228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CLINIC.png"/>
                  <pic:cNvPicPr/>
                </pic:nvPicPr>
                <pic:blipFill>
                  <a:blip r:embed="rId1">
                    <a:extLst>
                      <a:ext uri="{28A0092B-C50C-407E-A947-70E740481C1C}">
                        <a14:useLocalDpi xmlns:a14="http://schemas.microsoft.com/office/drawing/2010/main" val="0"/>
                      </a:ext>
                    </a:extLst>
                  </a:blip>
                  <a:stretch>
                    <a:fillRect/>
                  </a:stretch>
                </pic:blipFill>
                <pic:spPr>
                  <a:xfrm>
                    <a:off x="0" y="0"/>
                    <a:ext cx="1284022" cy="422800"/>
                  </a:xfrm>
                  <a:prstGeom prst="rect">
                    <a:avLst/>
                  </a:prstGeom>
                </pic:spPr>
              </pic:pic>
            </a:graphicData>
          </a:graphic>
          <wp14:sizeRelH relativeFrom="page">
            <wp14:pctWidth>0</wp14:pctWidth>
          </wp14:sizeRelH>
          <wp14:sizeRelV relativeFrom="page">
            <wp14:pctHeight>0</wp14:pctHeight>
          </wp14:sizeRelV>
        </wp:anchor>
      </w:drawing>
    </w:r>
    <w:r w:rsidR="00BC0297">
      <w:rPr>
        <w:noProof/>
      </w:rPr>
      <w:pict w14:anchorId="7B5B32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17pt;margin-top:37.65pt;width:143.8pt;height:43.1pt;z-index:-251657728;mso-position-horizontal-relative:text;mso-position-vertical-relative:text">
          <v:imagedata r:id="rId2" o:title="FOIAmove"/>
        </v:shape>
      </w:pict>
    </w:r>
    <w:r w:rsidR="00BC0297">
      <w:pict w14:anchorId="6CA0AD5A">
        <v:shape id="_x0000_i1025" type="#_x0000_t75" style="width:113.3pt;height:61.35pt">
          <v:imagedata r:id="rId3" o:title="ISOC-IL"/>
        </v:shape>
      </w:pict>
    </w:r>
    <w:r w:rsidR="00E147BB">
      <w:rPr>
        <w:noProof/>
      </w:rPr>
      <w:drawing>
        <wp:anchor distT="0" distB="0" distL="114300" distR="114300" simplePos="0" relativeHeight="251656704" behindDoc="0" locked="0" layoutInCell="1" allowOverlap="0" wp14:anchorId="35C6BC29" wp14:editId="789FF834">
          <wp:simplePos x="0" y="0"/>
          <wp:positionH relativeFrom="column">
            <wp:posOffset>146050</wp:posOffset>
          </wp:positionH>
          <wp:positionV relativeFrom="paragraph">
            <wp:posOffset>-132080</wp:posOffset>
          </wp:positionV>
          <wp:extent cx="2277745" cy="440690"/>
          <wp:effectExtent l="0" t="0" r="8255" b="0"/>
          <wp:wrapSquare wrapText="lef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277745" cy="4406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A90F95"/>
    <w:multiLevelType w:val="hybridMultilevel"/>
    <w:tmpl w:val="7AFA489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F104E8"/>
    <w:multiLevelType w:val="hybridMultilevel"/>
    <w:tmpl w:val="F91EC08A"/>
    <w:lvl w:ilvl="0" w:tplc="F744B44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D960DB9"/>
    <w:multiLevelType w:val="hybridMultilevel"/>
    <w:tmpl w:val="5C64EB5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131658"/>
    <w:multiLevelType w:val="hybridMultilevel"/>
    <w:tmpl w:val="D7208352"/>
    <w:lvl w:ilvl="0" w:tplc="04090001">
      <w:start w:val="1"/>
      <w:numFmt w:val="bullet"/>
      <w:lvlText w:val=""/>
      <w:lvlJc w:val="left"/>
      <w:pPr>
        <w:ind w:left="1466" w:hanging="360"/>
      </w:pPr>
      <w:rPr>
        <w:rFonts w:ascii="Symbol" w:hAnsi="Symbol" w:hint="default"/>
      </w:rPr>
    </w:lvl>
    <w:lvl w:ilvl="1" w:tplc="04090003" w:tentative="1">
      <w:start w:val="1"/>
      <w:numFmt w:val="bullet"/>
      <w:lvlText w:val="o"/>
      <w:lvlJc w:val="left"/>
      <w:pPr>
        <w:ind w:left="2186" w:hanging="360"/>
      </w:pPr>
      <w:rPr>
        <w:rFonts w:ascii="Courier New" w:hAnsi="Courier New" w:cs="Courier New" w:hint="default"/>
      </w:rPr>
    </w:lvl>
    <w:lvl w:ilvl="2" w:tplc="04090005" w:tentative="1">
      <w:start w:val="1"/>
      <w:numFmt w:val="bullet"/>
      <w:lvlText w:val=""/>
      <w:lvlJc w:val="left"/>
      <w:pPr>
        <w:ind w:left="2906" w:hanging="360"/>
      </w:pPr>
      <w:rPr>
        <w:rFonts w:ascii="Wingdings" w:hAnsi="Wingdings" w:hint="default"/>
      </w:rPr>
    </w:lvl>
    <w:lvl w:ilvl="3" w:tplc="04090001" w:tentative="1">
      <w:start w:val="1"/>
      <w:numFmt w:val="bullet"/>
      <w:lvlText w:val=""/>
      <w:lvlJc w:val="left"/>
      <w:pPr>
        <w:ind w:left="3626" w:hanging="360"/>
      </w:pPr>
      <w:rPr>
        <w:rFonts w:ascii="Symbol" w:hAnsi="Symbol" w:hint="default"/>
      </w:rPr>
    </w:lvl>
    <w:lvl w:ilvl="4" w:tplc="04090003" w:tentative="1">
      <w:start w:val="1"/>
      <w:numFmt w:val="bullet"/>
      <w:lvlText w:val="o"/>
      <w:lvlJc w:val="left"/>
      <w:pPr>
        <w:ind w:left="4346" w:hanging="360"/>
      </w:pPr>
      <w:rPr>
        <w:rFonts w:ascii="Courier New" w:hAnsi="Courier New" w:cs="Courier New" w:hint="default"/>
      </w:rPr>
    </w:lvl>
    <w:lvl w:ilvl="5" w:tplc="04090005" w:tentative="1">
      <w:start w:val="1"/>
      <w:numFmt w:val="bullet"/>
      <w:lvlText w:val=""/>
      <w:lvlJc w:val="left"/>
      <w:pPr>
        <w:ind w:left="5066" w:hanging="360"/>
      </w:pPr>
      <w:rPr>
        <w:rFonts w:ascii="Wingdings" w:hAnsi="Wingdings" w:hint="default"/>
      </w:rPr>
    </w:lvl>
    <w:lvl w:ilvl="6" w:tplc="04090001" w:tentative="1">
      <w:start w:val="1"/>
      <w:numFmt w:val="bullet"/>
      <w:lvlText w:val=""/>
      <w:lvlJc w:val="left"/>
      <w:pPr>
        <w:ind w:left="5786" w:hanging="360"/>
      </w:pPr>
      <w:rPr>
        <w:rFonts w:ascii="Symbol" w:hAnsi="Symbol" w:hint="default"/>
      </w:rPr>
    </w:lvl>
    <w:lvl w:ilvl="7" w:tplc="04090003" w:tentative="1">
      <w:start w:val="1"/>
      <w:numFmt w:val="bullet"/>
      <w:lvlText w:val="o"/>
      <w:lvlJc w:val="left"/>
      <w:pPr>
        <w:ind w:left="6506" w:hanging="360"/>
      </w:pPr>
      <w:rPr>
        <w:rFonts w:ascii="Courier New" w:hAnsi="Courier New" w:cs="Courier New" w:hint="default"/>
      </w:rPr>
    </w:lvl>
    <w:lvl w:ilvl="8" w:tplc="04090005" w:tentative="1">
      <w:start w:val="1"/>
      <w:numFmt w:val="bullet"/>
      <w:lvlText w:val=""/>
      <w:lvlJc w:val="left"/>
      <w:pPr>
        <w:ind w:left="7226" w:hanging="360"/>
      </w:pPr>
      <w:rPr>
        <w:rFonts w:ascii="Wingdings" w:hAnsi="Wingdings" w:hint="default"/>
      </w:rPr>
    </w:lvl>
  </w:abstractNum>
  <w:abstractNum w:abstractNumId="4" w15:restartNumberingAfterBreak="0">
    <w:nsid w:val="7D847F8B"/>
    <w:multiLevelType w:val="hybridMultilevel"/>
    <w:tmpl w:val="8446F930"/>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B31"/>
    <w:rsid w:val="000450A5"/>
    <w:rsid w:val="00077EAA"/>
    <w:rsid w:val="00081B16"/>
    <w:rsid w:val="00093311"/>
    <w:rsid w:val="00095216"/>
    <w:rsid w:val="000B4DE7"/>
    <w:rsid w:val="000D3D0F"/>
    <w:rsid w:val="000E300E"/>
    <w:rsid w:val="00101C09"/>
    <w:rsid w:val="00101C9F"/>
    <w:rsid w:val="00122A60"/>
    <w:rsid w:val="0014693E"/>
    <w:rsid w:val="00150951"/>
    <w:rsid w:val="00166D07"/>
    <w:rsid w:val="001765E7"/>
    <w:rsid w:val="00180FBA"/>
    <w:rsid w:val="00185FFC"/>
    <w:rsid w:val="0019227A"/>
    <w:rsid w:val="001A27DC"/>
    <w:rsid w:val="001A524B"/>
    <w:rsid w:val="001A73CE"/>
    <w:rsid w:val="001B24AE"/>
    <w:rsid w:val="001B71A9"/>
    <w:rsid w:val="001F479C"/>
    <w:rsid w:val="002158F0"/>
    <w:rsid w:val="0022101A"/>
    <w:rsid w:val="002377C8"/>
    <w:rsid w:val="00241F14"/>
    <w:rsid w:val="002737F3"/>
    <w:rsid w:val="00276998"/>
    <w:rsid w:val="002A0D66"/>
    <w:rsid w:val="002C0834"/>
    <w:rsid w:val="002D44AA"/>
    <w:rsid w:val="002E089B"/>
    <w:rsid w:val="002E43C4"/>
    <w:rsid w:val="00311FA9"/>
    <w:rsid w:val="00317C7E"/>
    <w:rsid w:val="003534F6"/>
    <w:rsid w:val="00355EAF"/>
    <w:rsid w:val="0037750F"/>
    <w:rsid w:val="0039061F"/>
    <w:rsid w:val="003A1B6B"/>
    <w:rsid w:val="003A543B"/>
    <w:rsid w:val="003B30F6"/>
    <w:rsid w:val="003C058F"/>
    <w:rsid w:val="003C0641"/>
    <w:rsid w:val="003C2F5A"/>
    <w:rsid w:val="003C7C4F"/>
    <w:rsid w:val="003E19E4"/>
    <w:rsid w:val="003E397C"/>
    <w:rsid w:val="003F27D1"/>
    <w:rsid w:val="003F740B"/>
    <w:rsid w:val="00451FB9"/>
    <w:rsid w:val="00471B5C"/>
    <w:rsid w:val="00474C9C"/>
    <w:rsid w:val="004A1433"/>
    <w:rsid w:val="004D42F0"/>
    <w:rsid w:val="004D7790"/>
    <w:rsid w:val="004F65A4"/>
    <w:rsid w:val="00501FA2"/>
    <w:rsid w:val="00526B02"/>
    <w:rsid w:val="00527AEE"/>
    <w:rsid w:val="00530071"/>
    <w:rsid w:val="00544678"/>
    <w:rsid w:val="00587EFF"/>
    <w:rsid w:val="00592E8F"/>
    <w:rsid w:val="00595F14"/>
    <w:rsid w:val="0059640B"/>
    <w:rsid w:val="005A0F52"/>
    <w:rsid w:val="005A62DB"/>
    <w:rsid w:val="005D5767"/>
    <w:rsid w:val="005F4683"/>
    <w:rsid w:val="0060087C"/>
    <w:rsid w:val="00601EE7"/>
    <w:rsid w:val="0060259E"/>
    <w:rsid w:val="00606E7F"/>
    <w:rsid w:val="00631718"/>
    <w:rsid w:val="006712F0"/>
    <w:rsid w:val="00675AA7"/>
    <w:rsid w:val="00681DAB"/>
    <w:rsid w:val="0069377D"/>
    <w:rsid w:val="0069490D"/>
    <w:rsid w:val="006949E8"/>
    <w:rsid w:val="006C3785"/>
    <w:rsid w:val="006E36B0"/>
    <w:rsid w:val="006F6360"/>
    <w:rsid w:val="0070318B"/>
    <w:rsid w:val="00704687"/>
    <w:rsid w:val="00723986"/>
    <w:rsid w:val="00730203"/>
    <w:rsid w:val="0073385F"/>
    <w:rsid w:val="00735055"/>
    <w:rsid w:val="00745941"/>
    <w:rsid w:val="0074699E"/>
    <w:rsid w:val="007474BF"/>
    <w:rsid w:val="00776520"/>
    <w:rsid w:val="007C4BDD"/>
    <w:rsid w:val="007C6268"/>
    <w:rsid w:val="007C7C93"/>
    <w:rsid w:val="007D2D42"/>
    <w:rsid w:val="007E3EB3"/>
    <w:rsid w:val="007F26F1"/>
    <w:rsid w:val="0080033E"/>
    <w:rsid w:val="00800B76"/>
    <w:rsid w:val="0082299A"/>
    <w:rsid w:val="00832ECD"/>
    <w:rsid w:val="00836374"/>
    <w:rsid w:val="00836ADC"/>
    <w:rsid w:val="00847114"/>
    <w:rsid w:val="00857E03"/>
    <w:rsid w:val="00862D9C"/>
    <w:rsid w:val="008865A5"/>
    <w:rsid w:val="008E6D2A"/>
    <w:rsid w:val="008F3A38"/>
    <w:rsid w:val="008F4E6C"/>
    <w:rsid w:val="00917ACA"/>
    <w:rsid w:val="00922219"/>
    <w:rsid w:val="009452E0"/>
    <w:rsid w:val="009632CA"/>
    <w:rsid w:val="00985FAE"/>
    <w:rsid w:val="009A55C3"/>
    <w:rsid w:val="009B1857"/>
    <w:rsid w:val="009B4255"/>
    <w:rsid w:val="009B5057"/>
    <w:rsid w:val="009B55C4"/>
    <w:rsid w:val="009D0264"/>
    <w:rsid w:val="009E0825"/>
    <w:rsid w:val="009F7E81"/>
    <w:rsid w:val="00A00410"/>
    <w:rsid w:val="00A005AF"/>
    <w:rsid w:val="00A02F09"/>
    <w:rsid w:val="00A20032"/>
    <w:rsid w:val="00A203C3"/>
    <w:rsid w:val="00A26F1C"/>
    <w:rsid w:val="00A30FEB"/>
    <w:rsid w:val="00A351A7"/>
    <w:rsid w:val="00A35CCE"/>
    <w:rsid w:val="00A61A8D"/>
    <w:rsid w:val="00A74A54"/>
    <w:rsid w:val="00AB63C8"/>
    <w:rsid w:val="00AC3928"/>
    <w:rsid w:val="00AD36E9"/>
    <w:rsid w:val="00AE7C0C"/>
    <w:rsid w:val="00AF3D05"/>
    <w:rsid w:val="00B05320"/>
    <w:rsid w:val="00B30B93"/>
    <w:rsid w:val="00B342DC"/>
    <w:rsid w:val="00B375F5"/>
    <w:rsid w:val="00B47C87"/>
    <w:rsid w:val="00B84D9A"/>
    <w:rsid w:val="00BB0A0B"/>
    <w:rsid w:val="00BB2DF2"/>
    <w:rsid w:val="00BC0297"/>
    <w:rsid w:val="00BC5C90"/>
    <w:rsid w:val="00BC705B"/>
    <w:rsid w:val="00BD08FD"/>
    <w:rsid w:val="00BE7694"/>
    <w:rsid w:val="00C03A5E"/>
    <w:rsid w:val="00C3673A"/>
    <w:rsid w:val="00C43D7F"/>
    <w:rsid w:val="00C66C40"/>
    <w:rsid w:val="00CA19C5"/>
    <w:rsid w:val="00CA4485"/>
    <w:rsid w:val="00CA4D87"/>
    <w:rsid w:val="00CA4DE4"/>
    <w:rsid w:val="00CC26B6"/>
    <w:rsid w:val="00CC7D8A"/>
    <w:rsid w:val="00CD5BDE"/>
    <w:rsid w:val="00CE600E"/>
    <w:rsid w:val="00D10E8E"/>
    <w:rsid w:val="00D2056A"/>
    <w:rsid w:val="00D35B2D"/>
    <w:rsid w:val="00D43446"/>
    <w:rsid w:val="00D52DDE"/>
    <w:rsid w:val="00D57DAB"/>
    <w:rsid w:val="00D62F2F"/>
    <w:rsid w:val="00D67773"/>
    <w:rsid w:val="00D67A78"/>
    <w:rsid w:val="00D759E5"/>
    <w:rsid w:val="00D76DF7"/>
    <w:rsid w:val="00D81AA3"/>
    <w:rsid w:val="00D93740"/>
    <w:rsid w:val="00D943D7"/>
    <w:rsid w:val="00D95FB6"/>
    <w:rsid w:val="00DA12C4"/>
    <w:rsid w:val="00DA5826"/>
    <w:rsid w:val="00DB3B94"/>
    <w:rsid w:val="00DB4F62"/>
    <w:rsid w:val="00DB748D"/>
    <w:rsid w:val="00E1194A"/>
    <w:rsid w:val="00E147BB"/>
    <w:rsid w:val="00E3015E"/>
    <w:rsid w:val="00E50C36"/>
    <w:rsid w:val="00E53236"/>
    <w:rsid w:val="00E555A9"/>
    <w:rsid w:val="00E9215E"/>
    <w:rsid w:val="00EA2B5B"/>
    <w:rsid w:val="00EA3C27"/>
    <w:rsid w:val="00EB46F2"/>
    <w:rsid w:val="00EC36E9"/>
    <w:rsid w:val="00ED0C2E"/>
    <w:rsid w:val="00ED7237"/>
    <w:rsid w:val="00ED7669"/>
    <w:rsid w:val="00EE2EBF"/>
    <w:rsid w:val="00F14793"/>
    <w:rsid w:val="00F5475B"/>
    <w:rsid w:val="00F55B31"/>
    <w:rsid w:val="00F85822"/>
    <w:rsid w:val="00F930E4"/>
    <w:rsid w:val="00FA4B20"/>
    <w:rsid w:val="00FB3A47"/>
    <w:rsid w:val="00FD0763"/>
    <w:rsid w:val="00FD549B"/>
    <w:rsid w:val="00FF64B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CE19CF2"/>
  <w15:chartTrackingRefBased/>
  <w15:docId w15:val="{B8769016-4302-40ED-AE76-A36123AF7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Calibr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26B6"/>
    <w:pPr>
      <w:bidi/>
      <w:spacing w:after="120" w:line="360" w:lineRule="auto"/>
      <w:jc w:val="both"/>
    </w:pPr>
    <w:rPr>
      <w:rFonts w:ascii="David" w:hAnsi="David" w:cs="David"/>
      <w:sz w:val="24"/>
      <w:szCs w:val="24"/>
    </w:rPr>
  </w:style>
  <w:style w:type="paragraph" w:styleId="1">
    <w:name w:val="heading 1"/>
    <w:basedOn w:val="2"/>
    <w:next w:val="a"/>
    <w:link w:val="10"/>
    <w:uiPriority w:val="9"/>
    <w:qFormat/>
    <w:rsid w:val="006949E8"/>
    <w:pPr>
      <w:outlineLvl w:val="0"/>
    </w:pPr>
    <w:rPr>
      <w:sz w:val="32"/>
      <w:szCs w:val="32"/>
      <w:u w:val="single"/>
    </w:rPr>
  </w:style>
  <w:style w:type="paragraph" w:styleId="2">
    <w:name w:val="heading 2"/>
    <w:basedOn w:val="a"/>
    <w:next w:val="a"/>
    <w:link w:val="20"/>
    <w:uiPriority w:val="9"/>
    <w:unhideWhenUsed/>
    <w:qFormat/>
    <w:rsid w:val="00B375F5"/>
    <w:pPr>
      <w:spacing w:before="40"/>
      <w:outlineLvl w:val="1"/>
    </w:pPr>
    <w:rPr>
      <w:rFonts w:eastAsiaTheme="minorHAnsi"/>
      <w:b/>
      <w:bCs/>
      <w:sz w:val="28"/>
      <w:szCs w:val="28"/>
    </w:rPr>
  </w:style>
  <w:style w:type="paragraph" w:styleId="3">
    <w:name w:val="heading 3"/>
    <w:basedOn w:val="a"/>
    <w:next w:val="a"/>
    <w:link w:val="30"/>
    <w:uiPriority w:val="9"/>
    <w:unhideWhenUsed/>
    <w:qFormat/>
    <w:rsid w:val="00601EE7"/>
    <w:pPr>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rsid w:val="00B375F5"/>
    <w:rPr>
      <w:rFonts w:ascii="David" w:eastAsiaTheme="minorHAnsi" w:hAnsi="David" w:cs="David"/>
      <w:b/>
      <w:bCs/>
      <w:sz w:val="28"/>
      <w:szCs w:val="28"/>
    </w:rPr>
  </w:style>
  <w:style w:type="paragraph" w:styleId="a3">
    <w:name w:val="Title"/>
    <w:basedOn w:val="a"/>
    <w:next w:val="a"/>
    <w:link w:val="a4"/>
    <w:uiPriority w:val="10"/>
    <w:qFormat/>
    <w:rsid w:val="00EC36E9"/>
    <w:pPr>
      <w:spacing w:after="0" w:line="240" w:lineRule="auto"/>
      <w:contextualSpacing/>
      <w:jc w:val="center"/>
    </w:pPr>
    <w:rPr>
      <w:rFonts w:eastAsiaTheme="majorEastAsia"/>
      <w:spacing w:val="-10"/>
      <w:kern w:val="28"/>
      <w:sz w:val="56"/>
      <w:szCs w:val="56"/>
    </w:rPr>
  </w:style>
  <w:style w:type="character" w:customStyle="1" w:styleId="a4">
    <w:name w:val="כותרת טקסט תו"/>
    <w:basedOn w:val="a0"/>
    <w:link w:val="a3"/>
    <w:uiPriority w:val="10"/>
    <w:rsid w:val="00EC36E9"/>
    <w:rPr>
      <w:rFonts w:ascii="David" w:eastAsiaTheme="majorEastAsia" w:hAnsi="David" w:cs="David"/>
      <w:spacing w:val="-10"/>
      <w:kern w:val="28"/>
      <w:sz w:val="56"/>
      <w:szCs w:val="56"/>
    </w:rPr>
  </w:style>
  <w:style w:type="character" w:customStyle="1" w:styleId="10">
    <w:name w:val="כותרת 1 תו"/>
    <w:basedOn w:val="a0"/>
    <w:link w:val="1"/>
    <w:uiPriority w:val="9"/>
    <w:rsid w:val="006949E8"/>
    <w:rPr>
      <w:rFonts w:ascii="David" w:eastAsiaTheme="minorHAnsi" w:hAnsi="David" w:cs="David"/>
      <w:b/>
      <w:bCs/>
      <w:sz w:val="32"/>
      <w:szCs w:val="32"/>
      <w:u w:val="single"/>
    </w:rPr>
  </w:style>
  <w:style w:type="character" w:customStyle="1" w:styleId="30">
    <w:name w:val="כותרת 3 תו"/>
    <w:basedOn w:val="a0"/>
    <w:link w:val="3"/>
    <w:uiPriority w:val="9"/>
    <w:rsid w:val="00601EE7"/>
    <w:rPr>
      <w:rFonts w:ascii="David" w:hAnsi="David" w:cs="David"/>
      <w:b/>
      <w:bCs/>
      <w:sz w:val="24"/>
      <w:szCs w:val="24"/>
    </w:rPr>
  </w:style>
  <w:style w:type="paragraph" w:styleId="a5">
    <w:name w:val="footnote text"/>
    <w:basedOn w:val="a"/>
    <w:link w:val="a6"/>
    <w:uiPriority w:val="99"/>
    <w:unhideWhenUsed/>
    <w:rsid w:val="00601EE7"/>
    <w:pPr>
      <w:tabs>
        <w:tab w:val="left" w:pos="227"/>
      </w:tabs>
      <w:spacing w:after="80" w:line="240" w:lineRule="auto"/>
      <w:ind w:left="227" w:hanging="227"/>
    </w:pPr>
    <w:rPr>
      <w:sz w:val="20"/>
      <w:szCs w:val="20"/>
    </w:rPr>
  </w:style>
  <w:style w:type="character" w:customStyle="1" w:styleId="a6">
    <w:name w:val="טקסט הערת שוליים תו"/>
    <w:basedOn w:val="a0"/>
    <w:link w:val="a5"/>
    <w:uiPriority w:val="99"/>
    <w:rsid w:val="00601EE7"/>
    <w:rPr>
      <w:rFonts w:ascii="David" w:hAnsi="David" w:cs="David"/>
      <w:sz w:val="20"/>
      <w:szCs w:val="20"/>
    </w:rPr>
  </w:style>
  <w:style w:type="paragraph" w:styleId="a7">
    <w:name w:val="header"/>
    <w:basedOn w:val="a"/>
    <w:link w:val="a8"/>
    <w:uiPriority w:val="99"/>
    <w:unhideWhenUsed/>
    <w:rsid w:val="002A0D66"/>
    <w:pPr>
      <w:tabs>
        <w:tab w:val="center" w:pos="4153"/>
        <w:tab w:val="right" w:pos="8306"/>
      </w:tabs>
      <w:spacing w:after="0" w:line="240" w:lineRule="auto"/>
    </w:pPr>
  </w:style>
  <w:style w:type="character" w:customStyle="1" w:styleId="a8">
    <w:name w:val="כותרת עליונה תו"/>
    <w:basedOn w:val="a0"/>
    <w:link w:val="a7"/>
    <w:uiPriority w:val="99"/>
    <w:rsid w:val="002A0D66"/>
    <w:rPr>
      <w:rFonts w:ascii="David" w:hAnsi="David" w:cs="David"/>
      <w:sz w:val="24"/>
      <w:szCs w:val="24"/>
    </w:rPr>
  </w:style>
  <w:style w:type="paragraph" w:styleId="a9">
    <w:name w:val="footer"/>
    <w:basedOn w:val="a"/>
    <w:link w:val="aa"/>
    <w:uiPriority w:val="99"/>
    <w:unhideWhenUsed/>
    <w:rsid w:val="002A0D66"/>
    <w:pPr>
      <w:tabs>
        <w:tab w:val="center" w:pos="4153"/>
        <w:tab w:val="right" w:pos="8306"/>
      </w:tabs>
      <w:spacing w:after="0" w:line="240" w:lineRule="auto"/>
    </w:pPr>
  </w:style>
  <w:style w:type="character" w:customStyle="1" w:styleId="aa">
    <w:name w:val="כותרת תחתונה תו"/>
    <w:basedOn w:val="a0"/>
    <w:link w:val="a9"/>
    <w:uiPriority w:val="99"/>
    <w:rsid w:val="002A0D66"/>
    <w:rPr>
      <w:rFonts w:ascii="David" w:hAnsi="David" w:cs="David"/>
      <w:sz w:val="24"/>
      <w:szCs w:val="24"/>
    </w:rPr>
  </w:style>
  <w:style w:type="character" w:styleId="ab">
    <w:name w:val="footnote reference"/>
    <w:basedOn w:val="a0"/>
    <w:uiPriority w:val="99"/>
    <w:semiHidden/>
    <w:unhideWhenUsed/>
    <w:rsid w:val="00530071"/>
    <w:rPr>
      <w:vertAlign w:val="superscript"/>
    </w:rPr>
  </w:style>
  <w:style w:type="paragraph" w:styleId="ac">
    <w:name w:val="List Paragraph"/>
    <w:basedOn w:val="a"/>
    <w:uiPriority w:val="34"/>
    <w:qFormat/>
    <w:rsid w:val="0080033E"/>
    <w:pPr>
      <w:ind w:left="720"/>
      <w:contextualSpacing/>
    </w:pPr>
  </w:style>
  <w:style w:type="character" w:styleId="Hyperlink">
    <w:name w:val="Hyperlink"/>
    <w:basedOn w:val="a0"/>
    <w:uiPriority w:val="99"/>
    <w:unhideWhenUsed/>
    <w:rsid w:val="00BB2DF2"/>
    <w:rPr>
      <w:color w:val="0563C1" w:themeColor="hyperlink"/>
      <w:u w:val="none"/>
    </w:rPr>
  </w:style>
  <w:style w:type="character" w:styleId="ad">
    <w:name w:val="annotation reference"/>
    <w:basedOn w:val="a0"/>
    <w:uiPriority w:val="99"/>
    <w:semiHidden/>
    <w:unhideWhenUsed/>
    <w:rsid w:val="007C6268"/>
    <w:rPr>
      <w:sz w:val="16"/>
      <w:szCs w:val="16"/>
    </w:rPr>
  </w:style>
  <w:style w:type="paragraph" w:styleId="ae">
    <w:name w:val="annotation text"/>
    <w:basedOn w:val="a"/>
    <w:link w:val="af"/>
    <w:uiPriority w:val="99"/>
    <w:semiHidden/>
    <w:unhideWhenUsed/>
    <w:rsid w:val="007C6268"/>
    <w:pPr>
      <w:spacing w:line="240" w:lineRule="auto"/>
    </w:pPr>
    <w:rPr>
      <w:sz w:val="20"/>
      <w:szCs w:val="20"/>
    </w:rPr>
  </w:style>
  <w:style w:type="character" w:customStyle="1" w:styleId="af">
    <w:name w:val="טקסט הערה תו"/>
    <w:basedOn w:val="a0"/>
    <w:link w:val="ae"/>
    <w:uiPriority w:val="99"/>
    <w:semiHidden/>
    <w:rsid w:val="007C6268"/>
    <w:rPr>
      <w:rFonts w:ascii="David" w:hAnsi="David" w:cs="David"/>
      <w:sz w:val="20"/>
      <w:szCs w:val="20"/>
    </w:rPr>
  </w:style>
  <w:style w:type="paragraph" w:styleId="af0">
    <w:name w:val="annotation subject"/>
    <w:basedOn w:val="ae"/>
    <w:next w:val="ae"/>
    <w:link w:val="af1"/>
    <w:uiPriority w:val="99"/>
    <w:semiHidden/>
    <w:unhideWhenUsed/>
    <w:rsid w:val="007C6268"/>
    <w:rPr>
      <w:b/>
      <w:bCs/>
    </w:rPr>
  </w:style>
  <w:style w:type="character" w:customStyle="1" w:styleId="af1">
    <w:name w:val="נושא הערה תו"/>
    <w:basedOn w:val="af"/>
    <w:link w:val="af0"/>
    <w:uiPriority w:val="99"/>
    <w:semiHidden/>
    <w:rsid w:val="007C6268"/>
    <w:rPr>
      <w:rFonts w:ascii="David" w:hAnsi="David" w:cs="David"/>
      <w:b/>
      <w:bCs/>
      <w:sz w:val="20"/>
      <w:szCs w:val="20"/>
    </w:rPr>
  </w:style>
  <w:style w:type="paragraph" w:styleId="af2">
    <w:name w:val="Balloon Text"/>
    <w:basedOn w:val="a"/>
    <w:link w:val="af3"/>
    <w:uiPriority w:val="99"/>
    <w:semiHidden/>
    <w:unhideWhenUsed/>
    <w:rsid w:val="007C6268"/>
    <w:pPr>
      <w:spacing w:after="0" w:line="240" w:lineRule="auto"/>
    </w:pPr>
    <w:rPr>
      <w:rFonts w:ascii="Segoe UI" w:hAnsi="Segoe UI" w:cs="Segoe UI"/>
      <w:sz w:val="18"/>
      <w:szCs w:val="18"/>
    </w:rPr>
  </w:style>
  <w:style w:type="character" w:customStyle="1" w:styleId="af3">
    <w:name w:val="טקסט בלונים תו"/>
    <w:basedOn w:val="a0"/>
    <w:link w:val="af2"/>
    <w:uiPriority w:val="99"/>
    <w:semiHidden/>
    <w:rsid w:val="007C6268"/>
    <w:rPr>
      <w:rFonts w:ascii="Segoe UI" w:hAnsi="Segoe UI" w:cs="Segoe UI"/>
      <w:sz w:val="18"/>
      <w:szCs w:val="18"/>
    </w:rPr>
  </w:style>
  <w:style w:type="paragraph" w:styleId="af4">
    <w:name w:val="Revision"/>
    <w:hidden/>
    <w:uiPriority w:val="99"/>
    <w:semiHidden/>
    <w:rsid w:val="007C6268"/>
    <w:pPr>
      <w:spacing w:after="0" w:line="240" w:lineRule="auto"/>
    </w:pPr>
    <w:rPr>
      <w:rFonts w:ascii="David" w:hAnsi="David" w:cs="David"/>
      <w:sz w:val="24"/>
      <w:szCs w:val="24"/>
    </w:rPr>
  </w:style>
  <w:style w:type="paragraph" w:styleId="af5">
    <w:name w:val="Quote"/>
    <w:basedOn w:val="ac"/>
    <w:next w:val="a"/>
    <w:link w:val="af6"/>
    <w:uiPriority w:val="29"/>
    <w:qFormat/>
    <w:rsid w:val="004A1433"/>
    <w:pPr>
      <w:ind w:left="1360" w:right="709"/>
    </w:pPr>
  </w:style>
  <w:style w:type="character" w:customStyle="1" w:styleId="af6">
    <w:name w:val="ציטוט תו"/>
    <w:basedOn w:val="a0"/>
    <w:link w:val="af5"/>
    <w:uiPriority w:val="29"/>
    <w:rsid w:val="004A1433"/>
    <w:rPr>
      <w:rFonts w:ascii="David" w:hAnsi="David"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9995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nevo.co.il/law_html/Law01/999_421.htm" TargetMode="External"/><Relationship Id="rId3" Type="http://schemas.openxmlformats.org/officeDocument/2006/relationships/hyperlink" Target="https://opennet.net/youtube-censored-a-recent-history/" TargetMode="External"/><Relationship Id="rId7" Type="http://schemas.openxmlformats.org/officeDocument/2006/relationships/hyperlink" Target="https://www.nevo.co.il/law_html/Law01/999_421.htm" TargetMode="External"/><Relationship Id="rId2" Type="http://schemas.openxmlformats.org/officeDocument/2006/relationships/hyperlink" Target="http://www.reuters.com/article/us-turkey-security-internet-wikipedia-idUSKBN17V06Q" TargetMode="External"/><Relationship Id="rId1" Type="http://schemas.openxmlformats.org/officeDocument/2006/relationships/hyperlink" Target="http://fs.knesset.gov.il//20/Committees/20_cs_bg_384084.pdf" TargetMode="External"/><Relationship Id="rId6" Type="http://schemas.openxmlformats.org/officeDocument/2006/relationships/hyperlink" Target="https://www.nevo.co.il/law_html/Law01/055_103.htm" TargetMode="External"/><Relationship Id="rId5" Type="http://schemas.openxmlformats.org/officeDocument/2006/relationships/hyperlink" Target="https://www.article19.org/data/files/medialibrary/38586/Blocking_and_filtering_final.pdf" TargetMode="External"/><Relationship Id="rId4" Type="http://schemas.openxmlformats.org/officeDocument/2006/relationships/hyperlink" Target="https://www.theguardian.com/world/2017/may/25/egypt-blocks-access-news-websites-al-jazeera-mada-masr-press-freed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1F4557-0311-4A66-80E5-DE530EC114D3}"/>
</file>

<file path=customXml/itemProps2.xml><?xml version="1.0" encoding="utf-8"?>
<ds:datastoreItem xmlns:ds="http://schemas.openxmlformats.org/officeDocument/2006/customXml" ds:itemID="{D3E44835-4370-461A-8BFA-D1FE0C7D2A01}"/>
</file>

<file path=customXml/itemProps3.xml><?xml version="1.0" encoding="utf-8"?>
<ds:datastoreItem xmlns:ds="http://schemas.openxmlformats.org/officeDocument/2006/customXml" ds:itemID="{0D37E43D-AAEB-49F1-B8AB-C84268A50F6E}"/>
</file>

<file path=docProps/app.xml><?xml version="1.0" encoding="utf-8"?>
<Properties xmlns="http://schemas.openxmlformats.org/officeDocument/2006/extended-properties" xmlns:vt="http://schemas.openxmlformats.org/officeDocument/2006/docPropsVTypes">
  <Template>Normal</Template>
  <TotalTime>0</TotalTime>
  <Pages>7</Pages>
  <Words>1754</Words>
  <Characters>8772</Characters>
  <Application>Microsoft Office Word</Application>
  <DocSecurity>4</DocSecurity>
  <Lines>73</Lines>
  <Paragraphs>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נייר עמדה בנוגע להצ"ח הגבלת גישה לאתר אינטרנט לשם מניעת ביצוע עבירות - לשקיפות</vt:lpstr>
      <vt:lpstr>נייר עמדה בנוגע להצ"ח הגבלת גישה לאתר אינטרנט לשם מניעת ביצוע עבירות - לשקיפות</vt:lpstr>
    </vt:vector>
  </TitlesOfParts>
  <Company/>
  <LinksUpToDate>false</LinksUpToDate>
  <CharactersWithSpaces>10505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נייר עמדה בנוגע להצ"ח הגבלת גישה לאתר אינטרנט לשם מניעת ביצוע עבירות - לשקיפות</dc:title>
  <dc:subject/>
  <dc:creator>Uri Sabach</dc:creator>
  <cp:keywords/>
  <dc:description/>
  <cp:lastModifiedBy>נוגה יוסף</cp:lastModifiedBy>
  <cp:revision>2</cp:revision>
  <cp:lastPrinted>2017-06-14T11:04:00Z</cp:lastPrinted>
  <dcterms:created xsi:type="dcterms:W3CDTF">2017-06-15T09:02:00Z</dcterms:created>
  <dcterms:modified xsi:type="dcterms:W3CDTF">2017-06-15T09:02:00Z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OdcanitPlatinum</vt:lpwstr>
  </property>
  <property fmtid="{D5CDD505-2E9C-101B-9397-08002B2CF9AE}" pid="3" name="PlatDBName">
    <vt:lpwstr>odlight</vt:lpwstr>
  </property>
  <property fmtid="{D5CDD505-2E9C-101B-9397-08002B2CF9AE}" pid="4" name="MachineName">
    <vt:lpwstr>ACRIREMOTE</vt:lpwstr>
  </property>
  <property fmtid="{D5CDD505-2E9C-101B-9397-08002B2CF9AE}" pid="5" name="DocCounter">
    <vt:lpwstr>3521</vt:lpwstr>
  </property>
  <property fmtid="{D5CDD505-2E9C-101B-9397-08002B2CF9AE}" pid="6" name="ContentTypeId">
    <vt:lpwstr>0x010100F931E205BBB08441AEFFEBF8ABB23DF1</vt:lpwstr>
  </property>
  <property fmtid="{D5CDD505-2E9C-101B-9397-08002B2CF9AE}" pid="7" name="SanhedrinItemID">
    <vt:r8>2018179</vt:r8>
  </property>
  <property fmtid="{D5CDD505-2E9C-101B-9397-08002B2CF9AE}" pid="8" name="SanhedrinDocumentType">
    <vt:r8>88</vt:r8>
  </property>
</Properties>
</file>